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0FB4B">
      <w:pPr>
        <w:spacing w:line="240" w:lineRule="auto"/>
        <w:ind w:firstLine="0" w:firstLineChars="0"/>
        <w:jc w:val="center"/>
        <w:rPr>
          <w:rFonts w:hint="eastAsia" w:ascii="宋体" w:hAnsi="宋体" w:eastAsia="宋体" w:cs="宋体"/>
          <w:b/>
          <w:bCs/>
          <w:color w:val="auto"/>
          <w:sz w:val="36"/>
          <w:szCs w:val="36"/>
          <w:lang w:eastAsia="zh-CN"/>
        </w:rPr>
      </w:pPr>
      <w:r>
        <w:rPr>
          <w:rFonts w:hint="eastAsia" w:ascii="宋体" w:hAnsi="宋体" w:cs="宋体"/>
          <w:b/>
          <w:bCs/>
          <w:color w:val="auto"/>
          <w:sz w:val="44"/>
          <w:szCs w:val="44"/>
          <w:lang w:val="en-US" w:eastAsia="zh-CN"/>
        </w:rPr>
        <w:t>蒙自市文澜中心学校采购保安服务（三次）</w:t>
      </w:r>
    </w:p>
    <w:p w14:paraId="48C1691D">
      <w:pPr>
        <w:spacing w:line="240" w:lineRule="auto"/>
        <w:ind w:firstLine="0" w:firstLineChars="0"/>
        <w:rPr>
          <w:rFonts w:hint="eastAsia" w:ascii="宋体" w:hAnsi="宋体" w:eastAsia="宋体" w:cs="宋体"/>
          <w:b/>
          <w:bCs/>
          <w:color w:val="auto"/>
          <w:sz w:val="36"/>
          <w:szCs w:val="36"/>
        </w:rPr>
      </w:pPr>
    </w:p>
    <w:p w14:paraId="06BF8170">
      <w:pPr>
        <w:snapToGrid w:val="0"/>
        <w:spacing w:line="360" w:lineRule="auto"/>
        <w:ind w:firstLine="0" w:firstLineChars="0"/>
        <w:rPr>
          <w:rFonts w:hint="eastAsia" w:ascii="宋体" w:hAnsi="宋体" w:eastAsia="宋体" w:cs="宋体"/>
          <w:b/>
          <w:bCs/>
          <w:color w:val="auto"/>
          <w:sz w:val="36"/>
          <w:szCs w:val="36"/>
        </w:rPr>
      </w:pPr>
      <w:r>
        <w:rPr>
          <w:rFonts w:hint="eastAsia" w:ascii="宋体" w:hAnsi="宋体" w:eastAsia="宋体" w:cs="宋体"/>
          <w:b/>
          <w:bCs/>
          <w:color w:val="auto"/>
          <w:sz w:val="36"/>
          <w:szCs w:val="36"/>
        </w:rPr>
        <w:t xml:space="preserve">     </w:t>
      </w:r>
    </w:p>
    <w:p w14:paraId="0A7CF416">
      <w:pPr>
        <w:snapToGrid w:val="0"/>
        <w:spacing w:line="360" w:lineRule="auto"/>
        <w:ind w:firstLine="0" w:firstLineChars="0"/>
        <w:rPr>
          <w:rFonts w:hint="eastAsia" w:ascii="宋体" w:hAnsi="宋体" w:eastAsia="宋体" w:cs="宋体"/>
          <w:b/>
          <w:bCs/>
          <w:color w:val="auto"/>
          <w:sz w:val="36"/>
          <w:szCs w:val="36"/>
        </w:rPr>
      </w:pPr>
    </w:p>
    <w:p w14:paraId="63B1BE22">
      <w:pPr>
        <w:snapToGrid w:val="0"/>
        <w:spacing w:line="360" w:lineRule="auto"/>
        <w:ind w:firstLine="0" w:firstLineChars="0"/>
        <w:rPr>
          <w:rFonts w:hint="eastAsia" w:ascii="宋体" w:hAnsi="宋体" w:eastAsia="宋体" w:cs="宋体"/>
          <w:b/>
          <w:bCs/>
          <w:color w:val="auto"/>
          <w:sz w:val="36"/>
          <w:szCs w:val="36"/>
        </w:rPr>
      </w:pPr>
    </w:p>
    <w:p w14:paraId="582FFD66">
      <w:pPr>
        <w:snapToGrid w:val="0"/>
        <w:spacing w:line="360" w:lineRule="auto"/>
        <w:ind w:firstLine="0" w:firstLineChars="0"/>
        <w:rPr>
          <w:rFonts w:hint="eastAsia" w:ascii="宋体" w:hAnsi="宋体" w:eastAsia="宋体" w:cs="宋体"/>
          <w:b/>
          <w:bCs/>
          <w:color w:val="auto"/>
          <w:sz w:val="36"/>
          <w:szCs w:val="36"/>
        </w:rPr>
      </w:pPr>
    </w:p>
    <w:p w14:paraId="2B1557BA">
      <w:pPr>
        <w:snapToGrid w:val="0"/>
        <w:spacing w:line="360" w:lineRule="auto"/>
        <w:ind w:firstLine="0" w:firstLineChars="0"/>
        <w:jc w:val="center"/>
        <w:rPr>
          <w:rFonts w:hint="eastAsia" w:ascii="宋体" w:hAnsi="宋体" w:eastAsia="宋体" w:cs="宋体"/>
          <w:b/>
          <w:bCs/>
          <w:color w:val="auto"/>
          <w:sz w:val="36"/>
          <w:szCs w:val="36"/>
        </w:rPr>
      </w:pPr>
    </w:p>
    <w:p w14:paraId="03858252">
      <w:pPr>
        <w:snapToGrid w:val="0"/>
        <w:spacing w:line="360" w:lineRule="auto"/>
        <w:ind w:firstLine="0" w:firstLineChars="0"/>
        <w:jc w:val="center"/>
        <w:rPr>
          <w:rFonts w:hint="eastAsia" w:ascii="宋体" w:hAnsi="宋体" w:eastAsia="宋体" w:cs="宋体"/>
          <w:b/>
          <w:bCs/>
          <w:color w:val="auto"/>
          <w:sz w:val="36"/>
          <w:szCs w:val="36"/>
        </w:rPr>
      </w:pPr>
    </w:p>
    <w:p w14:paraId="628C7EC7">
      <w:pPr>
        <w:snapToGrid w:val="0"/>
        <w:spacing w:line="360" w:lineRule="auto"/>
        <w:ind w:firstLine="0" w:firstLineChars="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竞争性磋商文件</w:t>
      </w:r>
    </w:p>
    <w:p w14:paraId="58931B29">
      <w:pPr>
        <w:widowControl/>
        <w:ind w:firstLine="562"/>
        <w:jc w:val="center"/>
        <w:rPr>
          <w:rFonts w:hint="eastAsia" w:ascii="宋体" w:hAnsi="宋体" w:eastAsia="宋体" w:cs="宋体"/>
          <w:b/>
          <w:bCs/>
          <w:color w:val="auto"/>
          <w:sz w:val="32"/>
          <w:szCs w:val="32"/>
          <w:lang w:val="en-US"/>
        </w:rPr>
      </w:pPr>
      <w:r>
        <w:rPr>
          <w:rFonts w:hint="eastAsia" w:ascii="宋体" w:hAnsi="宋体" w:eastAsia="宋体" w:cs="宋体"/>
          <w:b/>
          <w:bCs w:val="0"/>
          <w:color w:val="auto"/>
          <w:kern w:val="2"/>
          <w:sz w:val="32"/>
          <w:szCs w:val="32"/>
          <w:lang w:val="en-US" w:eastAsia="zh-CN" w:bidi="ar"/>
        </w:rPr>
        <w:t>招标编号：YNHJX-HH-26004</w:t>
      </w:r>
    </w:p>
    <w:p w14:paraId="51FBCAFC">
      <w:pPr>
        <w:pStyle w:val="38"/>
        <w:ind w:firstLine="420"/>
        <w:jc w:val="center"/>
        <w:rPr>
          <w:rFonts w:hint="eastAsia" w:ascii="宋体" w:hAnsi="宋体" w:eastAsia="宋体" w:cs="宋体"/>
          <w:color w:val="auto"/>
          <w:sz w:val="36"/>
          <w:szCs w:val="36"/>
        </w:rPr>
      </w:pPr>
    </w:p>
    <w:p w14:paraId="0BC881B8">
      <w:pPr>
        <w:pStyle w:val="38"/>
        <w:ind w:firstLine="420"/>
        <w:jc w:val="center"/>
        <w:rPr>
          <w:rFonts w:hint="eastAsia" w:ascii="宋体" w:hAnsi="宋体" w:eastAsia="宋体" w:cs="宋体"/>
          <w:color w:val="auto"/>
          <w:sz w:val="36"/>
          <w:szCs w:val="36"/>
        </w:rPr>
      </w:pPr>
    </w:p>
    <w:p w14:paraId="47B29E10">
      <w:pPr>
        <w:pStyle w:val="38"/>
        <w:ind w:firstLine="420"/>
        <w:jc w:val="center"/>
        <w:rPr>
          <w:rFonts w:hint="eastAsia" w:ascii="宋体" w:hAnsi="宋体" w:eastAsia="宋体" w:cs="宋体"/>
          <w:color w:val="auto"/>
          <w:sz w:val="36"/>
          <w:szCs w:val="36"/>
        </w:rPr>
      </w:pPr>
    </w:p>
    <w:p w14:paraId="6B0C13D2">
      <w:pPr>
        <w:pStyle w:val="38"/>
        <w:ind w:firstLine="420"/>
        <w:jc w:val="center"/>
        <w:rPr>
          <w:rFonts w:hint="eastAsia" w:ascii="宋体" w:hAnsi="宋体" w:eastAsia="宋体" w:cs="宋体"/>
          <w:color w:val="auto"/>
          <w:sz w:val="36"/>
          <w:szCs w:val="36"/>
        </w:rPr>
      </w:pPr>
    </w:p>
    <w:p w14:paraId="5CB8ABF2">
      <w:pPr>
        <w:spacing w:line="400" w:lineRule="exact"/>
        <w:ind w:firstLine="0" w:firstLineChars="0"/>
        <w:jc w:val="center"/>
        <w:rPr>
          <w:rFonts w:hint="eastAsia" w:ascii="宋体" w:hAnsi="宋体" w:eastAsia="宋体" w:cs="宋体"/>
          <w:color w:val="auto"/>
          <w:sz w:val="36"/>
          <w:szCs w:val="36"/>
        </w:rPr>
      </w:pPr>
    </w:p>
    <w:p w14:paraId="6D6FF3FA">
      <w:pPr>
        <w:spacing w:line="480" w:lineRule="auto"/>
        <w:ind w:firstLine="360" w:firstLineChars="100"/>
        <w:jc w:val="both"/>
        <w:rPr>
          <w:rFonts w:hint="eastAsia" w:ascii="宋体" w:hAnsi="宋体" w:eastAsia="宋体" w:cs="宋体"/>
          <w:color w:val="auto"/>
          <w:sz w:val="36"/>
          <w:szCs w:val="36"/>
        </w:rPr>
      </w:pPr>
    </w:p>
    <w:p w14:paraId="7BD792B7">
      <w:pPr>
        <w:spacing w:line="480" w:lineRule="auto"/>
        <w:ind w:firstLine="360" w:firstLineChars="100"/>
        <w:jc w:val="both"/>
        <w:rPr>
          <w:rFonts w:hint="eastAsia" w:ascii="宋体" w:hAnsi="宋体" w:eastAsia="宋体" w:cs="宋体"/>
          <w:color w:val="auto"/>
          <w:sz w:val="36"/>
          <w:szCs w:val="36"/>
        </w:rPr>
      </w:pPr>
    </w:p>
    <w:p w14:paraId="0B6F8426">
      <w:pPr>
        <w:spacing w:line="480" w:lineRule="auto"/>
        <w:ind w:firstLine="360" w:firstLineChars="100"/>
        <w:jc w:val="both"/>
        <w:rPr>
          <w:rFonts w:hint="eastAsia" w:ascii="宋体" w:hAnsi="宋体" w:eastAsia="宋体" w:cs="宋体"/>
          <w:color w:val="auto"/>
          <w:sz w:val="36"/>
          <w:szCs w:val="36"/>
        </w:rPr>
      </w:pPr>
    </w:p>
    <w:p w14:paraId="3DB2D9AC">
      <w:pPr>
        <w:spacing w:line="480" w:lineRule="auto"/>
        <w:ind w:firstLine="360" w:firstLineChars="100"/>
        <w:jc w:val="both"/>
        <w:rPr>
          <w:rFonts w:hint="eastAsia" w:ascii="宋体" w:hAnsi="宋体" w:eastAsia="宋体" w:cs="宋体"/>
          <w:color w:val="auto"/>
          <w:sz w:val="36"/>
          <w:szCs w:val="36"/>
        </w:rPr>
      </w:pPr>
    </w:p>
    <w:p w14:paraId="6CECD9E3">
      <w:pPr>
        <w:spacing w:line="480" w:lineRule="auto"/>
        <w:ind w:firstLine="320" w:firstLineChars="100"/>
        <w:jc w:val="both"/>
        <w:rPr>
          <w:rFonts w:hint="eastAsia" w:ascii="宋体" w:hAnsi="宋体" w:eastAsia="宋体" w:cs="宋体"/>
          <w:color w:val="auto"/>
          <w:sz w:val="32"/>
          <w:szCs w:val="32"/>
          <w:lang w:eastAsia="zh-CN"/>
        </w:rPr>
      </w:pPr>
    </w:p>
    <w:p w14:paraId="56FC02E5">
      <w:pPr>
        <w:spacing w:line="480" w:lineRule="auto"/>
        <w:ind w:firstLine="320" w:firstLineChars="100"/>
        <w:jc w:val="both"/>
        <w:rPr>
          <w:rFonts w:hint="eastAsia" w:ascii="宋体" w:hAnsi="宋体" w:eastAsia="宋体" w:cs="宋体"/>
          <w:color w:val="auto"/>
          <w:sz w:val="32"/>
          <w:szCs w:val="32"/>
          <w:lang w:eastAsia="zh-CN"/>
        </w:rPr>
      </w:pPr>
    </w:p>
    <w:p w14:paraId="47C77812">
      <w:pPr>
        <w:spacing w:line="480" w:lineRule="auto"/>
        <w:ind w:firstLine="320" w:firstLineChars="100"/>
        <w:jc w:val="both"/>
        <w:rPr>
          <w:rFonts w:hint="eastAsia" w:ascii="宋体" w:hAnsi="宋体" w:eastAsia="宋体" w:cs="宋体"/>
          <w:color w:val="auto"/>
          <w:sz w:val="32"/>
          <w:szCs w:val="32"/>
        </w:rPr>
      </w:pPr>
      <w:r>
        <w:rPr>
          <w:rFonts w:hint="eastAsia" w:ascii="宋体" w:hAnsi="宋体" w:eastAsia="宋体" w:cs="宋体"/>
          <w:color w:val="auto"/>
          <w:sz w:val="32"/>
          <w:szCs w:val="32"/>
          <w:lang w:eastAsia="zh-CN"/>
        </w:rPr>
        <w:t>采购人</w:t>
      </w:r>
      <w:r>
        <w:rPr>
          <w:rFonts w:hint="eastAsia" w:ascii="宋体" w:hAnsi="宋体" w:eastAsia="宋体" w:cs="宋体"/>
          <w:color w:val="auto"/>
          <w:sz w:val="32"/>
          <w:szCs w:val="32"/>
        </w:rPr>
        <w:t>：</w:t>
      </w:r>
      <w:r>
        <w:rPr>
          <w:rFonts w:hint="eastAsia" w:ascii="宋体" w:hAnsi="宋体" w:eastAsia="宋体" w:cs="宋体"/>
          <w:color w:val="auto"/>
          <w:sz w:val="32"/>
          <w:szCs w:val="32"/>
          <w:u w:val="single"/>
          <w:lang w:eastAsia="zh-CN"/>
        </w:rPr>
        <w:t>蒙自市文澜中心学校</w:t>
      </w:r>
      <w:r>
        <w:rPr>
          <w:rFonts w:hint="eastAsia" w:ascii="宋体" w:hAnsi="宋体" w:eastAsia="宋体" w:cs="宋体"/>
          <w:color w:val="auto"/>
          <w:sz w:val="32"/>
          <w:szCs w:val="32"/>
        </w:rPr>
        <w:t>（盖章）</w:t>
      </w:r>
    </w:p>
    <w:p w14:paraId="4039B214">
      <w:pPr>
        <w:spacing w:line="480" w:lineRule="auto"/>
        <w:ind w:firstLine="320" w:firstLineChars="100"/>
        <w:jc w:val="both"/>
        <w:rPr>
          <w:rFonts w:hint="eastAsia" w:ascii="宋体" w:hAnsi="宋体" w:eastAsia="宋体" w:cs="宋体"/>
          <w:color w:val="auto"/>
          <w:sz w:val="32"/>
          <w:szCs w:val="32"/>
        </w:rPr>
      </w:pPr>
      <w:r>
        <w:rPr>
          <w:rFonts w:hint="eastAsia" w:ascii="宋体" w:hAnsi="宋体" w:eastAsia="宋体" w:cs="宋体"/>
          <w:color w:val="auto"/>
          <w:sz w:val="32"/>
          <w:szCs w:val="32"/>
          <w:lang w:eastAsia="zh-CN"/>
        </w:rPr>
        <w:t>招标</w:t>
      </w:r>
      <w:r>
        <w:rPr>
          <w:rFonts w:hint="eastAsia" w:ascii="宋体" w:hAnsi="宋体" w:eastAsia="宋体" w:cs="宋体"/>
          <w:color w:val="auto"/>
          <w:sz w:val="32"/>
          <w:szCs w:val="32"/>
        </w:rPr>
        <w:t>代理机构：</w:t>
      </w:r>
      <w:r>
        <w:rPr>
          <w:rFonts w:hint="eastAsia" w:ascii="宋体" w:hAnsi="宋体" w:eastAsia="宋体" w:cs="宋体"/>
          <w:color w:val="auto"/>
          <w:sz w:val="32"/>
          <w:szCs w:val="32"/>
          <w:u w:val="single"/>
          <w:lang w:eastAsia="zh-CN"/>
        </w:rPr>
        <w:t>云南恒嘉信招标代理有限公司</w:t>
      </w:r>
      <w:r>
        <w:rPr>
          <w:rFonts w:hint="eastAsia" w:ascii="宋体" w:hAnsi="宋体" w:eastAsia="宋体" w:cs="宋体"/>
          <w:color w:val="auto"/>
          <w:sz w:val="32"/>
          <w:szCs w:val="32"/>
        </w:rPr>
        <w:t>（盖章）</w:t>
      </w:r>
    </w:p>
    <w:p w14:paraId="1592A828">
      <w:pPr>
        <w:spacing w:line="480" w:lineRule="auto"/>
        <w:ind w:firstLine="320" w:firstLineChars="100"/>
        <w:jc w:val="left"/>
        <w:rPr>
          <w:rFonts w:hint="eastAsia" w:ascii="宋体" w:hAnsi="宋体" w:eastAsia="宋体" w:cs="宋体"/>
          <w:color w:val="auto"/>
          <w:sz w:val="24"/>
          <w:szCs w:val="24"/>
        </w:rPr>
        <w:sectPr>
          <w:headerReference r:id="rId7" w:type="first"/>
          <w:footerReference r:id="rId10" w:type="first"/>
          <w:headerReference r:id="rId5" w:type="default"/>
          <w:footerReference r:id="rId8" w:type="default"/>
          <w:headerReference r:id="rId6" w:type="even"/>
          <w:footerReference r:id="rId9" w:type="even"/>
          <w:pgSz w:w="11850" w:h="16783"/>
          <w:pgMar w:top="1440" w:right="1469" w:bottom="1440" w:left="1797" w:header="851" w:footer="992" w:gutter="0"/>
          <w:pgNumType w:fmt="decimal"/>
          <w:cols w:space="720" w:num="1"/>
          <w:titlePg/>
          <w:docGrid w:type="lines" w:linePitch="312" w:charSpace="0"/>
        </w:sectPr>
      </w:pPr>
      <w:r>
        <w:rPr>
          <w:rFonts w:hint="eastAsia" w:ascii="宋体" w:hAnsi="宋体" w:eastAsia="宋体" w:cs="宋体"/>
          <w:color w:val="auto"/>
          <w:sz w:val="32"/>
          <w:szCs w:val="32"/>
        </w:rPr>
        <w:t xml:space="preserve">日    期： </w:t>
      </w:r>
      <w:r>
        <w:rPr>
          <w:rFonts w:hint="eastAsia" w:ascii="宋体" w:hAnsi="宋体" w:eastAsia="宋体" w:cs="宋体"/>
          <w:color w:val="auto"/>
          <w:sz w:val="32"/>
          <w:szCs w:val="32"/>
          <w:lang w:eastAsia="zh-CN"/>
        </w:rPr>
        <w:t>二〇二六</w:t>
      </w:r>
      <w:r>
        <w:rPr>
          <w:rFonts w:hint="eastAsia" w:ascii="宋体" w:hAnsi="宋体" w:eastAsia="宋体" w:cs="宋体"/>
          <w:color w:val="auto"/>
          <w:sz w:val="32"/>
          <w:szCs w:val="32"/>
        </w:rPr>
        <w:t>年</w:t>
      </w:r>
      <w:r>
        <w:rPr>
          <w:rFonts w:hint="eastAsia" w:ascii="宋体" w:hAnsi="宋体" w:eastAsia="宋体" w:cs="宋体"/>
          <w:color w:val="auto"/>
          <w:sz w:val="32"/>
          <w:szCs w:val="32"/>
          <w:lang w:eastAsia="zh-CN"/>
        </w:rPr>
        <w:t>五</w:t>
      </w:r>
      <w:r>
        <w:rPr>
          <w:rFonts w:hint="eastAsia" w:ascii="宋体" w:hAnsi="宋体" w:eastAsia="宋体" w:cs="宋体"/>
          <w:color w:val="auto"/>
          <w:sz w:val="32"/>
          <w:szCs w:val="32"/>
        </w:rPr>
        <w:t>月</w:t>
      </w:r>
    </w:p>
    <w:p w14:paraId="1403467B">
      <w:pPr>
        <w:ind w:left="420" w:firstLine="0" w:firstLineChars="0"/>
        <w:rPr>
          <w:rFonts w:hint="eastAsia" w:ascii="宋体" w:hAnsi="宋体" w:eastAsia="宋体" w:cs="宋体"/>
          <w:color w:val="auto"/>
          <w:sz w:val="24"/>
          <w:szCs w:val="24"/>
        </w:rPr>
      </w:pPr>
    </w:p>
    <w:p w14:paraId="7986F002">
      <w:pPr>
        <w:spacing w:line="480" w:lineRule="auto"/>
        <w:ind w:firstLineChars="100"/>
        <w:jc w:val="center"/>
        <w:rPr>
          <w:rFonts w:hint="eastAsia" w:ascii="宋体" w:hAnsi="宋体" w:eastAsia="宋体" w:cs="宋体"/>
          <w:b/>
          <w:color w:val="auto"/>
          <w:sz w:val="24"/>
          <w:szCs w:val="24"/>
        </w:rPr>
      </w:pPr>
      <w:bookmarkStart w:id="0" w:name="_Toc464581030"/>
      <w:r>
        <w:rPr>
          <w:rFonts w:hint="eastAsia" w:ascii="宋体" w:hAnsi="宋体" w:eastAsia="宋体" w:cs="宋体"/>
          <w:b/>
          <w:color w:val="auto"/>
          <w:sz w:val="24"/>
          <w:szCs w:val="24"/>
        </w:rPr>
        <w:t>目     录</w:t>
      </w:r>
      <w:bookmarkEnd w:id="0"/>
    </w:p>
    <w:p w14:paraId="643FE0D3">
      <w:pPr>
        <w:pStyle w:val="18"/>
        <w:tabs>
          <w:tab w:val="right" w:leader="dot" w:pos="8584"/>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TOC \o "1-2" \h \z \u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_Toc15723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第一章 </w:t>
      </w:r>
      <w:r>
        <w:rPr>
          <w:rFonts w:hint="eastAsia" w:ascii="宋体" w:hAnsi="宋体" w:cs="宋体"/>
          <w:sz w:val="24"/>
          <w:szCs w:val="24"/>
          <w:lang w:val="en-US" w:eastAsia="zh-CN"/>
        </w:rPr>
        <w:t>蒙自市文澜中心学校采购保安服务（三次）</w:t>
      </w:r>
      <w:r>
        <w:rPr>
          <w:rFonts w:hint="eastAsia" w:ascii="宋体" w:hAnsi="宋体" w:eastAsia="宋体" w:cs="宋体"/>
          <w:bCs/>
          <w:sz w:val="24"/>
          <w:szCs w:val="24"/>
          <w:lang w:val="en-US" w:eastAsia="zh-CN"/>
        </w:rPr>
        <w:t>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_Toc15723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22C49177">
      <w:pPr>
        <w:pStyle w:val="18"/>
        <w:tabs>
          <w:tab w:val="right" w:leader="dot" w:pos="8584"/>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_Toc16617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第二章 </w:t>
      </w:r>
      <w:r>
        <w:rPr>
          <w:rFonts w:hint="eastAsia" w:ascii="宋体" w:hAnsi="宋体" w:eastAsia="宋体" w:cs="宋体"/>
          <w:sz w:val="24"/>
          <w:szCs w:val="24"/>
          <w:lang w:eastAsia="zh-CN"/>
        </w:rPr>
        <w:t>磋商申请人</w:t>
      </w:r>
      <w:r>
        <w:rPr>
          <w:rFonts w:hint="eastAsia" w:ascii="宋体" w:hAnsi="宋体" w:eastAsia="宋体" w:cs="宋体"/>
          <w:sz w:val="24"/>
          <w:szCs w:val="24"/>
        </w:rPr>
        <w:t>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_Toc16617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7135C089">
      <w:pPr>
        <w:pStyle w:val="20"/>
        <w:tabs>
          <w:tab w:val="right" w:leader="dot" w:pos="8584"/>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_Toc8270 </w:instrText>
      </w:r>
      <w:r>
        <w:rPr>
          <w:rFonts w:hint="eastAsia" w:ascii="宋体" w:hAnsi="宋体" w:eastAsia="宋体" w:cs="宋体"/>
          <w:sz w:val="24"/>
          <w:szCs w:val="24"/>
        </w:rPr>
        <w:fldChar w:fldCharType="separate"/>
      </w:r>
      <w:r>
        <w:rPr>
          <w:rFonts w:hint="eastAsia" w:ascii="宋体" w:hAnsi="宋体" w:eastAsia="宋体" w:cs="宋体"/>
          <w:sz w:val="24"/>
          <w:szCs w:val="24"/>
        </w:rPr>
        <w:t>1. 总 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_Toc8270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7D8C44B2">
      <w:pPr>
        <w:pStyle w:val="20"/>
        <w:tabs>
          <w:tab w:val="right" w:leader="dot" w:pos="8584"/>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_Toc28854 </w:instrText>
      </w:r>
      <w:r>
        <w:rPr>
          <w:rFonts w:hint="eastAsia" w:ascii="宋体" w:hAnsi="宋体" w:eastAsia="宋体" w:cs="宋体"/>
          <w:sz w:val="24"/>
          <w:szCs w:val="24"/>
        </w:rPr>
        <w:fldChar w:fldCharType="separate"/>
      </w:r>
      <w:r>
        <w:rPr>
          <w:rFonts w:hint="eastAsia" w:ascii="宋体" w:hAnsi="宋体" w:eastAsia="宋体" w:cs="宋体"/>
          <w:sz w:val="24"/>
          <w:szCs w:val="24"/>
        </w:rPr>
        <w:t>2. 竞争性磋商文件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_Toc28854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08667A3C">
      <w:pPr>
        <w:pStyle w:val="20"/>
        <w:tabs>
          <w:tab w:val="right" w:leader="dot" w:pos="8584"/>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_Toc28452 </w:instrText>
      </w:r>
      <w:r>
        <w:rPr>
          <w:rFonts w:hint="eastAsia" w:ascii="宋体" w:hAnsi="宋体" w:eastAsia="宋体" w:cs="宋体"/>
          <w:sz w:val="24"/>
          <w:szCs w:val="24"/>
        </w:rPr>
        <w:fldChar w:fldCharType="separate"/>
      </w:r>
      <w:r>
        <w:rPr>
          <w:rFonts w:hint="eastAsia" w:ascii="宋体" w:hAnsi="宋体" w:eastAsia="宋体" w:cs="宋体"/>
          <w:sz w:val="24"/>
          <w:szCs w:val="24"/>
        </w:rPr>
        <w:t>3. 磋商响应文件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_Toc28452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6E52747E">
      <w:pPr>
        <w:pStyle w:val="20"/>
        <w:tabs>
          <w:tab w:val="right" w:leader="dot" w:pos="8584"/>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_Toc12947 </w:instrText>
      </w:r>
      <w:r>
        <w:rPr>
          <w:rFonts w:hint="eastAsia" w:ascii="宋体" w:hAnsi="宋体" w:eastAsia="宋体" w:cs="宋体"/>
          <w:sz w:val="24"/>
          <w:szCs w:val="24"/>
        </w:rPr>
        <w:fldChar w:fldCharType="separate"/>
      </w:r>
      <w:r>
        <w:rPr>
          <w:rFonts w:hint="eastAsia" w:ascii="宋体" w:hAnsi="宋体" w:eastAsia="宋体" w:cs="宋体"/>
          <w:sz w:val="24"/>
          <w:szCs w:val="24"/>
        </w:rPr>
        <w:t>4. 磋商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_Toc12947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0E8C9791">
      <w:pPr>
        <w:pStyle w:val="20"/>
        <w:tabs>
          <w:tab w:val="right" w:leader="dot" w:pos="8584"/>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_Toc17164 </w:instrText>
      </w:r>
      <w:r>
        <w:rPr>
          <w:rFonts w:hint="eastAsia" w:ascii="宋体" w:hAnsi="宋体" w:eastAsia="宋体" w:cs="宋体"/>
          <w:sz w:val="24"/>
          <w:szCs w:val="24"/>
        </w:rPr>
        <w:fldChar w:fldCharType="separate"/>
      </w:r>
      <w:r>
        <w:rPr>
          <w:rFonts w:hint="eastAsia" w:ascii="宋体" w:hAnsi="宋体" w:eastAsia="宋体" w:cs="宋体"/>
          <w:sz w:val="24"/>
          <w:szCs w:val="24"/>
        </w:rPr>
        <w:t>5. 解锁磋商相应文件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_Toc17164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37136C07">
      <w:pPr>
        <w:pStyle w:val="20"/>
        <w:tabs>
          <w:tab w:val="right" w:leader="dot" w:pos="8584"/>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_Toc31876 </w:instrText>
      </w:r>
      <w:r>
        <w:rPr>
          <w:rFonts w:hint="eastAsia" w:ascii="宋体" w:hAnsi="宋体" w:eastAsia="宋体" w:cs="宋体"/>
          <w:sz w:val="24"/>
          <w:szCs w:val="24"/>
        </w:rPr>
        <w:fldChar w:fldCharType="separate"/>
      </w:r>
      <w:r>
        <w:rPr>
          <w:rFonts w:hint="eastAsia" w:ascii="宋体" w:hAnsi="宋体" w:eastAsia="宋体" w:cs="宋体"/>
          <w:sz w:val="24"/>
          <w:szCs w:val="24"/>
        </w:rPr>
        <w:t>6. 评 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_Toc31876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0189CE9F">
      <w:pPr>
        <w:pStyle w:val="20"/>
        <w:tabs>
          <w:tab w:val="right" w:leader="dot" w:pos="8584"/>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_Toc24040 </w:instrText>
      </w:r>
      <w:r>
        <w:rPr>
          <w:rFonts w:hint="eastAsia" w:ascii="宋体" w:hAnsi="宋体" w:eastAsia="宋体" w:cs="宋体"/>
          <w:sz w:val="24"/>
          <w:szCs w:val="24"/>
        </w:rPr>
        <w:fldChar w:fldCharType="separate"/>
      </w:r>
      <w:r>
        <w:rPr>
          <w:rFonts w:hint="eastAsia" w:ascii="宋体" w:hAnsi="宋体" w:eastAsia="宋体" w:cs="宋体"/>
          <w:sz w:val="24"/>
          <w:szCs w:val="24"/>
        </w:rPr>
        <w:t>7. 合同授予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_Toc24040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38B9111B">
      <w:pPr>
        <w:pStyle w:val="20"/>
        <w:tabs>
          <w:tab w:val="right" w:leader="dot" w:pos="8584"/>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_Toc25859 </w:instrText>
      </w:r>
      <w:r>
        <w:rPr>
          <w:rFonts w:hint="eastAsia" w:ascii="宋体" w:hAnsi="宋体" w:eastAsia="宋体" w:cs="宋体"/>
          <w:sz w:val="24"/>
          <w:szCs w:val="24"/>
        </w:rPr>
        <w:fldChar w:fldCharType="separate"/>
      </w:r>
      <w:r>
        <w:rPr>
          <w:rFonts w:hint="eastAsia" w:ascii="宋体" w:hAnsi="宋体" w:eastAsia="宋体" w:cs="宋体"/>
          <w:sz w:val="24"/>
          <w:szCs w:val="24"/>
        </w:rPr>
        <w:t>8. 重新竞争性磋商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_Toc25859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6FF40953">
      <w:pPr>
        <w:pStyle w:val="20"/>
        <w:tabs>
          <w:tab w:val="right" w:leader="dot" w:pos="8584"/>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_Toc4044 </w:instrText>
      </w:r>
      <w:r>
        <w:rPr>
          <w:rFonts w:hint="eastAsia" w:ascii="宋体" w:hAnsi="宋体" w:eastAsia="宋体" w:cs="宋体"/>
          <w:sz w:val="24"/>
          <w:szCs w:val="24"/>
        </w:rPr>
        <w:fldChar w:fldCharType="separate"/>
      </w:r>
      <w:r>
        <w:rPr>
          <w:rFonts w:hint="eastAsia" w:ascii="宋体" w:hAnsi="宋体" w:eastAsia="宋体" w:cs="宋体"/>
          <w:sz w:val="24"/>
          <w:szCs w:val="24"/>
        </w:rPr>
        <w:t>9. 纪律和监督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_Toc4044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48093384">
      <w:pPr>
        <w:pStyle w:val="20"/>
        <w:tabs>
          <w:tab w:val="right" w:leader="dot" w:pos="8584"/>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_Toc18775 </w:instrText>
      </w:r>
      <w:r>
        <w:rPr>
          <w:rFonts w:hint="eastAsia" w:ascii="宋体" w:hAnsi="宋体" w:eastAsia="宋体" w:cs="宋体"/>
          <w:sz w:val="24"/>
          <w:szCs w:val="24"/>
        </w:rPr>
        <w:fldChar w:fldCharType="separate"/>
      </w:r>
      <w:r>
        <w:rPr>
          <w:rFonts w:hint="eastAsia" w:ascii="宋体" w:hAnsi="宋体" w:eastAsia="宋体" w:cs="宋体"/>
          <w:sz w:val="24"/>
          <w:szCs w:val="24"/>
        </w:rPr>
        <w:t>10. 是否采用电子竞争性磋商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_Toc18775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5BF308CC">
      <w:pPr>
        <w:pStyle w:val="20"/>
        <w:tabs>
          <w:tab w:val="right" w:leader="dot" w:pos="8584"/>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_Toc16499 </w:instrText>
      </w:r>
      <w:r>
        <w:rPr>
          <w:rFonts w:hint="eastAsia" w:ascii="宋体" w:hAnsi="宋体" w:eastAsia="宋体" w:cs="宋体"/>
          <w:sz w:val="24"/>
          <w:szCs w:val="24"/>
        </w:rPr>
        <w:fldChar w:fldCharType="separate"/>
      </w:r>
      <w:r>
        <w:rPr>
          <w:rFonts w:hint="eastAsia" w:ascii="宋体" w:hAnsi="宋体" w:eastAsia="宋体" w:cs="宋体"/>
          <w:sz w:val="24"/>
          <w:szCs w:val="24"/>
        </w:rPr>
        <w:t>11. 需要补充的其他内容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_Toc16499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3DDAA9AA">
      <w:pPr>
        <w:pStyle w:val="18"/>
        <w:tabs>
          <w:tab w:val="right" w:leader="dot" w:pos="8584"/>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_Toc15249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评审办法（综合评分法）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_Toc15249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0EC8F069">
      <w:pPr>
        <w:pStyle w:val="18"/>
        <w:tabs>
          <w:tab w:val="right" w:leader="dot" w:pos="8584"/>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_Toc1488 </w:instrText>
      </w:r>
      <w:r>
        <w:rPr>
          <w:rFonts w:hint="eastAsia" w:ascii="宋体" w:hAnsi="宋体" w:eastAsia="宋体" w:cs="宋体"/>
          <w:sz w:val="24"/>
          <w:szCs w:val="24"/>
        </w:rPr>
        <w:fldChar w:fldCharType="separate"/>
      </w:r>
      <w:r>
        <w:rPr>
          <w:rFonts w:hint="eastAsia" w:ascii="宋体" w:hAnsi="宋体" w:eastAsia="宋体" w:cs="宋体"/>
          <w:bCs/>
          <w:sz w:val="24"/>
          <w:szCs w:val="24"/>
        </w:rPr>
        <w:t>评审办法前附表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_Toc1488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6766B92B">
      <w:pPr>
        <w:pStyle w:val="20"/>
        <w:tabs>
          <w:tab w:val="right" w:leader="dot" w:pos="8584"/>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_Toc7547 </w:instrText>
      </w:r>
      <w:r>
        <w:rPr>
          <w:rFonts w:hint="eastAsia" w:ascii="宋体" w:hAnsi="宋体" w:eastAsia="宋体" w:cs="宋体"/>
          <w:sz w:val="24"/>
          <w:szCs w:val="24"/>
        </w:rPr>
        <w:fldChar w:fldCharType="separate"/>
      </w:r>
      <w:r>
        <w:rPr>
          <w:rFonts w:hint="eastAsia" w:ascii="宋体" w:hAnsi="宋体" w:eastAsia="宋体" w:cs="宋体"/>
          <w:bCs/>
          <w:sz w:val="24"/>
          <w:szCs w:val="24"/>
        </w:rPr>
        <w:t>1. 评审办法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_Toc7547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3F0B1508">
      <w:pPr>
        <w:pStyle w:val="20"/>
        <w:tabs>
          <w:tab w:val="right" w:leader="dot" w:pos="8584"/>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_Toc14262 </w:instrText>
      </w:r>
      <w:r>
        <w:rPr>
          <w:rFonts w:hint="eastAsia" w:ascii="宋体" w:hAnsi="宋体" w:eastAsia="宋体" w:cs="宋体"/>
          <w:sz w:val="24"/>
          <w:szCs w:val="24"/>
        </w:rPr>
        <w:fldChar w:fldCharType="separate"/>
      </w:r>
      <w:r>
        <w:rPr>
          <w:rFonts w:hint="eastAsia" w:ascii="宋体" w:hAnsi="宋体" w:eastAsia="宋体" w:cs="宋体"/>
          <w:sz w:val="24"/>
          <w:szCs w:val="24"/>
        </w:rPr>
        <w:t>2. 评审标准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_Toc14262 \h </w:instrText>
      </w:r>
      <w:r>
        <w:rPr>
          <w:rFonts w:hint="eastAsia" w:ascii="宋体" w:hAnsi="宋体" w:eastAsia="宋体" w:cs="宋体"/>
          <w:sz w:val="24"/>
          <w:szCs w:val="24"/>
        </w:rPr>
        <w:fldChar w:fldCharType="separate"/>
      </w:r>
      <w:r>
        <w:rPr>
          <w:rFonts w:hint="eastAsia" w:ascii="宋体" w:hAnsi="宋体" w:eastAsia="宋体" w:cs="宋体"/>
          <w:sz w:val="24"/>
          <w:szCs w:val="24"/>
        </w:rPr>
        <w:t>27</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6A9C6CC5">
      <w:pPr>
        <w:pStyle w:val="20"/>
        <w:tabs>
          <w:tab w:val="right" w:leader="dot" w:pos="8584"/>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_Toc14335 </w:instrText>
      </w:r>
      <w:r>
        <w:rPr>
          <w:rFonts w:hint="eastAsia" w:ascii="宋体" w:hAnsi="宋体" w:eastAsia="宋体" w:cs="宋体"/>
          <w:sz w:val="24"/>
          <w:szCs w:val="24"/>
        </w:rPr>
        <w:fldChar w:fldCharType="separate"/>
      </w:r>
      <w:r>
        <w:rPr>
          <w:rFonts w:hint="eastAsia" w:ascii="宋体" w:hAnsi="宋体" w:eastAsia="宋体" w:cs="宋体"/>
          <w:sz w:val="24"/>
          <w:szCs w:val="24"/>
        </w:rPr>
        <w:t>3. 评审程序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_Toc14335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4E045DB1">
      <w:pPr>
        <w:pStyle w:val="20"/>
        <w:tabs>
          <w:tab w:val="right" w:leader="dot" w:pos="8584"/>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_Toc12839 </w:instrText>
      </w:r>
      <w:r>
        <w:rPr>
          <w:rFonts w:hint="eastAsia" w:ascii="宋体" w:hAnsi="宋体" w:eastAsia="宋体" w:cs="宋体"/>
          <w:sz w:val="24"/>
          <w:szCs w:val="24"/>
        </w:rPr>
        <w:fldChar w:fldCharType="separate"/>
      </w:r>
      <w:r>
        <w:rPr>
          <w:rFonts w:hint="eastAsia" w:ascii="宋体" w:hAnsi="宋体" w:eastAsia="宋体" w:cs="宋体"/>
          <w:sz w:val="24"/>
          <w:szCs w:val="24"/>
        </w:rPr>
        <w:t>4. 磋商响应文件的澄清</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_Toc12839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160A445F">
      <w:pPr>
        <w:pStyle w:val="20"/>
        <w:tabs>
          <w:tab w:val="right" w:leader="dot" w:pos="8584"/>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_Toc23251 </w:instrText>
      </w:r>
      <w:r>
        <w:rPr>
          <w:rFonts w:hint="eastAsia" w:ascii="宋体" w:hAnsi="宋体" w:eastAsia="宋体" w:cs="宋体"/>
          <w:sz w:val="24"/>
          <w:szCs w:val="24"/>
        </w:rPr>
        <w:fldChar w:fldCharType="separate"/>
      </w:r>
      <w:r>
        <w:rPr>
          <w:rFonts w:hint="eastAsia" w:ascii="宋体" w:hAnsi="宋体" w:eastAsia="宋体" w:cs="宋体"/>
          <w:sz w:val="24"/>
          <w:szCs w:val="24"/>
        </w:rPr>
        <w:t>5. 评审结果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_Toc23251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0AED901B">
      <w:pPr>
        <w:pStyle w:val="18"/>
        <w:tabs>
          <w:tab w:val="right" w:leader="dot" w:pos="8584"/>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_Toc17111 </w:instrText>
      </w:r>
      <w:r>
        <w:rPr>
          <w:rFonts w:hint="eastAsia" w:ascii="宋体" w:hAnsi="宋体" w:eastAsia="宋体" w:cs="宋体"/>
          <w:sz w:val="24"/>
          <w:szCs w:val="24"/>
        </w:rPr>
        <w:fldChar w:fldCharType="separate"/>
      </w:r>
      <w:r>
        <w:rPr>
          <w:rFonts w:hint="eastAsia" w:ascii="宋体" w:hAnsi="宋体" w:eastAsia="宋体" w:cs="宋体"/>
          <w:sz w:val="24"/>
          <w:szCs w:val="24"/>
        </w:rPr>
        <w:t>第四章 竞争性磋商响应文件格式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_Toc17111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2195ED62">
      <w:pPr>
        <w:pStyle w:val="20"/>
        <w:tabs>
          <w:tab w:val="right" w:leader="dot" w:pos="8584"/>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_Toc11879 </w:instrText>
      </w:r>
      <w:r>
        <w:rPr>
          <w:rFonts w:hint="eastAsia" w:ascii="宋体" w:hAnsi="宋体" w:eastAsia="宋体" w:cs="宋体"/>
          <w:sz w:val="24"/>
          <w:szCs w:val="24"/>
        </w:rPr>
        <w:fldChar w:fldCharType="separate"/>
      </w:r>
      <w:r>
        <w:rPr>
          <w:rFonts w:hint="eastAsia" w:ascii="宋体" w:hAnsi="宋体" w:eastAsia="宋体" w:cs="宋体"/>
          <w:sz w:val="24"/>
          <w:szCs w:val="24"/>
        </w:rPr>
        <w:t>二、磋商函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_Toc11879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541A021D">
      <w:pPr>
        <w:pStyle w:val="20"/>
        <w:tabs>
          <w:tab w:val="right" w:leader="dot" w:pos="8584"/>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_Toc25554 </w:instrText>
      </w:r>
      <w:r>
        <w:rPr>
          <w:rFonts w:hint="eastAsia" w:ascii="宋体" w:hAnsi="宋体" w:eastAsia="宋体" w:cs="宋体"/>
          <w:sz w:val="24"/>
          <w:szCs w:val="24"/>
        </w:rPr>
        <w:fldChar w:fldCharType="separate"/>
      </w:r>
      <w:r>
        <w:rPr>
          <w:rFonts w:hint="eastAsia" w:ascii="宋体" w:hAnsi="宋体" w:eastAsia="宋体" w:cs="宋体"/>
          <w:sz w:val="24"/>
          <w:szCs w:val="24"/>
        </w:rPr>
        <w:t>三、法定代表人身份证明书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_Toc25554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14B98AFC">
      <w:pPr>
        <w:pStyle w:val="20"/>
        <w:tabs>
          <w:tab w:val="right" w:leader="dot" w:pos="8584"/>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_Toc29293 </w:instrText>
      </w:r>
      <w:r>
        <w:rPr>
          <w:rFonts w:hint="eastAsia" w:ascii="宋体" w:hAnsi="宋体" w:eastAsia="宋体" w:cs="宋体"/>
          <w:sz w:val="24"/>
          <w:szCs w:val="24"/>
        </w:rPr>
        <w:fldChar w:fldCharType="separate"/>
      </w:r>
      <w:r>
        <w:rPr>
          <w:rFonts w:hint="eastAsia" w:ascii="宋体" w:hAnsi="宋体" w:eastAsia="宋体" w:cs="宋体"/>
          <w:bCs/>
          <w:sz w:val="24"/>
          <w:szCs w:val="24"/>
        </w:rPr>
        <w:t>四、法定代表人授权委托书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_Toc29293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28299D3F">
      <w:pPr>
        <w:pStyle w:val="20"/>
        <w:tabs>
          <w:tab w:val="right" w:leader="dot" w:pos="8584"/>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_Toc13432 </w:instrText>
      </w:r>
      <w:r>
        <w:rPr>
          <w:rFonts w:hint="eastAsia" w:ascii="宋体" w:hAnsi="宋体" w:eastAsia="宋体" w:cs="宋体"/>
          <w:sz w:val="24"/>
          <w:szCs w:val="24"/>
        </w:rPr>
        <w:fldChar w:fldCharType="separate"/>
      </w:r>
      <w:r>
        <w:rPr>
          <w:rFonts w:hint="eastAsia" w:ascii="宋体" w:hAnsi="宋体" w:eastAsia="宋体" w:cs="宋体"/>
          <w:sz w:val="24"/>
          <w:szCs w:val="24"/>
        </w:rPr>
        <w:t>五、资格审查资料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_Toc13432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71072FDB">
      <w:pPr>
        <w:pStyle w:val="20"/>
        <w:tabs>
          <w:tab w:val="right" w:leader="dot" w:pos="8584"/>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_Toc30065 </w:instrText>
      </w:r>
      <w:r>
        <w:rPr>
          <w:rFonts w:hint="eastAsia" w:ascii="宋体" w:hAnsi="宋体" w:eastAsia="宋体" w:cs="宋体"/>
          <w:sz w:val="24"/>
          <w:szCs w:val="24"/>
        </w:rPr>
        <w:fldChar w:fldCharType="separate"/>
      </w:r>
      <w:r>
        <w:rPr>
          <w:rFonts w:hint="eastAsia" w:ascii="宋体" w:hAnsi="宋体" w:eastAsia="宋体" w:cs="宋体"/>
          <w:sz w:val="24"/>
          <w:szCs w:val="24"/>
        </w:rPr>
        <w:t>六、技术方案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_Toc30065 \h </w:instrText>
      </w:r>
      <w:r>
        <w:rPr>
          <w:rFonts w:hint="eastAsia" w:ascii="宋体" w:hAnsi="宋体" w:eastAsia="宋体" w:cs="宋体"/>
          <w:sz w:val="24"/>
          <w:szCs w:val="24"/>
        </w:rPr>
        <w:fldChar w:fldCharType="separate"/>
      </w:r>
      <w:r>
        <w:rPr>
          <w:rFonts w:hint="eastAsia" w:ascii="宋体" w:hAnsi="宋体" w:eastAsia="宋体" w:cs="宋体"/>
          <w:sz w:val="24"/>
          <w:szCs w:val="24"/>
        </w:rPr>
        <w:t>43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2F0B6D6C">
      <w:pPr>
        <w:pStyle w:val="20"/>
        <w:tabs>
          <w:tab w:val="right" w:leader="dot" w:pos="8584"/>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_Toc27430 </w:instrText>
      </w:r>
      <w:r>
        <w:rPr>
          <w:rFonts w:hint="eastAsia" w:ascii="宋体" w:hAnsi="宋体" w:eastAsia="宋体" w:cs="宋体"/>
          <w:sz w:val="24"/>
          <w:szCs w:val="24"/>
        </w:rPr>
        <w:fldChar w:fldCharType="separate"/>
      </w:r>
      <w:r>
        <w:rPr>
          <w:rFonts w:hint="eastAsia" w:ascii="宋体" w:hAnsi="宋体" w:eastAsia="宋体" w:cs="宋体"/>
          <w:sz w:val="24"/>
          <w:szCs w:val="24"/>
        </w:rPr>
        <w:t>七、拟投入本项目参加本项目主要管理、服务人员一览表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_Toc27430 \h </w:instrText>
      </w:r>
      <w:r>
        <w:rPr>
          <w:rFonts w:hint="eastAsia" w:ascii="宋体" w:hAnsi="宋体" w:eastAsia="宋体" w:cs="宋体"/>
          <w:sz w:val="24"/>
          <w:szCs w:val="24"/>
        </w:rPr>
        <w:fldChar w:fldCharType="separate"/>
      </w:r>
      <w:r>
        <w:rPr>
          <w:rFonts w:hint="eastAsia" w:ascii="宋体" w:hAnsi="宋体" w:eastAsia="宋体" w:cs="宋体"/>
          <w:sz w:val="24"/>
          <w:szCs w:val="24"/>
        </w:rPr>
        <w:t>44</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0DEEE59C">
      <w:pPr>
        <w:pStyle w:val="20"/>
        <w:tabs>
          <w:tab w:val="right" w:leader="dot" w:pos="8584"/>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_Toc13913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九</w:t>
      </w:r>
      <w:r>
        <w:rPr>
          <w:rFonts w:hint="eastAsia" w:ascii="宋体" w:hAnsi="宋体" w:eastAsia="宋体" w:cs="宋体"/>
          <w:sz w:val="24"/>
          <w:szCs w:val="24"/>
        </w:rPr>
        <w:t>、中小企业声明函（潜在供应商为中小企业时适用）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_Toc13913 \h </w:instrText>
      </w:r>
      <w:r>
        <w:rPr>
          <w:rFonts w:hint="eastAsia" w:ascii="宋体" w:hAnsi="宋体" w:eastAsia="宋体" w:cs="宋体"/>
          <w:sz w:val="24"/>
          <w:szCs w:val="24"/>
        </w:rPr>
        <w:fldChar w:fldCharType="separate"/>
      </w:r>
      <w:r>
        <w:rPr>
          <w:rFonts w:hint="eastAsia" w:ascii="宋体" w:hAnsi="宋体" w:eastAsia="宋体" w:cs="宋体"/>
          <w:sz w:val="24"/>
          <w:szCs w:val="24"/>
        </w:rPr>
        <w:t>46</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6A1870C6">
      <w:pPr>
        <w:pStyle w:val="20"/>
        <w:tabs>
          <w:tab w:val="right" w:leader="dot" w:pos="8584"/>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_Toc3388 </w:instrText>
      </w:r>
      <w:r>
        <w:rPr>
          <w:rFonts w:hint="eastAsia" w:ascii="宋体" w:hAnsi="宋体" w:eastAsia="宋体" w:cs="宋体"/>
          <w:sz w:val="24"/>
          <w:szCs w:val="24"/>
        </w:rPr>
        <w:fldChar w:fldCharType="separate"/>
      </w:r>
      <w:r>
        <w:rPr>
          <w:rFonts w:hint="eastAsia" w:ascii="宋体" w:hAnsi="宋体" w:eastAsia="宋体" w:cs="宋体"/>
          <w:sz w:val="24"/>
          <w:szCs w:val="24"/>
        </w:rPr>
        <w:t>十、残疾人福利性单位声明函（潜在供应商为残疾人福利性单位时适用）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_Toc3388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10D5AD86">
      <w:pPr>
        <w:pStyle w:val="20"/>
        <w:tabs>
          <w:tab w:val="right" w:leader="dot" w:pos="8584"/>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_Toc26313 </w:instrText>
      </w:r>
      <w:r>
        <w:rPr>
          <w:rFonts w:hint="eastAsia" w:ascii="宋体" w:hAnsi="宋体" w:eastAsia="宋体" w:cs="宋体"/>
          <w:sz w:val="24"/>
          <w:szCs w:val="24"/>
        </w:rPr>
        <w:fldChar w:fldCharType="separate"/>
      </w:r>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、潜在供应商认为应提交的其他资料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_Toc26313 \h </w:instrText>
      </w:r>
      <w:r>
        <w:rPr>
          <w:rFonts w:hint="eastAsia" w:ascii="宋体" w:hAnsi="宋体" w:eastAsia="宋体" w:cs="宋体"/>
          <w:sz w:val="24"/>
          <w:szCs w:val="24"/>
        </w:rPr>
        <w:fldChar w:fldCharType="separate"/>
      </w:r>
      <w:r>
        <w:rPr>
          <w:rFonts w:hint="eastAsia" w:ascii="宋体" w:hAnsi="宋体" w:eastAsia="宋体" w:cs="宋体"/>
          <w:sz w:val="24"/>
          <w:szCs w:val="24"/>
        </w:rPr>
        <w:t>48</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18643FC9">
      <w:pPr>
        <w:pStyle w:val="18"/>
        <w:tabs>
          <w:tab w:val="right" w:leader="dot" w:pos="8584"/>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_Toc26737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w:t>
      </w:r>
      <w:r>
        <w:rPr>
          <w:rFonts w:hint="eastAsia" w:ascii="宋体" w:hAnsi="宋体" w:eastAsia="宋体" w:cs="宋体"/>
          <w:sz w:val="24"/>
          <w:szCs w:val="24"/>
        </w:rPr>
        <w:t>五章 合同条款及格式</w:t>
      </w:r>
      <w:r>
        <w:rPr>
          <w:rFonts w:hint="eastAsia" w:ascii="宋体" w:hAnsi="宋体" w:eastAsia="宋体" w:cs="宋体"/>
          <w:sz w:val="24"/>
          <w:szCs w:val="24"/>
          <w:lang w:eastAsia="zh-CN"/>
        </w:rPr>
        <w:t>（参考）</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_Toc26737 \h </w:instrText>
      </w:r>
      <w:r>
        <w:rPr>
          <w:rFonts w:hint="eastAsia" w:ascii="宋体" w:hAnsi="宋体" w:eastAsia="宋体" w:cs="宋体"/>
          <w:sz w:val="24"/>
          <w:szCs w:val="24"/>
        </w:rPr>
        <w:fldChar w:fldCharType="separate"/>
      </w:r>
      <w:r>
        <w:rPr>
          <w:rFonts w:hint="eastAsia" w:ascii="宋体" w:hAnsi="宋体" w:eastAsia="宋体" w:cs="宋体"/>
          <w:sz w:val="24"/>
          <w:szCs w:val="24"/>
        </w:rPr>
        <w:t>50</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2F6F2171">
      <w:pPr>
        <w:pStyle w:val="18"/>
        <w:tabs>
          <w:tab w:val="right" w:leader="dot" w:pos="8584"/>
        </w:tabs>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_Toc32188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第六章   </w:t>
      </w:r>
      <w:r>
        <w:rPr>
          <w:rFonts w:hint="eastAsia" w:ascii="宋体" w:hAnsi="宋体" w:eastAsia="宋体" w:cs="宋体"/>
          <w:sz w:val="24"/>
          <w:szCs w:val="24"/>
          <w:lang w:eastAsia="zh-CN"/>
        </w:rPr>
        <w:t>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_Toc32188 \h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14:paraId="10ECE64F">
      <w:pPr>
        <w:spacing w:line="480" w:lineRule="auto"/>
        <w:ind w:left="420" w:firstLine="240" w:firstLineChars="100"/>
        <w:jc w:val="left"/>
        <w:rPr>
          <w:rFonts w:hint="eastAsia" w:ascii="宋体" w:hAnsi="宋体" w:eastAsia="宋体" w:cs="宋体"/>
          <w:color w:val="auto"/>
          <w:sz w:val="24"/>
          <w:szCs w:val="24"/>
        </w:rPr>
        <w:sectPr>
          <w:footerReference r:id="rId12" w:type="first"/>
          <w:footerReference r:id="rId11" w:type="default"/>
          <w:pgSz w:w="11850" w:h="16783"/>
          <w:pgMar w:top="1440" w:right="1469" w:bottom="1440" w:left="1797" w:header="851" w:footer="992" w:gutter="0"/>
          <w:pgNumType w:fmt="decimal"/>
          <w:cols w:space="720" w:num="1"/>
          <w:titlePg/>
          <w:docGrid w:type="lines" w:linePitch="312" w:charSpace="0"/>
        </w:sectPr>
      </w:pPr>
      <w:r>
        <w:rPr>
          <w:rFonts w:hint="eastAsia" w:ascii="宋体" w:hAnsi="宋体" w:eastAsia="宋体" w:cs="宋体"/>
          <w:color w:val="auto"/>
          <w:sz w:val="24"/>
          <w:szCs w:val="24"/>
        </w:rPr>
        <w:fldChar w:fldCharType="end"/>
      </w:r>
    </w:p>
    <w:p w14:paraId="6A921D4A">
      <w:pPr>
        <w:pStyle w:val="2"/>
        <w:bidi w:val="0"/>
        <w:jc w:val="center"/>
        <w:rPr>
          <w:rFonts w:hint="eastAsia" w:ascii="宋体" w:hAnsi="宋体" w:eastAsia="宋体" w:cs="宋体"/>
          <w:b/>
          <w:bCs/>
          <w:color w:val="auto"/>
          <w:sz w:val="24"/>
          <w:szCs w:val="24"/>
          <w:lang w:val="en-US"/>
        </w:rPr>
      </w:pPr>
      <w:bookmarkStart w:id="1" w:name="_Toc15723"/>
      <w:r>
        <w:rPr>
          <w:rFonts w:hint="eastAsia" w:ascii="宋体" w:hAnsi="宋体" w:eastAsia="宋体" w:cs="宋体"/>
          <w:color w:val="auto"/>
          <w:sz w:val="24"/>
          <w:szCs w:val="24"/>
          <w:lang w:val="en-US" w:eastAsia="zh-CN"/>
        </w:rPr>
        <w:t xml:space="preserve">第一章 </w:t>
      </w:r>
      <w:r>
        <w:rPr>
          <w:rFonts w:hint="eastAsia" w:ascii="宋体" w:hAnsi="宋体" w:cs="宋体"/>
          <w:color w:val="auto"/>
          <w:sz w:val="24"/>
          <w:szCs w:val="24"/>
          <w:lang w:val="en-US" w:eastAsia="zh-CN"/>
        </w:rPr>
        <w:t>蒙自市文澜中心学校采购保安服务（三次）</w:t>
      </w:r>
      <w:r>
        <w:rPr>
          <w:rFonts w:hint="eastAsia" w:ascii="宋体" w:hAnsi="宋体" w:eastAsia="宋体" w:cs="宋体"/>
          <w:b/>
          <w:bCs/>
          <w:color w:val="auto"/>
          <w:sz w:val="24"/>
          <w:szCs w:val="24"/>
          <w:lang w:val="en-US" w:eastAsia="zh-CN"/>
        </w:rPr>
        <w:t>竞争性磋商公告</w:t>
      </w:r>
      <w:bookmarkEnd w:id="1"/>
    </w:p>
    <w:p w14:paraId="5FB20DF5">
      <w:pPr>
        <w:keepNext w:val="0"/>
        <w:keepLines w:val="0"/>
        <w:widowControl/>
        <w:suppressLineNumbers w:val="0"/>
        <w:spacing w:before="0" w:beforeAutospacing="0" w:after="0" w:afterAutospacing="0" w:line="360" w:lineRule="exact"/>
        <w:ind w:left="0" w:right="0" w:firstLine="482" w:firstLineChars="200"/>
        <w:jc w:val="left"/>
        <w:rPr>
          <w:rFonts w:hint="eastAsia" w:ascii="宋体" w:hAnsi="宋体" w:eastAsia="宋体" w:cs="宋体"/>
          <w:b/>
          <w:color w:val="auto"/>
          <w:kern w:val="0"/>
          <w:sz w:val="24"/>
          <w:szCs w:val="24"/>
          <w:lang w:val="en-US" w:bidi="ar"/>
        </w:rPr>
      </w:pPr>
      <w:r>
        <w:rPr>
          <w:rFonts w:hint="eastAsia" w:ascii="宋体" w:hAnsi="宋体" w:eastAsia="宋体" w:cs="宋体"/>
          <w:b/>
          <w:bCs w:val="0"/>
          <w:color w:val="auto"/>
          <w:kern w:val="2"/>
          <w:sz w:val="24"/>
          <w:szCs w:val="24"/>
          <w:lang w:val="en-US" w:eastAsia="zh-CN" w:bidi="ar"/>
        </w:rPr>
        <w:t xml:space="preserve">                       项目编号：YNHJX-HH-26004</w:t>
      </w:r>
    </w:p>
    <w:p w14:paraId="5B159050">
      <w:pPr>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snapToGrid/>
        <w:spacing w:line="480" w:lineRule="exact"/>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03BF6772">
      <w:pPr>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snapToGrid/>
        <w:spacing w:line="480" w:lineRule="exact"/>
        <w:ind w:left="0" w:leftChars="0" w:firstLine="480" w:firstLineChars="200"/>
        <w:rPr>
          <w:rFonts w:hint="eastAsia" w:ascii="宋体" w:hAnsi="宋体" w:eastAsia="宋体" w:cs="宋体"/>
          <w:color w:val="auto"/>
          <w:sz w:val="24"/>
          <w:szCs w:val="24"/>
        </w:rPr>
      </w:pPr>
      <w:r>
        <w:rPr>
          <w:rFonts w:hint="eastAsia" w:ascii="宋体" w:hAnsi="宋体" w:cs="宋体"/>
          <w:i w:val="0"/>
          <w:iCs w:val="0"/>
          <w:color w:val="auto"/>
          <w:sz w:val="24"/>
          <w:szCs w:val="24"/>
          <w:u w:val="single"/>
          <w:lang w:eastAsia="zh-CN"/>
        </w:rPr>
        <w:t>蒙自市文澜中心学校采购保安服务（三次）</w:t>
      </w:r>
      <w:r>
        <w:rPr>
          <w:rFonts w:hint="eastAsia" w:ascii="宋体" w:hAnsi="宋体" w:eastAsia="宋体" w:cs="宋体"/>
          <w:color w:val="auto"/>
          <w:sz w:val="24"/>
          <w:szCs w:val="24"/>
        </w:rPr>
        <w:t>的潜在供应商应在</w:t>
      </w:r>
      <w:r>
        <w:rPr>
          <w:rFonts w:hint="eastAsia" w:ascii="宋体" w:hAnsi="宋体" w:eastAsia="宋体" w:cs="宋体"/>
          <w:color w:val="auto"/>
          <w:sz w:val="24"/>
          <w:szCs w:val="24"/>
          <w:u w:val="single"/>
          <w:lang w:val="en-US" w:eastAsia="zh-CN"/>
        </w:rPr>
        <w:t>政采云平台</w:t>
      </w:r>
      <w:r>
        <w:rPr>
          <w:rFonts w:hint="eastAsia" w:ascii="宋体" w:hAnsi="宋体" w:eastAsia="宋体" w:cs="宋体"/>
          <w:color w:val="auto"/>
          <w:sz w:val="24"/>
          <w:szCs w:val="24"/>
          <w:highlight w:val="none"/>
          <w:u w:val="single"/>
          <w:lang w:val="en-US" w:eastAsia="zh-CN"/>
        </w:rPr>
        <w:t>（https://www.zcygov.cn/）</w:t>
      </w:r>
      <w:r>
        <w:rPr>
          <w:rFonts w:hint="eastAsia" w:ascii="宋体" w:hAnsi="宋体" w:eastAsia="宋体" w:cs="宋体"/>
          <w:color w:val="auto"/>
          <w:sz w:val="24"/>
          <w:szCs w:val="24"/>
          <w:u w:val="single"/>
          <w:lang w:val="en-US" w:eastAsia="zh-CN"/>
        </w:rPr>
        <w:t>线上</w:t>
      </w:r>
      <w:r>
        <w:rPr>
          <w:rFonts w:hint="eastAsia" w:ascii="宋体" w:hAnsi="宋体" w:eastAsia="宋体" w:cs="宋体"/>
          <w:color w:val="auto"/>
          <w:sz w:val="24"/>
          <w:szCs w:val="24"/>
        </w:rPr>
        <w:t>获取</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文件，并于</w:t>
      </w:r>
      <w:r>
        <w:rPr>
          <w:rFonts w:hint="eastAsia" w:ascii="宋体" w:hAnsi="宋体" w:eastAsia="宋体" w:cs="宋体"/>
          <w:color w:val="auto"/>
          <w:sz w:val="24"/>
          <w:szCs w:val="24"/>
          <w:lang w:eastAsia="zh-CN"/>
        </w:rPr>
        <w:t>2026年</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eastAsia="zh-CN"/>
        </w:rPr>
        <w:t>日14点30</w:t>
      </w:r>
      <w:r>
        <w:rPr>
          <w:rFonts w:hint="eastAsia" w:ascii="宋体" w:hAnsi="宋体" w:eastAsia="宋体" w:cs="宋体"/>
          <w:color w:val="auto"/>
          <w:sz w:val="24"/>
          <w:szCs w:val="24"/>
          <w:u w:val="single"/>
          <w:lang w:eastAsia="zh-CN"/>
        </w:rPr>
        <w:t>分</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Cs/>
          <w:color w:val="auto"/>
          <w:sz w:val="24"/>
          <w:szCs w:val="24"/>
        </w:rPr>
        <w:t>（北京时间）前提交响应文件</w:t>
      </w:r>
      <w:r>
        <w:rPr>
          <w:rFonts w:hint="eastAsia" w:ascii="宋体" w:hAnsi="宋体" w:eastAsia="宋体" w:cs="宋体"/>
          <w:color w:val="auto"/>
          <w:sz w:val="24"/>
          <w:szCs w:val="24"/>
        </w:rPr>
        <w:t>。</w:t>
      </w:r>
    </w:p>
    <w:p w14:paraId="593452A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1.项目名称：</w:t>
      </w:r>
      <w:r>
        <w:rPr>
          <w:rFonts w:hint="eastAsia" w:ascii="宋体" w:hAnsi="宋体" w:cs="宋体"/>
          <w:color w:val="auto"/>
          <w:sz w:val="24"/>
          <w:szCs w:val="24"/>
          <w:lang w:eastAsia="zh-CN"/>
        </w:rPr>
        <w:t>蒙自市文澜中心学校采购保安服务（三次）</w:t>
      </w:r>
    </w:p>
    <w:p w14:paraId="45E7306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2.项目概况：</w:t>
      </w:r>
    </w:p>
    <w:p w14:paraId="7BC5F23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内容：</w:t>
      </w:r>
    </w:p>
    <w:tbl>
      <w:tblPr>
        <w:tblStyle w:val="26"/>
        <w:tblpPr w:leftFromText="180" w:rightFromText="180" w:vertAnchor="text" w:horzAnchor="page" w:tblpXSpec="center" w:tblpY="407"/>
        <w:tblOverlap w:val="never"/>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385"/>
        <w:gridCol w:w="2730"/>
        <w:gridCol w:w="1695"/>
        <w:gridCol w:w="1888"/>
      </w:tblGrid>
      <w:tr w14:paraId="3E22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Pr>
          <w:p w14:paraId="23B86B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2385" w:type="dxa"/>
          </w:tcPr>
          <w:p w14:paraId="2148E7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商品（项目）名称</w:t>
            </w:r>
          </w:p>
        </w:tc>
        <w:tc>
          <w:tcPr>
            <w:tcW w:w="2730" w:type="dxa"/>
          </w:tcPr>
          <w:p w14:paraId="30DB43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规格型号、技术参数及详细性能要求</w:t>
            </w:r>
          </w:p>
        </w:tc>
        <w:tc>
          <w:tcPr>
            <w:tcW w:w="1695" w:type="dxa"/>
          </w:tcPr>
          <w:p w14:paraId="4445C2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1888" w:type="dxa"/>
          </w:tcPr>
          <w:p w14:paraId="64B480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计量单位</w:t>
            </w:r>
          </w:p>
        </w:tc>
      </w:tr>
      <w:tr w14:paraId="3F9F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Pr>
          <w:p w14:paraId="7D4188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385" w:type="dxa"/>
          </w:tcPr>
          <w:p w14:paraId="42D84C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学校</w:t>
            </w:r>
            <w:r>
              <w:rPr>
                <w:rFonts w:hint="eastAsia" w:ascii="宋体" w:hAnsi="宋体" w:eastAsia="宋体" w:cs="宋体"/>
                <w:color w:val="000000"/>
                <w:kern w:val="0"/>
                <w:sz w:val="24"/>
                <w:szCs w:val="24"/>
                <w:lang w:eastAsia="zh-CN"/>
              </w:rPr>
              <w:t>保安</w:t>
            </w:r>
            <w:r>
              <w:rPr>
                <w:rFonts w:hint="eastAsia" w:ascii="宋体" w:hAnsi="宋体" w:eastAsia="宋体" w:cs="宋体"/>
                <w:color w:val="000000"/>
                <w:kern w:val="0"/>
                <w:sz w:val="24"/>
                <w:szCs w:val="24"/>
              </w:rPr>
              <w:t>服务</w:t>
            </w:r>
            <w:r>
              <w:rPr>
                <w:rFonts w:hint="eastAsia" w:ascii="宋体" w:hAnsi="宋体" w:eastAsia="宋体" w:cs="宋体"/>
                <w:color w:val="000000"/>
                <w:kern w:val="0"/>
                <w:sz w:val="24"/>
                <w:szCs w:val="24"/>
                <w:lang w:eastAsia="zh-CN"/>
              </w:rPr>
              <w:t>采购</w:t>
            </w:r>
          </w:p>
        </w:tc>
        <w:tc>
          <w:tcPr>
            <w:tcW w:w="2730" w:type="dxa"/>
          </w:tcPr>
          <w:p w14:paraId="2156DA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详见第</w:t>
            </w:r>
            <w:r>
              <w:rPr>
                <w:rFonts w:hint="eastAsia" w:ascii="宋体" w:hAnsi="宋体" w:eastAsia="宋体" w:cs="宋体"/>
                <w:color w:val="000000"/>
                <w:kern w:val="0"/>
                <w:sz w:val="24"/>
                <w:szCs w:val="24"/>
                <w:lang w:eastAsia="zh-CN"/>
              </w:rPr>
              <w:t>六</w:t>
            </w:r>
            <w:r>
              <w:rPr>
                <w:rFonts w:hint="eastAsia" w:ascii="宋体" w:hAnsi="宋体" w:eastAsia="宋体" w:cs="宋体"/>
                <w:color w:val="000000"/>
                <w:kern w:val="0"/>
                <w:sz w:val="24"/>
                <w:szCs w:val="24"/>
              </w:rPr>
              <w:t>章采购要求</w:t>
            </w:r>
          </w:p>
        </w:tc>
        <w:tc>
          <w:tcPr>
            <w:tcW w:w="1695" w:type="dxa"/>
          </w:tcPr>
          <w:p w14:paraId="77B825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不少于9人</w:t>
            </w:r>
          </w:p>
        </w:tc>
        <w:tc>
          <w:tcPr>
            <w:tcW w:w="1888" w:type="dxa"/>
          </w:tcPr>
          <w:p w14:paraId="36D48E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w:t>
            </w:r>
          </w:p>
        </w:tc>
      </w:tr>
    </w:tbl>
    <w:p w14:paraId="5CE5023A">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000000"/>
          <w:sz w:val="24"/>
          <w:szCs w:val="24"/>
          <w:lang w:eastAsia="zh-CN"/>
        </w:rPr>
        <w:t>注：投入人员人数以采购人实际需求为准，费用按实际到岗人员结算。</w:t>
      </w:r>
    </w:p>
    <w:p w14:paraId="58B1144A">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（2）服务期限：</w:t>
      </w:r>
      <w:r>
        <w:rPr>
          <w:rFonts w:hint="eastAsia" w:ascii="宋体" w:hAnsi="宋体" w:eastAsia="宋体" w:cs="宋体"/>
          <w:color w:val="auto"/>
          <w:sz w:val="24"/>
          <w:szCs w:val="24"/>
          <w:lang w:eastAsia="zh-CN"/>
        </w:rPr>
        <w:t>自签订合同起服务期限1年</w:t>
      </w:r>
      <w:r>
        <w:rPr>
          <w:rFonts w:hint="eastAsia" w:ascii="宋体" w:hAnsi="宋体" w:cs="宋体"/>
          <w:color w:val="auto"/>
          <w:sz w:val="24"/>
          <w:szCs w:val="24"/>
          <w:lang w:eastAsia="zh-CN"/>
        </w:rPr>
        <w:t>；</w:t>
      </w:r>
    </w:p>
    <w:p w14:paraId="4CAC71F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color w:val="000000"/>
          <w:kern w:val="2"/>
          <w:sz w:val="24"/>
          <w:szCs w:val="24"/>
          <w:u w:val="none"/>
          <w:lang w:val="en-US" w:eastAsia="zh-CN" w:bidi="ar-SA"/>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lang w:eastAsia="zh-CN"/>
        </w:rPr>
        <w:t>）</w:t>
      </w:r>
      <w:r>
        <w:rPr>
          <w:rFonts w:hint="eastAsia" w:ascii="宋体" w:hAnsi="宋体" w:eastAsia="宋体" w:cs="宋体"/>
          <w:b w:val="0"/>
          <w:bCs/>
          <w:color w:val="000000"/>
          <w:kern w:val="2"/>
          <w:sz w:val="24"/>
          <w:szCs w:val="24"/>
          <w:lang w:val="en-US" w:eastAsia="zh-CN" w:bidi="ar-SA"/>
        </w:rPr>
        <w:t>采购预算价：</w:t>
      </w:r>
      <w:r>
        <w:rPr>
          <w:rFonts w:hint="eastAsia" w:ascii="宋体" w:hAnsi="宋体" w:eastAsia="宋体" w:cs="宋体"/>
          <w:b w:val="0"/>
          <w:bCs/>
          <w:color w:val="000000"/>
          <w:kern w:val="2"/>
          <w:sz w:val="24"/>
          <w:szCs w:val="24"/>
          <w:u w:val="single"/>
          <w:lang w:val="en-US" w:eastAsia="zh-CN" w:bidi="ar-SA"/>
        </w:rPr>
        <w:t>￥324000.00元</w:t>
      </w:r>
      <w:r>
        <w:rPr>
          <w:rFonts w:hint="eastAsia" w:ascii="宋体" w:hAnsi="宋体" w:eastAsia="宋体" w:cs="宋体"/>
          <w:b w:val="0"/>
          <w:bCs/>
          <w:color w:val="000000"/>
          <w:kern w:val="2"/>
          <w:sz w:val="24"/>
          <w:szCs w:val="24"/>
          <w:u w:val="none"/>
          <w:lang w:val="en-US" w:eastAsia="zh-CN" w:bidi="ar-SA"/>
        </w:rPr>
        <w:t>；</w:t>
      </w:r>
    </w:p>
    <w:p w14:paraId="2C101343">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color w:val="auto"/>
          <w:kern w:val="2"/>
          <w:sz w:val="24"/>
          <w:szCs w:val="24"/>
          <w:lang w:val="en-US" w:eastAsia="zh-CN" w:bidi="ar"/>
        </w:rPr>
        <w:t>（4）</w:t>
      </w:r>
      <w:r>
        <w:rPr>
          <w:rFonts w:hint="eastAsia" w:ascii="宋体" w:hAnsi="宋体" w:eastAsia="宋体" w:cs="宋体"/>
          <w:b w:val="0"/>
          <w:bCs/>
          <w:color w:val="000000"/>
          <w:kern w:val="2"/>
          <w:sz w:val="24"/>
          <w:szCs w:val="24"/>
          <w:u w:val="none"/>
          <w:lang w:val="en-US" w:eastAsia="zh-CN" w:bidi="ar-SA"/>
        </w:rPr>
        <w:t>付款方式：按月付款（每月一付）</w:t>
      </w:r>
    </w:p>
    <w:p w14:paraId="12190330">
      <w:pPr>
        <w:pStyle w:val="2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（5）服务质量要求：按照《保安服务管理条例》《保安服务操作规程与质量控制》GA/T594-2006及《云南省保安服务管理条例》的规定，满足采购人需求；</w:t>
      </w:r>
    </w:p>
    <w:p w14:paraId="096CC5E1">
      <w:pPr>
        <w:pStyle w:val="2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（6）资格审查方式：资格后审</w:t>
      </w:r>
      <w:bookmarkStart w:id="2" w:name="_Toc381002983"/>
      <w:bookmarkStart w:id="3" w:name="_Toc31167"/>
      <w:bookmarkStart w:id="4" w:name="_Toc381002984"/>
      <w:r>
        <w:rPr>
          <w:rFonts w:hint="eastAsia" w:ascii="宋体" w:hAnsi="宋体" w:eastAsia="宋体" w:cs="宋体"/>
          <w:color w:val="auto"/>
          <w:kern w:val="2"/>
          <w:sz w:val="24"/>
          <w:szCs w:val="24"/>
          <w:lang w:val="en-US" w:eastAsia="zh-CN" w:bidi="ar"/>
        </w:rPr>
        <w:t>；</w:t>
      </w:r>
    </w:p>
    <w:p w14:paraId="091FBFCE">
      <w:pPr>
        <w:pStyle w:val="2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（7）本磋商项目设一个标段；</w:t>
      </w:r>
    </w:p>
    <w:p w14:paraId="4754F65E">
      <w:pPr>
        <w:pStyle w:val="22"/>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（8）联合体：本项目不接受联合体投标</w:t>
      </w:r>
    </w:p>
    <w:p w14:paraId="6094D6D9">
      <w:pPr>
        <w:pStyle w:val="2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Chars="0" w:right="0" w:rightChars="0"/>
        <w:jc w:val="both"/>
        <w:textAlignment w:val="auto"/>
        <w:rPr>
          <w:rFonts w:hint="eastAsia" w:ascii="宋体" w:hAnsi="宋体" w:eastAsia="宋体" w:cs="宋体"/>
          <w:b w:val="0"/>
          <w:bCs w:val="0"/>
          <w:color w:val="auto"/>
          <w:kern w:val="1"/>
          <w:sz w:val="24"/>
          <w:szCs w:val="24"/>
          <w:lang w:val="en-US" w:eastAsia="zh-CN" w:bidi="ar"/>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磋商申请人资格要求</w:t>
      </w:r>
      <w:bookmarkEnd w:id="2"/>
      <w:bookmarkEnd w:id="3"/>
    </w:p>
    <w:p w14:paraId="4668638A">
      <w:pPr>
        <w:pStyle w:val="2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Chars="0" w:right="0" w:rightChars="0"/>
        <w:jc w:val="both"/>
        <w:textAlignment w:val="auto"/>
        <w:rPr>
          <w:rFonts w:hint="eastAsia" w:ascii="宋体" w:hAnsi="宋体" w:eastAsia="宋体" w:cs="宋体"/>
          <w:b w:val="0"/>
          <w:bCs w:val="0"/>
          <w:color w:val="auto"/>
          <w:kern w:val="1"/>
          <w:sz w:val="24"/>
          <w:szCs w:val="24"/>
          <w:lang w:val="en-US" w:eastAsia="zh-CN" w:bidi="ar"/>
        </w:rPr>
      </w:pPr>
      <w:r>
        <w:rPr>
          <w:rFonts w:hint="eastAsia" w:ascii="宋体" w:hAnsi="宋体" w:eastAsia="宋体" w:cs="宋体"/>
          <w:b w:val="0"/>
          <w:bCs w:val="0"/>
          <w:color w:val="auto"/>
          <w:kern w:val="1"/>
          <w:sz w:val="24"/>
          <w:szCs w:val="24"/>
          <w:lang w:val="en-US" w:eastAsia="zh-CN" w:bidi="ar"/>
        </w:rPr>
        <w:t>3.1、磋商申请人应满足《中华人民共和国政府采购法》《中华人民共和国政府采购法实施条例》《政府和社会资本合作项目政府采购管理办法》所规定的条件以及《中华人民共和国政府采购法》第二十二条规定的资格条件。</w:t>
      </w:r>
    </w:p>
    <w:p w14:paraId="07860EF8">
      <w:pPr>
        <w:pStyle w:val="2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Chars="0" w:right="0" w:rightChars="0"/>
        <w:jc w:val="both"/>
        <w:textAlignment w:val="auto"/>
        <w:rPr>
          <w:rFonts w:hint="eastAsia" w:ascii="宋体" w:hAnsi="宋体" w:eastAsia="宋体" w:cs="宋体"/>
          <w:b w:val="0"/>
          <w:bCs w:val="0"/>
          <w:color w:val="auto"/>
          <w:kern w:val="1"/>
          <w:sz w:val="24"/>
          <w:szCs w:val="24"/>
          <w:lang w:val="en-US" w:eastAsia="zh-CN" w:bidi="ar"/>
        </w:rPr>
      </w:pPr>
      <w:r>
        <w:rPr>
          <w:rFonts w:hint="eastAsia" w:ascii="宋体" w:hAnsi="宋体" w:eastAsia="宋体" w:cs="宋体"/>
          <w:b w:val="0"/>
          <w:bCs w:val="0"/>
          <w:color w:val="auto"/>
          <w:kern w:val="1"/>
          <w:sz w:val="24"/>
          <w:szCs w:val="24"/>
          <w:lang w:val="en-US" w:eastAsia="zh-CN" w:bidi="ar"/>
        </w:rPr>
        <w:t>（1）具有独立承担民事责任的能力（提供有效的企业法人营业执照或其他组织证明文件）；</w:t>
      </w:r>
    </w:p>
    <w:p w14:paraId="4AEEB562">
      <w:pPr>
        <w:pStyle w:val="2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Chars="0" w:right="0" w:rightChars="0"/>
        <w:jc w:val="both"/>
        <w:textAlignment w:val="auto"/>
        <w:rPr>
          <w:rFonts w:hint="eastAsia" w:ascii="宋体" w:hAnsi="宋体" w:eastAsia="宋体" w:cs="宋体"/>
          <w:b w:val="0"/>
          <w:bCs w:val="0"/>
          <w:color w:val="auto"/>
          <w:kern w:val="1"/>
          <w:sz w:val="24"/>
          <w:szCs w:val="24"/>
          <w:lang w:val="en-US" w:eastAsia="zh-CN" w:bidi="ar"/>
        </w:rPr>
      </w:pPr>
      <w:r>
        <w:rPr>
          <w:rFonts w:hint="eastAsia" w:ascii="宋体" w:hAnsi="宋体" w:eastAsia="宋体" w:cs="宋体"/>
          <w:b w:val="0"/>
          <w:bCs w:val="0"/>
          <w:color w:val="auto"/>
          <w:kern w:val="1"/>
          <w:sz w:val="24"/>
          <w:szCs w:val="24"/>
          <w:lang w:val="en-US" w:eastAsia="zh-CN" w:bidi="ar"/>
        </w:rPr>
        <w:t>（2）具有良好的商业信誉和健全的财务会计制度（提供2024或2025年度的经审计的财务报表，</w:t>
      </w:r>
      <w:r>
        <w:rPr>
          <w:rFonts w:hint="eastAsia" w:ascii="宋体" w:hAnsi="宋体" w:eastAsia="宋体" w:cs="宋体"/>
          <w:color w:val="auto"/>
          <w:sz w:val="24"/>
          <w:szCs w:val="24"/>
          <w:shd w:val="clear" w:color="auto" w:fill="FFFFFF"/>
        </w:rPr>
        <w:t>成立不满一年的企业可提供情况说明或成立至今的财务报表，此项要求可不列入废标条款</w:t>
      </w:r>
      <w:r>
        <w:rPr>
          <w:rFonts w:hint="eastAsia" w:ascii="宋体" w:hAnsi="宋体" w:eastAsia="宋体" w:cs="宋体"/>
          <w:b w:val="0"/>
          <w:bCs w:val="0"/>
          <w:color w:val="auto"/>
          <w:kern w:val="1"/>
          <w:sz w:val="24"/>
          <w:szCs w:val="24"/>
          <w:lang w:val="en-US" w:eastAsia="zh-CN" w:bidi="ar"/>
        </w:rPr>
        <w:t>）；</w:t>
      </w:r>
    </w:p>
    <w:p w14:paraId="2844FE49">
      <w:pPr>
        <w:pStyle w:val="2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Chars="0" w:right="0" w:rightChars="0"/>
        <w:jc w:val="both"/>
        <w:textAlignment w:val="auto"/>
        <w:rPr>
          <w:rFonts w:hint="eastAsia" w:ascii="宋体" w:hAnsi="宋体" w:eastAsia="宋体" w:cs="宋体"/>
          <w:b w:val="0"/>
          <w:bCs w:val="0"/>
          <w:color w:val="auto"/>
          <w:kern w:val="1"/>
          <w:sz w:val="24"/>
          <w:szCs w:val="24"/>
          <w:lang w:val="en-US" w:eastAsia="zh-CN" w:bidi="ar"/>
        </w:rPr>
      </w:pPr>
      <w:r>
        <w:rPr>
          <w:rFonts w:hint="eastAsia" w:ascii="宋体" w:hAnsi="宋体" w:eastAsia="宋体" w:cs="宋体"/>
          <w:b w:val="0"/>
          <w:bCs w:val="0"/>
          <w:color w:val="auto"/>
          <w:kern w:val="1"/>
          <w:sz w:val="24"/>
          <w:szCs w:val="24"/>
          <w:lang w:val="en-US" w:eastAsia="zh-CN" w:bidi="ar"/>
        </w:rPr>
        <w:t>（3）具有履行合同所必需的设备和专业技术能力（提供证明材料或书面声明）；</w:t>
      </w:r>
    </w:p>
    <w:p w14:paraId="302EF7E1">
      <w:pPr>
        <w:pStyle w:val="2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Chars="0" w:right="0" w:rightChars="0"/>
        <w:jc w:val="both"/>
        <w:textAlignment w:val="auto"/>
        <w:rPr>
          <w:rFonts w:hint="eastAsia" w:ascii="宋体" w:hAnsi="宋体" w:eastAsia="宋体" w:cs="宋体"/>
          <w:b w:val="0"/>
          <w:bCs w:val="0"/>
          <w:color w:val="auto"/>
          <w:kern w:val="1"/>
          <w:sz w:val="24"/>
          <w:szCs w:val="24"/>
          <w:lang w:val="en-US" w:eastAsia="zh-CN" w:bidi="ar"/>
        </w:rPr>
      </w:pPr>
      <w:r>
        <w:rPr>
          <w:rFonts w:hint="eastAsia" w:ascii="宋体" w:hAnsi="宋体" w:eastAsia="宋体" w:cs="宋体"/>
          <w:b w:val="0"/>
          <w:bCs w:val="0"/>
          <w:color w:val="auto"/>
          <w:kern w:val="1"/>
          <w:sz w:val="24"/>
          <w:szCs w:val="24"/>
          <w:lang w:val="en-US" w:eastAsia="zh-CN" w:bidi="ar"/>
        </w:rPr>
        <w:t>（4）有依法缴纳税收和社会保障资金的良好记录（提供2025年1月至今</w:t>
      </w:r>
      <w:r>
        <w:rPr>
          <w:rFonts w:hint="eastAsia" w:ascii="宋体" w:hAnsi="宋体" w:eastAsia="宋体" w:cs="宋体"/>
          <w:sz w:val="24"/>
          <w:szCs w:val="24"/>
        </w:rPr>
        <w:t>任意</w:t>
      </w:r>
      <w:r>
        <w:rPr>
          <w:rFonts w:hint="eastAsia" w:ascii="宋体" w:hAnsi="宋体" w:eastAsia="宋体" w:cs="宋体"/>
          <w:sz w:val="24"/>
          <w:szCs w:val="24"/>
          <w:lang w:eastAsia="zh-CN"/>
        </w:rPr>
        <w:t>一</w:t>
      </w:r>
      <w:r>
        <w:rPr>
          <w:rFonts w:hint="eastAsia" w:ascii="宋体" w:hAnsi="宋体" w:eastAsia="宋体" w:cs="宋体"/>
          <w:sz w:val="24"/>
          <w:szCs w:val="24"/>
        </w:rPr>
        <w:t>个月缴纳税收及社会保障资金的完税凭证；成立不满三个月的申请人提供成立以来的税收和社会保障资金缴纳凭证或相关情况说明；依法免税或不需要缴纳社会保障资金的，提供相关证明文件</w:t>
      </w:r>
      <w:r>
        <w:rPr>
          <w:rFonts w:hint="eastAsia" w:ascii="宋体" w:hAnsi="宋体" w:eastAsia="宋体" w:cs="宋体"/>
          <w:b w:val="0"/>
          <w:bCs w:val="0"/>
          <w:color w:val="auto"/>
          <w:kern w:val="1"/>
          <w:sz w:val="24"/>
          <w:szCs w:val="24"/>
          <w:lang w:val="en-US" w:eastAsia="zh-CN" w:bidi="ar"/>
        </w:rPr>
        <w:t>）；</w:t>
      </w:r>
    </w:p>
    <w:p w14:paraId="011E68FF">
      <w:pPr>
        <w:pStyle w:val="2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Chars="0" w:right="0" w:rightChars="0"/>
        <w:jc w:val="both"/>
        <w:textAlignment w:val="auto"/>
        <w:rPr>
          <w:rFonts w:hint="eastAsia" w:ascii="宋体" w:hAnsi="宋体" w:eastAsia="宋体" w:cs="宋体"/>
          <w:b w:val="0"/>
          <w:bCs w:val="0"/>
          <w:color w:val="auto"/>
          <w:kern w:val="1"/>
          <w:sz w:val="24"/>
          <w:szCs w:val="24"/>
          <w:lang w:val="en-US" w:eastAsia="zh-CN" w:bidi="ar"/>
        </w:rPr>
      </w:pPr>
      <w:r>
        <w:rPr>
          <w:rFonts w:hint="eastAsia" w:ascii="宋体" w:hAnsi="宋体" w:eastAsia="宋体" w:cs="宋体"/>
          <w:b w:val="0"/>
          <w:bCs w:val="0"/>
          <w:color w:val="auto"/>
          <w:kern w:val="1"/>
          <w:sz w:val="24"/>
          <w:szCs w:val="24"/>
          <w:lang w:val="en-US" w:eastAsia="zh-CN" w:bidi="ar"/>
        </w:rPr>
        <w:t>（5）参加政府采购活动前三年内在经营活动中没有重大违法记录的书面声明（重大违法记录指磋商申请人因违法经营受到刑事处罚或者责令停产停业、吊销许可证或者执照、较大数额罚款等行政处罚）；</w:t>
      </w:r>
    </w:p>
    <w:p w14:paraId="4B0E3515">
      <w:pPr>
        <w:pStyle w:val="2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Chars="0" w:right="0" w:rightChars="0"/>
        <w:jc w:val="both"/>
        <w:textAlignment w:val="auto"/>
        <w:rPr>
          <w:rFonts w:hint="eastAsia" w:ascii="宋体" w:hAnsi="宋体" w:eastAsia="宋体" w:cs="宋体"/>
          <w:b w:val="0"/>
          <w:bCs w:val="0"/>
          <w:color w:val="auto"/>
          <w:kern w:val="1"/>
          <w:sz w:val="24"/>
          <w:szCs w:val="24"/>
          <w:lang w:val="en-US" w:eastAsia="zh-CN" w:bidi="ar"/>
        </w:rPr>
      </w:pPr>
      <w:r>
        <w:rPr>
          <w:rFonts w:hint="eastAsia" w:ascii="宋体" w:hAnsi="宋体" w:eastAsia="宋体" w:cs="宋体"/>
          <w:b w:val="0"/>
          <w:bCs w:val="0"/>
          <w:color w:val="auto"/>
          <w:kern w:val="1"/>
          <w:sz w:val="24"/>
          <w:szCs w:val="24"/>
          <w:lang w:val="en-US" w:eastAsia="zh-CN" w:bidi="ar"/>
        </w:rPr>
        <w:t>（6）磋商申请人信誉良好，在经营活动中未因违法违规行为受到行政处罚或因违法违规行为正在受到行政调查，没有处于投标资格被暂停或取消，投标资格被取消，财产未被接管、冻结、破产等状态，无被禁止市场准入情形。且未被列入“信用中国https://www.creditchina.gov.cn” 失信被执行人名单（开具时间须为本项目招标公告发布之日后），重大税收违法案件当事人名单且在中国政府采购网（www.ccgp.gov.cn）没有政府采购严重违法失信行为记录（被禁止在一定期限内参加政府采购活动但期限届满的除外）。</w:t>
      </w:r>
    </w:p>
    <w:p w14:paraId="7C9AE849">
      <w:pPr>
        <w:pStyle w:val="2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Chars="0" w:right="0" w:rightChars="0"/>
        <w:jc w:val="both"/>
        <w:textAlignment w:val="auto"/>
        <w:rPr>
          <w:rFonts w:hint="eastAsia" w:ascii="宋体" w:hAnsi="宋体" w:eastAsia="宋体" w:cs="宋体"/>
          <w:b w:val="0"/>
          <w:bCs w:val="0"/>
          <w:color w:val="auto"/>
          <w:kern w:val="1"/>
          <w:sz w:val="24"/>
          <w:szCs w:val="24"/>
          <w:lang w:val="en-US" w:eastAsia="zh-CN" w:bidi="ar"/>
        </w:rPr>
      </w:pPr>
      <w:r>
        <w:rPr>
          <w:rFonts w:hint="eastAsia" w:ascii="宋体" w:hAnsi="宋体" w:eastAsia="宋体" w:cs="宋体"/>
          <w:b w:val="0"/>
          <w:bCs w:val="0"/>
          <w:color w:val="auto"/>
          <w:kern w:val="1"/>
          <w:sz w:val="24"/>
          <w:szCs w:val="24"/>
          <w:lang w:val="en-US" w:eastAsia="zh-CN" w:bidi="ar"/>
        </w:rPr>
        <w:t>3.2、具备下列条件：</w:t>
      </w:r>
    </w:p>
    <w:p w14:paraId="75D222F2">
      <w:pPr>
        <w:pStyle w:val="2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Chars="0" w:right="0" w:rightChars="0"/>
        <w:jc w:val="both"/>
        <w:textAlignment w:val="auto"/>
        <w:rPr>
          <w:rFonts w:hint="eastAsia" w:ascii="宋体" w:hAnsi="宋体" w:eastAsia="宋体" w:cs="宋体"/>
          <w:b w:val="0"/>
          <w:bCs w:val="0"/>
          <w:color w:val="auto"/>
          <w:kern w:val="1"/>
          <w:sz w:val="24"/>
          <w:szCs w:val="24"/>
          <w:lang w:val="en-US" w:eastAsia="zh-CN" w:bidi="ar"/>
        </w:rPr>
      </w:pPr>
      <w:r>
        <w:rPr>
          <w:rFonts w:hint="eastAsia" w:ascii="宋体" w:hAnsi="宋体" w:eastAsia="宋体" w:cs="宋体"/>
          <w:b w:val="0"/>
          <w:bCs w:val="0"/>
          <w:color w:val="auto"/>
          <w:kern w:val="1"/>
          <w:sz w:val="24"/>
          <w:szCs w:val="24"/>
          <w:lang w:val="en-US" w:eastAsia="zh-CN" w:bidi="ar"/>
        </w:rPr>
        <w:t>（1）</w:t>
      </w:r>
      <w:r>
        <w:rPr>
          <w:rFonts w:hint="eastAsia" w:ascii="宋体" w:hAnsi="宋体" w:eastAsia="宋体" w:cs="宋体"/>
          <w:sz w:val="24"/>
          <w:szCs w:val="24"/>
          <w:lang w:val="en-US" w:eastAsia="zh-CN"/>
        </w:rPr>
        <w:t>投标人须具备公安机关核发的有效期内的潜在供应商保安服务许可证，并具有与本招标项目相应的服务能力</w:t>
      </w:r>
      <w:r>
        <w:rPr>
          <w:rFonts w:hint="eastAsia" w:ascii="宋体" w:hAnsi="宋体" w:eastAsia="宋体" w:cs="宋体"/>
          <w:b w:val="0"/>
          <w:bCs w:val="0"/>
          <w:color w:val="auto"/>
          <w:kern w:val="1"/>
          <w:sz w:val="24"/>
          <w:szCs w:val="24"/>
          <w:lang w:val="en-US" w:eastAsia="zh-CN" w:bidi="ar"/>
        </w:rPr>
        <w:t>。</w:t>
      </w:r>
    </w:p>
    <w:p w14:paraId="362760F9">
      <w:pPr>
        <w:pStyle w:val="2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Chars="0" w:right="0" w:rightChars="0"/>
        <w:jc w:val="both"/>
        <w:textAlignment w:val="auto"/>
        <w:rPr>
          <w:rFonts w:hint="eastAsia" w:ascii="宋体" w:hAnsi="宋体" w:eastAsia="宋体" w:cs="宋体"/>
          <w:b w:val="0"/>
          <w:bCs w:val="0"/>
          <w:color w:val="auto"/>
          <w:kern w:val="1"/>
          <w:sz w:val="24"/>
          <w:szCs w:val="24"/>
          <w:lang w:val="en-US" w:eastAsia="zh-CN" w:bidi="ar"/>
        </w:rPr>
      </w:pPr>
      <w:r>
        <w:rPr>
          <w:rFonts w:hint="eastAsia" w:ascii="宋体" w:hAnsi="宋体" w:eastAsia="宋体" w:cs="宋体"/>
          <w:b w:val="0"/>
          <w:bCs w:val="0"/>
          <w:color w:val="auto"/>
          <w:kern w:val="1"/>
          <w:sz w:val="24"/>
          <w:szCs w:val="24"/>
          <w:lang w:val="en-US" w:eastAsia="zh-CN" w:bidi="ar"/>
        </w:rPr>
        <w:t>（2）</w:t>
      </w:r>
      <w:r>
        <w:rPr>
          <w:rFonts w:hint="eastAsia" w:ascii="宋体" w:hAnsi="宋体" w:eastAsia="宋体" w:cs="宋体"/>
          <w:color w:val="000000" w:themeColor="text1"/>
          <w:kern w:val="0"/>
          <w:sz w:val="24"/>
          <w:szCs w:val="24"/>
          <w14:textFill>
            <w14:solidFill>
              <w14:schemeClr w14:val="tx1"/>
            </w14:solidFill>
          </w14:textFill>
        </w:rPr>
        <w:t>投标人派驻保安员持证率100%</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提供公安机关核发的保安员证</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并经过政审</w:t>
      </w:r>
      <w:r>
        <w:rPr>
          <w:rFonts w:hint="eastAsia" w:ascii="宋体" w:hAnsi="宋体" w:eastAsia="宋体" w:cs="宋体"/>
          <w:b w:val="0"/>
          <w:bCs w:val="0"/>
          <w:color w:val="auto"/>
          <w:kern w:val="1"/>
          <w:sz w:val="24"/>
          <w:szCs w:val="24"/>
          <w:lang w:val="en-US" w:eastAsia="zh-CN" w:bidi="ar"/>
        </w:rPr>
        <w:t>。</w:t>
      </w:r>
    </w:p>
    <w:p w14:paraId="372BA55E">
      <w:pPr>
        <w:keepNext w:val="0"/>
        <w:keepLines w:val="0"/>
        <w:pageBreakBefore w:val="0"/>
        <w:kinsoku/>
        <w:wordWrap/>
        <w:overflowPunct/>
        <w:topLinePunct w:val="0"/>
        <w:autoSpaceDE/>
        <w:autoSpaceDN/>
        <w:bidi w:val="0"/>
        <w:adjustRightInd/>
        <w:spacing w:line="360" w:lineRule="auto"/>
        <w:ind w:left="0" w:leftChars="0" w:firstLine="0" w:firstLineChars="0"/>
        <w:jc w:val="left"/>
        <w:textAlignment w:val="auto"/>
        <w:rPr>
          <w:rFonts w:hint="eastAsia" w:ascii="宋体" w:hAnsi="宋体" w:eastAsia="宋体" w:cs="宋体"/>
          <w:b w:val="0"/>
          <w:bCs w:val="0"/>
          <w:color w:val="auto"/>
          <w:kern w:val="1"/>
          <w:sz w:val="24"/>
          <w:szCs w:val="24"/>
          <w:lang w:val="en-US" w:eastAsia="zh-CN" w:bidi="ar"/>
        </w:rPr>
      </w:pPr>
      <w:r>
        <w:rPr>
          <w:rFonts w:hint="eastAsia" w:ascii="宋体" w:hAnsi="宋体" w:eastAsia="宋体" w:cs="宋体"/>
          <w:b w:val="0"/>
          <w:bCs w:val="0"/>
          <w:color w:val="auto"/>
          <w:kern w:val="1"/>
          <w:sz w:val="24"/>
          <w:szCs w:val="24"/>
          <w:lang w:val="en-US" w:eastAsia="zh-CN" w:bidi="ar"/>
        </w:rPr>
        <w:t>4.</w:t>
      </w:r>
      <w:bookmarkEnd w:id="4"/>
      <w:r>
        <w:rPr>
          <w:rFonts w:hint="eastAsia" w:ascii="宋体" w:hAnsi="宋体" w:eastAsia="宋体" w:cs="宋体"/>
          <w:b w:val="0"/>
          <w:bCs w:val="0"/>
          <w:color w:val="auto"/>
          <w:kern w:val="1"/>
          <w:sz w:val="24"/>
          <w:szCs w:val="24"/>
          <w:lang w:val="en-US" w:eastAsia="zh-CN" w:bidi="ar"/>
        </w:rPr>
        <w:t>获取采购文件</w:t>
      </w:r>
    </w:p>
    <w:p w14:paraId="78A7F20D">
      <w:pPr>
        <w:pStyle w:val="9"/>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b w:val="0"/>
          <w:bCs w:val="0"/>
          <w:color w:val="auto"/>
          <w:kern w:val="1"/>
          <w:sz w:val="24"/>
          <w:szCs w:val="24"/>
          <w:lang w:val="en-US" w:eastAsia="zh-CN" w:bidi="ar"/>
        </w:rPr>
      </w:pPr>
      <w:r>
        <w:rPr>
          <w:rFonts w:hint="eastAsia" w:ascii="宋体" w:hAnsi="宋体" w:eastAsia="宋体" w:cs="宋体"/>
          <w:b w:val="0"/>
          <w:bCs w:val="0"/>
          <w:color w:val="auto"/>
          <w:kern w:val="1"/>
          <w:sz w:val="24"/>
          <w:szCs w:val="24"/>
          <w:lang w:val="en-US" w:eastAsia="zh-CN" w:bidi="ar"/>
        </w:rPr>
        <w:t>4.1时间：2026年</w:t>
      </w:r>
      <w:r>
        <w:rPr>
          <w:rFonts w:hint="eastAsia" w:ascii="宋体" w:hAnsi="宋体" w:cs="宋体"/>
          <w:b w:val="0"/>
          <w:bCs w:val="0"/>
          <w:color w:val="auto"/>
          <w:kern w:val="1"/>
          <w:sz w:val="24"/>
          <w:szCs w:val="24"/>
          <w:lang w:val="en-US" w:eastAsia="zh-CN" w:bidi="ar"/>
        </w:rPr>
        <w:t>6</w:t>
      </w:r>
      <w:r>
        <w:rPr>
          <w:rFonts w:hint="eastAsia" w:ascii="宋体" w:hAnsi="宋体" w:eastAsia="宋体" w:cs="宋体"/>
          <w:b w:val="0"/>
          <w:bCs w:val="0"/>
          <w:color w:val="auto"/>
          <w:kern w:val="1"/>
          <w:sz w:val="24"/>
          <w:szCs w:val="24"/>
          <w:lang w:val="en-US" w:eastAsia="zh-CN" w:bidi="ar"/>
        </w:rPr>
        <w:t>月</w:t>
      </w:r>
      <w:r>
        <w:rPr>
          <w:rFonts w:hint="eastAsia" w:ascii="宋体" w:hAnsi="宋体" w:cs="宋体"/>
          <w:b w:val="0"/>
          <w:bCs w:val="0"/>
          <w:color w:val="auto"/>
          <w:kern w:val="1"/>
          <w:sz w:val="24"/>
          <w:szCs w:val="24"/>
          <w:lang w:val="en-US" w:eastAsia="zh-CN" w:bidi="ar"/>
        </w:rPr>
        <w:t>11</w:t>
      </w:r>
      <w:r>
        <w:rPr>
          <w:rFonts w:hint="eastAsia" w:ascii="宋体" w:hAnsi="宋体" w:eastAsia="宋体" w:cs="宋体"/>
          <w:b w:val="0"/>
          <w:bCs w:val="0"/>
          <w:color w:val="auto"/>
          <w:kern w:val="1"/>
          <w:sz w:val="24"/>
          <w:szCs w:val="24"/>
          <w:lang w:val="en-US" w:eastAsia="zh-CN" w:bidi="ar"/>
        </w:rPr>
        <w:t>日06时00分至2026年</w:t>
      </w:r>
      <w:r>
        <w:rPr>
          <w:rFonts w:hint="eastAsia" w:ascii="宋体" w:hAnsi="宋体" w:cs="宋体"/>
          <w:b w:val="0"/>
          <w:bCs w:val="0"/>
          <w:color w:val="auto"/>
          <w:kern w:val="1"/>
          <w:sz w:val="24"/>
          <w:szCs w:val="24"/>
          <w:lang w:val="en-US" w:eastAsia="zh-CN" w:bidi="ar"/>
        </w:rPr>
        <w:t>6</w:t>
      </w:r>
      <w:r>
        <w:rPr>
          <w:rFonts w:hint="eastAsia" w:ascii="宋体" w:hAnsi="宋体" w:eastAsia="宋体" w:cs="宋体"/>
          <w:b w:val="0"/>
          <w:bCs w:val="0"/>
          <w:color w:val="auto"/>
          <w:kern w:val="1"/>
          <w:sz w:val="24"/>
          <w:szCs w:val="24"/>
          <w:lang w:val="en-US" w:eastAsia="zh-CN" w:bidi="ar"/>
        </w:rPr>
        <w:t>月</w:t>
      </w:r>
      <w:r>
        <w:rPr>
          <w:rFonts w:hint="eastAsia" w:ascii="宋体" w:hAnsi="宋体" w:cs="宋体"/>
          <w:b w:val="0"/>
          <w:bCs w:val="0"/>
          <w:color w:val="auto"/>
          <w:kern w:val="1"/>
          <w:sz w:val="24"/>
          <w:szCs w:val="24"/>
          <w:lang w:val="en-US" w:eastAsia="zh-CN" w:bidi="ar"/>
        </w:rPr>
        <w:t>18</w:t>
      </w:r>
      <w:r>
        <w:rPr>
          <w:rFonts w:hint="eastAsia" w:ascii="宋体" w:hAnsi="宋体" w:eastAsia="宋体" w:cs="宋体"/>
          <w:b w:val="0"/>
          <w:bCs w:val="0"/>
          <w:color w:val="auto"/>
          <w:kern w:val="1"/>
          <w:sz w:val="24"/>
          <w:szCs w:val="24"/>
          <w:lang w:val="en-US" w:eastAsia="zh-CN" w:bidi="ar"/>
        </w:rPr>
        <w:t>日23时59分；</w:t>
      </w:r>
    </w:p>
    <w:p w14:paraId="0D5A14A4">
      <w:pPr>
        <w:pStyle w:val="9"/>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b w:val="0"/>
          <w:bCs w:val="0"/>
          <w:color w:val="auto"/>
          <w:kern w:val="1"/>
          <w:sz w:val="24"/>
          <w:szCs w:val="24"/>
          <w:lang w:val="en-US" w:eastAsia="zh-CN" w:bidi="ar"/>
        </w:rPr>
      </w:pPr>
      <w:r>
        <w:rPr>
          <w:rFonts w:hint="eastAsia" w:ascii="宋体" w:hAnsi="宋体" w:eastAsia="宋体" w:cs="宋体"/>
          <w:b w:val="0"/>
          <w:bCs w:val="0"/>
          <w:color w:val="auto"/>
          <w:kern w:val="1"/>
          <w:sz w:val="24"/>
          <w:szCs w:val="24"/>
          <w:lang w:val="en-US" w:eastAsia="zh-CN" w:bidi="ar"/>
        </w:rPr>
        <w:t>4.2地点：政府采购云平台（https://www.zcygov.cn/）（操作路径：登录政采云平台－项目采购－获取采购文件－找到本项目－点击“申请获取采购文件”）。</w:t>
      </w:r>
    </w:p>
    <w:p w14:paraId="2986E268">
      <w:pPr>
        <w:pStyle w:val="9"/>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b w:val="0"/>
          <w:bCs w:val="0"/>
          <w:color w:val="auto"/>
          <w:kern w:val="1"/>
          <w:sz w:val="24"/>
          <w:szCs w:val="24"/>
          <w:lang w:val="en-US" w:eastAsia="zh-CN" w:bidi="ar"/>
        </w:rPr>
      </w:pPr>
      <w:r>
        <w:rPr>
          <w:rFonts w:hint="eastAsia" w:ascii="宋体" w:hAnsi="宋体" w:eastAsia="宋体" w:cs="宋体"/>
          <w:b w:val="0"/>
          <w:bCs w:val="0"/>
          <w:color w:val="auto"/>
          <w:kern w:val="1"/>
          <w:sz w:val="24"/>
          <w:szCs w:val="24"/>
          <w:lang w:val="en-US" w:eastAsia="zh-CN" w:bidi="ar"/>
        </w:rPr>
        <w:t>4.3方式：凡有意参加磋商的供应商，须在政采云平台办理数字证书（CA），CA申领链接：https://middle.zcygov.cn/ca/apply/list?_app_=zcy.sys，并在政采云绑定数字证书（CA）后在网上获取采购文件及其它采购资料，数字证书（CA）详见其办理流程。注：云南省供应商在“云南省公共资源交易信息网－网上办事－CA办理”版块中注册通过并办理企业数字证书（CA）的供应商可直接绑定使用，无需重复办理（2022年1月1日前办理的云南CA需到云南CA办理处进行升级）。云南省外供应商在政府采购云平台办理的其他CA可直接使用，无需重复办理。按上述要求获取采购文件的供应商视为合法获取了本项目采购文件，具备本项目的投标资格。</w:t>
      </w:r>
    </w:p>
    <w:p w14:paraId="7201937F">
      <w:pPr>
        <w:pStyle w:val="9"/>
        <w:keepNext w:val="0"/>
        <w:keepLines w:val="0"/>
        <w:pageBreakBefore w:val="0"/>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b w:val="0"/>
          <w:bCs w:val="0"/>
          <w:color w:val="auto"/>
          <w:kern w:val="1"/>
          <w:sz w:val="24"/>
          <w:szCs w:val="24"/>
          <w:lang w:val="en-US" w:eastAsia="zh-CN" w:bidi="ar"/>
        </w:rPr>
      </w:pPr>
      <w:r>
        <w:rPr>
          <w:rFonts w:hint="eastAsia" w:ascii="宋体" w:hAnsi="宋体" w:eastAsia="宋体" w:cs="宋体"/>
          <w:b w:val="0"/>
          <w:bCs w:val="0"/>
          <w:color w:val="auto"/>
          <w:kern w:val="1"/>
          <w:sz w:val="24"/>
          <w:szCs w:val="24"/>
          <w:lang w:val="en-US" w:eastAsia="zh-CN" w:bidi="ar"/>
        </w:rPr>
        <w:t>4.4售价：0元。</w:t>
      </w:r>
    </w:p>
    <w:p w14:paraId="7A226A7E">
      <w:pPr>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firstLine="0" w:firstLineChars="0"/>
        <w:jc w:val="both"/>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落实政府采购政策需满足的资格要求：</w:t>
      </w:r>
    </w:p>
    <w:p w14:paraId="453D10E2">
      <w:pPr>
        <w:pStyle w:val="9"/>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本项目为专门面向中小企业采购项目，供应商应为中小微企业，须按要求提供《中小企业声明函》（残疾人福利性单位声明函、监狱企业证明文件），监狱企业、残疾人福利性单位视同小型或微型企业。</w:t>
      </w:r>
    </w:p>
    <w:p w14:paraId="3A3CC251">
      <w:pPr>
        <w:keepNext w:val="0"/>
        <w:keepLines w:val="0"/>
        <w:pageBreakBefore w:val="0"/>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注：专门面向中小企业采购的项目或者采购包，不再执行价格评审优惠的扶持政策。</w:t>
      </w:r>
    </w:p>
    <w:p w14:paraId="382E6B9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6.响应文件提交</w:t>
      </w:r>
    </w:p>
    <w:p w14:paraId="1FF0631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6.1截止时间：2026年</w:t>
      </w:r>
      <w:r>
        <w:rPr>
          <w:rFonts w:hint="eastAsia" w:ascii="宋体" w:hAnsi="宋体" w:cs="宋体"/>
          <w:color w:val="auto"/>
          <w:kern w:val="2"/>
          <w:sz w:val="24"/>
          <w:szCs w:val="24"/>
          <w:lang w:val="en-US" w:eastAsia="zh-CN" w:bidi="ar"/>
        </w:rPr>
        <w:t>6</w:t>
      </w:r>
      <w:r>
        <w:rPr>
          <w:rFonts w:hint="eastAsia" w:ascii="宋体" w:hAnsi="宋体" w:eastAsia="宋体" w:cs="宋体"/>
          <w:color w:val="auto"/>
          <w:kern w:val="2"/>
          <w:sz w:val="24"/>
          <w:szCs w:val="24"/>
          <w:lang w:val="en-US" w:eastAsia="zh-CN" w:bidi="ar"/>
        </w:rPr>
        <w:t>月</w:t>
      </w:r>
      <w:r>
        <w:rPr>
          <w:rFonts w:hint="eastAsia" w:ascii="宋体" w:hAnsi="宋体" w:cs="宋体"/>
          <w:color w:val="auto"/>
          <w:kern w:val="2"/>
          <w:sz w:val="24"/>
          <w:szCs w:val="24"/>
          <w:lang w:val="en-US" w:eastAsia="zh-CN" w:bidi="ar"/>
        </w:rPr>
        <w:t>24</w:t>
      </w:r>
      <w:r>
        <w:rPr>
          <w:rFonts w:hint="eastAsia" w:ascii="宋体" w:hAnsi="宋体" w:eastAsia="宋体" w:cs="宋体"/>
          <w:color w:val="auto"/>
          <w:kern w:val="2"/>
          <w:sz w:val="24"/>
          <w:szCs w:val="24"/>
          <w:lang w:val="en-US" w:eastAsia="zh-CN" w:bidi="ar"/>
        </w:rPr>
        <w:t>日14时30分（北京时间）</w:t>
      </w:r>
    </w:p>
    <w:p w14:paraId="5ED222D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480" w:firstLineChars="200"/>
        <w:jc w:val="both"/>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6.2地点：政府采购云平台（https://www.zcygov.cn/）</w:t>
      </w:r>
    </w:p>
    <w:p w14:paraId="31A1449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both"/>
        <w:textAlignment w:val="auto"/>
        <w:rPr>
          <w:rFonts w:hint="eastAsia" w:ascii="宋体" w:hAnsi="宋体" w:eastAsia="宋体" w:cs="宋体"/>
          <w:b w:val="0"/>
          <w:bCs w:val="0"/>
          <w:color w:val="auto"/>
          <w:kern w:val="2"/>
          <w:sz w:val="24"/>
          <w:szCs w:val="24"/>
          <w:u w:val="single"/>
          <w:lang w:val="en-US" w:eastAsia="zh-CN" w:bidi="ar"/>
        </w:rPr>
      </w:pPr>
      <w:r>
        <w:rPr>
          <w:rFonts w:hint="eastAsia" w:ascii="宋体" w:hAnsi="宋体" w:eastAsia="宋体" w:cs="宋体"/>
          <w:color w:val="auto"/>
          <w:kern w:val="2"/>
          <w:sz w:val="24"/>
          <w:szCs w:val="24"/>
          <w:lang w:val="en-US" w:eastAsia="zh-CN" w:bidi="ar"/>
        </w:rPr>
        <w:t>注：因本项目采购方式为竞争性磋商，最后报价为线上填报，磋商申请人在“政采云”平台提交电子版磋商响应文件时，请填写参加远程采购活动经办人联系方式，并于开标当日在系统上等待代理机构通知最后报价。</w:t>
      </w:r>
    </w:p>
    <w:p w14:paraId="4D01A7C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both"/>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7.开启</w:t>
      </w:r>
    </w:p>
    <w:p w14:paraId="77EF371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7.1、时间： 2026年</w:t>
      </w:r>
      <w:r>
        <w:rPr>
          <w:rFonts w:hint="eastAsia" w:ascii="宋体" w:hAnsi="宋体" w:cs="宋体"/>
          <w:color w:val="auto"/>
          <w:kern w:val="2"/>
          <w:sz w:val="24"/>
          <w:szCs w:val="24"/>
          <w:lang w:val="en-US" w:eastAsia="zh-CN" w:bidi="ar"/>
        </w:rPr>
        <w:t>6</w:t>
      </w:r>
      <w:r>
        <w:rPr>
          <w:rFonts w:hint="eastAsia" w:ascii="宋体" w:hAnsi="宋体" w:eastAsia="宋体" w:cs="宋体"/>
          <w:color w:val="auto"/>
          <w:kern w:val="2"/>
          <w:sz w:val="24"/>
          <w:szCs w:val="24"/>
          <w:lang w:val="en-US" w:eastAsia="zh-CN" w:bidi="ar"/>
        </w:rPr>
        <w:t>月</w:t>
      </w:r>
      <w:r>
        <w:rPr>
          <w:rFonts w:hint="eastAsia" w:ascii="宋体" w:hAnsi="宋体" w:cs="宋体"/>
          <w:color w:val="auto"/>
          <w:kern w:val="2"/>
          <w:sz w:val="24"/>
          <w:szCs w:val="24"/>
          <w:lang w:val="en-US" w:eastAsia="zh-CN" w:bidi="ar"/>
        </w:rPr>
        <w:t>24</w:t>
      </w:r>
      <w:r>
        <w:rPr>
          <w:rFonts w:hint="eastAsia" w:ascii="宋体" w:hAnsi="宋体" w:eastAsia="宋体" w:cs="宋体"/>
          <w:color w:val="auto"/>
          <w:kern w:val="2"/>
          <w:sz w:val="24"/>
          <w:szCs w:val="24"/>
          <w:lang w:val="en-US" w:eastAsia="zh-CN" w:bidi="ar"/>
        </w:rPr>
        <w:t>日14:30（北京时间）。</w:t>
      </w:r>
    </w:p>
    <w:p w14:paraId="3FEF5E3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7.2、地点：</w:t>
      </w:r>
      <w:r>
        <w:rPr>
          <w:rFonts w:hint="eastAsia" w:ascii="宋体" w:hAnsi="宋体" w:eastAsia="宋体" w:cs="宋体"/>
          <w:color w:val="auto"/>
          <w:sz w:val="24"/>
          <w:szCs w:val="24"/>
          <w:lang w:val="zh-CN"/>
        </w:rPr>
        <w:t>政府采购云平台（https://www.zcygov.cn/）</w:t>
      </w:r>
    </w:p>
    <w:p w14:paraId="0FBC4BB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磋商申请人在磋商前务必认真阅读竞争性磋商文件全部内容，竞争性磋商文件如有变更，将以书面形式通知各磋商申请人。</w:t>
      </w:r>
    </w:p>
    <w:p w14:paraId="4C6355D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both"/>
        <w:textAlignment w:val="auto"/>
        <w:rPr>
          <w:rFonts w:hint="eastAsia" w:ascii="宋体" w:hAnsi="宋体" w:eastAsia="宋体" w:cs="宋体"/>
          <w:color w:val="auto"/>
          <w:kern w:val="2"/>
          <w:sz w:val="24"/>
          <w:szCs w:val="24"/>
          <w:lang w:val="zh-CN" w:eastAsia="zh-CN" w:bidi="ar"/>
        </w:rPr>
      </w:pPr>
      <w:r>
        <w:rPr>
          <w:rFonts w:hint="eastAsia" w:ascii="宋体" w:hAnsi="宋体" w:eastAsia="宋体" w:cs="宋体"/>
          <w:color w:val="auto"/>
          <w:kern w:val="2"/>
          <w:sz w:val="24"/>
          <w:szCs w:val="24"/>
          <w:lang w:val="en-US" w:eastAsia="zh-CN" w:bidi="ar"/>
        </w:rPr>
        <w:t>8.</w:t>
      </w:r>
      <w:r>
        <w:rPr>
          <w:rFonts w:hint="eastAsia" w:ascii="宋体" w:hAnsi="宋体" w:eastAsia="宋体" w:cs="宋体"/>
          <w:color w:val="auto"/>
          <w:kern w:val="2"/>
          <w:sz w:val="24"/>
          <w:szCs w:val="24"/>
          <w:lang w:val="zh-CN" w:eastAsia="zh-CN" w:bidi="ar"/>
        </w:rPr>
        <w:t>发布公告的媒介</w:t>
      </w:r>
    </w:p>
    <w:p w14:paraId="70DE727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lang w:val="zh-CN" w:eastAsia="zh-CN" w:bidi="ar"/>
        </w:rPr>
      </w:pPr>
      <w:r>
        <w:rPr>
          <w:rFonts w:hint="eastAsia" w:ascii="宋体" w:hAnsi="宋体" w:eastAsia="宋体" w:cs="宋体"/>
          <w:color w:val="auto"/>
          <w:kern w:val="2"/>
          <w:sz w:val="24"/>
          <w:szCs w:val="24"/>
          <w:lang w:val="zh-CN" w:eastAsia="zh-CN" w:bidi="ar"/>
        </w:rPr>
        <w:t>本次公告在“云南省政府采购网”（www.yngp.com）及政采云平台</w:t>
      </w:r>
    </w:p>
    <w:p w14:paraId="29052FE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firstLine="480" w:firstLineChars="200"/>
        <w:jc w:val="both"/>
        <w:textAlignment w:val="auto"/>
        <w:rPr>
          <w:rFonts w:hint="eastAsia" w:ascii="宋体" w:hAnsi="宋体" w:eastAsia="宋体" w:cs="宋体"/>
          <w:color w:val="auto"/>
          <w:kern w:val="2"/>
          <w:sz w:val="24"/>
          <w:szCs w:val="24"/>
          <w:lang w:val="zh-CN" w:eastAsia="zh-CN" w:bidi="ar"/>
        </w:rPr>
      </w:pPr>
      <w:r>
        <w:rPr>
          <w:rFonts w:hint="eastAsia" w:ascii="宋体" w:hAnsi="宋体" w:eastAsia="宋体" w:cs="宋体"/>
          <w:color w:val="auto"/>
          <w:kern w:val="2"/>
          <w:sz w:val="24"/>
          <w:szCs w:val="24"/>
          <w:lang w:val="zh-CN" w:eastAsia="zh-CN" w:bidi="ar"/>
        </w:rPr>
        <w:t>（https://www.zcygov.cn/）上发布，我单位对其他网站或媒体转载的公告及公告内容不承担任何责任发布。</w:t>
      </w:r>
    </w:p>
    <w:p w14:paraId="2AD59DA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both"/>
        <w:textAlignment w:val="auto"/>
        <w:rPr>
          <w:rFonts w:hint="eastAsia" w:ascii="宋体" w:hAnsi="宋体" w:eastAsia="宋体" w:cs="宋体"/>
          <w:color w:val="auto"/>
          <w:kern w:val="2"/>
          <w:sz w:val="24"/>
          <w:szCs w:val="24"/>
          <w:lang w:val="zh-CN" w:eastAsia="zh-CN" w:bidi="ar"/>
        </w:rPr>
      </w:pPr>
      <w:r>
        <w:rPr>
          <w:rFonts w:hint="eastAsia" w:ascii="宋体" w:hAnsi="宋体" w:eastAsia="宋体" w:cs="宋体"/>
          <w:color w:val="auto"/>
          <w:kern w:val="2"/>
          <w:sz w:val="24"/>
          <w:szCs w:val="24"/>
          <w:lang w:val="en-US" w:eastAsia="zh-CN" w:bidi="ar"/>
        </w:rPr>
        <w:t>9.</w:t>
      </w:r>
      <w:r>
        <w:rPr>
          <w:rFonts w:hint="eastAsia" w:ascii="宋体" w:hAnsi="宋体" w:eastAsia="宋体" w:cs="宋体"/>
          <w:color w:val="auto"/>
          <w:kern w:val="2"/>
          <w:sz w:val="24"/>
          <w:szCs w:val="24"/>
          <w:lang w:val="zh-CN" w:eastAsia="zh-CN" w:bidi="ar"/>
        </w:rPr>
        <w:t>联系方式：</w:t>
      </w:r>
    </w:p>
    <w:p w14:paraId="5957C8E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both"/>
        <w:textAlignment w:val="auto"/>
        <w:rPr>
          <w:rFonts w:hint="eastAsia" w:ascii="宋体" w:hAnsi="宋体" w:eastAsia="宋体" w:cs="宋体"/>
          <w:color w:val="auto"/>
          <w:kern w:val="2"/>
          <w:sz w:val="24"/>
          <w:szCs w:val="24"/>
          <w:lang w:val="zh-CN" w:eastAsia="zh-CN" w:bidi="ar"/>
        </w:rPr>
      </w:pPr>
      <w:r>
        <w:rPr>
          <w:rFonts w:hint="eastAsia" w:ascii="宋体" w:hAnsi="宋体" w:eastAsia="宋体" w:cs="宋体"/>
          <w:color w:val="auto"/>
          <w:kern w:val="2"/>
          <w:sz w:val="24"/>
          <w:szCs w:val="24"/>
          <w:lang w:val="zh-CN" w:eastAsia="zh-CN" w:bidi="ar"/>
        </w:rPr>
        <w:t>招标单位：蒙自市文澜中心学校</w:t>
      </w:r>
      <w:r>
        <w:rPr>
          <w:rFonts w:hint="eastAsia" w:ascii="宋体" w:hAnsi="宋体" w:eastAsia="宋体" w:cs="宋体"/>
          <w:color w:val="auto"/>
          <w:kern w:val="2"/>
          <w:sz w:val="24"/>
          <w:szCs w:val="24"/>
          <w:lang w:val="en-US" w:eastAsia="zh-CN" w:bidi="ar"/>
        </w:rPr>
        <w:t xml:space="preserve">    </w:t>
      </w:r>
    </w:p>
    <w:p w14:paraId="6F71D26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both"/>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zh-CN" w:eastAsia="zh-CN" w:bidi="ar"/>
        </w:rPr>
        <w:t>地  址：蒙自市小东山小学</w:t>
      </w:r>
      <w:r>
        <w:rPr>
          <w:rFonts w:hint="eastAsia" w:ascii="宋体" w:hAnsi="宋体" w:eastAsia="宋体" w:cs="宋体"/>
          <w:color w:val="auto"/>
          <w:kern w:val="2"/>
          <w:sz w:val="24"/>
          <w:szCs w:val="24"/>
          <w:lang w:val="en-US" w:eastAsia="zh-CN" w:bidi="ar"/>
        </w:rPr>
        <w:t>　　　　　　　　　　　　　　　　　　　　</w:t>
      </w:r>
    </w:p>
    <w:p w14:paraId="6CF2B8D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both"/>
        <w:textAlignment w:val="auto"/>
        <w:rPr>
          <w:rFonts w:hint="eastAsia" w:ascii="宋体" w:hAnsi="宋体" w:eastAsia="宋体" w:cs="宋体"/>
          <w:color w:val="auto"/>
          <w:kern w:val="2"/>
          <w:sz w:val="24"/>
          <w:szCs w:val="24"/>
          <w:lang w:val="zh-CN" w:eastAsia="zh-CN" w:bidi="ar"/>
        </w:rPr>
      </w:pPr>
      <w:r>
        <w:rPr>
          <w:rFonts w:hint="eastAsia" w:ascii="宋体" w:hAnsi="宋体" w:eastAsia="宋体" w:cs="宋体"/>
          <w:color w:val="auto"/>
          <w:kern w:val="2"/>
          <w:sz w:val="24"/>
          <w:szCs w:val="24"/>
          <w:lang w:val="zh-CN" w:eastAsia="zh-CN" w:bidi="ar"/>
        </w:rPr>
        <w:t xml:space="preserve">联系人：杨老师                 　 </w:t>
      </w:r>
    </w:p>
    <w:p w14:paraId="032F794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both"/>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zh-CN" w:eastAsia="zh-CN" w:bidi="ar"/>
        </w:rPr>
        <w:t>电  话：</w:t>
      </w:r>
      <w:r>
        <w:rPr>
          <w:rFonts w:hint="eastAsia" w:ascii="宋体" w:hAnsi="宋体" w:eastAsia="宋体" w:cs="宋体"/>
          <w:color w:val="auto"/>
          <w:kern w:val="2"/>
          <w:sz w:val="24"/>
          <w:szCs w:val="24"/>
          <w:lang w:val="en-US" w:eastAsia="zh-CN" w:bidi="ar"/>
        </w:rPr>
        <w:t xml:space="preserve">13508830655 </w:t>
      </w:r>
      <w:r>
        <w:rPr>
          <w:rFonts w:hint="eastAsia" w:ascii="宋体" w:hAnsi="宋体" w:eastAsia="宋体" w:cs="宋体"/>
          <w:color w:val="auto"/>
          <w:kern w:val="2"/>
          <w:sz w:val="24"/>
          <w:szCs w:val="24"/>
          <w:lang w:val="zh-CN" w:eastAsia="zh-CN" w:bidi="ar"/>
        </w:rPr>
        <w:t xml:space="preserve">                 </w:t>
      </w:r>
    </w:p>
    <w:p w14:paraId="61C22E29">
      <w:pPr>
        <w:keepNext w:val="0"/>
        <w:keepLines w:val="0"/>
        <w:pageBreakBefore w:val="0"/>
        <w:widowControl/>
        <w:suppressLineNumbers w:val="0"/>
        <w:kinsoku/>
        <w:wordWrap/>
        <w:overflowPunct/>
        <w:topLinePunct w:val="0"/>
        <w:autoSpaceDE/>
        <w:autoSpaceDN/>
        <w:bidi w:val="0"/>
        <w:adjustRightInd/>
        <w:spacing w:line="360" w:lineRule="auto"/>
        <w:ind w:left="0" w:leftChars="0" w:firstLine="0" w:firstLineChars="0"/>
        <w:jc w:val="left"/>
        <w:textAlignment w:val="auto"/>
        <w:rPr>
          <w:rFonts w:hint="eastAsia" w:ascii="宋体" w:hAnsi="宋体" w:eastAsia="宋体" w:cs="宋体"/>
          <w:color w:val="auto"/>
          <w:kern w:val="2"/>
          <w:sz w:val="24"/>
          <w:szCs w:val="24"/>
          <w:lang w:val="zh-CN" w:eastAsia="zh-CN" w:bidi="ar"/>
        </w:rPr>
      </w:pPr>
      <w:r>
        <w:rPr>
          <w:rFonts w:hint="eastAsia" w:ascii="宋体" w:hAnsi="宋体" w:eastAsia="宋体" w:cs="宋体"/>
          <w:color w:val="auto"/>
          <w:kern w:val="2"/>
          <w:sz w:val="24"/>
          <w:szCs w:val="24"/>
          <w:lang w:val="zh-CN" w:eastAsia="zh-CN" w:bidi="ar"/>
        </w:rPr>
        <w:t>招标代理机构：云南恒嘉信招标代理有限公司</w:t>
      </w:r>
    </w:p>
    <w:p w14:paraId="06F97311">
      <w:pPr>
        <w:keepNext w:val="0"/>
        <w:keepLines w:val="0"/>
        <w:pageBreakBefore w:val="0"/>
        <w:widowControl/>
        <w:suppressLineNumbers w:val="0"/>
        <w:kinsoku/>
        <w:wordWrap/>
        <w:overflowPunct/>
        <w:topLinePunct w:val="0"/>
        <w:autoSpaceDE/>
        <w:autoSpaceDN/>
        <w:bidi w:val="0"/>
        <w:adjustRightInd/>
        <w:spacing w:line="360" w:lineRule="auto"/>
        <w:ind w:left="0" w:leftChars="0" w:firstLine="0" w:firstLineChars="0"/>
        <w:jc w:val="left"/>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zh-CN" w:eastAsia="zh-CN" w:bidi="ar"/>
        </w:rPr>
        <w:t>地  址：蒙自市兴隆路红河商城小区3-6栋</w:t>
      </w:r>
    </w:p>
    <w:p w14:paraId="46E43ACA">
      <w:pPr>
        <w:keepNext w:val="0"/>
        <w:keepLines w:val="0"/>
        <w:pageBreakBefore w:val="0"/>
        <w:widowControl/>
        <w:suppressLineNumbers w:val="0"/>
        <w:kinsoku/>
        <w:wordWrap/>
        <w:overflowPunct/>
        <w:topLinePunct w:val="0"/>
        <w:autoSpaceDE/>
        <w:autoSpaceDN/>
        <w:bidi w:val="0"/>
        <w:adjustRightInd/>
        <w:spacing w:line="360" w:lineRule="auto"/>
        <w:ind w:left="0" w:leftChars="0" w:firstLine="0" w:firstLineChars="0"/>
        <w:jc w:val="left"/>
        <w:textAlignment w:val="auto"/>
        <w:rPr>
          <w:rFonts w:hint="eastAsia" w:ascii="宋体" w:hAnsi="宋体" w:eastAsia="宋体" w:cs="宋体"/>
          <w:color w:val="auto"/>
          <w:kern w:val="2"/>
          <w:sz w:val="24"/>
          <w:szCs w:val="24"/>
          <w:lang w:val="zh-CN" w:eastAsia="zh-CN" w:bidi="ar"/>
        </w:rPr>
      </w:pPr>
      <w:r>
        <w:rPr>
          <w:rFonts w:hint="eastAsia" w:ascii="宋体" w:hAnsi="宋体" w:eastAsia="宋体" w:cs="宋体"/>
          <w:color w:val="auto"/>
          <w:kern w:val="2"/>
          <w:sz w:val="24"/>
          <w:szCs w:val="24"/>
          <w:lang w:val="zh-CN" w:eastAsia="zh-CN" w:bidi="ar"/>
        </w:rPr>
        <w:t>联系人： 王曦</w:t>
      </w:r>
    </w:p>
    <w:p w14:paraId="7FEBAB8B">
      <w:pPr>
        <w:keepNext w:val="0"/>
        <w:keepLines w:val="0"/>
        <w:pageBreakBefore w:val="0"/>
        <w:widowControl/>
        <w:suppressLineNumbers w:val="0"/>
        <w:kinsoku/>
        <w:wordWrap/>
        <w:overflowPunct/>
        <w:topLinePunct w:val="0"/>
        <w:autoSpaceDE/>
        <w:autoSpaceDN/>
        <w:bidi w:val="0"/>
        <w:adjustRightInd/>
        <w:spacing w:line="360" w:lineRule="auto"/>
        <w:ind w:left="0" w:leftChars="0" w:firstLine="0" w:firstLineChars="0"/>
        <w:jc w:val="left"/>
        <w:textAlignment w:val="auto"/>
        <w:rPr>
          <w:rFonts w:hint="eastAsia" w:ascii="宋体" w:hAnsi="宋体" w:eastAsia="宋体" w:cs="宋体"/>
          <w:color w:val="auto"/>
          <w:kern w:val="2"/>
          <w:sz w:val="24"/>
          <w:szCs w:val="24"/>
          <w:lang w:val="zh-CN" w:eastAsia="zh-CN" w:bidi="ar"/>
        </w:rPr>
      </w:pPr>
      <w:r>
        <w:rPr>
          <w:rFonts w:hint="eastAsia" w:ascii="宋体" w:hAnsi="宋体" w:eastAsia="宋体" w:cs="宋体"/>
          <w:color w:val="auto"/>
          <w:kern w:val="2"/>
          <w:sz w:val="24"/>
          <w:szCs w:val="24"/>
          <w:lang w:val="zh-CN" w:eastAsia="zh-CN" w:bidi="ar"/>
        </w:rPr>
        <w:t>电　话：</w:t>
      </w:r>
      <w:r>
        <w:rPr>
          <w:rFonts w:hint="eastAsia" w:ascii="宋体" w:hAnsi="宋体" w:eastAsia="宋体" w:cs="宋体"/>
          <w:color w:val="auto"/>
          <w:kern w:val="2"/>
          <w:sz w:val="24"/>
          <w:szCs w:val="24"/>
          <w:lang w:val="en-US" w:eastAsia="zh-CN" w:bidi="ar"/>
        </w:rPr>
        <w:t>13529951060</w:t>
      </w:r>
    </w:p>
    <w:p w14:paraId="201C5DCE">
      <w:pPr>
        <w:keepNext w:val="0"/>
        <w:keepLines w:val="0"/>
        <w:pageBreakBefore w:val="0"/>
        <w:widowControl/>
        <w:suppressLineNumbers w:val="0"/>
        <w:kinsoku/>
        <w:wordWrap/>
        <w:overflowPunct/>
        <w:topLinePunct w:val="0"/>
        <w:autoSpaceDE/>
        <w:autoSpaceDN/>
        <w:bidi w:val="0"/>
        <w:adjustRightInd/>
        <w:spacing w:line="360" w:lineRule="auto"/>
        <w:ind w:left="0" w:leftChars="0" w:firstLine="1680" w:firstLineChars="700"/>
        <w:jc w:val="right"/>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zh-CN" w:eastAsia="zh-CN" w:bidi="ar"/>
        </w:rPr>
        <w:t>202</w:t>
      </w:r>
      <w:r>
        <w:rPr>
          <w:rFonts w:hint="eastAsia" w:ascii="宋体" w:hAnsi="宋体" w:eastAsia="宋体" w:cs="宋体"/>
          <w:color w:val="auto"/>
          <w:kern w:val="2"/>
          <w:sz w:val="24"/>
          <w:szCs w:val="24"/>
          <w:lang w:val="en-US" w:eastAsia="zh-CN" w:bidi="ar"/>
        </w:rPr>
        <w:t>6</w:t>
      </w:r>
      <w:r>
        <w:rPr>
          <w:rFonts w:hint="eastAsia" w:ascii="宋体" w:hAnsi="宋体" w:eastAsia="宋体" w:cs="宋体"/>
          <w:color w:val="auto"/>
          <w:kern w:val="2"/>
          <w:sz w:val="24"/>
          <w:szCs w:val="24"/>
          <w:lang w:val="zh-CN" w:eastAsia="zh-CN" w:bidi="ar"/>
        </w:rPr>
        <w:t>年</w:t>
      </w:r>
      <w:r>
        <w:rPr>
          <w:rFonts w:hint="eastAsia" w:ascii="宋体" w:hAnsi="宋体" w:cs="宋体"/>
          <w:color w:val="auto"/>
          <w:kern w:val="2"/>
          <w:sz w:val="24"/>
          <w:szCs w:val="24"/>
          <w:lang w:val="en-US" w:eastAsia="zh-CN" w:bidi="ar"/>
        </w:rPr>
        <w:t>6</w:t>
      </w:r>
      <w:r>
        <w:rPr>
          <w:rFonts w:hint="eastAsia" w:ascii="宋体" w:hAnsi="宋体" w:eastAsia="宋体" w:cs="宋体"/>
          <w:color w:val="auto"/>
          <w:kern w:val="2"/>
          <w:sz w:val="24"/>
          <w:szCs w:val="24"/>
          <w:lang w:val="zh-CN" w:eastAsia="zh-CN" w:bidi="ar"/>
        </w:rPr>
        <w:t>月</w:t>
      </w:r>
      <w:r>
        <w:rPr>
          <w:rFonts w:hint="eastAsia" w:ascii="宋体" w:hAnsi="宋体" w:cs="宋体"/>
          <w:color w:val="auto"/>
          <w:kern w:val="2"/>
          <w:sz w:val="24"/>
          <w:szCs w:val="24"/>
          <w:lang w:val="en-US" w:eastAsia="zh-CN" w:bidi="ar"/>
        </w:rPr>
        <w:t>10</w:t>
      </w:r>
      <w:r>
        <w:rPr>
          <w:rFonts w:hint="eastAsia" w:ascii="宋体" w:hAnsi="宋体" w:eastAsia="宋体" w:cs="宋体"/>
          <w:color w:val="auto"/>
          <w:kern w:val="2"/>
          <w:sz w:val="24"/>
          <w:szCs w:val="24"/>
          <w:lang w:val="zh-CN" w:eastAsia="zh-CN" w:bidi="ar"/>
        </w:rPr>
        <w:t>日</w:t>
      </w:r>
    </w:p>
    <w:p w14:paraId="6691929E">
      <w:pPr>
        <w:pStyle w:val="2"/>
        <w:ind w:firstLine="2168" w:firstLineChars="900"/>
        <w:jc w:val="both"/>
        <w:rPr>
          <w:rFonts w:hint="eastAsia" w:ascii="宋体" w:hAnsi="宋体" w:eastAsia="宋体" w:cs="宋体"/>
          <w:color w:val="auto"/>
          <w:sz w:val="24"/>
          <w:szCs w:val="24"/>
        </w:rPr>
      </w:pPr>
      <w:r>
        <w:rPr>
          <w:rFonts w:hint="eastAsia" w:ascii="宋体" w:hAnsi="宋体" w:eastAsia="宋体" w:cs="宋体"/>
          <w:color w:val="auto"/>
          <w:sz w:val="24"/>
          <w:szCs w:val="24"/>
        </w:rPr>
        <w:br w:type="page"/>
      </w:r>
      <w:bookmarkStart w:id="5" w:name="_Toc16617"/>
      <w:r>
        <w:rPr>
          <w:rFonts w:hint="eastAsia" w:ascii="宋体" w:hAnsi="宋体" w:eastAsia="宋体" w:cs="宋体"/>
          <w:color w:val="auto"/>
          <w:sz w:val="24"/>
          <w:szCs w:val="24"/>
        </w:rPr>
        <w:t xml:space="preserve">第二章 </w:t>
      </w:r>
      <w:r>
        <w:rPr>
          <w:rFonts w:hint="eastAsia" w:ascii="宋体" w:hAnsi="宋体" w:eastAsia="宋体" w:cs="宋体"/>
          <w:color w:val="auto"/>
          <w:sz w:val="24"/>
          <w:szCs w:val="24"/>
          <w:lang w:eastAsia="zh-CN"/>
        </w:rPr>
        <w:t>磋商申请人</w:t>
      </w:r>
      <w:r>
        <w:rPr>
          <w:rFonts w:hint="eastAsia" w:ascii="宋体" w:hAnsi="宋体" w:eastAsia="宋体" w:cs="宋体"/>
          <w:color w:val="auto"/>
          <w:sz w:val="24"/>
          <w:szCs w:val="24"/>
        </w:rPr>
        <w:t>须知</w:t>
      </w:r>
      <w:bookmarkEnd w:id="5"/>
    </w:p>
    <w:p w14:paraId="66B2C851">
      <w:pPr>
        <w:bidi w:val="0"/>
        <w:jc w:val="center"/>
        <w:rPr>
          <w:rFonts w:hint="eastAsia" w:ascii="宋体" w:hAnsi="宋体" w:eastAsia="宋体" w:cs="宋体"/>
          <w:color w:val="auto"/>
          <w:sz w:val="24"/>
          <w:szCs w:val="24"/>
        </w:rPr>
      </w:pPr>
      <w:bookmarkStart w:id="6" w:name="_Toc317421048"/>
      <w:bookmarkStart w:id="7" w:name="_Toc13361"/>
      <w:bookmarkStart w:id="8" w:name="_Toc317360385"/>
      <w:bookmarkStart w:id="9" w:name="_Toc380530156"/>
      <w:r>
        <w:rPr>
          <w:rFonts w:hint="eastAsia" w:ascii="宋体" w:hAnsi="宋体" w:eastAsia="宋体" w:cs="宋体"/>
          <w:color w:val="auto"/>
          <w:sz w:val="24"/>
          <w:szCs w:val="24"/>
        </w:rPr>
        <w:t>磋商</w:t>
      </w:r>
      <w:r>
        <w:rPr>
          <w:rFonts w:hint="eastAsia" w:ascii="宋体" w:hAnsi="宋体" w:eastAsia="宋体" w:cs="宋体"/>
          <w:color w:val="auto"/>
          <w:sz w:val="24"/>
          <w:szCs w:val="24"/>
          <w:lang w:eastAsia="zh-CN"/>
        </w:rPr>
        <w:t>申请人</w:t>
      </w:r>
      <w:r>
        <w:rPr>
          <w:rFonts w:hint="eastAsia" w:ascii="宋体" w:hAnsi="宋体" w:eastAsia="宋体" w:cs="宋体"/>
          <w:color w:val="auto"/>
          <w:sz w:val="24"/>
          <w:szCs w:val="24"/>
        </w:rPr>
        <w:t>须知前附表</w:t>
      </w:r>
      <w:bookmarkEnd w:id="6"/>
      <w:bookmarkEnd w:id="7"/>
      <w:bookmarkEnd w:id="8"/>
    </w:p>
    <w:bookmarkEnd w:id="9"/>
    <w:tbl>
      <w:tblPr>
        <w:tblStyle w:val="25"/>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160"/>
        <w:gridCol w:w="6623"/>
      </w:tblGrid>
      <w:tr w14:paraId="7257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84" w:type="dxa"/>
            <w:noWrap w:val="0"/>
            <w:vAlign w:val="center"/>
          </w:tcPr>
          <w:p w14:paraId="2BD8509E">
            <w:pPr>
              <w:keepNext w:val="0"/>
              <w:keepLines w:val="0"/>
              <w:suppressLineNumbers w:val="0"/>
              <w:bidi w:val="0"/>
              <w:spacing w:before="0" w:beforeAutospacing="0" w:after="0" w:afterAutospacing="0"/>
              <w:ind w:left="0" w:leftChars="0" w:right="0" w:firstLine="0" w:firstLineChars="0"/>
              <w:jc w:val="left"/>
              <w:rPr>
                <w:rFonts w:hint="eastAsia" w:ascii="宋体" w:hAnsi="宋体" w:eastAsia="宋体" w:cs="宋体"/>
                <w:color w:val="auto"/>
                <w:sz w:val="24"/>
                <w:szCs w:val="24"/>
              </w:rPr>
            </w:pPr>
            <w:bookmarkStart w:id="10" w:name="_Toc1329"/>
            <w:r>
              <w:rPr>
                <w:rFonts w:hint="eastAsia" w:ascii="宋体" w:hAnsi="宋体" w:eastAsia="宋体" w:cs="宋体"/>
                <w:color w:val="auto"/>
                <w:sz w:val="24"/>
                <w:szCs w:val="24"/>
              </w:rPr>
              <w:t>条款号</w:t>
            </w:r>
          </w:p>
        </w:tc>
        <w:tc>
          <w:tcPr>
            <w:tcW w:w="2160" w:type="dxa"/>
            <w:noWrap w:val="0"/>
            <w:vAlign w:val="center"/>
          </w:tcPr>
          <w:p w14:paraId="2D19D3E2">
            <w:pPr>
              <w:keepNext w:val="0"/>
              <w:keepLines w:val="0"/>
              <w:suppressLineNumbers w:val="0"/>
              <w:bidi w:val="0"/>
              <w:spacing w:before="0" w:beforeAutospacing="0" w:after="0" w:afterAutospacing="0"/>
              <w:ind w:left="0" w:leftChars="0" w:right="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条  款  名  称</w:t>
            </w:r>
          </w:p>
        </w:tc>
        <w:tc>
          <w:tcPr>
            <w:tcW w:w="6623" w:type="dxa"/>
            <w:noWrap w:val="0"/>
            <w:vAlign w:val="center"/>
          </w:tcPr>
          <w:p w14:paraId="2EEC10F8">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编  列  内  容</w:t>
            </w:r>
          </w:p>
        </w:tc>
      </w:tr>
      <w:tr w14:paraId="2CE9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984" w:type="dxa"/>
            <w:noWrap w:val="0"/>
            <w:vAlign w:val="center"/>
          </w:tcPr>
          <w:p w14:paraId="4FEFA415">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lang w:eastAsia="zh-CN"/>
              </w:rPr>
            </w:pPr>
            <w:r>
              <w:rPr>
                <w:rFonts w:hint="eastAsia" w:ascii="宋体" w:hAnsi="宋体" w:eastAsia="宋体" w:cs="宋体"/>
                <w:sz w:val="24"/>
                <w:szCs w:val="24"/>
              </w:rPr>
              <w:t>1.1.2</w:t>
            </w:r>
          </w:p>
        </w:tc>
        <w:tc>
          <w:tcPr>
            <w:tcW w:w="2160" w:type="dxa"/>
            <w:noWrap w:val="0"/>
            <w:vAlign w:val="center"/>
          </w:tcPr>
          <w:p w14:paraId="3D086078">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采购人</w:t>
            </w:r>
          </w:p>
        </w:tc>
        <w:tc>
          <w:tcPr>
            <w:tcW w:w="6623" w:type="dxa"/>
            <w:noWrap w:val="0"/>
            <w:vAlign w:val="center"/>
          </w:tcPr>
          <w:p w14:paraId="75BB713B">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 称：</w:t>
            </w:r>
            <w:r>
              <w:rPr>
                <w:rFonts w:hint="eastAsia" w:ascii="宋体" w:hAnsi="宋体" w:eastAsia="宋体" w:cs="宋体"/>
                <w:color w:val="auto"/>
                <w:kern w:val="2"/>
                <w:sz w:val="24"/>
                <w:szCs w:val="24"/>
                <w:lang w:val="zh-CN" w:eastAsia="zh-CN" w:bidi="ar"/>
              </w:rPr>
              <w:t>蒙自市文澜中心学校</w:t>
            </w:r>
          </w:p>
          <w:p w14:paraId="01F0693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40" w:lineRule="exact"/>
              <w:ind w:left="0" w:leftChars="0" w:right="0" w:firstLine="0" w:firstLineChars="0"/>
              <w:jc w:val="both"/>
              <w:textAlignment w:val="auto"/>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0"/>
                <w:sz w:val="24"/>
                <w:szCs w:val="24"/>
                <w:lang w:eastAsia="zh-CN"/>
              </w:rPr>
              <w:t>地</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eastAsia="zh-CN"/>
              </w:rPr>
              <w:t>址：</w:t>
            </w:r>
            <w:r>
              <w:rPr>
                <w:rFonts w:hint="eastAsia" w:ascii="宋体" w:hAnsi="宋体" w:eastAsia="宋体" w:cs="宋体"/>
                <w:color w:val="auto"/>
                <w:kern w:val="2"/>
                <w:sz w:val="24"/>
                <w:szCs w:val="24"/>
                <w:lang w:val="zh-CN" w:eastAsia="zh-CN" w:bidi="ar"/>
              </w:rPr>
              <w:t>蒙自市小东山小学</w:t>
            </w:r>
            <w:r>
              <w:rPr>
                <w:rFonts w:hint="eastAsia" w:ascii="宋体" w:hAnsi="宋体" w:eastAsia="宋体" w:cs="宋体"/>
                <w:color w:val="auto"/>
                <w:kern w:val="2"/>
                <w:sz w:val="24"/>
                <w:szCs w:val="24"/>
                <w:lang w:val="en-US" w:eastAsia="zh-CN" w:bidi="ar"/>
              </w:rPr>
              <w:t>　　　　　　　　　　　　　　　　　　　　</w:t>
            </w:r>
          </w:p>
          <w:p w14:paraId="240ADC4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40" w:lineRule="exact"/>
              <w:ind w:left="0" w:leftChars="0" w:right="0" w:firstLine="0" w:firstLineChars="0"/>
              <w:jc w:val="both"/>
              <w:textAlignment w:val="auto"/>
              <w:rPr>
                <w:rFonts w:hint="eastAsia" w:ascii="宋体" w:hAnsi="宋体" w:eastAsia="宋体" w:cs="宋体"/>
                <w:color w:val="auto"/>
                <w:kern w:val="2"/>
                <w:sz w:val="24"/>
                <w:szCs w:val="24"/>
                <w:lang w:val="zh-CN" w:eastAsia="zh-CN" w:bidi="ar"/>
              </w:rPr>
            </w:pPr>
            <w:r>
              <w:rPr>
                <w:rFonts w:hint="eastAsia" w:ascii="宋体" w:hAnsi="宋体" w:eastAsia="宋体" w:cs="宋体"/>
                <w:color w:val="auto"/>
                <w:kern w:val="2"/>
                <w:sz w:val="24"/>
                <w:szCs w:val="24"/>
                <w:lang w:val="zh-CN" w:eastAsia="zh-CN" w:bidi="ar"/>
              </w:rPr>
              <w:t xml:space="preserve">联系人：杨老师                 　 </w:t>
            </w:r>
          </w:p>
          <w:p w14:paraId="7DF0E4A4">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zh-CN" w:eastAsia="zh-CN" w:bidi="ar"/>
              </w:rPr>
              <w:t>电  话：</w:t>
            </w:r>
            <w:r>
              <w:rPr>
                <w:rFonts w:hint="eastAsia" w:ascii="宋体" w:hAnsi="宋体" w:eastAsia="宋体" w:cs="宋体"/>
                <w:color w:val="auto"/>
                <w:kern w:val="2"/>
                <w:sz w:val="24"/>
                <w:szCs w:val="24"/>
                <w:lang w:val="en-US" w:eastAsia="zh-CN" w:bidi="ar"/>
              </w:rPr>
              <w:t>13508830655</w:t>
            </w:r>
          </w:p>
        </w:tc>
      </w:tr>
      <w:tr w14:paraId="1564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984" w:type="dxa"/>
            <w:noWrap w:val="0"/>
            <w:vAlign w:val="center"/>
          </w:tcPr>
          <w:p w14:paraId="5B78130F">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lang w:eastAsia="zh-CN"/>
              </w:rPr>
            </w:pPr>
            <w:r>
              <w:rPr>
                <w:rFonts w:hint="eastAsia" w:ascii="宋体" w:hAnsi="宋体" w:eastAsia="宋体" w:cs="宋体"/>
                <w:sz w:val="24"/>
                <w:szCs w:val="24"/>
              </w:rPr>
              <w:t>1.1.3</w:t>
            </w:r>
          </w:p>
        </w:tc>
        <w:tc>
          <w:tcPr>
            <w:tcW w:w="2160" w:type="dxa"/>
            <w:noWrap w:val="0"/>
            <w:vAlign w:val="center"/>
          </w:tcPr>
          <w:p w14:paraId="4A8235AE">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代理机构</w:t>
            </w:r>
          </w:p>
        </w:tc>
        <w:tc>
          <w:tcPr>
            <w:tcW w:w="6623" w:type="dxa"/>
            <w:noWrap w:val="0"/>
            <w:vAlign w:val="center"/>
          </w:tcPr>
          <w:p w14:paraId="316719C8">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kern w:val="2"/>
                <w:sz w:val="24"/>
                <w:szCs w:val="24"/>
                <w:lang w:val="zh-CN" w:eastAsia="zh-CN" w:bidi="ar"/>
              </w:rPr>
            </w:pPr>
            <w:r>
              <w:rPr>
                <w:rFonts w:hint="eastAsia" w:ascii="宋体" w:hAnsi="宋体" w:eastAsia="宋体" w:cs="宋体"/>
                <w:color w:val="auto"/>
                <w:kern w:val="2"/>
                <w:sz w:val="24"/>
                <w:szCs w:val="24"/>
                <w:lang w:val="zh-CN" w:eastAsia="zh-CN" w:bidi="ar"/>
              </w:rPr>
              <w:t>名  称：云南恒嘉信招标代理有限公司</w:t>
            </w:r>
          </w:p>
          <w:p w14:paraId="4B032D23">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zh-CN" w:eastAsia="zh-CN" w:bidi="ar"/>
              </w:rPr>
              <w:t>地  址：蒙自市兴隆路红河商城小区3-6栋</w:t>
            </w:r>
          </w:p>
          <w:p w14:paraId="6DAF3C6D">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zh-CN" w:eastAsia="zh-CN" w:bidi="ar"/>
              </w:rPr>
              <w:t>联 系 人： 王曦</w:t>
            </w:r>
          </w:p>
          <w:p w14:paraId="049759B5">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zh-CN" w:eastAsia="zh-CN" w:bidi="ar"/>
              </w:rPr>
              <w:t>电    话：</w:t>
            </w:r>
            <w:r>
              <w:rPr>
                <w:rFonts w:hint="eastAsia" w:ascii="宋体" w:hAnsi="宋体" w:eastAsia="宋体" w:cs="宋体"/>
                <w:color w:val="auto"/>
                <w:kern w:val="2"/>
                <w:sz w:val="24"/>
                <w:szCs w:val="24"/>
                <w:lang w:val="en-US" w:eastAsia="zh-CN" w:bidi="ar"/>
              </w:rPr>
              <w:t>13529951060</w:t>
            </w:r>
          </w:p>
        </w:tc>
      </w:tr>
      <w:tr w14:paraId="2F86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jc w:val="center"/>
        </w:trPr>
        <w:tc>
          <w:tcPr>
            <w:tcW w:w="984" w:type="dxa"/>
            <w:noWrap w:val="0"/>
            <w:vAlign w:val="center"/>
          </w:tcPr>
          <w:p w14:paraId="118284C3">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lang w:eastAsia="zh-CN"/>
              </w:rPr>
            </w:pPr>
            <w:r>
              <w:rPr>
                <w:rFonts w:hint="eastAsia" w:ascii="宋体" w:hAnsi="宋体" w:eastAsia="宋体" w:cs="宋体"/>
                <w:sz w:val="24"/>
                <w:szCs w:val="24"/>
              </w:rPr>
              <w:t>1.1.4</w:t>
            </w:r>
          </w:p>
        </w:tc>
        <w:tc>
          <w:tcPr>
            <w:tcW w:w="2160" w:type="dxa"/>
            <w:noWrap w:val="0"/>
            <w:vAlign w:val="center"/>
          </w:tcPr>
          <w:p w14:paraId="7B216B1C">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623" w:type="dxa"/>
            <w:noWrap w:val="0"/>
            <w:vAlign w:val="center"/>
          </w:tcPr>
          <w:p w14:paraId="104D8894">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lang w:eastAsia="zh-CN"/>
              </w:rPr>
            </w:pPr>
            <w:r>
              <w:rPr>
                <w:rFonts w:hint="eastAsia" w:ascii="宋体" w:hAnsi="宋体" w:cs="宋体"/>
                <w:color w:val="auto"/>
                <w:kern w:val="2"/>
                <w:sz w:val="24"/>
                <w:szCs w:val="24"/>
                <w:lang w:val="en-US" w:eastAsia="zh-CN" w:bidi="ar"/>
              </w:rPr>
              <w:t>蒙自市文澜中心学校采购保安服务（三次）</w:t>
            </w:r>
          </w:p>
        </w:tc>
      </w:tr>
      <w:tr w14:paraId="1F73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exact"/>
          <w:jc w:val="center"/>
        </w:trPr>
        <w:tc>
          <w:tcPr>
            <w:tcW w:w="984" w:type="dxa"/>
            <w:noWrap w:val="0"/>
            <w:vAlign w:val="center"/>
          </w:tcPr>
          <w:p w14:paraId="6C83AEB4">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1.1.5</w:t>
            </w:r>
          </w:p>
        </w:tc>
        <w:tc>
          <w:tcPr>
            <w:tcW w:w="2160" w:type="dxa"/>
            <w:noWrap w:val="0"/>
            <w:vAlign w:val="center"/>
          </w:tcPr>
          <w:p w14:paraId="39143B94">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地点</w:t>
            </w:r>
          </w:p>
        </w:tc>
        <w:tc>
          <w:tcPr>
            <w:tcW w:w="6623" w:type="dxa"/>
            <w:noWrap w:val="0"/>
            <w:vAlign w:val="center"/>
          </w:tcPr>
          <w:p w14:paraId="71FD50A6">
            <w:pPr>
              <w:keepNext w:val="0"/>
              <w:keepLines w:val="0"/>
              <w:suppressLineNumbers w:val="0"/>
              <w:bidi w:val="0"/>
              <w:spacing w:before="0" w:beforeAutospacing="0" w:after="0" w:afterAutospacing="0"/>
              <w:ind w:left="0" w:leftChars="0" w:right="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
              </w:rPr>
              <w:t>蒙自市文澜中心学校</w:t>
            </w:r>
          </w:p>
        </w:tc>
      </w:tr>
      <w:tr w14:paraId="1D10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84" w:type="dxa"/>
            <w:noWrap w:val="0"/>
            <w:vAlign w:val="center"/>
          </w:tcPr>
          <w:p w14:paraId="0D3BF600">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lang w:eastAsia="zh-CN"/>
              </w:rPr>
            </w:pPr>
            <w:r>
              <w:rPr>
                <w:rFonts w:hint="eastAsia" w:ascii="宋体" w:hAnsi="宋体" w:eastAsia="宋体" w:cs="宋体"/>
                <w:sz w:val="24"/>
                <w:szCs w:val="24"/>
              </w:rPr>
              <w:t>1.2.1</w:t>
            </w:r>
          </w:p>
        </w:tc>
        <w:tc>
          <w:tcPr>
            <w:tcW w:w="2160" w:type="dxa"/>
            <w:noWrap w:val="0"/>
            <w:vAlign w:val="center"/>
          </w:tcPr>
          <w:p w14:paraId="6691FB67">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资金来源</w:t>
            </w:r>
            <w:r>
              <w:rPr>
                <w:rFonts w:hint="eastAsia" w:ascii="宋体" w:hAnsi="宋体" w:eastAsia="宋体" w:cs="宋体"/>
                <w:color w:val="auto"/>
                <w:sz w:val="24"/>
                <w:szCs w:val="24"/>
                <w:lang w:eastAsia="zh-CN"/>
              </w:rPr>
              <w:t>与落实情况</w:t>
            </w:r>
          </w:p>
        </w:tc>
        <w:tc>
          <w:tcPr>
            <w:tcW w:w="6623" w:type="dxa"/>
            <w:noWrap w:val="0"/>
            <w:vAlign w:val="center"/>
          </w:tcPr>
          <w:p w14:paraId="02F5C5BC">
            <w:pPr>
              <w:keepNext w:val="0"/>
              <w:keepLines w:val="0"/>
              <w:suppressLineNumbers w:val="0"/>
              <w:bidi w:val="0"/>
              <w:spacing w:before="0" w:beforeAutospacing="0" w:after="0" w:afterAutospacing="0"/>
              <w:ind w:left="0" w:leftChars="0" w:right="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财政资金，已落实</w:t>
            </w:r>
          </w:p>
        </w:tc>
      </w:tr>
      <w:tr w14:paraId="57FA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84" w:type="dxa"/>
            <w:noWrap w:val="0"/>
            <w:vAlign w:val="center"/>
          </w:tcPr>
          <w:p w14:paraId="018922EA">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lang w:eastAsia="zh-CN"/>
              </w:rPr>
            </w:pPr>
            <w:r>
              <w:rPr>
                <w:rFonts w:hint="eastAsia" w:ascii="宋体" w:hAnsi="宋体" w:eastAsia="宋体" w:cs="宋体"/>
                <w:sz w:val="24"/>
                <w:szCs w:val="24"/>
              </w:rPr>
              <w:t>1.3.1</w:t>
            </w:r>
          </w:p>
        </w:tc>
        <w:tc>
          <w:tcPr>
            <w:tcW w:w="2160" w:type="dxa"/>
            <w:noWrap w:val="0"/>
            <w:vAlign w:val="center"/>
          </w:tcPr>
          <w:p w14:paraId="6C4EFC14">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范围</w:t>
            </w:r>
          </w:p>
        </w:tc>
        <w:tc>
          <w:tcPr>
            <w:tcW w:w="6623" w:type="dxa"/>
            <w:noWrap w:val="0"/>
            <w:vAlign w:val="center"/>
          </w:tcPr>
          <w:p w14:paraId="3B52ECE8">
            <w:pPr>
              <w:keepNext w:val="0"/>
              <w:keepLines w:val="0"/>
              <w:suppressLineNumbers w:val="0"/>
              <w:bidi w:val="0"/>
              <w:spacing w:before="0" w:beforeAutospacing="0" w:after="0" w:afterAutospacing="0"/>
              <w:ind w:left="0" w:leftChars="0" w:right="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学校保安服务，派驻</w:t>
            </w:r>
            <w:r>
              <w:rPr>
                <w:rFonts w:hint="eastAsia" w:ascii="宋体" w:hAnsi="宋体" w:eastAsia="宋体" w:cs="宋体"/>
                <w:color w:val="auto"/>
                <w:sz w:val="24"/>
                <w:szCs w:val="24"/>
              </w:rPr>
              <w:t>安保人员</w:t>
            </w:r>
            <w:r>
              <w:rPr>
                <w:rFonts w:hint="eastAsia" w:ascii="宋体" w:hAnsi="宋体" w:eastAsia="宋体" w:cs="宋体"/>
                <w:color w:val="auto"/>
                <w:sz w:val="24"/>
                <w:szCs w:val="24"/>
                <w:lang w:eastAsia="zh-CN"/>
              </w:rPr>
              <w:t>不少于</w:t>
            </w:r>
            <w:r>
              <w:rPr>
                <w:rFonts w:hint="eastAsia" w:ascii="宋体" w:hAnsi="宋体" w:eastAsia="宋体" w:cs="宋体"/>
                <w:color w:val="auto"/>
                <w:sz w:val="24"/>
                <w:szCs w:val="24"/>
                <w:lang w:val="en-US" w:eastAsia="zh-CN"/>
              </w:rPr>
              <w:t>9人</w:t>
            </w:r>
          </w:p>
        </w:tc>
      </w:tr>
      <w:tr w14:paraId="244D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84" w:type="dxa"/>
            <w:noWrap w:val="0"/>
            <w:vAlign w:val="center"/>
          </w:tcPr>
          <w:p w14:paraId="33D60A55">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lang w:eastAsia="zh-CN"/>
              </w:rPr>
            </w:pPr>
            <w:r>
              <w:rPr>
                <w:rFonts w:hint="eastAsia" w:ascii="宋体" w:hAnsi="宋体" w:eastAsia="宋体" w:cs="宋体"/>
                <w:sz w:val="24"/>
                <w:szCs w:val="24"/>
              </w:rPr>
              <w:t>1.3.2</w:t>
            </w:r>
          </w:p>
        </w:tc>
        <w:tc>
          <w:tcPr>
            <w:tcW w:w="2160" w:type="dxa"/>
            <w:noWrap w:val="0"/>
            <w:vAlign w:val="center"/>
          </w:tcPr>
          <w:p w14:paraId="2B25AD42">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服务期限</w:t>
            </w:r>
          </w:p>
        </w:tc>
        <w:tc>
          <w:tcPr>
            <w:tcW w:w="6623" w:type="dxa"/>
            <w:noWrap w:val="0"/>
            <w:vAlign w:val="center"/>
          </w:tcPr>
          <w:p w14:paraId="11D409E5">
            <w:pPr>
              <w:keepNext w:val="0"/>
              <w:keepLines w:val="0"/>
              <w:suppressLineNumbers w:val="0"/>
              <w:bidi w:val="0"/>
              <w:spacing w:before="0" w:beforeAutospacing="0" w:after="0" w:afterAutospacing="0"/>
              <w:ind w:left="0" w:leftChars="0" w:right="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u w:val="none"/>
                <w:lang w:eastAsia="zh-CN"/>
              </w:rPr>
              <w:t>自签订合同起服务期限1年。</w:t>
            </w:r>
          </w:p>
        </w:tc>
      </w:tr>
      <w:tr w14:paraId="3BE5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84" w:type="dxa"/>
            <w:noWrap w:val="0"/>
            <w:vAlign w:val="center"/>
          </w:tcPr>
          <w:p w14:paraId="5F1DEE61">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1.3.3</w:t>
            </w:r>
          </w:p>
        </w:tc>
        <w:tc>
          <w:tcPr>
            <w:tcW w:w="2160" w:type="dxa"/>
            <w:noWrap w:val="0"/>
            <w:vAlign w:val="center"/>
          </w:tcPr>
          <w:p w14:paraId="02D0CC8E">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质量要求</w:t>
            </w:r>
          </w:p>
        </w:tc>
        <w:tc>
          <w:tcPr>
            <w:tcW w:w="6623" w:type="dxa"/>
            <w:noWrap w:val="0"/>
            <w:vAlign w:val="center"/>
          </w:tcPr>
          <w:p w14:paraId="61EF169D">
            <w:pPr>
              <w:keepNext w:val="0"/>
              <w:keepLines w:val="0"/>
              <w:suppressLineNumbers w:val="0"/>
              <w:bidi w:val="0"/>
              <w:spacing w:before="0" w:beforeAutospacing="0" w:after="0" w:afterAutospacing="0"/>
              <w:ind w:left="0" w:leftChars="0" w:right="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kern w:val="2"/>
                <w:sz w:val="24"/>
                <w:szCs w:val="24"/>
                <w:lang w:val="en-US" w:eastAsia="zh-CN" w:bidi="ar"/>
              </w:rPr>
              <w:t>按照《保安服务管理条例》《保安服务操作规程与质量控制》GA/T594-2006及《云南省保安服务管理条例》的规定，满足采购人需求</w:t>
            </w:r>
          </w:p>
        </w:tc>
      </w:tr>
      <w:tr w14:paraId="1FEF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84" w:type="dxa"/>
            <w:noWrap w:val="0"/>
            <w:vAlign w:val="center"/>
          </w:tcPr>
          <w:p w14:paraId="3A22C3D4">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lang w:eastAsia="zh-CN"/>
              </w:rPr>
            </w:pPr>
            <w:r>
              <w:rPr>
                <w:rFonts w:hint="eastAsia" w:ascii="宋体" w:hAnsi="宋体" w:eastAsia="宋体" w:cs="宋体"/>
                <w:sz w:val="24"/>
                <w:szCs w:val="24"/>
              </w:rPr>
              <w:t>1.4.1</w:t>
            </w:r>
          </w:p>
        </w:tc>
        <w:tc>
          <w:tcPr>
            <w:tcW w:w="2160" w:type="dxa"/>
            <w:noWrap w:val="0"/>
            <w:vAlign w:val="center"/>
          </w:tcPr>
          <w:p w14:paraId="190041B3">
            <w:pPr>
              <w:keepNext w:val="0"/>
              <w:keepLines w:val="0"/>
              <w:suppressLineNumbers w:val="0"/>
              <w:bidi w:val="0"/>
              <w:spacing w:before="0" w:beforeAutospacing="0" w:after="0" w:afterAutospacing="0"/>
              <w:ind w:left="0" w:leftChars="0" w:right="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磋商申请人</w:t>
            </w:r>
            <w:r>
              <w:rPr>
                <w:rFonts w:hint="eastAsia" w:ascii="宋体" w:hAnsi="宋体" w:eastAsia="宋体" w:cs="宋体"/>
                <w:color w:val="auto"/>
                <w:sz w:val="24"/>
                <w:szCs w:val="24"/>
              </w:rPr>
              <w:t>资格要求</w:t>
            </w:r>
          </w:p>
        </w:tc>
        <w:tc>
          <w:tcPr>
            <w:tcW w:w="6623" w:type="dxa"/>
            <w:noWrap w:val="0"/>
            <w:vAlign w:val="center"/>
          </w:tcPr>
          <w:p w14:paraId="08A2F585">
            <w:pPr>
              <w:pStyle w:val="2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kern w:val="1"/>
                <w:sz w:val="24"/>
                <w:szCs w:val="24"/>
                <w:lang w:val="en-US" w:eastAsia="zh-CN" w:bidi="ar"/>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磋商申请人资格要求</w:t>
            </w:r>
          </w:p>
          <w:p w14:paraId="5E24D2A7">
            <w:pPr>
              <w:pStyle w:val="2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kern w:val="1"/>
                <w:sz w:val="24"/>
                <w:szCs w:val="24"/>
                <w:lang w:val="en-US" w:eastAsia="zh-CN" w:bidi="ar"/>
              </w:rPr>
            </w:pPr>
            <w:r>
              <w:rPr>
                <w:rFonts w:hint="eastAsia" w:ascii="宋体" w:hAnsi="宋体" w:eastAsia="宋体" w:cs="宋体"/>
                <w:b w:val="0"/>
                <w:bCs w:val="0"/>
                <w:color w:val="auto"/>
                <w:kern w:val="1"/>
                <w:sz w:val="24"/>
                <w:szCs w:val="24"/>
                <w:lang w:val="en-US" w:eastAsia="zh-CN" w:bidi="ar"/>
              </w:rPr>
              <w:t>3.1、磋商申请人应满足《中华人民共和国政府采购法》《中华人民共和国政府采购法实施条例》《政府和社会资本合作项目政府采购管理办法》所规定的条件以及《中华人民共和国政府采购法》第二十二条规定的资格条件。</w:t>
            </w:r>
          </w:p>
          <w:p w14:paraId="79ABC602">
            <w:pPr>
              <w:pStyle w:val="2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kern w:val="1"/>
                <w:sz w:val="24"/>
                <w:szCs w:val="24"/>
                <w:lang w:val="en-US" w:eastAsia="zh-CN" w:bidi="ar"/>
              </w:rPr>
            </w:pPr>
            <w:r>
              <w:rPr>
                <w:rFonts w:hint="eastAsia" w:ascii="宋体" w:hAnsi="宋体" w:eastAsia="宋体" w:cs="宋体"/>
                <w:b w:val="0"/>
                <w:bCs w:val="0"/>
                <w:color w:val="auto"/>
                <w:kern w:val="1"/>
                <w:sz w:val="24"/>
                <w:szCs w:val="24"/>
                <w:lang w:val="en-US" w:eastAsia="zh-CN" w:bidi="ar"/>
              </w:rPr>
              <w:t>（1）具有独立承担民事责任的能力（提供有效的企业法人营业执照或其他组织证明文件）；</w:t>
            </w:r>
          </w:p>
          <w:p w14:paraId="6E183774">
            <w:pPr>
              <w:pStyle w:val="2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kern w:val="1"/>
                <w:sz w:val="24"/>
                <w:szCs w:val="24"/>
                <w:lang w:val="en-US" w:eastAsia="zh-CN" w:bidi="ar"/>
              </w:rPr>
            </w:pPr>
            <w:r>
              <w:rPr>
                <w:rFonts w:hint="eastAsia" w:ascii="宋体" w:hAnsi="宋体" w:eastAsia="宋体" w:cs="宋体"/>
                <w:b w:val="0"/>
                <w:bCs w:val="0"/>
                <w:color w:val="auto"/>
                <w:kern w:val="1"/>
                <w:sz w:val="24"/>
                <w:szCs w:val="24"/>
                <w:lang w:val="en-US" w:eastAsia="zh-CN" w:bidi="ar"/>
              </w:rPr>
              <w:t>（2）具有良好的商业信誉和健全的财务会计制度（提供2024或2025年度的经审计的财务报表，</w:t>
            </w:r>
            <w:r>
              <w:rPr>
                <w:rFonts w:hint="eastAsia" w:ascii="宋体" w:hAnsi="宋体" w:eastAsia="宋体" w:cs="宋体"/>
                <w:color w:val="auto"/>
                <w:sz w:val="24"/>
                <w:szCs w:val="24"/>
                <w:shd w:val="clear" w:color="auto" w:fill="FFFFFF"/>
              </w:rPr>
              <w:t>成立不满一年的企业可提供情况说明或成立至今的财务报表，此项要求可不列入废标条款</w:t>
            </w:r>
            <w:r>
              <w:rPr>
                <w:rFonts w:hint="eastAsia" w:ascii="宋体" w:hAnsi="宋体" w:eastAsia="宋体" w:cs="宋体"/>
                <w:b w:val="0"/>
                <w:bCs w:val="0"/>
                <w:color w:val="auto"/>
                <w:kern w:val="1"/>
                <w:sz w:val="24"/>
                <w:szCs w:val="24"/>
                <w:lang w:val="en-US" w:eastAsia="zh-CN" w:bidi="ar"/>
              </w:rPr>
              <w:t>）；</w:t>
            </w:r>
          </w:p>
          <w:p w14:paraId="048FBBB1">
            <w:pPr>
              <w:pStyle w:val="2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kern w:val="1"/>
                <w:sz w:val="24"/>
                <w:szCs w:val="24"/>
                <w:lang w:val="en-US" w:eastAsia="zh-CN" w:bidi="ar"/>
              </w:rPr>
            </w:pPr>
            <w:r>
              <w:rPr>
                <w:rFonts w:hint="eastAsia" w:ascii="宋体" w:hAnsi="宋体" w:eastAsia="宋体" w:cs="宋体"/>
                <w:b w:val="0"/>
                <w:bCs w:val="0"/>
                <w:color w:val="auto"/>
                <w:kern w:val="1"/>
                <w:sz w:val="24"/>
                <w:szCs w:val="24"/>
                <w:lang w:val="en-US" w:eastAsia="zh-CN" w:bidi="ar"/>
              </w:rPr>
              <w:t>（3）具有履行合同所必需的设备和专业技术能力（提供证明材料或书面声明）；</w:t>
            </w:r>
          </w:p>
          <w:p w14:paraId="5B5FF50B">
            <w:pPr>
              <w:pStyle w:val="2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kern w:val="1"/>
                <w:sz w:val="24"/>
                <w:szCs w:val="24"/>
                <w:lang w:val="en-US" w:eastAsia="zh-CN" w:bidi="ar"/>
              </w:rPr>
            </w:pPr>
            <w:r>
              <w:rPr>
                <w:rFonts w:hint="eastAsia" w:ascii="宋体" w:hAnsi="宋体" w:eastAsia="宋体" w:cs="宋体"/>
                <w:b w:val="0"/>
                <w:bCs w:val="0"/>
                <w:color w:val="auto"/>
                <w:kern w:val="1"/>
                <w:sz w:val="24"/>
                <w:szCs w:val="24"/>
                <w:lang w:val="en-US" w:eastAsia="zh-CN" w:bidi="ar"/>
              </w:rPr>
              <w:t>（4）有依法缴纳税收和社会保障资金的良好记录（提供2025年1月至今</w:t>
            </w:r>
            <w:r>
              <w:rPr>
                <w:rFonts w:hint="eastAsia" w:ascii="宋体" w:hAnsi="宋体" w:eastAsia="宋体" w:cs="宋体"/>
                <w:sz w:val="24"/>
                <w:szCs w:val="24"/>
              </w:rPr>
              <w:t>任意</w:t>
            </w:r>
            <w:r>
              <w:rPr>
                <w:rFonts w:hint="eastAsia" w:ascii="宋体" w:hAnsi="宋体" w:eastAsia="宋体" w:cs="宋体"/>
                <w:sz w:val="24"/>
                <w:szCs w:val="24"/>
                <w:lang w:eastAsia="zh-CN"/>
              </w:rPr>
              <w:t>一</w:t>
            </w:r>
            <w:r>
              <w:rPr>
                <w:rFonts w:hint="eastAsia" w:ascii="宋体" w:hAnsi="宋体" w:eastAsia="宋体" w:cs="宋体"/>
                <w:sz w:val="24"/>
                <w:szCs w:val="24"/>
              </w:rPr>
              <w:t>个月缴纳税收及社会保障资金的完税凭证；成立不满三个月的申请人提供成立以来的税收和社会保障资金缴纳凭证或相关情况说明；依法免税或不需要缴纳社会保障资金的，提供相关证明文件</w:t>
            </w:r>
            <w:r>
              <w:rPr>
                <w:rFonts w:hint="eastAsia" w:ascii="宋体" w:hAnsi="宋体" w:eastAsia="宋体" w:cs="宋体"/>
                <w:b w:val="0"/>
                <w:bCs w:val="0"/>
                <w:color w:val="auto"/>
                <w:kern w:val="1"/>
                <w:sz w:val="24"/>
                <w:szCs w:val="24"/>
                <w:lang w:val="en-US" w:eastAsia="zh-CN" w:bidi="ar"/>
              </w:rPr>
              <w:t>）；</w:t>
            </w:r>
          </w:p>
          <w:p w14:paraId="45D72605">
            <w:pPr>
              <w:pStyle w:val="2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kern w:val="1"/>
                <w:sz w:val="24"/>
                <w:szCs w:val="24"/>
                <w:lang w:val="en-US" w:eastAsia="zh-CN" w:bidi="ar"/>
              </w:rPr>
            </w:pPr>
            <w:r>
              <w:rPr>
                <w:rFonts w:hint="eastAsia" w:ascii="宋体" w:hAnsi="宋体" w:eastAsia="宋体" w:cs="宋体"/>
                <w:b w:val="0"/>
                <w:bCs w:val="0"/>
                <w:color w:val="auto"/>
                <w:kern w:val="1"/>
                <w:sz w:val="24"/>
                <w:szCs w:val="24"/>
                <w:lang w:val="en-US" w:eastAsia="zh-CN" w:bidi="ar"/>
              </w:rPr>
              <w:t>（5）参加政府采购活动前三年内在经营活动中没有重大违法记录的书面声明（重大违法记录指磋商申请人因违法经营受到刑事处罚或者责令停产停业、吊销许可证或者执照、较大数额罚款等行政处罚）；</w:t>
            </w:r>
          </w:p>
          <w:p w14:paraId="17565F54">
            <w:pPr>
              <w:pStyle w:val="2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kern w:val="1"/>
                <w:sz w:val="24"/>
                <w:szCs w:val="24"/>
                <w:lang w:val="en-US" w:eastAsia="zh-CN" w:bidi="ar"/>
              </w:rPr>
            </w:pPr>
            <w:r>
              <w:rPr>
                <w:rFonts w:hint="eastAsia" w:ascii="宋体" w:hAnsi="宋体" w:eastAsia="宋体" w:cs="宋体"/>
                <w:b w:val="0"/>
                <w:bCs w:val="0"/>
                <w:color w:val="auto"/>
                <w:kern w:val="1"/>
                <w:sz w:val="24"/>
                <w:szCs w:val="24"/>
                <w:lang w:val="en-US" w:eastAsia="zh-CN" w:bidi="ar"/>
              </w:rPr>
              <w:t>（6）磋商申请人信誉良好，在经营活动中未因违法违规行为受到行政处罚或因违法违规行为正在受到行政调查，没有处于投标资格被暂停或取消，投标资格被取消，财产未被接管、冻结、破产等状态，无被禁止市场准入情形。且未被列入“信用中国https://www.creditchina.gov.cn” 失信被执行人名单（开具时间须为本项目招标公告发布之日后），重大税收违法案件当事人名单且在中国政府采购网（www.ccgp.gov.cn）没有政府采购严重违法失信行为记录（被禁止在一定期限内参加政府采购活动但期限届满的除外）。</w:t>
            </w:r>
          </w:p>
          <w:p w14:paraId="2663D9DC">
            <w:pPr>
              <w:pStyle w:val="2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kern w:val="1"/>
                <w:sz w:val="24"/>
                <w:szCs w:val="24"/>
                <w:lang w:val="en-US" w:eastAsia="zh-CN" w:bidi="ar"/>
              </w:rPr>
            </w:pPr>
            <w:r>
              <w:rPr>
                <w:rFonts w:hint="eastAsia" w:ascii="宋体" w:hAnsi="宋体" w:eastAsia="宋体" w:cs="宋体"/>
                <w:b w:val="0"/>
                <w:bCs w:val="0"/>
                <w:color w:val="auto"/>
                <w:kern w:val="1"/>
                <w:sz w:val="24"/>
                <w:szCs w:val="24"/>
                <w:lang w:val="en-US" w:eastAsia="zh-CN" w:bidi="ar"/>
              </w:rPr>
              <w:t>3.2、具备下列条件：</w:t>
            </w:r>
          </w:p>
          <w:p w14:paraId="1E1C2BD1">
            <w:pPr>
              <w:pStyle w:val="2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kern w:val="1"/>
                <w:sz w:val="24"/>
                <w:szCs w:val="24"/>
                <w:lang w:val="en-US" w:eastAsia="zh-CN" w:bidi="ar"/>
              </w:rPr>
            </w:pPr>
            <w:r>
              <w:rPr>
                <w:rFonts w:hint="eastAsia" w:ascii="宋体" w:hAnsi="宋体" w:eastAsia="宋体" w:cs="宋体"/>
                <w:b w:val="0"/>
                <w:bCs w:val="0"/>
                <w:color w:val="auto"/>
                <w:kern w:val="1"/>
                <w:sz w:val="24"/>
                <w:szCs w:val="24"/>
                <w:lang w:val="en-US" w:eastAsia="zh-CN" w:bidi="ar"/>
              </w:rPr>
              <w:t>（1）</w:t>
            </w:r>
            <w:r>
              <w:rPr>
                <w:rFonts w:hint="eastAsia" w:ascii="宋体" w:hAnsi="宋体" w:eastAsia="宋体" w:cs="宋体"/>
                <w:sz w:val="24"/>
                <w:szCs w:val="24"/>
                <w:lang w:val="en-US" w:eastAsia="zh-CN"/>
              </w:rPr>
              <w:t>投标人须具备公安机关核发的有效期内的潜在供应商保安服务许可证，并具有与本招标项目相应的服务能力</w:t>
            </w:r>
            <w:r>
              <w:rPr>
                <w:rFonts w:hint="eastAsia" w:ascii="宋体" w:hAnsi="宋体" w:eastAsia="宋体" w:cs="宋体"/>
                <w:b w:val="0"/>
                <w:bCs w:val="0"/>
                <w:color w:val="auto"/>
                <w:kern w:val="1"/>
                <w:sz w:val="24"/>
                <w:szCs w:val="24"/>
                <w:lang w:val="en-US" w:eastAsia="zh-CN" w:bidi="ar"/>
              </w:rPr>
              <w:t>。</w:t>
            </w:r>
          </w:p>
          <w:p w14:paraId="2C4B3CB5">
            <w:pPr>
              <w:pStyle w:val="22"/>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jc w:val="both"/>
              <w:textAlignment w:val="auto"/>
              <w:rPr>
                <w:rFonts w:hint="eastAsia" w:ascii="宋体" w:hAnsi="宋体" w:eastAsia="宋体" w:cs="宋体"/>
                <w:b w:val="0"/>
                <w:bCs w:val="0"/>
                <w:color w:val="auto"/>
                <w:kern w:val="1"/>
                <w:sz w:val="24"/>
                <w:szCs w:val="24"/>
                <w:lang w:val="en-US" w:eastAsia="zh-CN" w:bidi="ar"/>
              </w:rPr>
            </w:pPr>
            <w:r>
              <w:rPr>
                <w:rFonts w:hint="eastAsia" w:ascii="宋体" w:hAnsi="宋体" w:eastAsia="宋体" w:cs="宋体"/>
                <w:b w:val="0"/>
                <w:bCs w:val="0"/>
                <w:color w:val="auto"/>
                <w:kern w:val="1"/>
                <w:sz w:val="24"/>
                <w:szCs w:val="24"/>
                <w:lang w:val="en-US" w:eastAsia="zh-CN" w:bidi="ar"/>
              </w:rPr>
              <w:t>（2）</w:t>
            </w:r>
            <w:r>
              <w:rPr>
                <w:rFonts w:hint="eastAsia" w:ascii="宋体" w:hAnsi="宋体" w:eastAsia="宋体" w:cs="宋体"/>
                <w:color w:val="000000" w:themeColor="text1"/>
                <w:kern w:val="0"/>
                <w:sz w:val="24"/>
                <w:szCs w:val="24"/>
                <w14:textFill>
                  <w14:solidFill>
                    <w14:schemeClr w14:val="tx1"/>
                  </w14:solidFill>
                </w14:textFill>
              </w:rPr>
              <w:t>投标人派驻保安员持证率100%</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提供公安机关核发的保安员证</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并经过政审</w:t>
            </w:r>
            <w:r>
              <w:rPr>
                <w:rFonts w:hint="eastAsia" w:ascii="宋体" w:hAnsi="宋体" w:eastAsia="宋体" w:cs="宋体"/>
                <w:b w:val="0"/>
                <w:bCs w:val="0"/>
                <w:color w:val="auto"/>
                <w:kern w:val="1"/>
                <w:sz w:val="24"/>
                <w:szCs w:val="24"/>
                <w:lang w:val="en-US" w:eastAsia="zh-CN" w:bidi="ar"/>
              </w:rPr>
              <w:t>。</w:t>
            </w:r>
          </w:p>
          <w:p w14:paraId="42D42758">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rPr>
            </w:pPr>
          </w:p>
        </w:tc>
      </w:tr>
      <w:tr w14:paraId="70B5E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84" w:type="dxa"/>
            <w:noWrap w:val="0"/>
            <w:vAlign w:val="center"/>
          </w:tcPr>
          <w:p w14:paraId="1CCD1D3A">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lang w:val="en-US" w:eastAsia="zh-CN"/>
              </w:rPr>
            </w:pPr>
            <w:r>
              <w:rPr>
                <w:rFonts w:hint="eastAsia" w:ascii="宋体" w:hAnsi="宋体" w:eastAsia="宋体" w:cs="宋体"/>
                <w:sz w:val="24"/>
                <w:szCs w:val="24"/>
              </w:rPr>
              <w:t>1.4.2</w:t>
            </w:r>
          </w:p>
        </w:tc>
        <w:tc>
          <w:tcPr>
            <w:tcW w:w="2160" w:type="dxa"/>
            <w:noWrap w:val="0"/>
            <w:vAlign w:val="center"/>
          </w:tcPr>
          <w:p w14:paraId="5934417A">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资格审查方式</w:t>
            </w:r>
          </w:p>
        </w:tc>
        <w:tc>
          <w:tcPr>
            <w:tcW w:w="6623" w:type="dxa"/>
            <w:noWrap w:val="0"/>
            <w:vAlign w:val="center"/>
          </w:tcPr>
          <w:p w14:paraId="4F7D405C">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资格后审</w:t>
            </w:r>
          </w:p>
        </w:tc>
      </w:tr>
      <w:tr w14:paraId="03A9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84" w:type="dxa"/>
            <w:noWrap w:val="0"/>
            <w:vAlign w:val="center"/>
          </w:tcPr>
          <w:p w14:paraId="302B6F77">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lang w:val="en-US" w:eastAsia="zh-CN"/>
              </w:rPr>
            </w:pPr>
            <w:r>
              <w:rPr>
                <w:rFonts w:hint="eastAsia" w:ascii="宋体" w:hAnsi="宋体" w:eastAsia="宋体" w:cs="宋体"/>
                <w:sz w:val="24"/>
                <w:szCs w:val="24"/>
              </w:rPr>
              <w:t>1.4.3</w:t>
            </w:r>
          </w:p>
        </w:tc>
        <w:tc>
          <w:tcPr>
            <w:tcW w:w="2160" w:type="dxa"/>
            <w:noWrap w:val="0"/>
            <w:vAlign w:val="center"/>
          </w:tcPr>
          <w:p w14:paraId="23A48B20">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是否接受联合体投标</w:t>
            </w:r>
          </w:p>
        </w:tc>
        <w:tc>
          <w:tcPr>
            <w:tcW w:w="6623" w:type="dxa"/>
            <w:noWrap w:val="0"/>
            <w:vAlign w:val="center"/>
          </w:tcPr>
          <w:p w14:paraId="4953AF42">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不接受</w:t>
            </w:r>
          </w:p>
        </w:tc>
      </w:tr>
      <w:tr w14:paraId="6FBB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84" w:type="dxa"/>
            <w:noWrap w:val="0"/>
            <w:vAlign w:val="center"/>
          </w:tcPr>
          <w:p w14:paraId="598F1202">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1.5.1</w:t>
            </w:r>
          </w:p>
        </w:tc>
        <w:tc>
          <w:tcPr>
            <w:tcW w:w="2160" w:type="dxa"/>
            <w:noWrap w:val="0"/>
            <w:vAlign w:val="center"/>
          </w:tcPr>
          <w:p w14:paraId="5650BE31">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踏勘现场</w:t>
            </w:r>
          </w:p>
        </w:tc>
        <w:tc>
          <w:tcPr>
            <w:tcW w:w="6623" w:type="dxa"/>
            <w:noWrap w:val="0"/>
            <w:vAlign w:val="center"/>
          </w:tcPr>
          <w:p w14:paraId="2FF7D6AE">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不组织，自行踏勘。</w:t>
            </w:r>
          </w:p>
        </w:tc>
      </w:tr>
      <w:tr w14:paraId="5C79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84" w:type="dxa"/>
            <w:noWrap w:val="0"/>
            <w:vAlign w:val="center"/>
          </w:tcPr>
          <w:p w14:paraId="2E8C07A9">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1.9.1</w:t>
            </w:r>
          </w:p>
        </w:tc>
        <w:tc>
          <w:tcPr>
            <w:tcW w:w="2160" w:type="dxa"/>
            <w:noWrap w:val="0"/>
            <w:vAlign w:val="center"/>
          </w:tcPr>
          <w:p w14:paraId="7766F3CB">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预备会（答疑会）</w:t>
            </w:r>
          </w:p>
        </w:tc>
        <w:tc>
          <w:tcPr>
            <w:tcW w:w="6623" w:type="dxa"/>
            <w:noWrap w:val="0"/>
            <w:vAlign w:val="center"/>
          </w:tcPr>
          <w:p w14:paraId="7B69A95F">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不召开，</w:t>
            </w:r>
            <w:r>
              <w:rPr>
                <w:rFonts w:hint="eastAsia" w:ascii="宋体" w:hAnsi="宋体" w:eastAsia="宋体" w:cs="宋体"/>
                <w:color w:val="auto"/>
                <w:sz w:val="24"/>
                <w:szCs w:val="24"/>
                <w:lang w:eastAsia="zh-CN"/>
              </w:rPr>
              <w:t>磋商申请人</w:t>
            </w:r>
            <w:r>
              <w:rPr>
                <w:rFonts w:hint="eastAsia" w:ascii="宋体" w:hAnsi="宋体" w:eastAsia="宋体" w:cs="宋体"/>
                <w:color w:val="auto"/>
                <w:sz w:val="24"/>
                <w:szCs w:val="24"/>
              </w:rPr>
              <w:t>如有疑问，请以书面形式提交至</w:t>
            </w:r>
            <w:r>
              <w:rPr>
                <w:rFonts w:hint="eastAsia" w:ascii="宋体" w:hAnsi="宋体" w:eastAsia="宋体" w:cs="宋体"/>
                <w:color w:val="auto"/>
                <w:sz w:val="24"/>
                <w:szCs w:val="24"/>
                <w:lang w:eastAsia="zh-CN"/>
              </w:rPr>
              <w:t>云南恒嘉信招标代理有限公司</w:t>
            </w:r>
            <w:r>
              <w:rPr>
                <w:rFonts w:hint="eastAsia" w:ascii="宋体" w:hAnsi="宋体" w:eastAsia="宋体" w:cs="宋体"/>
                <w:color w:val="auto"/>
                <w:sz w:val="24"/>
                <w:szCs w:val="24"/>
              </w:rPr>
              <w:t>，招标代理公司以书面形式向各</w:t>
            </w:r>
            <w:r>
              <w:rPr>
                <w:rFonts w:hint="eastAsia" w:ascii="宋体" w:hAnsi="宋体" w:eastAsia="宋体" w:cs="宋体"/>
                <w:color w:val="auto"/>
                <w:sz w:val="24"/>
                <w:szCs w:val="24"/>
                <w:lang w:eastAsia="zh-CN"/>
              </w:rPr>
              <w:t>磋商申请人</w:t>
            </w:r>
            <w:r>
              <w:rPr>
                <w:rFonts w:hint="eastAsia" w:ascii="宋体" w:hAnsi="宋体" w:eastAsia="宋体" w:cs="宋体"/>
                <w:color w:val="auto"/>
                <w:sz w:val="24"/>
                <w:szCs w:val="24"/>
              </w:rPr>
              <w:t>答疑。</w:t>
            </w:r>
          </w:p>
        </w:tc>
      </w:tr>
      <w:tr w14:paraId="73287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84" w:type="dxa"/>
            <w:noWrap w:val="0"/>
            <w:vAlign w:val="center"/>
          </w:tcPr>
          <w:p w14:paraId="08096B9F">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lang w:val="en-US" w:eastAsia="zh-CN"/>
              </w:rPr>
            </w:pPr>
            <w:r>
              <w:rPr>
                <w:rFonts w:hint="eastAsia" w:ascii="宋体" w:hAnsi="宋体" w:eastAsia="宋体" w:cs="宋体"/>
                <w:sz w:val="24"/>
                <w:szCs w:val="24"/>
              </w:rPr>
              <w:t>1.9.3</w:t>
            </w:r>
          </w:p>
        </w:tc>
        <w:tc>
          <w:tcPr>
            <w:tcW w:w="2160" w:type="dxa"/>
            <w:noWrap w:val="0"/>
            <w:vAlign w:val="center"/>
          </w:tcPr>
          <w:p w14:paraId="197BC6B3">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磋商申请人</w:t>
            </w:r>
            <w:r>
              <w:rPr>
                <w:rFonts w:hint="eastAsia" w:ascii="宋体" w:hAnsi="宋体" w:eastAsia="宋体" w:cs="宋体"/>
                <w:color w:val="auto"/>
                <w:sz w:val="24"/>
                <w:szCs w:val="24"/>
              </w:rPr>
              <w:t>提出问题的截止时间及澄清时间</w:t>
            </w:r>
          </w:p>
        </w:tc>
        <w:tc>
          <w:tcPr>
            <w:tcW w:w="6623" w:type="dxa"/>
            <w:noWrap w:val="0"/>
            <w:vAlign w:val="center"/>
          </w:tcPr>
          <w:p w14:paraId="394148F2">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24小时</w:t>
            </w:r>
          </w:p>
        </w:tc>
      </w:tr>
      <w:tr w14:paraId="41C3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84" w:type="dxa"/>
            <w:noWrap w:val="0"/>
            <w:vAlign w:val="center"/>
          </w:tcPr>
          <w:p w14:paraId="18DCAB41">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1.10</w:t>
            </w:r>
          </w:p>
        </w:tc>
        <w:tc>
          <w:tcPr>
            <w:tcW w:w="2160" w:type="dxa"/>
            <w:noWrap w:val="0"/>
            <w:vAlign w:val="center"/>
          </w:tcPr>
          <w:p w14:paraId="42DDE804">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分  包</w:t>
            </w:r>
          </w:p>
        </w:tc>
        <w:tc>
          <w:tcPr>
            <w:tcW w:w="6623" w:type="dxa"/>
            <w:noWrap w:val="0"/>
            <w:vAlign w:val="center"/>
          </w:tcPr>
          <w:p w14:paraId="7BEB42EF">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xml:space="preserve">本项目严禁分包  </w:t>
            </w:r>
          </w:p>
        </w:tc>
      </w:tr>
      <w:tr w14:paraId="155F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84" w:type="dxa"/>
            <w:noWrap w:val="0"/>
            <w:vAlign w:val="center"/>
          </w:tcPr>
          <w:p w14:paraId="1939DA10">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lang w:val="en-US" w:eastAsia="zh-CN"/>
              </w:rPr>
            </w:pPr>
            <w:r>
              <w:rPr>
                <w:rFonts w:hint="eastAsia" w:ascii="宋体" w:hAnsi="宋体" w:eastAsia="宋体" w:cs="宋体"/>
                <w:sz w:val="24"/>
                <w:szCs w:val="24"/>
              </w:rPr>
              <w:t>3.6.1</w:t>
            </w:r>
          </w:p>
        </w:tc>
        <w:tc>
          <w:tcPr>
            <w:tcW w:w="2160" w:type="dxa"/>
            <w:noWrap w:val="0"/>
            <w:vAlign w:val="center"/>
          </w:tcPr>
          <w:p w14:paraId="259C1D0F">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竞争性</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申请文件份数</w:t>
            </w:r>
          </w:p>
        </w:tc>
        <w:tc>
          <w:tcPr>
            <w:tcW w:w="6623" w:type="dxa"/>
            <w:noWrap w:val="0"/>
            <w:vAlign w:val="center"/>
          </w:tcPr>
          <w:p w14:paraId="3C43E1B5">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供应商应当在响应文件提交截止时间前将加密的响应文件上传至“政府采购云平台”。</w:t>
            </w:r>
          </w:p>
          <w:p w14:paraId="45082E63">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注：成交人在领取成交通知书时补交纸质版全套响应文件正本1份，副本</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份。</w:t>
            </w:r>
          </w:p>
        </w:tc>
      </w:tr>
      <w:tr w14:paraId="2683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84" w:type="dxa"/>
            <w:noWrap w:val="0"/>
            <w:vAlign w:val="center"/>
          </w:tcPr>
          <w:p w14:paraId="3CF54A55">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3.6.1</w:t>
            </w:r>
          </w:p>
        </w:tc>
        <w:tc>
          <w:tcPr>
            <w:tcW w:w="2160" w:type="dxa"/>
            <w:noWrap w:val="0"/>
            <w:vAlign w:val="center"/>
          </w:tcPr>
          <w:p w14:paraId="171193E6">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竞争性</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申请文件</w:t>
            </w:r>
            <w:r>
              <w:rPr>
                <w:rFonts w:hint="eastAsia" w:ascii="宋体" w:hAnsi="宋体" w:eastAsia="宋体" w:cs="宋体"/>
                <w:color w:val="auto"/>
                <w:sz w:val="24"/>
                <w:szCs w:val="24"/>
                <w:lang w:val="en-US" w:eastAsia="zh-CN"/>
              </w:rPr>
              <w:t>签字或盖章要求</w:t>
            </w:r>
          </w:p>
        </w:tc>
        <w:tc>
          <w:tcPr>
            <w:tcW w:w="6623" w:type="dxa"/>
            <w:noWrap w:val="0"/>
            <w:vAlign w:val="center"/>
          </w:tcPr>
          <w:p w14:paraId="74222298">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按第</w:t>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章“磋商响应文件格式”要求，采用单位数字证书电子签章，在需要电子签章的地方进行电子签章，无需逐页电子签章。</w:t>
            </w:r>
          </w:p>
        </w:tc>
      </w:tr>
      <w:tr w14:paraId="36EE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4" w:type="dxa"/>
            <w:noWrap w:val="0"/>
            <w:vAlign w:val="center"/>
          </w:tcPr>
          <w:p w14:paraId="3B25ABE6">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lang w:val="en-US" w:eastAsia="zh-CN"/>
              </w:rPr>
            </w:pPr>
            <w:r>
              <w:rPr>
                <w:rFonts w:hint="eastAsia" w:ascii="宋体" w:hAnsi="宋体" w:eastAsia="宋体" w:cs="宋体"/>
                <w:sz w:val="24"/>
                <w:szCs w:val="24"/>
                <w:lang w:bidi="ar"/>
              </w:rPr>
              <w:t xml:space="preserve"> 3.1.2</w:t>
            </w:r>
          </w:p>
        </w:tc>
        <w:tc>
          <w:tcPr>
            <w:tcW w:w="2160" w:type="dxa"/>
            <w:noWrap w:val="0"/>
            <w:vAlign w:val="center"/>
          </w:tcPr>
          <w:p w14:paraId="71162231">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构成磋商文件的其他材料</w:t>
            </w:r>
          </w:p>
        </w:tc>
        <w:tc>
          <w:tcPr>
            <w:tcW w:w="6623" w:type="dxa"/>
            <w:noWrap w:val="0"/>
            <w:vAlign w:val="center"/>
          </w:tcPr>
          <w:p w14:paraId="02B44874">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磋商文件的补遗、澄清及修改</w:t>
            </w:r>
          </w:p>
        </w:tc>
      </w:tr>
      <w:tr w14:paraId="1A00C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4" w:type="dxa"/>
            <w:noWrap w:val="0"/>
            <w:vAlign w:val="center"/>
          </w:tcPr>
          <w:p w14:paraId="7C49B4CC">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lang w:val="en-US" w:eastAsia="zh-CN"/>
              </w:rPr>
            </w:pPr>
            <w:r>
              <w:rPr>
                <w:rFonts w:hint="eastAsia" w:ascii="宋体" w:hAnsi="宋体" w:eastAsia="宋体" w:cs="宋体"/>
                <w:sz w:val="24"/>
                <w:szCs w:val="24"/>
              </w:rPr>
              <w:t>2.2.2</w:t>
            </w:r>
          </w:p>
        </w:tc>
        <w:tc>
          <w:tcPr>
            <w:tcW w:w="2160" w:type="dxa"/>
            <w:noWrap w:val="0"/>
            <w:vAlign w:val="center"/>
          </w:tcPr>
          <w:p w14:paraId="6C84504F">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磋商申请人</w:t>
            </w:r>
            <w:r>
              <w:rPr>
                <w:rFonts w:hint="eastAsia" w:ascii="宋体" w:hAnsi="宋体" w:eastAsia="宋体" w:cs="宋体"/>
                <w:color w:val="auto"/>
                <w:sz w:val="24"/>
                <w:szCs w:val="24"/>
              </w:rPr>
              <w:t>要求澄清磋商文件的截止时间</w:t>
            </w:r>
          </w:p>
        </w:tc>
        <w:tc>
          <w:tcPr>
            <w:tcW w:w="6623" w:type="dxa"/>
            <w:noWrap w:val="0"/>
            <w:vAlign w:val="center"/>
          </w:tcPr>
          <w:p w14:paraId="5F60CF8D">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000000"/>
                <w:sz w:val="24"/>
                <w:szCs w:val="24"/>
              </w:rPr>
              <w:t>磋商截止时间5日前</w:t>
            </w:r>
          </w:p>
        </w:tc>
      </w:tr>
      <w:tr w14:paraId="7E812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4" w:type="dxa"/>
            <w:noWrap w:val="0"/>
            <w:vAlign w:val="center"/>
          </w:tcPr>
          <w:p w14:paraId="49E08AFB">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lang w:val="en-US" w:eastAsia="zh-CN"/>
              </w:rPr>
            </w:pPr>
            <w:r>
              <w:rPr>
                <w:rFonts w:hint="eastAsia" w:ascii="宋体" w:hAnsi="宋体" w:eastAsia="宋体" w:cs="宋体"/>
                <w:sz w:val="24"/>
                <w:szCs w:val="24"/>
              </w:rPr>
              <w:t>2.2.</w:t>
            </w:r>
            <w:r>
              <w:rPr>
                <w:rFonts w:hint="eastAsia" w:ascii="宋体" w:hAnsi="宋体" w:eastAsia="宋体" w:cs="宋体"/>
                <w:sz w:val="24"/>
                <w:szCs w:val="24"/>
                <w:lang w:val="en-US" w:eastAsia="zh-CN"/>
              </w:rPr>
              <w:t>3</w:t>
            </w:r>
          </w:p>
        </w:tc>
        <w:tc>
          <w:tcPr>
            <w:tcW w:w="2160" w:type="dxa"/>
            <w:noWrap w:val="0"/>
            <w:vAlign w:val="center"/>
          </w:tcPr>
          <w:p w14:paraId="37F6DED5">
            <w:pPr>
              <w:keepNext w:val="0"/>
              <w:keepLines w:val="0"/>
              <w:suppressLineNumbers w:val="0"/>
              <w:spacing w:before="0" w:beforeAutospacing="0" w:after="0" w:afterAutospacing="0"/>
              <w:ind w:left="0" w:right="0" w:firstLine="480" w:firstLineChars="20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招标人书面澄清的时间</w:t>
            </w:r>
          </w:p>
        </w:tc>
        <w:tc>
          <w:tcPr>
            <w:tcW w:w="6623" w:type="dxa"/>
            <w:noWrap w:val="0"/>
            <w:vAlign w:val="center"/>
          </w:tcPr>
          <w:p w14:paraId="719C8701">
            <w:pPr>
              <w:keepNext w:val="0"/>
              <w:keepLines w:val="0"/>
              <w:suppressLineNumbers w:val="0"/>
              <w:bidi w:val="0"/>
              <w:spacing w:before="0" w:beforeAutospacing="0" w:after="0" w:afterAutospacing="0"/>
              <w:ind w:left="0" w:right="0"/>
              <w:rPr>
                <w:rFonts w:hint="eastAsia" w:ascii="宋体" w:hAnsi="宋体" w:eastAsia="宋体" w:cs="宋体"/>
                <w:color w:val="000000"/>
                <w:sz w:val="24"/>
                <w:szCs w:val="24"/>
              </w:rPr>
            </w:pPr>
            <w:r>
              <w:rPr>
                <w:rFonts w:hint="eastAsia" w:ascii="宋体" w:hAnsi="宋体" w:eastAsia="宋体" w:cs="宋体"/>
                <w:color w:val="000000"/>
                <w:sz w:val="24"/>
                <w:szCs w:val="24"/>
              </w:rPr>
              <w:t>磋商截止时间5日前</w:t>
            </w:r>
          </w:p>
        </w:tc>
      </w:tr>
      <w:tr w14:paraId="55CC0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84" w:type="dxa"/>
            <w:noWrap w:val="0"/>
            <w:vAlign w:val="center"/>
          </w:tcPr>
          <w:p w14:paraId="244C65F3">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lang w:val="en-US" w:eastAsia="zh-CN"/>
              </w:rPr>
            </w:pPr>
            <w:r>
              <w:rPr>
                <w:rFonts w:hint="eastAsia" w:ascii="宋体" w:hAnsi="宋体" w:eastAsia="宋体" w:cs="宋体"/>
                <w:sz w:val="24"/>
                <w:szCs w:val="24"/>
              </w:rPr>
              <w:t>4.2.1</w:t>
            </w:r>
          </w:p>
        </w:tc>
        <w:tc>
          <w:tcPr>
            <w:tcW w:w="2160" w:type="dxa"/>
            <w:noWrap w:val="0"/>
            <w:vAlign w:val="center"/>
          </w:tcPr>
          <w:p w14:paraId="0966C4F6">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磋商响应</w:t>
            </w:r>
            <w:r>
              <w:rPr>
                <w:rFonts w:hint="eastAsia" w:ascii="宋体" w:hAnsi="宋体" w:eastAsia="宋体" w:cs="宋体"/>
                <w:color w:val="auto"/>
                <w:sz w:val="24"/>
                <w:szCs w:val="24"/>
              </w:rPr>
              <w:t>文件递交截止时间</w:t>
            </w:r>
          </w:p>
        </w:tc>
        <w:tc>
          <w:tcPr>
            <w:tcW w:w="6623" w:type="dxa"/>
            <w:noWrap w:val="0"/>
            <w:vAlign w:val="center"/>
          </w:tcPr>
          <w:p w14:paraId="7EAD9E11">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年</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24</w:t>
            </w:r>
            <w:r>
              <w:rPr>
                <w:rFonts w:hint="eastAsia" w:ascii="宋体" w:hAnsi="宋体" w:eastAsia="宋体" w:cs="宋体"/>
                <w:color w:val="auto"/>
                <w:sz w:val="24"/>
                <w:szCs w:val="24"/>
                <w:lang w:eastAsia="zh-CN"/>
              </w:rPr>
              <w:t xml:space="preserve">日 </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lang w:eastAsia="zh-CN"/>
              </w:rPr>
              <w:t xml:space="preserve"> 时 30 分前</w:t>
            </w:r>
          </w:p>
        </w:tc>
      </w:tr>
      <w:tr w14:paraId="2D92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84" w:type="dxa"/>
            <w:noWrap w:val="0"/>
            <w:vAlign w:val="center"/>
          </w:tcPr>
          <w:p w14:paraId="017A9C93">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.2</w:t>
            </w:r>
          </w:p>
        </w:tc>
        <w:tc>
          <w:tcPr>
            <w:tcW w:w="2160" w:type="dxa"/>
            <w:noWrap w:val="0"/>
            <w:vAlign w:val="center"/>
          </w:tcPr>
          <w:p w14:paraId="7900060A">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磋商申请人</w:t>
            </w:r>
            <w:r>
              <w:rPr>
                <w:rFonts w:hint="eastAsia" w:ascii="宋体" w:hAnsi="宋体" w:eastAsia="宋体" w:cs="宋体"/>
                <w:color w:val="auto"/>
                <w:sz w:val="24"/>
                <w:szCs w:val="24"/>
              </w:rPr>
              <w:t>确认收到磋商文件澄清的时间</w:t>
            </w:r>
          </w:p>
        </w:tc>
        <w:tc>
          <w:tcPr>
            <w:tcW w:w="6623" w:type="dxa"/>
            <w:noWrap w:val="0"/>
            <w:vAlign w:val="center"/>
          </w:tcPr>
          <w:p w14:paraId="5AFDCE1E">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在收到相应澄清文件后24小时内</w:t>
            </w:r>
          </w:p>
        </w:tc>
      </w:tr>
      <w:tr w14:paraId="488F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84" w:type="dxa"/>
            <w:noWrap w:val="0"/>
            <w:vAlign w:val="center"/>
          </w:tcPr>
          <w:p w14:paraId="4E02C609">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lang w:val="en-US" w:eastAsia="zh-CN"/>
              </w:rPr>
            </w:pPr>
            <w:r>
              <w:rPr>
                <w:rFonts w:hint="eastAsia" w:ascii="宋体" w:hAnsi="宋体" w:eastAsia="宋体" w:cs="宋体"/>
                <w:sz w:val="24"/>
                <w:szCs w:val="24"/>
              </w:rPr>
              <w:t>2.3.2</w:t>
            </w:r>
          </w:p>
        </w:tc>
        <w:tc>
          <w:tcPr>
            <w:tcW w:w="2160" w:type="dxa"/>
            <w:noWrap w:val="0"/>
            <w:vAlign w:val="center"/>
          </w:tcPr>
          <w:p w14:paraId="49BD1B7E">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磋商申请人</w:t>
            </w:r>
            <w:r>
              <w:rPr>
                <w:rFonts w:hint="eastAsia" w:ascii="宋体" w:hAnsi="宋体" w:eastAsia="宋体" w:cs="宋体"/>
                <w:color w:val="auto"/>
                <w:sz w:val="24"/>
                <w:szCs w:val="24"/>
              </w:rPr>
              <w:t>确认收到磋商文件修改的时间</w:t>
            </w:r>
          </w:p>
        </w:tc>
        <w:tc>
          <w:tcPr>
            <w:tcW w:w="6623" w:type="dxa"/>
            <w:noWrap w:val="0"/>
            <w:vAlign w:val="center"/>
          </w:tcPr>
          <w:p w14:paraId="3E92AC43">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在收到相应修改文件后24小时内</w:t>
            </w:r>
          </w:p>
        </w:tc>
      </w:tr>
      <w:tr w14:paraId="24AA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84" w:type="dxa"/>
            <w:noWrap w:val="0"/>
            <w:vAlign w:val="center"/>
          </w:tcPr>
          <w:p w14:paraId="45149C1F">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w:t>
            </w:r>
          </w:p>
        </w:tc>
        <w:tc>
          <w:tcPr>
            <w:tcW w:w="2160" w:type="dxa"/>
            <w:noWrap w:val="0"/>
            <w:vAlign w:val="center"/>
          </w:tcPr>
          <w:p w14:paraId="308522B8">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磋商应答报价方式</w:t>
            </w:r>
          </w:p>
        </w:tc>
        <w:tc>
          <w:tcPr>
            <w:tcW w:w="6623" w:type="dxa"/>
            <w:noWrap w:val="0"/>
            <w:vAlign w:val="center"/>
          </w:tcPr>
          <w:p w14:paraId="0F5712FA">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本项目的报价采用总价报价。</w:t>
            </w:r>
          </w:p>
        </w:tc>
      </w:tr>
      <w:tr w14:paraId="047A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84" w:type="dxa"/>
            <w:noWrap w:val="0"/>
            <w:vAlign w:val="center"/>
          </w:tcPr>
          <w:p w14:paraId="3951CA7E">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lang w:val="en-US" w:eastAsia="zh-CN"/>
              </w:rPr>
            </w:pPr>
            <w:r>
              <w:rPr>
                <w:rFonts w:hint="eastAsia" w:ascii="宋体" w:hAnsi="宋体" w:eastAsia="宋体" w:cs="宋体"/>
                <w:sz w:val="24"/>
                <w:szCs w:val="24"/>
              </w:rPr>
              <w:t>3.3.1</w:t>
            </w:r>
          </w:p>
        </w:tc>
        <w:tc>
          <w:tcPr>
            <w:tcW w:w="2160" w:type="dxa"/>
            <w:noWrap w:val="0"/>
            <w:vAlign w:val="center"/>
          </w:tcPr>
          <w:p w14:paraId="565B4503">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磋商应答有效期</w:t>
            </w:r>
          </w:p>
        </w:tc>
        <w:tc>
          <w:tcPr>
            <w:tcW w:w="6623" w:type="dxa"/>
            <w:noWrap w:val="0"/>
            <w:vAlign w:val="center"/>
          </w:tcPr>
          <w:p w14:paraId="445BA212">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60日历天，从磋商截止之日算起</w:t>
            </w:r>
          </w:p>
        </w:tc>
      </w:tr>
      <w:tr w14:paraId="630E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84" w:type="dxa"/>
            <w:noWrap w:val="0"/>
            <w:vAlign w:val="center"/>
          </w:tcPr>
          <w:p w14:paraId="4796371E">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lang w:val="en-US" w:eastAsia="zh-CN"/>
              </w:rPr>
            </w:pPr>
            <w:r>
              <w:rPr>
                <w:rFonts w:hint="eastAsia" w:ascii="宋体" w:hAnsi="宋体" w:eastAsia="宋体" w:cs="宋体"/>
                <w:sz w:val="24"/>
                <w:szCs w:val="24"/>
              </w:rPr>
              <w:t>3.4.1</w:t>
            </w:r>
          </w:p>
        </w:tc>
        <w:tc>
          <w:tcPr>
            <w:tcW w:w="2160" w:type="dxa"/>
            <w:noWrap w:val="0"/>
            <w:vAlign w:val="center"/>
          </w:tcPr>
          <w:p w14:paraId="06365DAF">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磋商保证金</w:t>
            </w:r>
          </w:p>
        </w:tc>
        <w:tc>
          <w:tcPr>
            <w:tcW w:w="6623" w:type="dxa"/>
            <w:noWrap w:val="0"/>
            <w:vAlign w:val="center"/>
          </w:tcPr>
          <w:p w14:paraId="42F29C77">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一、磋商保证金的缴纳</w:t>
            </w:r>
          </w:p>
          <w:p w14:paraId="611B29F1">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云南省招标投标条例》本项目可以收取保证金9800.00元，为降低企业交易成本，根据《云南省发展和改革委员会等部门关于鼓励减免政府投资项目投标保证金的通知》（云发改交易管理〔2023〕397号），本项目收取投标保证金5000.00元。</w:t>
            </w:r>
          </w:p>
          <w:p w14:paraId="7294E48D">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磋商保证金：伍仟元整（￥5000.00元）。</w:t>
            </w:r>
          </w:p>
          <w:p w14:paraId="7DAAB51D">
            <w:pPr>
              <w:keepNext w:val="0"/>
              <w:keepLines w:val="0"/>
              <w:pageBreakBefore w:val="0"/>
              <w:suppressLineNumbers w:val="0"/>
              <w:kinsoku/>
              <w:wordWrap/>
              <w:overflowPunct/>
              <w:autoSpaceDE w:val="0"/>
              <w:autoSpaceDN w:val="0"/>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（一）采用银行转账方式：</w:t>
            </w:r>
          </w:p>
          <w:p w14:paraId="7CFC6509">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磋商保证金递交到账截止日期：磋商截止时间前以到账户时间为准。</w:t>
            </w:r>
          </w:p>
          <w:p w14:paraId="6DFBC905">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递交保证金开户银行及账号如下： </w:t>
            </w:r>
          </w:p>
          <w:p w14:paraId="600DE752">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单位名称：云南恒嘉信招标代理有限公司 </w:t>
            </w:r>
          </w:p>
          <w:p w14:paraId="7B1E05A9">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银行名称：</w:t>
            </w:r>
            <w:r>
              <w:rPr>
                <w:rFonts w:hint="eastAsia" w:ascii="宋体" w:hAnsi="宋体" w:eastAsia="宋体" w:cs="宋体"/>
                <w:color w:val="auto"/>
                <w:sz w:val="24"/>
                <w:szCs w:val="24"/>
                <w:lang w:val="zh-TW" w:eastAsia="zh-CN"/>
              </w:rPr>
              <w:t>中国农业银行股份有限公司蒙自昭忠路支行</w:t>
            </w:r>
            <w:r>
              <w:rPr>
                <w:rFonts w:hint="eastAsia" w:ascii="宋体" w:hAnsi="宋体" w:eastAsia="宋体" w:cs="宋体"/>
                <w:color w:val="auto"/>
                <w:sz w:val="24"/>
                <w:szCs w:val="24"/>
                <w:lang w:val="en-US" w:eastAsia="zh-CN"/>
              </w:rPr>
              <w:t xml:space="preserve"> </w:t>
            </w:r>
          </w:p>
          <w:p w14:paraId="0948E6B5">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银行账号：24063301040006534 </w:t>
            </w:r>
          </w:p>
          <w:p w14:paraId="605EDF80">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  王曦</w:t>
            </w:r>
          </w:p>
          <w:p w14:paraId="220D9EE0">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联系电话：13529951060    </w:t>
            </w:r>
          </w:p>
          <w:p w14:paraId="242BDD33">
            <w:pPr>
              <w:keepNext w:val="0"/>
              <w:keepLines w:val="0"/>
              <w:pageBreakBefore w:val="0"/>
              <w:suppressLineNumbers w:val="0"/>
              <w:kinsoku/>
              <w:wordWrap/>
              <w:overflowPunct/>
              <w:autoSpaceDE w:val="0"/>
              <w:autoSpaceDN w:val="0"/>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备注：①磋商保证金以银行转账方式递交的必须从磋商供应商银行基本账户转出，并注明磋商项目名称或项目编号。</w:t>
            </w:r>
          </w:p>
          <w:p w14:paraId="137C7039">
            <w:pPr>
              <w:keepNext w:val="0"/>
              <w:keepLines w:val="0"/>
              <w:pageBreakBefore w:val="0"/>
              <w:suppressLineNumbers w:val="0"/>
              <w:kinsoku/>
              <w:wordWrap/>
              <w:overflowPunct/>
              <w:autoSpaceDE w:val="0"/>
              <w:autoSpaceDN w:val="0"/>
              <w:bidi w:val="0"/>
              <w:adjustRightInd w:val="0"/>
              <w:snapToGrid w:val="0"/>
              <w:spacing w:before="0" w:beforeAutospacing="0" w:after="0" w:afterAutospacing="0" w:line="360" w:lineRule="auto"/>
              <w:ind w:left="0" w:right="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②供应商转入磋商保证金后无需到采购代理公司开具磋商保证金收据，开标时以供应商开户许可证（或基本存款账户信息）及银行转账回单或电子回执单复印件/扫描件加盖供应商公章作为磋商保证金凭证。</w:t>
            </w:r>
          </w:p>
          <w:p w14:paraId="3B52E3C3">
            <w:pPr>
              <w:keepNext w:val="0"/>
              <w:keepLines w:val="0"/>
              <w:pageBreakBefore w:val="0"/>
              <w:suppressLineNumbers w:val="0"/>
              <w:kinsoku/>
              <w:wordWrap/>
              <w:overflowPunct/>
              <w:autoSpaceDE w:val="0"/>
              <w:autoSpaceDN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（二）为支持和促进中小企业发展，进一步发挥政府采购政策功能，鼓励供应商使用保险/保函替代投标保证金，供应商可登录【红河州政府采购金融服务平台】进行了解。</w:t>
            </w:r>
          </w:p>
          <w:p w14:paraId="001931B8">
            <w:pPr>
              <w:keepNext w:val="0"/>
              <w:keepLines w:val="0"/>
              <w:suppressLineNumbers w:val="0"/>
              <w:bidi w:val="0"/>
              <w:spacing w:before="0" w:beforeAutospacing="0" w:after="0" w:afterAutospacing="0"/>
              <w:ind w:left="0" w:leftChars="0" w:right="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直达链接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https://jinrong.zcygov.cn/luban/finance/honghe。</w:t>
            </w:r>
          </w:p>
          <w:p w14:paraId="6C1EF57C">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二、磋商保证金的退还</w:t>
            </w:r>
          </w:p>
          <w:p w14:paraId="55A311D2">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1.未成交的磋商保证金，在成交结果公示截止无异议后五个工作日内直接退还至磋商申请人的基本账户中。</w:t>
            </w:r>
          </w:p>
          <w:p w14:paraId="5EA769FF">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2.成交人的磋商保证金，在成交人签订合同后，由成交人携带一份合同复印件到云南恒嘉信招标代理有限公司办理退还保证金手续。</w:t>
            </w:r>
          </w:p>
        </w:tc>
      </w:tr>
      <w:tr w14:paraId="1735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84" w:type="dxa"/>
            <w:noWrap w:val="0"/>
            <w:vAlign w:val="center"/>
          </w:tcPr>
          <w:p w14:paraId="07FCDBC1">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w:t>
            </w:r>
          </w:p>
        </w:tc>
        <w:tc>
          <w:tcPr>
            <w:tcW w:w="2160" w:type="dxa"/>
            <w:noWrap w:val="0"/>
            <w:vAlign w:val="center"/>
          </w:tcPr>
          <w:p w14:paraId="37DA44AD">
            <w:pPr>
              <w:keepNext w:val="0"/>
              <w:keepLines w:val="0"/>
              <w:suppressLineNumbers w:val="0"/>
              <w:bidi w:val="0"/>
              <w:spacing w:before="0" w:beforeAutospacing="0" w:after="0" w:afterAutospacing="0"/>
              <w:ind w:left="0" w:leftChars="0" w:right="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rtl w:val="0"/>
                <w:lang w:eastAsia="zh-CN"/>
              </w:rPr>
              <w:t>电子响应文件编制要求</w:t>
            </w:r>
          </w:p>
        </w:tc>
        <w:tc>
          <w:tcPr>
            <w:tcW w:w="6623" w:type="dxa"/>
            <w:noWrap w:val="0"/>
            <w:vAlign w:val="center"/>
          </w:tcPr>
          <w:p w14:paraId="5C223A17">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rtl w:val="0"/>
                <w:lang w:eastAsia="zh-CN"/>
              </w:rPr>
              <w:t>电子响应文件全部采用电子文档，格式为*.jmbs。电子响应文件必须使用《政采云电子投标客户端》制作，供应商可登录https://customer.zcygov.cn/CA-driver-download?utm=web-cafront.3ddc8fbb.0.0.87133ef03d5611eca03abdd942cbc4e6，下载“政采云电子投标客户端”。</w:t>
            </w:r>
          </w:p>
        </w:tc>
      </w:tr>
      <w:tr w14:paraId="113E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84" w:type="dxa"/>
            <w:noWrap w:val="0"/>
            <w:vAlign w:val="center"/>
          </w:tcPr>
          <w:p w14:paraId="0653A70F">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w:t>
            </w:r>
          </w:p>
        </w:tc>
        <w:tc>
          <w:tcPr>
            <w:tcW w:w="2160" w:type="dxa"/>
            <w:noWrap w:val="0"/>
            <w:vAlign w:val="center"/>
          </w:tcPr>
          <w:p w14:paraId="6CBE6152">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是否允许递交备选磋商应答方案</w:t>
            </w:r>
          </w:p>
        </w:tc>
        <w:tc>
          <w:tcPr>
            <w:tcW w:w="6623" w:type="dxa"/>
            <w:noWrap w:val="0"/>
            <w:vAlign w:val="center"/>
          </w:tcPr>
          <w:p w14:paraId="036E507F">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不允许</w:t>
            </w:r>
          </w:p>
        </w:tc>
      </w:tr>
      <w:tr w14:paraId="7FBE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84" w:type="dxa"/>
            <w:noWrap w:val="0"/>
            <w:vAlign w:val="center"/>
          </w:tcPr>
          <w:p w14:paraId="3623DB0B">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lang w:val="en-US" w:eastAsia="zh-CN"/>
              </w:rPr>
            </w:pPr>
            <w:r>
              <w:rPr>
                <w:rFonts w:hint="eastAsia" w:ascii="宋体" w:hAnsi="宋体" w:eastAsia="宋体" w:cs="宋体"/>
                <w:sz w:val="24"/>
                <w:szCs w:val="24"/>
              </w:rPr>
              <w:t>3.6.1</w:t>
            </w:r>
          </w:p>
        </w:tc>
        <w:tc>
          <w:tcPr>
            <w:tcW w:w="2160" w:type="dxa"/>
            <w:noWrap w:val="0"/>
            <w:vAlign w:val="center"/>
          </w:tcPr>
          <w:p w14:paraId="2232974A">
            <w:pPr>
              <w:keepNext w:val="0"/>
              <w:keepLines w:val="0"/>
              <w:pageBreakBefore w:val="0"/>
              <w:suppressLineNumbers w:val="0"/>
              <w:kinsoku/>
              <w:wordWrap w:val="0"/>
              <w:overflowPunct/>
              <w:topLinePunct w:val="0"/>
              <w:autoSpaceDE/>
              <w:autoSpaceDN/>
              <w:bidi w:val="0"/>
              <w:spacing w:before="0" w:beforeAutospacing="0" w:after="0" w:afterAutospacing="0" w:line="440" w:lineRule="exact"/>
              <w:ind w:left="0" w:leftChars="0" w:right="0" w:righ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shd w:val="clear" w:color="auto" w:fill="FFFFFF" w:themeFill="background1"/>
              </w:rPr>
              <w:t>投标文件的签署</w:t>
            </w:r>
          </w:p>
        </w:tc>
        <w:tc>
          <w:tcPr>
            <w:tcW w:w="6623" w:type="dxa"/>
            <w:noWrap w:val="0"/>
            <w:vAlign w:val="center"/>
          </w:tcPr>
          <w:p w14:paraId="4CC06EF1">
            <w:pPr>
              <w:keepNext w:val="0"/>
              <w:keepLines w:val="0"/>
              <w:pageBreakBefore w:val="0"/>
              <w:suppressLineNumbers w:val="0"/>
              <w:kinsoku/>
              <w:wordWrap w:val="0"/>
              <w:overflowPunct/>
              <w:topLinePunct w:val="0"/>
              <w:autoSpaceDE/>
              <w:autoSpaceDN/>
              <w:bidi w:val="0"/>
              <w:spacing w:before="0" w:beforeAutospacing="0" w:after="0" w:afterAutospacing="0" w:line="440" w:lineRule="exact"/>
              <w:ind w:left="0" w:leftChars="0" w:right="0" w:firstLine="0" w:firstLineChars="0"/>
              <w:textAlignment w:val="auto"/>
              <w:rPr>
                <w:rFonts w:hint="eastAsia" w:ascii="宋体" w:hAnsi="宋体" w:eastAsia="宋体" w:cs="宋体"/>
                <w:color w:val="auto"/>
                <w:sz w:val="24"/>
                <w:szCs w:val="24"/>
                <w:highlight w:val="none"/>
                <w:shd w:val="clear" w:color="auto" w:fill="FFFFFF" w:themeFill="background1"/>
              </w:rPr>
            </w:pPr>
            <w:r>
              <w:rPr>
                <w:rFonts w:hint="eastAsia" w:ascii="宋体" w:hAnsi="宋体" w:eastAsia="宋体" w:cs="宋体"/>
                <w:color w:val="auto"/>
                <w:sz w:val="24"/>
                <w:szCs w:val="24"/>
                <w:highlight w:val="none"/>
                <w:shd w:val="clear" w:color="auto" w:fill="FFFFFF" w:themeFill="background1"/>
              </w:rPr>
              <w:t>按照投标文件格式，使用企业和法定代表人数字证书电子签章及电子签名。</w:t>
            </w:r>
          </w:p>
          <w:p w14:paraId="1FBF26EE">
            <w:pPr>
              <w:keepNext w:val="0"/>
              <w:keepLines w:val="0"/>
              <w:pageBreakBefore w:val="0"/>
              <w:suppressLineNumbers w:val="0"/>
              <w:kinsoku/>
              <w:wordWrap w:val="0"/>
              <w:overflowPunct/>
              <w:topLinePunct w:val="0"/>
              <w:autoSpaceDE/>
              <w:autoSpaceDN/>
              <w:bidi w:val="0"/>
              <w:spacing w:before="0" w:beforeAutospacing="0" w:after="0" w:afterAutospacing="0" w:line="440" w:lineRule="exact"/>
              <w:ind w:left="0" w:leftChars="0" w:right="0" w:righ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shd w:val="clear" w:color="auto" w:fill="FFFFFF" w:themeFill="background1"/>
              </w:rPr>
              <w:t>注：在需要电子签章的地方进行电子签章，无需逐页电子签章。</w:t>
            </w:r>
          </w:p>
        </w:tc>
      </w:tr>
      <w:tr w14:paraId="07E5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84" w:type="dxa"/>
            <w:noWrap w:val="0"/>
            <w:vAlign w:val="center"/>
          </w:tcPr>
          <w:p w14:paraId="6F9B7AEF">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lang w:val="en-US" w:eastAsia="zh-CN"/>
              </w:rPr>
            </w:pPr>
            <w:r>
              <w:rPr>
                <w:rFonts w:hint="eastAsia" w:ascii="宋体" w:hAnsi="宋体" w:eastAsia="宋体" w:cs="宋体"/>
                <w:sz w:val="24"/>
                <w:szCs w:val="24"/>
              </w:rPr>
              <w:t>4.2.</w:t>
            </w:r>
            <w:r>
              <w:rPr>
                <w:rFonts w:hint="eastAsia" w:ascii="宋体" w:hAnsi="宋体" w:eastAsia="宋体" w:cs="宋体"/>
                <w:sz w:val="24"/>
                <w:szCs w:val="24"/>
                <w:lang w:val="en-US" w:eastAsia="zh-CN"/>
              </w:rPr>
              <w:t>2</w:t>
            </w:r>
          </w:p>
        </w:tc>
        <w:tc>
          <w:tcPr>
            <w:tcW w:w="2160" w:type="dxa"/>
            <w:noWrap w:val="0"/>
            <w:vAlign w:val="center"/>
          </w:tcPr>
          <w:p w14:paraId="79A90E44">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递交竞争性磋商响应文件地点</w:t>
            </w:r>
          </w:p>
        </w:tc>
        <w:tc>
          <w:tcPr>
            <w:tcW w:w="6623" w:type="dxa"/>
            <w:noWrap w:val="0"/>
            <w:vAlign w:val="center"/>
          </w:tcPr>
          <w:p w14:paraId="1D627B9D">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lang w:val="zh-CN"/>
              </w:rPr>
              <w:t>政府采购云平台（https://www.zcygov.cn/）</w:t>
            </w:r>
          </w:p>
        </w:tc>
      </w:tr>
      <w:tr w14:paraId="28E2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84" w:type="dxa"/>
            <w:noWrap w:val="0"/>
            <w:vAlign w:val="center"/>
          </w:tcPr>
          <w:p w14:paraId="1816F9AA">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4.2.3</w:t>
            </w:r>
          </w:p>
        </w:tc>
        <w:tc>
          <w:tcPr>
            <w:tcW w:w="2160" w:type="dxa"/>
            <w:noWrap w:val="0"/>
            <w:vAlign w:val="center"/>
          </w:tcPr>
          <w:p w14:paraId="49E114E8">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是否退还竞争性磋商响应文件</w:t>
            </w:r>
          </w:p>
        </w:tc>
        <w:tc>
          <w:tcPr>
            <w:tcW w:w="6623" w:type="dxa"/>
            <w:noWrap w:val="0"/>
            <w:vAlign w:val="center"/>
          </w:tcPr>
          <w:p w14:paraId="4E3D7865">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否</w:t>
            </w:r>
          </w:p>
        </w:tc>
      </w:tr>
      <w:tr w14:paraId="5600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84" w:type="dxa"/>
            <w:noWrap w:val="0"/>
            <w:vAlign w:val="center"/>
          </w:tcPr>
          <w:p w14:paraId="4D0D5402">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lang w:val="en-US" w:eastAsia="zh-CN"/>
              </w:rPr>
            </w:pPr>
            <w:r>
              <w:rPr>
                <w:rFonts w:hint="eastAsia" w:ascii="宋体" w:hAnsi="宋体" w:eastAsia="宋体" w:cs="宋体"/>
                <w:sz w:val="24"/>
                <w:szCs w:val="24"/>
              </w:rPr>
              <w:t>4.2.1</w:t>
            </w:r>
          </w:p>
        </w:tc>
        <w:tc>
          <w:tcPr>
            <w:tcW w:w="2160" w:type="dxa"/>
            <w:noWrap w:val="0"/>
            <w:vAlign w:val="center"/>
          </w:tcPr>
          <w:p w14:paraId="62CDBCA9">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磋商时间和地点</w:t>
            </w:r>
          </w:p>
        </w:tc>
        <w:tc>
          <w:tcPr>
            <w:tcW w:w="6623" w:type="dxa"/>
            <w:noWrap w:val="0"/>
            <w:vAlign w:val="center"/>
          </w:tcPr>
          <w:p w14:paraId="29A70DBB">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磋商时间：</w:t>
            </w: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年</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eastAsia="zh-CN"/>
              </w:rPr>
              <w:t>月</w:t>
            </w:r>
            <w:r>
              <w:rPr>
                <w:rFonts w:hint="eastAsia" w:ascii="宋体" w:hAnsi="宋体" w:cs="宋体"/>
                <w:color w:val="auto"/>
                <w:sz w:val="24"/>
                <w:szCs w:val="24"/>
                <w:lang w:val="en-US" w:eastAsia="zh-CN"/>
              </w:rPr>
              <w:t>24</w:t>
            </w:r>
            <w:r>
              <w:rPr>
                <w:rFonts w:hint="eastAsia" w:ascii="宋体" w:hAnsi="宋体" w:eastAsia="宋体" w:cs="宋体"/>
                <w:color w:val="auto"/>
                <w:sz w:val="24"/>
                <w:szCs w:val="24"/>
                <w:lang w:eastAsia="zh-CN"/>
              </w:rPr>
              <w:t xml:space="preserve">日 </w:t>
            </w: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lang w:eastAsia="zh-CN"/>
              </w:rPr>
              <w:t>时 30 分</w:t>
            </w:r>
            <w:r>
              <w:rPr>
                <w:rFonts w:hint="eastAsia" w:ascii="宋体" w:hAnsi="宋体" w:eastAsia="宋体" w:cs="宋体"/>
                <w:color w:val="auto"/>
                <w:sz w:val="24"/>
                <w:szCs w:val="24"/>
              </w:rPr>
              <w:t>；同磋商截止时间；</w:t>
            </w:r>
          </w:p>
          <w:p w14:paraId="5B92121E">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磋商地点：</w:t>
            </w:r>
            <w:r>
              <w:rPr>
                <w:rFonts w:hint="eastAsia" w:ascii="宋体" w:hAnsi="宋体" w:eastAsia="宋体" w:cs="宋体"/>
                <w:color w:val="auto"/>
                <w:sz w:val="24"/>
                <w:szCs w:val="24"/>
                <w:lang w:val="zh-CN"/>
              </w:rPr>
              <w:t>政府采购云平台（https://www.zcygov.cn/）</w:t>
            </w:r>
          </w:p>
        </w:tc>
      </w:tr>
      <w:tr w14:paraId="10094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984" w:type="dxa"/>
            <w:noWrap w:val="0"/>
            <w:vAlign w:val="center"/>
          </w:tcPr>
          <w:p w14:paraId="608A6AE7">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lang w:val="en-US" w:eastAsia="zh-CN"/>
              </w:rPr>
            </w:pPr>
            <w:r>
              <w:rPr>
                <w:rFonts w:hint="eastAsia" w:ascii="宋体" w:hAnsi="宋体" w:eastAsia="宋体" w:cs="宋体"/>
                <w:sz w:val="24"/>
                <w:szCs w:val="24"/>
              </w:rPr>
              <w:t>6.1.1</w:t>
            </w:r>
          </w:p>
        </w:tc>
        <w:tc>
          <w:tcPr>
            <w:tcW w:w="2160" w:type="dxa"/>
            <w:noWrap w:val="0"/>
            <w:vAlign w:val="center"/>
          </w:tcPr>
          <w:p w14:paraId="4A74E578">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磋商小组的组建</w:t>
            </w:r>
          </w:p>
        </w:tc>
        <w:tc>
          <w:tcPr>
            <w:tcW w:w="6623" w:type="dxa"/>
            <w:noWrap w:val="0"/>
            <w:vAlign w:val="center"/>
          </w:tcPr>
          <w:p w14:paraId="73E5B415">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磋商小组的构成：由采购人代表和有关技术、经济等方面的专家组成，成员人数应当为3人及以上单数。其中，技术、经济等方面的专家不得少于成员总数的三分之二。磋商应当推选组长，但采购人代表不得担任组长。</w:t>
            </w:r>
          </w:p>
        </w:tc>
      </w:tr>
      <w:tr w14:paraId="1F5E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84" w:type="dxa"/>
            <w:noWrap w:val="0"/>
            <w:vAlign w:val="center"/>
          </w:tcPr>
          <w:p w14:paraId="0CA21E6B">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lang w:val="en-US" w:eastAsia="zh-CN"/>
              </w:rPr>
            </w:pPr>
            <w:r>
              <w:rPr>
                <w:rFonts w:hint="eastAsia" w:ascii="宋体" w:hAnsi="宋体" w:eastAsia="宋体" w:cs="宋体"/>
                <w:sz w:val="24"/>
                <w:szCs w:val="24"/>
              </w:rPr>
              <w:t>6.3.5</w:t>
            </w:r>
          </w:p>
        </w:tc>
        <w:tc>
          <w:tcPr>
            <w:tcW w:w="2160" w:type="dxa"/>
            <w:noWrap w:val="0"/>
            <w:vAlign w:val="center"/>
          </w:tcPr>
          <w:p w14:paraId="3F6300A1">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是否授权磋商委员会确定成交人</w:t>
            </w:r>
          </w:p>
        </w:tc>
        <w:tc>
          <w:tcPr>
            <w:tcW w:w="6623" w:type="dxa"/>
            <w:noWrap w:val="0"/>
            <w:vAlign w:val="center"/>
          </w:tcPr>
          <w:p w14:paraId="5196B085">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□是</w:t>
            </w:r>
          </w:p>
          <w:p w14:paraId="07B055E4">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√否，推荐的成交候选人的人数为 1-3 名</w:t>
            </w:r>
          </w:p>
        </w:tc>
      </w:tr>
      <w:tr w14:paraId="79E1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44" w:type="dxa"/>
            <w:gridSpan w:val="2"/>
            <w:noWrap w:val="0"/>
            <w:vAlign w:val="center"/>
          </w:tcPr>
          <w:p w14:paraId="00F91F91">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rPr>
            </w:pPr>
            <w:r>
              <w:rPr>
                <w:rFonts w:hint="eastAsia" w:ascii="宋体" w:hAnsi="宋体" w:eastAsia="宋体" w:cs="宋体"/>
                <w:b w:val="0"/>
                <w:bCs w:val="0"/>
                <w:color w:val="auto"/>
                <w:kern w:val="2"/>
                <w:sz w:val="24"/>
                <w:szCs w:val="24"/>
                <w:lang w:val="en-US" w:eastAsia="zh-CN" w:bidi="ar-SA"/>
              </w:rPr>
              <w:t>落实政府采购政策需满足的资格要求：</w:t>
            </w:r>
          </w:p>
        </w:tc>
        <w:tc>
          <w:tcPr>
            <w:tcW w:w="6623" w:type="dxa"/>
            <w:noWrap w:val="0"/>
            <w:vAlign w:val="center"/>
          </w:tcPr>
          <w:p w14:paraId="4B28401F">
            <w:pPr>
              <w:pStyle w:val="9"/>
              <w:keepNext w:val="0"/>
              <w:keepLines w:val="0"/>
              <w:pageBreakBefore w:val="0"/>
              <w:numPr>
                <w:ilvl w:val="0"/>
                <w:numId w:val="0"/>
              </w:numPr>
              <w:suppressLineNumbers w:val="0"/>
              <w:kinsoku/>
              <w:wordWrap/>
              <w:overflowPunct/>
              <w:topLinePunct w:val="0"/>
              <w:autoSpaceDE/>
              <w:autoSpaceDN/>
              <w:bidi w:val="0"/>
              <w:adjustRightInd/>
              <w:spacing w:before="0" w:beforeAutospacing="0" w:afterAutospacing="0" w:line="360" w:lineRule="auto"/>
              <w:ind w:left="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本项目为专门面向中小企业采购项目，供应商应为中小微企业，须按要求提供《中小企业声明函》（残疾人福利性单位声明函、监狱企业证明文件），监狱企业、残疾人福利性单位视同小型或微型企业。</w:t>
            </w:r>
          </w:p>
          <w:p w14:paraId="09FF09AD">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注：专门面向中小企业采购的项目或者采购包，不再执行价格评审优惠的扶持政策。</w:t>
            </w:r>
          </w:p>
        </w:tc>
      </w:tr>
      <w:tr w14:paraId="1A3F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3144" w:type="dxa"/>
            <w:gridSpan w:val="2"/>
            <w:noWrap w:val="0"/>
            <w:vAlign w:val="center"/>
          </w:tcPr>
          <w:p w14:paraId="77853F1F">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费用承担</w:t>
            </w:r>
          </w:p>
        </w:tc>
        <w:tc>
          <w:tcPr>
            <w:tcW w:w="6623" w:type="dxa"/>
            <w:noWrap w:val="0"/>
            <w:vAlign w:val="center"/>
          </w:tcPr>
          <w:p w14:paraId="772B261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无论本项目的结果如何，磋商申请人应承担所有其参加本项目的费用。</w:t>
            </w:r>
          </w:p>
          <w:p w14:paraId="5E4335B7">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60" w:lineRule="auto"/>
              <w:ind w:left="0" w:leftChars="0" w:right="0"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1.5.2 </w:t>
            </w:r>
            <w:r>
              <w:rPr>
                <w:rFonts w:hint="eastAsia" w:ascii="宋体" w:hAnsi="宋体" w:eastAsia="宋体" w:cs="宋体"/>
                <w:color w:val="000000" w:themeColor="text1"/>
                <w:sz w:val="24"/>
                <w:szCs w:val="24"/>
                <w:highlight w:val="none"/>
                <w14:textFill>
                  <w14:solidFill>
                    <w14:schemeClr w14:val="tx1"/>
                  </w14:solidFill>
                </w14:textFill>
              </w:rPr>
              <w:t>成交的磋商申请人领取成交通知书时，向代理机构支付代理服务费</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8269519">
            <w:pPr>
              <w:keepNext w:val="0"/>
              <w:keepLines w:val="0"/>
              <w:pageBreakBefore w:val="0"/>
              <w:widowControl/>
              <w:suppressLineNumbers w:val="0"/>
              <w:kinsoku w:val="0"/>
              <w:wordWrap/>
              <w:overflowPunct/>
              <w:topLinePunct w:val="0"/>
              <w:autoSpaceDE w:val="0"/>
              <w:autoSpaceDN w:val="0"/>
              <w:bidi w:val="0"/>
              <w:adjustRightInd w:val="0"/>
              <w:snapToGrid w:val="0"/>
              <w:spacing w:before="143" w:beforeAutospacing="0" w:after="0" w:afterAutospacing="0" w:line="348" w:lineRule="auto"/>
              <w:ind w:left="0" w:leftChars="0" w:right="0" w:firstLine="0" w:firstLineChars="0"/>
              <w:textAlignment w:val="baseline"/>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代理服务费</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参照《云南省建设工程及政府采购代理服务收费参考意见》云建招协〔202</w:t>
            </w: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 xml:space="preserve"> 号文件</w:t>
            </w:r>
            <w:r>
              <w:rPr>
                <w:rFonts w:hint="eastAsia" w:ascii="宋体" w:hAnsi="宋体" w:eastAsia="宋体" w:cs="宋体"/>
                <w:color w:val="000000" w:themeColor="text1"/>
                <w:spacing w:val="3"/>
                <w:sz w:val="24"/>
                <w:szCs w:val="24"/>
                <w:highlight w:val="none"/>
                <w14:textFill>
                  <w14:solidFill>
                    <w14:schemeClr w14:val="tx1"/>
                  </w14:solidFill>
                </w14:textFill>
              </w:rPr>
              <w:t>收取</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p>
          <w:p w14:paraId="0CC60BC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48" w:lineRule="auto"/>
              <w:ind w:left="0" w:leftChars="0" w:right="0" w:firstLine="0" w:firstLineChars="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9"/>
                <w:sz w:val="24"/>
                <w:szCs w:val="24"/>
                <w:highlight w:val="none"/>
                <w14:textFill>
                  <w14:solidFill>
                    <w14:schemeClr w14:val="tx1"/>
                  </w14:solidFill>
                </w14:textFill>
              </w:rPr>
              <w:t>注：本项目代理服务费由成交单位支付</w:t>
            </w:r>
            <w:r>
              <w:rPr>
                <w:rFonts w:hint="eastAsia" w:ascii="宋体" w:hAnsi="宋体" w:eastAsia="宋体" w:cs="宋体"/>
                <w:color w:val="000000" w:themeColor="text1"/>
                <w:spacing w:val="7"/>
                <w:sz w:val="24"/>
                <w:szCs w:val="24"/>
                <w:highlight w:val="none"/>
                <w14:textFill>
                  <w14:solidFill>
                    <w14:schemeClr w14:val="tx1"/>
                  </w14:solidFill>
                </w14:textFill>
              </w:rPr>
              <w:t>。</w:t>
            </w:r>
          </w:p>
          <w:p w14:paraId="055FC0B7">
            <w:pPr>
              <w:keepNext w:val="0"/>
              <w:keepLines w:val="0"/>
              <w:suppressLineNumbers w:val="0"/>
              <w:bidi w:val="0"/>
              <w:spacing w:before="0" w:beforeAutospacing="0" w:after="0" w:afterAutospacing="0"/>
              <w:ind w:left="0" w:right="0"/>
              <w:rPr>
                <w:rFonts w:hint="eastAsia" w:ascii="宋体" w:hAnsi="宋体" w:eastAsia="宋体" w:cs="宋体"/>
                <w:b/>
                <w:bCs/>
                <w:color w:val="auto"/>
                <w:sz w:val="24"/>
                <w:szCs w:val="24"/>
                <w:lang w:eastAsia="zh-CN"/>
              </w:rPr>
            </w:pPr>
          </w:p>
        </w:tc>
      </w:tr>
      <w:tr w14:paraId="041C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3144" w:type="dxa"/>
            <w:gridSpan w:val="2"/>
            <w:noWrap w:val="0"/>
            <w:vAlign w:val="center"/>
          </w:tcPr>
          <w:p w14:paraId="3AE0AFAD">
            <w:pPr>
              <w:keepNext w:val="0"/>
              <w:keepLines w:val="0"/>
              <w:suppressLineNumbers w:val="0"/>
              <w:bidi w:val="0"/>
              <w:spacing w:before="0" w:beforeAutospacing="0" w:after="0" w:afterAutospacing="0"/>
              <w:ind w:left="0" w:leftChars="0" w:right="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评标结果公示</w:t>
            </w:r>
          </w:p>
        </w:tc>
        <w:tc>
          <w:tcPr>
            <w:tcW w:w="6623" w:type="dxa"/>
            <w:noWrap w:val="0"/>
            <w:vAlign w:val="center"/>
          </w:tcPr>
          <w:p w14:paraId="7E449F17">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通知书发出前，采购人将</w:t>
            </w:r>
            <w:r>
              <w:rPr>
                <w:rFonts w:hint="eastAsia" w:ascii="宋体" w:hAnsi="宋体" w:eastAsia="宋体" w:cs="宋体"/>
                <w:sz w:val="24"/>
                <w:szCs w:val="24"/>
              </w:rPr>
              <w:t>成交公示在本项目竞争性磋商公告发布的同一媒介予以公示，公示有效期1个工作日。</w:t>
            </w:r>
          </w:p>
        </w:tc>
      </w:tr>
      <w:tr w14:paraId="740F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144" w:type="dxa"/>
            <w:gridSpan w:val="2"/>
            <w:noWrap w:val="0"/>
            <w:vAlign w:val="center"/>
          </w:tcPr>
          <w:p w14:paraId="6D1400FF">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解释权</w:t>
            </w:r>
          </w:p>
        </w:tc>
        <w:tc>
          <w:tcPr>
            <w:tcW w:w="6623" w:type="dxa"/>
            <w:noWrap w:val="0"/>
            <w:vAlign w:val="center"/>
          </w:tcPr>
          <w:p w14:paraId="7CE36D5A">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由招标代理机构负责解释。</w:t>
            </w:r>
          </w:p>
        </w:tc>
      </w:tr>
      <w:tr w14:paraId="6F6D4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9767" w:type="dxa"/>
            <w:gridSpan w:val="3"/>
            <w:noWrap w:val="0"/>
            <w:vAlign w:val="center"/>
          </w:tcPr>
          <w:p w14:paraId="1C6E2EED">
            <w:pPr>
              <w:keepNext w:val="0"/>
              <w:keepLines w:val="0"/>
              <w:pageBreakBefore w:val="0"/>
              <w:suppressLineNumbers w:val="0"/>
              <w:wordWrap/>
              <w:topLinePunct w:val="0"/>
              <w:bidi w:val="0"/>
              <w:spacing w:before="117" w:beforeAutospacing="0" w:after="0" w:afterAutospacing="0" w:line="360" w:lineRule="auto"/>
              <w:ind w:left="118" w:leftChars="0" w:right="0" w:firstLine="528" w:firstLineChars="200"/>
              <w:jc w:val="center"/>
              <w:rPr>
                <w:rFonts w:hint="eastAsia" w:ascii="宋体" w:hAnsi="宋体" w:eastAsia="宋体" w:cs="宋体"/>
                <w:color w:val="auto"/>
                <w:sz w:val="24"/>
                <w:szCs w:val="24"/>
              </w:rPr>
            </w:pPr>
            <w:r>
              <w:rPr>
                <w:rFonts w:hint="eastAsia" w:ascii="宋体" w:hAnsi="宋体" w:eastAsia="宋体" w:cs="宋体"/>
                <w:color w:val="000000" w:themeColor="text1"/>
                <w:spacing w:val="12"/>
                <w:sz w:val="24"/>
                <w:szCs w:val="24"/>
                <w:highlight w:val="none"/>
                <w14:textOutline w14:w="4358" w14:cap="sq" w14:cmpd="sng">
                  <w14:solidFill>
                    <w14:srgbClr w14:val="000000"/>
                  </w14:solidFill>
                  <w14:prstDash w14:val="solid"/>
                  <w14:bevel/>
                </w14:textOutline>
                <w14:textFill>
                  <w14:solidFill>
                    <w14:schemeClr w14:val="tx1"/>
                  </w14:solidFill>
                </w14:textFill>
              </w:rPr>
              <w:t>其</w:t>
            </w:r>
            <w:r>
              <w:rPr>
                <w:rFonts w:hint="eastAsia" w:ascii="宋体" w:hAnsi="宋体" w:eastAsia="宋体" w:cs="宋体"/>
                <w:color w:val="000000" w:themeColor="text1"/>
                <w:spacing w:val="8"/>
                <w:sz w:val="24"/>
                <w:szCs w:val="24"/>
                <w:highlight w:val="none"/>
                <w14:textOutline w14:w="4358" w14:cap="sq" w14:cmpd="sng">
                  <w14:solidFill>
                    <w14:srgbClr w14:val="000000"/>
                  </w14:solidFill>
                  <w14:prstDash w14:val="solid"/>
                  <w14:bevel/>
                </w14:textOutline>
                <w14:textFill>
                  <w14:solidFill>
                    <w14:schemeClr w14:val="tx1"/>
                  </w14:solidFill>
                </w14:textFill>
              </w:rPr>
              <w:t>他注意事项</w:t>
            </w:r>
          </w:p>
        </w:tc>
      </w:tr>
      <w:tr w14:paraId="6409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9767" w:type="dxa"/>
            <w:gridSpan w:val="3"/>
            <w:noWrap w:val="0"/>
            <w:vAlign w:val="center"/>
          </w:tcPr>
          <w:p w14:paraId="2C94D585">
            <w:pPr>
              <w:keepNext w:val="0"/>
              <w:keepLines w:val="0"/>
              <w:pageBreakBefore w:val="0"/>
              <w:suppressLineNumbers w:val="0"/>
              <w:wordWrap/>
              <w:topLinePunct w:val="0"/>
              <w:bidi w:val="0"/>
              <w:spacing w:before="0" w:beforeAutospacing="0" w:after="0" w:afterAutospacing="0" w:line="360" w:lineRule="auto"/>
              <w:ind w:left="0" w:right="0"/>
              <w:jc w:val="both"/>
              <w:rPr>
                <w:rFonts w:hint="eastAsia" w:ascii="宋体" w:hAnsi="宋体" w:eastAsia="宋体" w:cs="宋体"/>
                <w:snapToGrid/>
                <w:color w:val="000000" w:themeColor="text1"/>
                <w:spacing w:val="10"/>
                <w:sz w:val="24"/>
                <w:szCs w:val="24"/>
                <w:highlight w:val="none"/>
                <w14:textFill>
                  <w14:solidFill>
                    <w14:schemeClr w14:val="tx1"/>
                  </w14:solidFill>
                </w14:textFill>
              </w:rPr>
            </w:pPr>
            <w:r>
              <w:rPr>
                <w:rFonts w:hint="eastAsia" w:ascii="宋体" w:hAnsi="宋体" w:eastAsia="宋体" w:cs="宋体"/>
                <w:snapToGrid/>
                <w:color w:val="000000" w:themeColor="text1"/>
                <w:spacing w:val="10"/>
                <w:sz w:val="24"/>
                <w:szCs w:val="24"/>
                <w:highlight w:val="none"/>
                <w14:textFill>
                  <w14:solidFill>
                    <w14:schemeClr w14:val="tx1"/>
                  </w14:solidFill>
                </w14:textFill>
              </w:rPr>
              <w:t>1、供应商应对其响应文件中提供材料的真实性、合法性负责；供应商在其响应文件中提供虚假材料的，一经核实，取消成交资格，并交相关监督部门处理。</w:t>
            </w:r>
          </w:p>
          <w:p w14:paraId="7D2FFF6B">
            <w:pPr>
              <w:keepNext w:val="0"/>
              <w:keepLines w:val="0"/>
              <w:pageBreakBefore w:val="0"/>
              <w:suppressLineNumbers w:val="0"/>
              <w:wordWrap/>
              <w:topLinePunct w:val="0"/>
              <w:bidi w:val="0"/>
              <w:spacing w:before="0" w:beforeAutospacing="0" w:after="0" w:afterAutospacing="0" w:line="360" w:lineRule="auto"/>
              <w:ind w:left="0" w:right="0"/>
              <w:jc w:val="both"/>
              <w:rPr>
                <w:rFonts w:hint="eastAsia" w:ascii="宋体" w:hAnsi="宋体" w:eastAsia="宋体" w:cs="宋体"/>
                <w:snapToGrid/>
                <w:color w:val="000000" w:themeColor="text1"/>
                <w:spacing w:val="10"/>
                <w:sz w:val="24"/>
                <w:szCs w:val="24"/>
                <w:highlight w:val="none"/>
                <w:lang w:eastAsia="zh-CN"/>
                <w14:textFill>
                  <w14:solidFill>
                    <w14:schemeClr w14:val="tx1"/>
                  </w14:solidFill>
                </w14:textFill>
              </w:rPr>
            </w:pPr>
            <w:r>
              <w:rPr>
                <w:rFonts w:hint="eastAsia" w:ascii="宋体" w:hAnsi="宋体" w:eastAsia="宋体" w:cs="宋体"/>
                <w:snapToGrid/>
                <w:color w:val="000000" w:themeColor="text1"/>
                <w:spacing w:val="10"/>
                <w:sz w:val="24"/>
                <w:szCs w:val="24"/>
                <w:highlight w:val="none"/>
                <w14:textFill>
                  <w14:solidFill>
                    <w14:schemeClr w14:val="tx1"/>
                  </w14:solidFill>
                </w14:textFill>
              </w:rPr>
              <w:t>2、以下情况视为供应商同意撤回已上传系统的响应文件或其响应文件无效：</w:t>
            </w:r>
          </w:p>
          <w:p w14:paraId="5580AFDF">
            <w:pPr>
              <w:keepNext w:val="0"/>
              <w:keepLines w:val="0"/>
              <w:pageBreakBefore w:val="0"/>
              <w:suppressLineNumbers w:val="0"/>
              <w:wordWrap/>
              <w:topLinePunct w:val="0"/>
              <w:bidi w:val="0"/>
              <w:spacing w:before="0" w:beforeAutospacing="0" w:after="0" w:afterAutospacing="0" w:line="360" w:lineRule="auto"/>
              <w:ind w:left="0" w:right="0"/>
              <w:jc w:val="both"/>
              <w:rPr>
                <w:rFonts w:hint="eastAsia" w:ascii="宋体" w:hAnsi="宋体" w:eastAsia="宋体" w:cs="宋体"/>
                <w:snapToGrid/>
                <w:color w:val="000000" w:themeColor="text1"/>
                <w:spacing w:val="10"/>
                <w:sz w:val="24"/>
                <w:szCs w:val="24"/>
                <w:highlight w:val="none"/>
                <w:lang w:eastAsia="zh-CN"/>
                <w14:textFill>
                  <w14:solidFill>
                    <w14:schemeClr w14:val="tx1"/>
                  </w14:solidFill>
                </w14:textFill>
              </w:rPr>
            </w:pPr>
            <w:r>
              <w:rPr>
                <w:rFonts w:hint="eastAsia" w:ascii="宋体" w:hAnsi="宋体" w:eastAsia="宋体" w:cs="宋体"/>
                <w:snapToGrid/>
                <w:color w:val="000000" w:themeColor="text1"/>
                <w:spacing w:val="10"/>
                <w:sz w:val="24"/>
                <w:szCs w:val="24"/>
                <w:highlight w:val="none"/>
                <w14:textFill>
                  <w14:solidFill>
                    <w14:schemeClr w14:val="tx1"/>
                  </w14:solidFill>
                </w14:textFill>
              </w:rPr>
              <w:t>（1）政采云电子平台显示供应商未上传响应文件的；</w:t>
            </w:r>
          </w:p>
          <w:p w14:paraId="78902A0C">
            <w:pPr>
              <w:keepNext w:val="0"/>
              <w:keepLines w:val="0"/>
              <w:suppressLineNumbers w:val="0"/>
              <w:bidi w:val="0"/>
              <w:spacing w:before="0"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snapToGrid/>
                <w:color w:val="000000" w:themeColor="text1"/>
                <w:spacing w:val="10"/>
                <w:sz w:val="24"/>
                <w:szCs w:val="24"/>
                <w:highlight w:val="none"/>
                <w:lang w:eastAsia="zh-CN"/>
                <w14:textFill>
                  <w14:solidFill>
                    <w14:schemeClr w14:val="tx1"/>
                  </w14:solidFill>
                </w14:textFill>
              </w:rPr>
              <w:t>（</w:t>
            </w:r>
            <w:r>
              <w:rPr>
                <w:rFonts w:hint="eastAsia" w:ascii="宋体" w:hAnsi="宋体" w:eastAsia="宋体" w:cs="宋体"/>
                <w:snapToGrid/>
                <w:color w:val="000000" w:themeColor="text1"/>
                <w:spacing w:val="10"/>
                <w:sz w:val="24"/>
                <w:szCs w:val="24"/>
                <w:highlight w:val="none"/>
                <w14:textFill>
                  <w14:solidFill>
                    <w14:schemeClr w14:val="tx1"/>
                  </w14:solidFill>
                </w14:textFill>
              </w:rPr>
              <w:t>2）因供应商原因上传的响应文件在开启文件时无法解密的。</w:t>
            </w:r>
          </w:p>
        </w:tc>
      </w:tr>
    </w:tbl>
    <w:p w14:paraId="222BF4D3">
      <w:pPr>
        <w:numPr>
          <w:ilvl w:val="0"/>
          <w:numId w:val="2"/>
        </w:numPr>
        <w:pBdr>
          <w:top w:val="none" w:color="auto" w:sz="0" w:space="1"/>
          <w:left w:val="none" w:color="auto" w:sz="0" w:space="4"/>
          <w:bottom w:val="none" w:color="auto" w:sz="0" w:space="1"/>
          <w:right w:val="none" w:color="auto" w:sz="0" w:space="4"/>
        </w:pBdr>
        <w:spacing w:line="440" w:lineRule="exact"/>
        <w:ind w:firstLine="480" w:firstLineChars="200"/>
        <w:outlineLvl w:val="1"/>
        <w:rPr>
          <w:rFonts w:hint="eastAsia" w:ascii="宋体" w:hAnsi="宋体" w:eastAsia="宋体" w:cs="宋体"/>
          <w:b/>
          <w:sz w:val="24"/>
          <w:szCs w:val="24"/>
        </w:rPr>
      </w:pPr>
      <w:r>
        <w:rPr>
          <w:rFonts w:hint="eastAsia" w:ascii="宋体" w:hAnsi="宋体" w:eastAsia="宋体" w:cs="宋体"/>
          <w:color w:val="auto"/>
          <w:sz w:val="24"/>
          <w:szCs w:val="24"/>
        </w:rPr>
        <w:br w:type="page"/>
      </w:r>
      <w:bookmarkEnd w:id="10"/>
      <w:bookmarkStart w:id="11" w:name="_Toc8270"/>
      <w:bookmarkStart w:id="12" w:name="_Toc445455032"/>
      <w:bookmarkStart w:id="13" w:name="_Toc31591"/>
      <w:r>
        <w:rPr>
          <w:rFonts w:hint="eastAsia" w:ascii="宋体" w:hAnsi="宋体" w:eastAsia="宋体" w:cs="宋体"/>
          <w:b/>
          <w:sz w:val="24"/>
          <w:szCs w:val="24"/>
        </w:rPr>
        <w:t>总 则</w:t>
      </w:r>
      <w:bookmarkEnd w:id="11"/>
      <w:bookmarkEnd w:id="12"/>
      <w:bookmarkEnd w:id="13"/>
    </w:p>
    <w:p w14:paraId="2D070995">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1.1 项目概况</w:t>
      </w:r>
    </w:p>
    <w:p w14:paraId="7EACEFFF">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 根据《中华人民共和国政府采购法</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中华人民共和国政府采购法实施条例</w:t>
      </w:r>
      <w:r>
        <w:rPr>
          <w:rFonts w:hint="eastAsia" w:ascii="宋体" w:hAnsi="宋体" w:eastAsia="宋体" w:cs="宋体"/>
          <w:sz w:val="24"/>
          <w:szCs w:val="24"/>
          <w:lang w:eastAsia="zh-CN"/>
        </w:rPr>
        <w:t>》《</w:t>
      </w:r>
      <w:r>
        <w:rPr>
          <w:rFonts w:hint="eastAsia" w:ascii="宋体" w:hAnsi="宋体" w:eastAsia="宋体" w:cs="宋体"/>
          <w:sz w:val="24"/>
          <w:szCs w:val="24"/>
        </w:rPr>
        <w:t>政府采购货物和服务采购磋商管理办法》等相关</w:t>
      </w:r>
      <w:r>
        <w:rPr>
          <w:rFonts w:hint="eastAsia" w:ascii="宋体" w:hAnsi="宋体" w:eastAsia="宋体" w:cs="宋体"/>
          <w:sz w:val="24"/>
          <w:szCs w:val="24"/>
          <w:lang w:eastAsia="zh-CN"/>
        </w:rPr>
        <w:t>法律法规</w:t>
      </w:r>
      <w:r>
        <w:rPr>
          <w:rFonts w:hint="eastAsia" w:ascii="宋体" w:hAnsi="宋体" w:eastAsia="宋体" w:cs="宋体"/>
          <w:sz w:val="24"/>
          <w:szCs w:val="24"/>
        </w:rPr>
        <w:t>和规章的规定，本竞争性磋商项目已具备竞争性磋商条件，现对本项目进行竞争性磋商。</w:t>
      </w:r>
    </w:p>
    <w:p w14:paraId="0E2D945A">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 采购人：见潜在供应商须知前附表。</w:t>
      </w:r>
    </w:p>
    <w:p w14:paraId="38599D54">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1.1.3 </w:t>
      </w:r>
      <w:r>
        <w:rPr>
          <w:rFonts w:hint="eastAsia" w:ascii="宋体" w:hAnsi="宋体" w:eastAsia="宋体" w:cs="宋体"/>
          <w:sz w:val="24"/>
          <w:szCs w:val="24"/>
          <w:lang w:eastAsia="zh-CN"/>
        </w:rPr>
        <w:t>采购代理</w:t>
      </w:r>
      <w:r>
        <w:rPr>
          <w:rFonts w:hint="eastAsia" w:ascii="宋体" w:hAnsi="宋体" w:eastAsia="宋体" w:cs="宋体"/>
          <w:sz w:val="24"/>
          <w:szCs w:val="24"/>
        </w:rPr>
        <w:t>机构：见潜在供应商须知前附表。</w:t>
      </w:r>
    </w:p>
    <w:p w14:paraId="7527F632">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1.1.4 项目名称：见潜在供应商须知前附表。</w:t>
      </w:r>
    </w:p>
    <w:p w14:paraId="0FED8C9B">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b/>
          <w:sz w:val="24"/>
          <w:szCs w:val="24"/>
        </w:rPr>
      </w:pPr>
      <w:bookmarkStart w:id="14" w:name="_Toc288809291"/>
      <w:bookmarkStart w:id="15" w:name="_Toc274257056"/>
      <w:r>
        <w:rPr>
          <w:rFonts w:hint="eastAsia" w:ascii="宋体" w:hAnsi="宋体" w:eastAsia="宋体" w:cs="宋体"/>
          <w:b/>
          <w:sz w:val="24"/>
          <w:szCs w:val="24"/>
        </w:rPr>
        <w:t>1.2 资金来源和落实情况</w:t>
      </w:r>
      <w:bookmarkEnd w:id="14"/>
      <w:bookmarkEnd w:id="15"/>
    </w:p>
    <w:p w14:paraId="5AA3FADD">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1.2.1 采购预算、资金来源及出资比例：见潜在供应商须知前附表。</w:t>
      </w:r>
    </w:p>
    <w:p w14:paraId="158F6220">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1.2.2 资金落实情况：见潜在供应商须知前附表。</w:t>
      </w:r>
    </w:p>
    <w:p w14:paraId="1A18EB25">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b/>
          <w:sz w:val="24"/>
          <w:szCs w:val="24"/>
        </w:rPr>
      </w:pPr>
      <w:bookmarkStart w:id="16" w:name="_Toc274257057"/>
      <w:bookmarkStart w:id="17" w:name="_Toc288809292"/>
      <w:r>
        <w:rPr>
          <w:rFonts w:hint="eastAsia" w:ascii="宋体" w:hAnsi="宋体" w:eastAsia="宋体" w:cs="宋体"/>
          <w:b/>
          <w:sz w:val="24"/>
          <w:szCs w:val="24"/>
        </w:rPr>
        <w:t>1.3 竞争性磋商范围和合同履行期限</w:t>
      </w:r>
      <w:bookmarkEnd w:id="16"/>
      <w:bookmarkEnd w:id="17"/>
    </w:p>
    <w:p w14:paraId="5A4830D2">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1.3.1 竞争性磋商范围：见潜在供应商须知前附表。</w:t>
      </w:r>
    </w:p>
    <w:p w14:paraId="2B9F826D">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1.3.2 </w:t>
      </w:r>
      <w:r>
        <w:rPr>
          <w:rFonts w:hint="eastAsia" w:ascii="宋体" w:hAnsi="宋体" w:eastAsia="宋体" w:cs="宋体"/>
          <w:sz w:val="24"/>
          <w:szCs w:val="24"/>
          <w:lang w:eastAsia="zh-CN"/>
        </w:rPr>
        <w:t>服务</w:t>
      </w:r>
      <w:r>
        <w:rPr>
          <w:rFonts w:hint="eastAsia" w:ascii="宋体" w:hAnsi="宋体" w:eastAsia="宋体" w:cs="宋体"/>
          <w:sz w:val="24"/>
          <w:szCs w:val="24"/>
        </w:rPr>
        <w:t>期限：见潜在供应商须知前附表。</w:t>
      </w:r>
    </w:p>
    <w:p w14:paraId="24A45EA9">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1.2.3 </w:t>
      </w: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质量要求</w:t>
      </w:r>
      <w:r>
        <w:rPr>
          <w:rFonts w:hint="eastAsia" w:ascii="宋体" w:hAnsi="宋体" w:eastAsia="宋体" w:cs="宋体"/>
          <w:color w:val="auto"/>
          <w:sz w:val="24"/>
          <w:szCs w:val="24"/>
          <w:lang w:eastAsia="zh-CN"/>
        </w:rPr>
        <w:t>：</w:t>
      </w:r>
      <w:r>
        <w:rPr>
          <w:rFonts w:hint="eastAsia" w:ascii="宋体" w:hAnsi="宋体" w:eastAsia="宋体" w:cs="宋体"/>
          <w:sz w:val="24"/>
          <w:szCs w:val="24"/>
        </w:rPr>
        <w:t>见潜在供应商须知前附表</w:t>
      </w:r>
    </w:p>
    <w:p w14:paraId="2E1597AD">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b/>
          <w:sz w:val="24"/>
          <w:szCs w:val="24"/>
        </w:rPr>
      </w:pPr>
      <w:bookmarkStart w:id="18" w:name="_Toc274257058"/>
      <w:bookmarkStart w:id="19" w:name="_Toc288809293"/>
      <w:r>
        <w:rPr>
          <w:rFonts w:hint="eastAsia" w:ascii="宋体" w:hAnsi="宋体" w:eastAsia="宋体" w:cs="宋体"/>
          <w:b/>
          <w:sz w:val="24"/>
          <w:szCs w:val="24"/>
        </w:rPr>
        <w:t>1.4 潜在供应商资格要求</w:t>
      </w:r>
      <w:bookmarkEnd w:id="18"/>
      <w:bookmarkEnd w:id="19"/>
    </w:p>
    <w:p w14:paraId="5CD688FF">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1.4.1 潜在供应商应具备的资格要求：见潜在供应商须知前附表。</w:t>
      </w:r>
    </w:p>
    <w:p w14:paraId="2BCCFEA9">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1.4.2 资格审查方式：见潜在供应商须知前附表。</w:t>
      </w:r>
    </w:p>
    <w:p w14:paraId="798AD671">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1.4.3 是否接受联合体磋商：见潜在供应商须知前附表。</w:t>
      </w:r>
    </w:p>
    <w:p w14:paraId="25E7CC7F">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1.4.4 潜在供应商不得存在下列情形之一：</w:t>
      </w:r>
    </w:p>
    <w:p w14:paraId="000383B1">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（1）与采购人存在利害关系且可能影响竞争性磋商公正性；</w:t>
      </w:r>
    </w:p>
    <w:p w14:paraId="255F2E45">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（2）与本竞争性磋商项目的其他潜在供应商为同一个单位负责人；</w:t>
      </w:r>
    </w:p>
    <w:p w14:paraId="29000BE3">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（3）与本竞争性磋商项目的其他潜在供应商存在控股、管理关系；</w:t>
      </w:r>
    </w:p>
    <w:p w14:paraId="703B854A">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（4）被依法暂停或者取消磋商资格；</w:t>
      </w:r>
    </w:p>
    <w:p w14:paraId="5124EBDF">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（5）被责令停产停业、暂扣或者吊销许可证、暂扣或者吊销执照；</w:t>
      </w:r>
    </w:p>
    <w:p w14:paraId="206F640C">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（6）进入清算程序，或被宣告破产，或其他丧失履约能力的情形；</w:t>
      </w:r>
    </w:p>
    <w:p w14:paraId="76DB09FE">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（7）在“信用中国”网站（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"http://www.creditchina.gov.cn/" </w:instrText>
      </w:r>
      <w:r>
        <w:rPr>
          <w:rFonts w:hint="eastAsia" w:ascii="宋体" w:hAnsi="宋体" w:eastAsia="宋体" w:cs="宋体"/>
          <w:sz w:val="24"/>
          <w:szCs w:val="24"/>
        </w:rPr>
        <w:fldChar w:fldCharType="separate"/>
      </w:r>
      <w:r>
        <w:rPr>
          <w:rFonts w:hint="eastAsia" w:ascii="宋体" w:hAnsi="宋体" w:eastAsia="宋体" w:cs="宋体"/>
          <w:sz w:val="24"/>
          <w:szCs w:val="24"/>
        </w:rPr>
        <w:t>www.creditchina.gov.cn</w:t>
      </w:r>
      <w:r>
        <w:rPr>
          <w:rFonts w:hint="eastAsia" w:ascii="宋体" w:hAnsi="宋体" w:eastAsia="宋体" w:cs="宋体"/>
          <w:sz w:val="24"/>
          <w:szCs w:val="24"/>
        </w:rPr>
        <w:fldChar w:fldCharType="end"/>
      </w:r>
      <w:r>
        <w:rPr>
          <w:rFonts w:hint="eastAsia" w:ascii="宋体" w:hAnsi="宋体" w:eastAsia="宋体" w:cs="宋体"/>
          <w:sz w:val="24"/>
          <w:szCs w:val="24"/>
        </w:rPr>
        <w:t>）被列入失信被执行人名单；</w:t>
      </w:r>
    </w:p>
    <w:p w14:paraId="6A0CECBB">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bCs/>
          <w:sz w:val="24"/>
          <w:szCs w:val="24"/>
        </w:rPr>
        <w:t>在“中国政府采购网”（www.ccgp.gov.cn）被列入严重违法失信</w:t>
      </w:r>
      <w:r>
        <w:rPr>
          <w:rFonts w:hint="eastAsia" w:ascii="宋体" w:hAnsi="宋体" w:eastAsia="宋体" w:cs="宋体"/>
          <w:sz w:val="24"/>
          <w:szCs w:val="24"/>
        </w:rPr>
        <w:t>企业名单；</w:t>
      </w:r>
    </w:p>
    <w:p w14:paraId="6F3524C8">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（9）法律法规或潜在供应商须知前附表规定的其他情形。</w:t>
      </w:r>
    </w:p>
    <w:p w14:paraId="561E1927">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b/>
          <w:sz w:val="24"/>
          <w:szCs w:val="24"/>
        </w:rPr>
      </w:pPr>
      <w:bookmarkStart w:id="20" w:name="_Toc152045535"/>
      <w:bookmarkStart w:id="21" w:name="_Toc274257059"/>
      <w:bookmarkStart w:id="22" w:name="_Toc288809294"/>
      <w:bookmarkStart w:id="23" w:name="_Toc152042311"/>
      <w:bookmarkStart w:id="24" w:name="_Toc179632552"/>
      <w:bookmarkStart w:id="25" w:name="_Toc144974503"/>
      <w:r>
        <w:rPr>
          <w:rFonts w:hint="eastAsia" w:ascii="宋体" w:hAnsi="宋体" w:eastAsia="宋体" w:cs="宋体"/>
          <w:b/>
          <w:sz w:val="24"/>
          <w:szCs w:val="24"/>
        </w:rPr>
        <w:t>1.5 费用承担</w:t>
      </w:r>
      <w:bookmarkEnd w:id="20"/>
      <w:bookmarkEnd w:id="21"/>
      <w:bookmarkEnd w:id="22"/>
      <w:bookmarkEnd w:id="23"/>
      <w:bookmarkEnd w:id="24"/>
      <w:bookmarkEnd w:id="25"/>
    </w:p>
    <w:p w14:paraId="6397A98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bookmarkStart w:id="26" w:name="_Toc179632553"/>
      <w:bookmarkStart w:id="27" w:name="_Toc274257060"/>
      <w:bookmarkStart w:id="28" w:name="_Toc288809295"/>
      <w:bookmarkStart w:id="29" w:name="_Toc144974504"/>
      <w:bookmarkStart w:id="30" w:name="_Toc152042312"/>
      <w:bookmarkStart w:id="31" w:name="_Toc152045536"/>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无论本项目的结果如何，磋商申请人应承担所有其参加本项目的费用。</w:t>
      </w:r>
    </w:p>
    <w:p w14:paraId="2FEE40E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1.5.2 </w:t>
      </w:r>
      <w:r>
        <w:rPr>
          <w:rFonts w:hint="eastAsia" w:ascii="宋体" w:hAnsi="宋体" w:eastAsia="宋体" w:cs="宋体"/>
          <w:color w:val="000000" w:themeColor="text1"/>
          <w:sz w:val="24"/>
          <w:szCs w:val="24"/>
          <w:highlight w:val="none"/>
          <w14:textFill>
            <w14:solidFill>
              <w14:schemeClr w14:val="tx1"/>
            </w14:solidFill>
          </w14:textFill>
        </w:rPr>
        <w:t>成交的磋商申请人领取成交通知书时，向代理机构支付代理服务费</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762B8DE">
      <w:pPr>
        <w:keepNext w:val="0"/>
        <w:keepLines w:val="0"/>
        <w:pageBreakBefore w:val="0"/>
        <w:widowControl/>
        <w:kinsoku w:val="0"/>
        <w:wordWrap/>
        <w:overflowPunct/>
        <w:topLinePunct w:val="0"/>
        <w:autoSpaceDE w:val="0"/>
        <w:autoSpaceDN w:val="0"/>
        <w:bidi w:val="0"/>
        <w:adjustRightInd w:val="0"/>
        <w:snapToGrid w:val="0"/>
        <w:spacing w:before="143" w:line="348" w:lineRule="auto"/>
        <w:textAlignment w:val="baseline"/>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3"/>
          <w:sz w:val="24"/>
          <w:szCs w:val="24"/>
          <w:highlight w:val="none"/>
          <w14:textFill>
            <w14:solidFill>
              <w14:schemeClr w14:val="tx1"/>
            </w14:solidFill>
          </w14:textFill>
        </w:rPr>
        <w:t>代理服务费</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参照《云南省建设工程及政府采购代理服务收费参考意见》云建招协〔202</w:t>
      </w: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r>
        <w:rPr>
          <w:rFonts w:hint="eastAsia" w:ascii="宋体" w:hAnsi="宋体" w:eastAsia="宋体" w:cs="宋体"/>
          <w:color w:val="000000" w:themeColor="text1"/>
          <w:spacing w:val="3"/>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 xml:space="preserve"> 号文件</w:t>
      </w:r>
      <w:r>
        <w:rPr>
          <w:rFonts w:hint="eastAsia" w:ascii="宋体" w:hAnsi="宋体" w:eastAsia="宋体" w:cs="宋体"/>
          <w:color w:val="000000" w:themeColor="text1"/>
          <w:spacing w:val="3"/>
          <w:sz w:val="24"/>
          <w:szCs w:val="24"/>
          <w:highlight w:val="none"/>
          <w14:textFill>
            <w14:solidFill>
              <w14:schemeClr w14:val="tx1"/>
            </w14:solidFill>
          </w14:textFill>
        </w:rPr>
        <w:t>收取</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w:t>
      </w:r>
    </w:p>
    <w:p w14:paraId="13FA0A34">
      <w:pPr>
        <w:keepNext w:val="0"/>
        <w:keepLines w:val="0"/>
        <w:pageBreakBefore w:val="0"/>
        <w:widowControl/>
        <w:kinsoku w:val="0"/>
        <w:wordWrap/>
        <w:overflowPunct/>
        <w:topLinePunct w:val="0"/>
        <w:autoSpaceDE w:val="0"/>
        <w:autoSpaceDN w:val="0"/>
        <w:bidi w:val="0"/>
        <w:adjustRightInd w:val="0"/>
        <w:snapToGrid w:val="0"/>
        <w:spacing w:line="348" w:lineRule="auto"/>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9"/>
          <w:sz w:val="24"/>
          <w:szCs w:val="24"/>
          <w:highlight w:val="none"/>
          <w14:textFill>
            <w14:solidFill>
              <w14:schemeClr w14:val="tx1"/>
            </w14:solidFill>
          </w14:textFill>
        </w:rPr>
        <w:t>注：本项目代理服务费由成交单位支付</w:t>
      </w:r>
      <w:r>
        <w:rPr>
          <w:rFonts w:hint="eastAsia" w:ascii="宋体" w:hAnsi="宋体" w:eastAsia="宋体" w:cs="宋体"/>
          <w:color w:val="000000" w:themeColor="text1"/>
          <w:spacing w:val="7"/>
          <w:sz w:val="24"/>
          <w:szCs w:val="24"/>
          <w:highlight w:val="none"/>
          <w14:textFill>
            <w14:solidFill>
              <w14:schemeClr w14:val="tx1"/>
            </w14:solidFill>
          </w14:textFill>
        </w:rPr>
        <w:t>。</w:t>
      </w:r>
    </w:p>
    <w:p w14:paraId="47434425">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1.6 保密</w:t>
      </w:r>
      <w:bookmarkEnd w:id="26"/>
      <w:bookmarkEnd w:id="27"/>
      <w:bookmarkEnd w:id="28"/>
      <w:bookmarkEnd w:id="29"/>
      <w:bookmarkEnd w:id="30"/>
      <w:bookmarkEnd w:id="31"/>
    </w:p>
    <w:p w14:paraId="73AF419A">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参与竞争性磋商活动的各方应对竞争性磋商文件和磋商响应文件中的商业和技术等秘密保密，违者应对由此造成的后果承担法律责任。</w:t>
      </w:r>
    </w:p>
    <w:p w14:paraId="65A9E557">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b/>
          <w:sz w:val="24"/>
          <w:szCs w:val="24"/>
        </w:rPr>
      </w:pPr>
      <w:bookmarkStart w:id="32" w:name="_Toc144974505"/>
      <w:bookmarkStart w:id="33" w:name="_Toc152045537"/>
      <w:bookmarkStart w:id="34" w:name="_Toc288809296"/>
      <w:bookmarkStart w:id="35" w:name="_Toc152042313"/>
      <w:bookmarkStart w:id="36" w:name="_Toc274257061"/>
      <w:bookmarkStart w:id="37" w:name="_Toc179632554"/>
      <w:r>
        <w:rPr>
          <w:rFonts w:hint="eastAsia" w:ascii="宋体" w:hAnsi="宋体" w:eastAsia="宋体" w:cs="宋体"/>
          <w:b/>
          <w:sz w:val="24"/>
          <w:szCs w:val="24"/>
        </w:rPr>
        <w:t>1.7 语言</w:t>
      </w:r>
      <w:bookmarkEnd w:id="32"/>
      <w:r>
        <w:rPr>
          <w:rFonts w:hint="eastAsia" w:ascii="宋体" w:hAnsi="宋体" w:eastAsia="宋体" w:cs="宋体"/>
          <w:b/>
          <w:sz w:val="24"/>
          <w:szCs w:val="24"/>
        </w:rPr>
        <w:t>文字</w:t>
      </w:r>
      <w:bookmarkEnd w:id="33"/>
      <w:bookmarkEnd w:id="34"/>
      <w:bookmarkEnd w:id="35"/>
      <w:bookmarkEnd w:id="36"/>
      <w:bookmarkEnd w:id="37"/>
    </w:p>
    <w:p w14:paraId="274E1E68">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竞争性磋商响应文件使用的语言文字为中文。专用术语使用外文的，应附有中文注释。</w:t>
      </w:r>
    </w:p>
    <w:p w14:paraId="7732340D">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b/>
          <w:sz w:val="24"/>
          <w:szCs w:val="24"/>
        </w:rPr>
      </w:pPr>
      <w:bookmarkStart w:id="38" w:name="_Toc152042314"/>
      <w:bookmarkStart w:id="39" w:name="_Toc152045538"/>
      <w:bookmarkStart w:id="40" w:name="_Toc288809297"/>
      <w:bookmarkStart w:id="41" w:name="_Toc274257062"/>
      <w:bookmarkStart w:id="42" w:name="_Toc179632555"/>
      <w:bookmarkStart w:id="43" w:name="_Toc144974506"/>
      <w:r>
        <w:rPr>
          <w:rFonts w:hint="eastAsia" w:ascii="宋体" w:hAnsi="宋体" w:eastAsia="宋体" w:cs="宋体"/>
          <w:b/>
          <w:sz w:val="24"/>
          <w:szCs w:val="24"/>
        </w:rPr>
        <w:t>1.8 计量单位</w:t>
      </w:r>
      <w:bookmarkEnd w:id="38"/>
      <w:bookmarkEnd w:id="39"/>
      <w:bookmarkEnd w:id="40"/>
      <w:bookmarkEnd w:id="41"/>
      <w:bookmarkEnd w:id="42"/>
      <w:bookmarkEnd w:id="43"/>
    </w:p>
    <w:p w14:paraId="065A58CE">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所有计量均采用中华人民共和国法定计量单位。</w:t>
      </w:r>
    </w:p>
    <w:p w14:paraId="7AE4FFC4">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b/>
          <w:sz w:val="24"/>
          <w:szCs w:val="24"/>
        </w:rPr>
      </w:pPr>
      <w:bookmarkStart w:id="44" w:name="_Toc274257064"/>
      <w:bookmarkStart w:id="45" w:name="_Toc288809299"/>
      <w:r>
        <w:rPr>
          <w:rFonts w:hint="eastAsia" w:ascii="宋体" w:hAnsi="宋体" w:eastAsia="宋体" w:cs="宋体"/>
          <w:b/>
          <w:sz w:val="24"/>
          <w:szCs w:val="24"/>
        </w:rPr>
        <w:t>1.9 磋商预备会</w:t>
      </w:r>
      <w:bookmarkEnd w:id="44"/>
      <w:bookmarkEnd w:id="45"/>
    </w:p>
    <w:p w14:paraId="6FC59F44">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1.9.1潜在供应商须知前附表规定召开磋商预备会的，采购人按潜在供应商须知前附表规定的时间和地点召开磋商预备会，澄清潜在供应商提出的问题。</w:t>
      </w:r>
    </w:p>
    <w:p w14:paraId="0F8554BC">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1.9.2 潜在供应商应在潜在供应商须知前附表规定的时间和形式将提出的问题送达采购人，以便采购人在会议期间澄清。</w:t>
      </w:r>
    </w:p>
    <w:p w14:paraId="2140867A">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1.9.3磋商预备会后，采购人将对潜在供应商所提问题的澄清，以潜在供应商须知前附表规定的形式通知所有购买竞争性磋商文件的潜在供应商。该澄清内容为竞争性磋商文件的组成部分。</w:t>
      </w:r>
    </w:p>
    <w:p w14:paraId="717B5BC3">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b/>
          <w:sz w:val="24"/>
          <w:szCs w:val="24"/>
        </w:rPr>
      </w:pPr>
      <w:bookmarkStart w:id="46" w:name="_Toc288809300"/>
      <w:bookmarkStart w:id="47" w:name="_Toc274257065"/>
      <w:r>
        <w:rPr>
          <w:rFonts w:hint="eastAsia" w:ascii="宋体" w:hAnsi="宋体" w:eastAsia="宋体" w:cs="宋体"/>
          <w:b/>
          <w:sz w:val="24"/>
          <w:szCs w:val="24"/>
        </w:rPr>
        <w:t>1.10 分包</w:t>
      </w:r>
      <w:bookmarkEnd w:id="46"/>
      <w:bookmarkEnd w:id="47"/>
    </w:p>
    <w:p w14:paraId="5074C2BD">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本项目不允许分包。</w:t>
      </w:r>
    </w:p>
    <w:p w14:paraId="6C912FF5">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1.11 响应和偏差</w:t>
      </w:r>
    </w:p>
    <w:p w14:paraId="1DFC328E">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1.11.1 磋商响应文件应当对竞争性磋商文件的实质性要求和条件做出满足性或更有利于采购人的响应，否则，潜在供应商的磋商将被否决。</w:t>
      </w:r>
    </w:p>
    <w:p w14:paraId="56AA1007">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1.11.2 磋商响应文件对竞争性磋商文件的全部偏差，均应在磋商响应文件的技术响应表中列明。</w:t>
      </w:r>
    </w:p>
    <w:p w14:paraId="133139A4">
      <w:pPr>
        <w:pBdr>
          <w:top w:val="none" w:color="auto" w:sz="0" w:space="1"/>
          <w:left w:val="none" w:color="auto" w:sz="0" w:space="4"/>
          <w:bottom w:val="none" w:color="auto" w:sz="0" w:space="1"/>
          <w:right w:val="none" w:color="auto" w:sz="0" w:space="4"/>
        </w:pBdr>
        <w:spacing w:line="440" w:lineRule="exact"/>
        <w:ind w:firstLine="482" w:firstLineChars="200"/>
        <w:outlineLvl w:val="1"/>
        <w:rPr>
          <w:rFonts w:hint="eastAsia" w:ascii="宋体" w:hAnsi="宋体" w:eastAsia="宋体" w:cs="宋体"/>
          <w:b/>
          <w:sz w:val="24"/>
          <w:szCs w:val="24"/>
        </w:rPr>
      </w:pPr>
      <w:bookmarkStart w:id="48" w:name="_Toc445455033"/>
      <w:bookmarkStart w:id="49" w:name="_Toc27623"/>
      <w:bookmarkStart w:id="50" w:name="_Toc28854"/>
      <w:r>
        <w:rPr>
          <w:rFonts w:hint="eastAsia" w:ascii="宋体" w:hAnsi="宋体" w:eastAsia="宋体" w:cs="宋体"/>
          <w:b/>
          <w:sz w:val="24"/>
          <w:szCs w:val="24"/>
        </w:rPr>
        <w:t xml:space="preserve">2. </w:t>
      </w:r>
      <w:bookmarkEnd w:id="48"/>
      <w:r>
        <w:rPr>
          <w:rFonts w:hint="eastAsia" w:ascii="宋体" w:hAnsi="宋体" w:eastAsia="宋体" w:cs="宋体"/>
          <w:b/>
          <w:sz w:val="24"/>
          <w:szCs w:val="24"/>
        </w:rPr>
        <w:t>竞争性磋商文件</w:t>
      </w:r>
      <w:bookmarkEnd w:id="49"/>
      <w:bookmarkEnd w:id="50"/>
    </w:p>
    <w:p w14:paraId="227856C3">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2.1 竞争性磋商文件的组成</w:t>
      </w:r>
    </w:p>
    <w:p w14:paraId="7634018E">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本竞争性磋商文件包括：</w:t>
      </w:r>
    </w:p>
    <w:p w14:paraId="6ED87E53">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（1）竞争性磋商公告；</w:t>
      </w:r>
    </w:p>
    <w:p w14:paraId="23C36487">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（2）潜在供应商须知；</w:t>
      </w:r>
    </w:p>
    <w:p w14:paraId="04BDB021">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（3）评审办法（综合评分法）；</w:t>
      </w:r>
    </w:p>
    <w:p w14:paraId="417D6DC6">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（4）合同条款及格式；</w:t>
      </w:r>
    </w:p>
    <w:p w14:paraId="1DA6E6DC">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（5）采购需求及服务要求；</w:t>
      </w:r>
    </w:p>
    <w:p w14:paraId="33204228">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（6）磋商响应文件格式。</w:t>
      </w:r>
    </w:p>
    <w:p w14:paraId="2740B792">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根据本章第2.2款和第2.3款对竞争性磋商文件所作的澄清、修改，构成竞争性磋商文件的组成部分。</w:t>
      </w:r>
    </w:p>
    <w:p w14:paraId="02B83AAD">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sz w:val="24"/>
          <w:szCs w:val="24"/>
        </w:rPr>
      </w:pPr>
      <w:bookmarkStart w:id="51" w:name="_Toc374541561"/>
      <w:r>
        <w:rPr>
          <w:rFonts w:hint="eastAsia" w:ascii="宋体" w:hAnsi="宋体" w:eastAsia="宋体" w:cs="宋体"/>
          <w:b/>
          <w:sz w:val="24"/>
          <w:szCs w:val="24"/>
        </w:rPr>
        <w:t>2.2 竞争性磋商文件的澄清</w:t>
      </w:r>
      <w:bookmarkEnd w:id="51"/>
    </w:p>
    <w:p w14:paraId="2AC3C731">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bookmarkStart w:id="52" w:name="_Toc374541562"/>
      <w:r>
        <w:rPr>
          <w:rFonts w:hint="eastAsia" w:ascii="宋体" w:hAnsi="宋体" w:eastAsia="宋体" w:cs="宋体"/>
          <w:sz w:val="24"/>
          <w:szCs w:val="24"/>
        </w:rPr>
        <w:t>2.2.1 潜在供应商应仔细阅读和检查竞争性磋商文件的全部内容。如发现缺页或附件不全，应及时向采购人提出，以便补齐。如有疑问，应按潜在供应商须知前附表规定的时间和形式要求采购人对竞争性磋商文件予以澄清。</w:t>
      </w:r>
    </w:p>
    <w:p w14:paraId="785C1A08">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2.2.2 竞争性磋商文件的澄清以潜在供应商须知前附表规定的形式发给所有购买竞争性磋商文件的潜在供应商，但不指明澄清问题的来源。澄清发出时间至磋商响应文件递交截止时间不足11日的，并且澄清内容可能影响磋商响应文件编制的，将相应延长磋商响应文件递交截止时间。</w:t>
      </w:r>
    </w:p>
    <w:p w14:paraId="2720741B">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2.2.3 潜在供应商在收到澄清后，应按潜在供应商须知前附表规定的时间和形式自行获取。</w:t>
      </w:r>
    </w:p>
    <w:p w14:paraId="1CA1B887">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2.2.4 除非采购人认为确有必要答复，否则，采购人有权拒绝回复在规定的时间后的任何澄清要求。</w:t>
      </w:r>
    </w:p>
    <w:p w14:paraId="0E61248B">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2.3 竞争性磋商文件的修改</w:t>
      </w:r>
      <w:bookmarkEnd w:id="52"/>
    </w:p>
    <w:p w14:paraId="3F313E2D">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bookmarkStart w:id="53" w:name="_Toc374541563"/>
      <w:r>
        <w:rPr>
          <w:rFonts w:hint="eastAsia" w:ascii="宋体" w:hAnsi="宋体" w:eastAsia="宋体" w:cs="宋体"/>
          <w:sz w:val="24"/>
          <w:szCs w:val="24"/>
        </w:rPr>
        <w:t>2.3.1 竞争性磋商文件澄清、竞争性磋商文件修改文件内容均以书面文件为准，当竞争性磋商文件、竞争性磋商文件澄清、竞争性磋商文件修改文件内容后前相互矛盾时，以最后发出的为准。如果修改竞争性磋商文件的时间距磋商响应文件递交截止时间不足11日，并且修改内容可能影响磋商响应文件编制的，将相应延长磋商响应文件递交截止时间。</w:t>
      </w:r>
    </w:p>
    <w:p w14:paraId="686E41D2">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2.3.2 潜在供应商收到修改内容后，应按潜在供应商须知前附表规定的时间和形式自行获取。</w:t>
      </w:r>
    </w:p>
    <w:p w14:paraId="0753E714">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2.4 竞争性磋商文件的异议</w:t>
      </w:r>
    </w:p>
    <w:p w14:paraId="577EB0BA">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潜在供应商或者其他利害关系人对竞争性磋商文件有异议的，应当在磋商响应文件递交截止时间3日前以书面形式提出。采购人将在收到异议之日起2日内作出答复；作出答复前，将暂停竞争性磋商活动。</w:t>
      </w:r>
    </w:p>
    <w:p w14:paraId="1CD9975B">
      <w:pPr>
        <w:pBdr>
          <w:top w:val="none" w:color="auto" w:sz="0" w:space="1"/>
          <w:left w:val="none" w:color="auto" w:sz="0" w:space="4"/>
          <w:bottom w:val="none" w:color="auto" w:sz="0" w:space="1"/>
          <w:right w:val="none" w:color="auto" w:sz="0" w:space="4"/>
        </w:pBdr>
        <w:spacing w:line="440" w:lineRule="exact"/>
        <w:ind w:firstLine="482" w:firstLineChars="200"/>
        <w:outlineLvl w:val="1"/>
        <w:rPr>
          <w:rFonts w:hint="eastAsia" w:ascii="宋体" w:hAnsi="宋体" w:eastAsia="宋体" w:cs="宋体"/>
          <w:b/>
          <w:sz w:val="24"/>
          <w:szCs w:val="24"/>
        </w:rPr>
      </w:pPr>
      <w:bookmarkStart w:id="54" w:name="_Toc445455034"/>
      <w:bookmarkStart w:id="55" w:name="_Toc28452"/>
      <w:bookmarkStart w:id="56" w:name="_Toc13762"/>
      <w:r>
        <w:rPr>
          <w:rFonts w:hint="eastAsia" w:ascii="宋体" w:hAnsi="宋体" w:eastAsia="宋体" w:cs="宋体"/>
          <w:b/>
          <w:sz w:val="24"/>
          <w:szCs w:val="24"/>
        </w:rPr>
        <w:t xml:space="preserve">3. </w:t>
      </w:r>
      <w:bookmarkEnd w:id="53"/>
      <w:bookmarkEnd w:id="54"/>
      <w:r>
        <w:rPr>
          <w:rFonts w:hint="eastAsia" w:ascii="宋体" w:hAnsi="宋体" w:eastAsia="宋体" w:cs="宋体"/>
          <w:b/>
          <w:sz w:val="24"/>
          <w:szCs w:val="24"/>
        </w:rPr>
        <w:t>磋商响应文件</w:t>
      </w:r>
      <w:bookmarkEnd w:id="55"/>
      <w:bookmarkEnd w:id="56"/>
    </w:p>
    <w:p w14:paraId="0491450C">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b/>
          <w:sz w:val="24"/>
          <w:szCs w:val="24"/>
        </w:rPr>
      </w:pPr>
      <w:bookmarkStart w:id="57" w:name="_Toc274257072"/>
      <w:bookmarkStart w:id="58" w:name="_Toc288809307"/>
      <w:r>
        <w:rPr>
          <w:rFonts w:hint="eastAsia" w:ascii="宋体" w:hAnsi="宋体" w:eastAsia="宋体" w:cs="宋体"/>
          <w:b/>
          <w:sz w:val="24"/>
          <w:szCs w:val="24"/>
        </w:rPr>
        <w:t>3.1 磋商响应文件的组成</w:t>
      </w:r>
      <w:bookmarkEnd w:id="57"/>
      <w:bookmarkEnd w:id="58"/>
    </w:p>
    <w:p w14:paraId="53CD6D6E">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3.1.1磋商响应文件应包括下列内容：</w:t>
      </w:r>
    </w:p>
    <w:p w14:paraId="2003B39F">
      <w:pPr>
        <w:numPr>
          <w:ilvl w:val="0"/>
          <w:numId w:val="3"/>
        </w:num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磋商报价一览表</w:t>
      </w:r>
    </w:p>
    <w:p w14:paraId="5A29872D">
      <w:pPr>
        <w:numPr>
          <w:ilvl w:val="0"/>
          <w:numId w:val="3"/>
        </w:num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磋商函</w:t>
      </w:r>
    </w:p>
    <w:p w14:paraId="5CF0DAC3">
      <w:pPr>
        <w:numPr>
          <w:ilvl w:val="0"/>
          <w:numId w:val="3"/>
        </w:num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法定代表人身份证明书</w:t>
      </w:r>
    </w:p>
    <w:p w14:paraId="501D4AFC">
      <w:pPr>
        <w:numPr>
          <w:ilvl w:val="0"/>
          <w:numId w:val="3"/>
        </w:num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法定代表人授权委托书</w:t>
      </w:r>
    </w:p>
    <w:p w14:paraId="6E798481">
      <w:pPr>
        <w:numPr>
          <w:ilvl w:val="0"/>
          <w:numId w:val="3"/>
        </w:num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资格审查资料</w:t>
      </w:r>
    </w:p>
    <w:p w14:paraId="33A6DB96">
      <w:pPr>
        <w:numPr>
          <w:ilvl w:val="0"/>
          <w:numId w:val="3"/>
        </w:num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技术方案</w:t>
      </w:r>
    </w:p>
    <w:p w14:paraId="1D65A16C">
      <w:pPr>
        <w:numPr>
          <w:ilvl w:val="0"/>
          <w:numId w:val="3"/>
        </w:num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拟投入本项目参加本项目主要管理、服务人员一览表</w:t>
      </w:r>
    </w:p>
    <w:p w14:paraId="4B3817D8">
      <w:pPr>
        <w:numPr>
          <w:ilvl w:val="0"/>
          <w:numId w:val="3"/>
        </w:num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承担的项目情况表</w:t>
      </w:r>
    </w:p>
    <w:p w14:paraId="50B21810">
      <w:pPr>
        <w:numPr>
          <w:ilvl w:val="0"/>
          <w:numId w:val="3"/>
        </w:num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政策适用性说明表</w:t>
      </w:r>
    </w:p>
    <w:p w14:paraId="05714947">
      <w:pPr>
        <w:numPr>
          <w:ilvl w:val="0"/>
          <w:numId w:val="3"/>
        </w:num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中小企业声明函（潜在供应商为中小企业时适用）</w:t>
      </w:r>
    </w:p>
    <w:p w14:paraId="6274D680">
      <w:pPr>
        <w:numPr>
          <w:ilvl w:val="0"/>
          <w:numId w:val="3"/>
        </w:num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残疾人福利性单位声明函（潜在供应商为残疾人福利性单位时适用）</w:t>
      </w:r>
    </w:p>
    <w:p w14:paraId="2BA4A8DB">
      <w:pPr>
        <w:numPr>
          <w:ilvl w:val="0"/>
          <w:numId w:val="3"/>
        </w:num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lang w:bidi="ar"/>
        </w:rPr>
      </w:pPr>
      <w:r>
        <w:rPr>
          <w:rFonts w:hint="eastAsia" w:ascii="宋体" w:hAnsi="宋体" w:eastAsia="宋体" w:cs="宋体"/>
          <w:sz w:val="24"/>
          <w:szCs w:val="24"/>
        </w:rPr>
        <w:t>潜在供应商认为应提交的其他资料。</w:t>
      </w:r>
    </w:p>
    <w:p w14:paraId="08BCC1E5">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lang w:bidi="ar"/>
        </w:rPr>
      </w:pPr>
      <w:r>
        <w:rPr>
          <w:rFonts w:hint="eastAsia" w:ascii="宋体" w:hAnsi="宋体" w:eastAsia="宋体" w:cs="宋体"/>
          <w:sz w:val="24"/>
          <w:szCs w:val="24"/>
          <w:lang w:bidi="ar"/>
        </w:rPr>
        <w:t xml:space="preserve"> 3.1.2潜在供应商在评审过程中作出的符合法律法规和竞争性磋商文件规定的澄清确认，构成磋商响应文件的组成部分。</w:t>
      </w:r>
    </w:p>
    <w:p w14:paraId="2F76AF3F">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3.2 磋商报价</w:t>
      </w:r>
    </w:p>
    <w:p w14:paraId="46E887FD">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3.2.1 磋商报价应包括国家规定的增值税税金，增值税税金按一般计税方法计算。潜在供应商应按第六章“磋商响应文件格式”的要求在磋商函中进行报价。</w:t>
      </w:r>
    </w:p>
    <w:p w14:paraId="7039F9B0">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3.2.2 潜在供应商应充分了解该项目的总体情况以及影响磋商报价的其他要素。</w:t>
      </w:r>
    </w:p>
    <w:p w14:paraId="2994EA24">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lang w:bidi="ar"/>
        </w:rPr>
      </w:pPr>
      <w:r>
        <w:rPr>
          <w:rFonts w:hint="eastAsia" w:ascii="宋体" w:hAnsi="宋体" w:eastAsia="宋体" w:cs="宋体"/>
          <w:bCs/>
          <w:sz w:val="24"/>
          <w:szCs w:val="24"/>
        </w:rPr>
        <w:t xml:space="preserve">3.2.3 </w:t>
      </w:r>
      <w:r>
        <w:rPr>
          <w:rFonts w:hint="eastAsia" w:ascii="宋体" w:hAnsi="宋体" w:eastAsia="宋体" w:cs="宋体"/>
          <w:sz w:val="24"/>
          <w:szCs w:val="24"/>
          <w:lang w:bidi="ar"/>
        </w:rPr>
        <w:t xml:space="preserve"> 磋商报价包含但不限于：</w:t>
      </w:r>
      <w:r>
        <w:rPr>
          <w:rFonts w:hint="eastAsia" w:ascii="宋体" w:hAnsi="宋体" w:eastAsia="宋体" w:cs="宋体"/>
          <w:b/>
          <w:sz w:val="24"/>
          <w:szCs w:val="24"/>
          <w:lang w:bidi="ar"/>
        </w:rPr>
        <w:t>磋商报价应为人民币含税全包价，应包括服务、人工、水电、税金等一切费用</w:t>
      </w:r>
      <w:r>
        <w:rPr>
          <w:rFonts w:hint="eastAsia" w:ascii="宋体" w:hAnsi="宋体" w:eastAsia="宋体" w:cs="宋体"/>
          <w:b/>
          <w:color w:val="000000"/>
          <w:sz w:val="24"/>
          <w:szCs w:val="24"/>
        </w:rPr>
        <w:t>，且不再产生其他费用</w:t>
      </w:r>
      <w:r>
        <w:rPr>
          <w:rFonts w:hint="eastAsia" w:ascii="宋体" w:hAnsi="宋体" w:eastAsia="宋体" w:cs="宋体"/>
          <w:b/>
          <w:sz w:val="24"/>
          <w:szCs w:val="24"/>
          <w:lang w:bidi="ar"/>
        </w:rPr>
        <w:t>。</w:t>
      </w:r>
      <w:r>
        <w:rPr>
          <w:rFonts w:hint="eastAsia" w:ascii="宋体" w:hAnsi="宋体" w:eastAsia="宋体" w:cs="宋体"/>
          <w:sz w:val="24"/>
          <w:szCs w:val="24"/>
          <w:lang w:bidi="ar"/>
        </w:rPr>
        <w:t>其市场风险由潜在供应商承担。</w:t>
      </w:r>
    </w:p>
    <w:p w14:paraId="013EADC4">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3.2.4 潜在供应商的磋商报价不得超过最高磋商限价，最高磋商限价详见潜在供应商须知前附表。</w:t>
      </w:r>
    </w:p>
    <w:p w14:paraId="0FFCDBE3">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3.2.5 在合同实施期间，费用不随国家政策或法规、标准及市场因素的变化而进行调整。</w:t>
      </w:r>
    </w:p>
    <w:p w14:paraId="4FA056D6">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b/>
          <w:sz w:val="24"/>
          <w:szCs w:val="24"/>
        </w:rPr>
      </w:pPr>
      <w:bookmarkStart w:id="59" w:name="_Toc274257074"/>
      <w:bookmarkStart w:id="60" w:name="_Toc288809309"/>
      <w:r>
        <w:rPr>
          <w:rFonts w:hint="eastAsia" w:ascii="宋体" w:hAnsi="宋体" w:eastAsia="宋体" w:cs="宋体"/>
          <w:b/>
          <w:sz w:val="24"/>
          <w:szCs w:val="24"/>
        </w:rPr>
        <w:t>3.3 磋商有效期</w:t>
      </w:r>
      <w:bookmarkEnd w:id="59"/>
      <w:bookmarkEnd w:id="60"/>
    </w:p>
    <w:p w14:paraId="2CB4080F">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3.3.1 磋商有效期见潜在供应商须知前附表。</w:t>
      </w:r>
    </w:p>
    <w:p w14:paraId="571475F3">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3.3.2 在磋商有效期内，潜在供应商撤销磋商响应文件的，应承担竞争性磋商文件和法律规定的责任。 </w:t>
      </w:r>
    </w:p>
    <w:p w14:paraId="7DA36F6B">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3.3.3 出现特殊情况需要延长磋商有效期的，采购人以书面形式通知所有潜在供应商延长磋商有效期。</w:t>
      </w:r>
    </w:p>
    <w:p w14:paraId="466E580C">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b/>
          <w:sz w:val="24"/>
          <w:szCs w:val="24"/>
        </w:rPr>
      </w:pPr>
      <w:bookmarkStart w:id="61" w:name="_Toc144974521"/>
      <w:bookmarkStart w:id="62" w:name="_Toc288809312"/>
      <w:bookmarkStart w:id="63" w:name="_Toc179632571"/>
      <w:bookmarkStart w:id="64" w:name="_Toc274257077"/>
      <w:bookmarkStart w:id="65" w:name="_Toc152045553"/>
      <w:bookmarkStart w:id="66" w:name="_Toc152042329"/>
      <w:r>
        <w:rPr>
          <w:rFonts w:hint="eastAsia" w:ascii="宋体" w:hAnsi="宋体" w:eastAsia="宋体" w:cs="宋体"/>
          <w:b/>
          <w:sz w:val="24"/>
          <w:szCs w:val="24"/>
        </w:rPr>
        <w:t>3.4 备选磋商方案</w:t>
      </w:r>
      <w:bookmarkEnd w:id="61"/>
      <w:bookmarkEnd w:id="62"/>
      <w:bookmarkEnd w:id="63"/>
      <w:bookmarkEnd w:id="64"/>
      <w:bookmarkEnd w:id="65"/>
      <w:bookmarkEnd w:id="66"/>
    </w:p>
    <w:p w14:paraId="05BB9FEC">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采购人不允许递交备选磋商方案。</w:t>
      </w:r>
    </w:p>
    <w:p w14:paraId="3F3ADC3A">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b/>
          <w:sz w:val="24"/>
          <w:szCs w:val="24"/>
        </w:rPr>
      </w:pPr>
      <w:bookmarkStart w:id="67" w:name="_Toc274257078"/>
      <w:bookmarkStart w:id="68" w:name="_Toc288809313"/>
      <w:r>
        <w:rPr>
          <w:rFonts w:hint="eastAsia" w:ascii="宋体" w:hAnsi="宋体" w:eastAsia="宋体" w:cs="宋体"/>
          <w:b/>
          <w:sz w:val="24"/>
          <w:szCs w:val="24"/>
        </w:rPr>
        <w:t>3.5磋商响应文件的编制</w:t>
      </w:r>
      <w:bookmarkEnd w:id="67"/>
      <w:bookmarkEnd w:id="68"/>
    </w:p>
    <w:p w14:paraId="66D7AC81">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3.5.1投标文件全部采用电子文档，投标文件应按第四章“投标文件格式”进行编写，如有必要，可以增加附页，作为投标文件的组成部分。其中，投标函在满足招标文件实质性要求的基础上，可以提出比招标文件要求更有利于招标人的承诺。</w:t>
      </w:r>
    </w:p>
    <w:p w14:paraId="47F83CCC">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3.5.2 磋商响应文件应当对竞争性磋商文件有关竞争性磋商范围、合同履行期限、磋商有效期、质量要求、技术标准和要求、服务等实质性内容作出响应。</w:t>
      </w:r>
    </w:p>
    <w:p w14:paraId="2D839259">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bookmarkStart w:id="69" w:name="_Toc374541564"/>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.3投标文件签章：按照投标文件格式，采用单位和个人数字证书电子签章及电子签名</w:t>
      </w:r>
      <w:r>
        <w:rPr>
          <w:rFonts w:hint="eastAsia" w:ascii="宋体" w:hAnsi="宋体" w:eastAsia="宋体" w:cs="宋体"/>
          <w:sz w:val="24"/>
          <w:szCs w:val="24"/>
          <w:lang w:eastAsia="zh-CN"/>
        </w:rPr>
        <w:t>（</w:t>
      </w:r>
      <w:r>
        <w:rPr>
          <w:rFonts w:hint="eastAsia" w:ascii="宋体" w:hAnsi="宋体" w:eastAsia="宋体" w:cs="宋体"/>
          <w:sz w:val="24"/>
          <w:szCs w:val="24"/>
        </w:rPr>
        <w:t>注：在需要电子签章的地方进行电子签章，无需逐页电子签章</w:t>
      </w:r>
      <w:r>
        <w:rPr>
          <w:rFonts w:hint="eastAsia" w:ascii="宋体" w:hAnsi="宋体" w:eastAsia="宋体" w:cs="宋体"/>
          <w:sz w:val="24"/>
          <w:szCs w:val="24"/>
          <w:lang w:eastAsia="zh-CN"/>
        </w:rPr>
        <w:t>）</w:t>
      </w:r>
      <w:r>
        <w:rPr>
          <w:rFonts w:hint="eastAsia" w:ascii="宋体" w:hAnsi="宋体" w:eastAsia="宋体" w:cs="宋体"/>
          <w:sz w:val="24"/>
          <w:szCs w:val="24"/>
        </w:rPr>
        <w:t>。</w:t>
      </w:r>
    </w:p>
    <w:p w14:paraId="181B2678">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.4投标文件的递交及份数：见投标人须知前附表。</w:t>
      </w:r>
    </w:p>
    <w:p w14:paraId="2B9AE473">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5</w:t>
      </w:r>
      <w:r>
        <w:rPr>
          <w:rFonts w:hint="eastAsia" w:ascii="宋体" w:hAnsi="宋体" w:eastAsia="宋体" w:cs="宋体"/>
          <w:sz w:val="24"/>
          <w:szCs w:val="24"/>
        </w:rPr>
        <w:t>.5中标单位补交纸质投标文件的正本、副本应装订成册，并编制目录，具体装订要求见投标人须知前附表规定。</w:t>
      </w:r>
    </w:p>
    <w:bookmarkEnd w:id="69"/>
    <w:p w14:paraId="1ADA25FB">
      <w:pPr>
        <w:numPr>
          <w:ilvl w:val="0"/>
          <w:numId w:val="4"/>
        </w:numPr>
        <w:pBdr>
          <w:top w:val="none" w:color="auto" w:sz="0" w:space="1"/>
          <w:left w:val="none" w:color="auto" w:sz="0" w:space="4"/>
          <w:bottom w:val="none" w:color="auto" w:sz="0" w:space="1"/>
          <w:right w:val="none" w:color="auto" w:sz="0" w:space="4"/>
        </w:pBdr>
        <w:spacing w:line="440" w:lineRule="exact"/>
        <w:ind w:firstLine="482" w:firstLineChars="200"/>
        <w:outlineLvl w:val="1"/>
        <w:rPr>
          <w:rFonts w:hint="eastAsia" w:ascii="宋体" w:hAnsi="宋体" w:eastAsia="宋体" w:cs="宋体"/>
          <w:b/>
          <w:sz w:val="24"/>
          <w:szCs w:val="24"/>
        </w:rPr>
      </w:pPr>
      <w:bookmarkStart w:id="70" w:name="_Toc12947"/>
      <w:bookmarkStart w:id="71" w:name="_Toc7500"/>
      <w:r>
        <w:rPr>
          <w:rFonts w:hint="eastAsia" w:ascii="宋体" w:hAnsi="宋体" w:eastAsia="宋体" w:cs="宋体"/>
          <w:b/>
          <w:sz w:val="24"/>
          <w:szCs w:val="24"/>
        </w:rPr>
        <w:t>磋商</w:t>
      </w:r>
      <w:bookmarkEnd w:id="70"/>
      <w:bookmarkEnd w:id="71"/>
    </w:p>
    <w:p w14:paraId="7CF5AD46">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4.1磋商响应文件的密封和标记</w:t>
      </w:r>
    </w:p>
    <w:p w14:paraId="7732B350">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详见潜在供应商须知前附表规定。</w:t>
      </w:r>
    </w:p>
    <w:p w14:paraId="606E32AF">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b/>
          <w:sz w:val="24"/>
          <w:szCs w:val="24"/>
        </w:rPr>
      </w:pPr>
      <w:bookmarkStart w:id="72" w:name="_Toc274257081"/>
      <w:bookmarkStart w:id="73" w:name="_Toc288809316"/>
      <w:r>
        <w:rPr>
          <w:rFonts w:hint="eastAsia" w:ascii="宋体" w:hAnsi="宋体" w:eastAsia="宋体" w:cs="宋体"/>
          <w:b/>
          <w:sz w:val="24"/>
          <w:szCs w:val="24"/>
        </w:rPr>
        <w:t>4.2 磋商响应文件的递交</w:t>
      </w:r>
      <w:bookmarkEnd w:id="72"/>
      <w:bookmarkEnd w:id="73"/>
    </w:p>
    <w:p w14:paraId="6282224B">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4.2.1 应在潜在供应商须知前附表规定的磋商响应文件递交截止时间前递交磋商响应文件。</w:t>
      </w:r>
    </w:p>
    <w:p w14:paraId="127D2483">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4.2.2 递交磋商响应文件地点：见潜在供应商须知前附表。</w:t>
      </w:r>
    </w:p>
    <w:p w14:paraId="1684668A">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4.2.3 除潜在供应商须知前附表另有规定外，潜在供应商所递交的磋商响应文件不予退还。</w:t>
      </w:r>
    </w:p>
    <w:p w14:paraId="5A91B74E">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4.2.4采购人收到磋商响应文件后，应请潜在供应商填写磋商响应文件递交登记表。</w:t>
      </w:r>
    </w:p>
    <w:p w14:paraId="2F82FDF8">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4.2.5逾期送达的或者未送达指定地点的磋商响应文件，采购人不予受理。</w:t>
      </w:r>
    </w:p>
    <w:p w14:paraId="683576C0">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4.3磋商响应文件的补充、修改与撤回</w:t>
      </w:r>
    </w:p>
    <w:p w14:paraId="6F7C3B01">
      <w:pPr>
        <w:spacing w:line="400" w:lineRule="exact"/>
        <w:ind w:firstLine="480" w:firstLineChars="200"/>
        <w:rPr>
          <w:rFonts w:hint="eastAsia" w:ascii="宋体" w:hAnsi="宋体" w:eastAsia="宋体" w:cs="宋体"/>
          <w:sz w:val="24"/>
          <w:szCs w:val="24"/>
        </w:rPr>
      </w:pPr>
      <w:bookmarkStart w:id="74" w:name="_Toc445455036"/>
      <w:bookmarkStart w:id="75" w:name="_Toc374541566"/>
      <w:r>
        <w:rPr>
          <w:rFonts w:hint="eastAsia" w:ascii="宋体" w:hAnsi="宋体" w:eastAsia="宋体" w:cs="宋体"/>
          <w:sz w:val="24"/>
          <w:szCs w:val="24"/>
        </w:rPr>
        <w:t>4.3.1在“潜在供应商须知前附表”项规定的磋商响应文件递交截止时间前，潜在供应商可以修改或撤回已递交的磋商响应文件，但应以书面形式通知采购人。</w:t>
      </w:r>
    </w:p>
    <w:p w14:paraId="42123C4E">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4.3.2潜在供应商修改或撤回已递交磋商响应文件的书面通知应按照要求签字或盖章。采购人收到书面通知后，向潜在供应商出具凭证。</w:t>
      </w:r>
    </w:p>
    <w:p w14:paraId="4B5D940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4.3.3修改的内容为磋商响应文件的组成部分。修改的磋商响应文件应按照本章第3条、第4条规定进行编制、密封、标记和递交，并标明“修改”字样。</w:t>
      </w:r>
    </w:p>
    <w:p w14:paraId="3453EC51">
      <w:pPr>
        <w:numPr>
          <w:ilvl w:val="0"/>
          <w:numId w:val="5"/>
        </w:numPr>
        <w:pBdr>
          <w:top w:val="none" w:color="auto" w:sz="0" w:space="1"/>
          <w:left w:val="none" w:color="auto" w:sz="0" w:space="4"/>
          <w:bottom w:val="none" w:color="auto" w:sz="0" w:space="1"/>
          <w:right w:val="none" w:color="auto" w:sz="0" w:space="4"/>
        </w:pBdr>
        <w:spacing w:line="440" w:lineRule="exact"/>
        <w:ind w:firstLine="482" w:firstLineChars="200"/>
        <w:outlineLvl w:val="1"/>
        <w:rPr>
          <w:rFonts w:hint="eastAsia" w:ascii="宋体" w:hAnsi="宋体" w:eastAsia="宋体" w:cs="宋体"/>
          <w:b/>
          <w:sz w:val="24"/>
          <w:szCs w:val="24"/>
        </w:rPr>
      </w:pPr>
      <w:bookmarkStart w:id="76" w:name="_Toc17164"/>
      <w:r>
        <w:rPr>
          <w:rFonts w:hint="eastAsia" w:ascii="宋体" w:hAnsi="宋体" w:eastAsia="宋体" w:cs="宋体"/>
          <w:b/>
          <w:sz w:val="24"/>
          <w:szCs w:val="24"/>
        </w:rPr>
        <w:t>解锁磋商</w:t>
      </w:r>
      <w:r>
        <w:rPr>
          <w:rFonts w:hint="eastAsia" w:ascii="宋体" w:hAnsi="宋体" w:eastAsia="宋体" w:cs="宋体"/>
          <w:b/>
          <w:sz w:val="24"/>
          <w:szCs w:val="24"/>
          <w:lang w:eastAsia="zh-CN"/>
        </w:rPr>
        <w:t>响应</w:t>
      </w:r>
      <w:r>
        <w:rPr>
          <w:rFonts w:hint="eastAsia" w:ascii="宋体" w:hAnsi="宋体" w:eastAsia="宋体" w:cs="宋体"/>
          <w:b/>
          <w:sz w:val="24"/>
          <w:szCs w:val="24"/>
        </w:rPr>
        <w:t>文件</w:t>
      </w:r>
      <w:bookmarkEnd w:id="74"/>
      <w:bookmarkEnd w:id="75"/>
      <w:bookmarkEnd w:id="76"/>
    </w:p>
    <w:p w14:paraId="0ADBD864">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5.1解锁磋商</w:t>
      </w:r>
      <w:r>
        <w:rPr>
          <w:rFonts w:hint="eastAsia" w:ascii="宋体" w:hAnsi="宋体" w:eastAsia="宋体" w:cs="宋体"/>
          <w:b/>
          <w:sz w:val="24"/>
          <w:szCs w:val="24"/>
          <w:lang w:eastAsia="zh-CN"/>
        </w:rPr>
        <w:t>响应</w:t>
      </w:r>
      <w:r>
        <w:rPr>
          <w:rFonts w:hint="eastAsia" w:ascii="宋体" w:hAnsi="宋体" w:eastAsia="宋体" w:cs="宋体"/>
          <w:b/>
          <w:sz w:val="24"/>
          <w:szCs w:val="24"/>
        </w:rPr>
        <w:t>文件时间和地点</w:t>
      </w:r>
    </w:p>
    <w:p w14:paraId="23C2619D">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采购人按潜在供应商须知前附表规定的时间和地点公开解锁磋商相应文件，通知所有潜在供应商的法定代表人或其委托代理人、采购人代表、有关监督部门准时参加解锁磋商相应文件会。</w:t>
      </w:r>
    </w:p>
    <w:p w14:paraId="542DB47F">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5.2解锁磋商相应文件程序（网上解锁磋商相应文件流程按“政采云平台（https://www.zcygov.cn/）”要求进行。）</w:t>
      </w:r>
    </w:p>
    <w:p w14:paraId="5A188CDF">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按照随机顺序对磋商响应文件当众解锁磋商</w:t>
      </w:r>
      <w:r>
        <w:rPr>
          <w:rFonts w:hint="eastAsia" w:ascii="宋体" w:hAnsi="宋体" w:eastAsia="宋体" w:cs="宋体"/>
          <w:sz w:val="24"/>
          <w:szCs w:val="24"/>
          <w:lang w:eastAsia="zh-CN"/>
        </w:rPr>
        <w:t>响应</w:t>
      </w:r>
      <w:r>
        <w:rPr>
          <w:rFonts w:hint="eastAsia" w:ascii="宋体" w:hAnsi="宋体" w:eastAsia="宋体" w:cs="宋体"/>
          <w:sz w:val="24"/>
          <w:szCs w:val="24"/>
        </w:rPr>
        <w:t>文件。</w:t>
      </w:r>
    </w:p>
    <w:p w14:paraId="5F6C2709">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5.3解锁磋商</w:t>
      </w:r>
      <w:r>
        <w:rPr>
          <w:rFonts w:hint="eastAsia" w:ascii="宋体" w:hAnsi="宋体" w:eastAsia="宋体" w:cs="宋体"/>
          <w:b/>
          <w:sz w:val="24"/>
          <w:szCs w:val="24"/>
          <w:lang w:eastAsia="zh-CN"/>
        </w:rPr>
        <w:t>响应</w:t>
      </w:r>
      <w:r>
        <w:rPr>
          <w:rFonts w:hint="eastAsia" w:ascii="宋体" w:hAnsi="宋体" w:eastAsia="宋体" w:cs="宋体"/>
          <w:b/>
          <w:sz w:val="24"/>
          <w:szCs w:val="24"/>
        </w:rPr>
        <w:t>文件异议</w:t>
      </w:r>
    </w:p>
    <w:p w14:paraId="6C3AB5AA">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潜在供应商对解锁磋商相应文件有异议的，应当在解锁磋商</w:t>
      </w:r>
      <w:r>
        <w:rPr>
          <w:rFonts w:hint="eastAsia" w:ascii="宋体" w:hAnsi="宋体" w:eastAsia="宋体" w:cs="宋体"/>
          <w:sz w:val="24"/>
          <w:szCs w:val="24"/>
          <w:lang w:eastAsia="zh-CN"/>
        </w:rPr>
        <w:t>响应</w:t>
      </w:r>
      <w:r>
        <w:rPr>
          <w:rFonts w:hint="eastAsia" w:ascii="宋体" w:hAnsi="宋体" w:eastAsia="宋体" w:cs="宋体"/>
          <w:sz w:val="24"/>
          <w:szCs w:val="24"/>
        </w:rPr>
        <w:t>文件现场提出，采购人当场作出答复，并制作记录。</w:t>
      </w:r>
    </w:p>
    <w:p w14:paraId="426B204E">
      <w:pPr>
        <w:numPr>
          <w:ilvl w:val="0"/>
          <w:numId w:val="5"/>
        </w:numPr>
        <w:pBdr>
          <w:top w:val="none" w:color="auto" w:sz="0" w:space="1"/>
          <w:left w:val="none" w:color="auto" w:sz="0" w:space="4"/>
          <w:bottom w:val="none" w:color="auto" w:sz="0" w:space="1"/>
          <w:right w:val="none" w:color="auto" w:sz="0" w:space="4"/>
        </w:pBdr>
        <w:spacing w:line="440" w:lineRule="exact"/>
        <w:ind w:firstLine="482" w:firstLineChars="200"/>
        <w:outlineLvl w:val="1"/>
        <w:rPr>
          <w:rFonts w:hint="eastAsia" w:ascii="宋体" w:hAnsi="宋体" w:eastAsia="宋体" w:cs="宋体"/>
          <w:b/>
          <w:sz w:val="24"/>
          <w:szCs w:val="24"/>
        </w:rPr>
      </w:pPr>
      <w:bookmarkStart w:id="77" w:name="_Toc374541573"/>
      <w:bookmarkStart w:id="78" w:name="_Toc445455037"/>
      <w:bookmarkStart w:id="79" w:name="_Toc934"/>
      <w:bookmarkStart w:id="80" w:name="_Toc31876"/>
      <w:r>
        <w:rPr>
          <w:rFonts w:hint="eastAsia" w:ascii="宋体" w:hAnsi="宋体" w:eastAsia="宋体" w:cs="宋体"/>
          <w:b/>
          <w:sz w:val="24"/>
          <w:szCs w:val="24"/>
        </w:rPr>
        <w:t>评 标</w:t>
      </w:r>
      <w:bookmarkEnd w:id="77"/>
      <w:bookmarkEnd w:id="78"/>
      <w:bookmarkEnd w:id="79"/>
      <w:bookmarkEnd w:id="80"/>
    </w:p>
    <w:p w14:paraId="63F20D5B">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b/>
          <w:sz w:val="24"/>
          <w:szCs w:val="24"/>
        </w:rPr>
      </w:pPr>
      <w:bookmarkStart w:id="81" w:name="_Toc152042339"/>
      <w:bookmarkStart w:id="82" w:name="_Toc288809322"/>
      <w:bookmarkStart w:id="83" w:name="_Toc274257087"/>
      <w:bookmarkStart w:id="84" w:name="_Toc152045563"/>
      <w:bookmarkStart w:id="85" w:name="_Toc144974531"/>
      <w:bookmarkStart w:id="86" w:name="_Toc179632581"/>
      <w:r>
        <w:rPr>
          <w:rFonts w:hint="eastAsia" w:ascii="宋体" w:hAnsi="宋体" w:eastAsia="宋体" w:cs="宋体"/>
          <w:b/>
          <w:sz w:val="24"/>
          <w:szCs w:val="24"/>
        </w:rPr>
        <w:t>6.1 评审委员会</w:t>
      </w:r>
      <w:bookmarkEnd w:id="81"/>
      <w:bookmarkEnd w:id="82"/>
      <w:bookmarkEnd w:id="83"/>
      <w:bookmarkEnd w:id="84"/>
      <w:bookmarkEnd w:id="85"/>
      <w:bookmarkEnd w:id="86"/>
      <w:r>
        <w:rPr>
          <w:rFonts w:hint="eastAsia" w:ascii="宋体" w:hAnsi="宋体" w:eastAsia="宋体" w:cs="宋体"/>
          <w:b/>
          <w:sz w:val="24"/>
          <w:szCs w:val="24"/>
        </w:rPr>
        <w:t>（磋商小组）</w:t>
      </w:r>
    </w:p>
    <w:p w14:paraId="5FFB2D66">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6.1.1 磋商小组的构成：由采购人代表和有关技术、经济等方面的专家组成，成员人数应当为3人及以上单数。其中，技术、经济等方面的专家不得少于成员总数的三分之二。磋商应当推选组长，但采购人代表不得担任组长。</w:t>
      </w:r>
    </w:p>
    <w:p w14:paraId="5329AC11">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6.1.2 评审委员会成员有下列情形之一的，应当回避：</w:t>
      </w:r>
    </w:p>
    <w:p w14:paraId="77B15E83">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（1）采购人或潜在供应商的主要负责人的近亲属；</w:t>
      </w:r>
    </w:p>
    <w:p w14:paraId="7889A90F">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（2）项目主管部门或者行政监督部门的人员；</w:t>
      </w:r>
    </w:p>
    <w:p w14:paraId="3F9D92E0">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（3）与潜在供应商有经济利益关系，可能影响对磋商公正评审的；</w:t>
      </w:r>
    </w:p>
    <w:p w14:paraId="1D2A2BCF">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（4）曾因在竞争性磋商、评审以及其他与竞争性磋商有关活动中从事违法行为而受过行政处罚或刑事处罚的；</w:t>
      </w:r>
    </w:p>
    <w:p w14:paraId="3EC62FE5">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（5）与潜在供应商有其他利害关系。</w:t>
      </w:r>
    </w:p>
    <w:p w14:paraId="72952944">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6.1.3评审过程中，评审委员会成员有回避事由、擅离职守或者因健康等原因不能继续评审的，采购人有权更换。被更换的评审委员会成员作出的评审结论无效，由更换后的评审委员会成员重新进行评审。</w:t>
      </w:r>
    </w:p>
    <w:p w14:paraId="35773D77">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b/>
          <w:sz w:val="24"/>
          <w:szCs w:val="24"/>
        </w:rPr>
      </w:pPr>
      <w:bookmarkStart w:id="87" w:name="_Toc288809323"/>
      <w:bookmarkStart w:id="88" w:name="_Toc144974532"/>
      <w:bookmarkStart w:id="89" w:name="_Toc179632582"/>
      <w:bookmarkStart w:id="90" w:name="_Toc152042340"/>
      <w:bookmarkStart w:id="91" w:name="_Toc152045564"/>
      <w:bookmarkStart w:id="92" w:name="_Toc274257088"/>
      <w:r>
        <w:rPr>
          <w:rFonts w:hint="eastAsia" w:ascii="宋体" w:hAnsi="宋体" w:eastAsia="宋体" w:cs="宋体"/>
          <w:b/>
          <w:sz w:val="24"/>
          <w:szCs w:val="24"/>
        </w:rPr>
        <w:t>6.2 评审原则</w:t>
      </w:r>
      <w:bookmarkEnd w:id="87"/>
      <w:bookmarkEnd w:id="88"/>
      <w:bookmarkEnd w:id="89"/>
      <w:bookmarkEnd w:id="90"/>
      <w:bookmarkEnd w:id="91"/>
      <w:bookmarkEnd w:id="92"/>
    </w:p>
    <w:p w14:paraId="0EB181AE">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评审活动遵循公平、公正、科学和择优的原则。任何单位或个人不得非法干预或者影响评审过程和结果。</w:t>
      </w:r>
    </w:p>
    <w:p w14:paraId="636DDBB2">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b/>
          <w:sz w:val="24"/>
          <w:szCs w:val="24"/>
        </w:rPr>
      </w:pPr>
      <w:bookmarkStart w:id="93" w:name="_Toc288809324"/>
      <w:bookmarkStart w:id="94" w:name="_Toc274257089"/>
      <w:bookmarkStart w:id="95" w:name="_Toc144974533"/>
      <w:bookmarkStart w:id="96" w:name="_Toc152045565"/>
      <w:bookmarkStart w:id="97" w:name="_Toc152042341"/>
      <w:bookmarkStart w:id="98" w:name="_Toc179632583"/>
      <w:r>
        <w:rPr>
          <w:rFonts w:hint="eastAsia" w:ascii="宋体" w:hAnsi="宋体" w:eastAsia="宋体" w:cs="宋体"/>
          <w:b/>
          <w:sz w:val="24"/>
          <w:szCs w:val="24"/>
        </w:rPr>
        <w:t>6.3 评审</w:t>
      </w:r>
      <w:bookmarkEnd w:id="93"/>
      <w:bookmarkEnd w:id="94"/>
      <w:bookmarkEnd w:id="95"/>
      <w:bookmarkEnd w:id="96"/>
      <w:bookmarkEnd w:id="97"/>
      <w:bookmarkEnd w:id="98"/>
    </w:p>
    <w:p w14:paraId="5FB53EBE">
      <w:pPr>
        <w:pStyle w:val="13"/>
        <w:pBdr>
          <w:top w:val="none" w:color="auto" w:sz="0" w:space="1"/>
          <w:left w:val="none" w:color="auto" w:sz="0" w:space="4"/>
          <w:bottom w:val="none" w:color="auto" w:sz="0" w:space="1"/>
          <w:right w:val="none" w:color="auto" w:sz="0" w:space="4"/>
        </w:pBdr>
        <w:adjustRightInd w:val="0"/>
        <w:spacing w:line="34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6.3.1 评审委员会负责具体评审事务，并独立履行下列职责：</w:t>
      </w:r>
    </w:p>
    <w:p w14:paraId="5D750D9D">
      <w:pPr>
        <w:pStyle w:val="13"/>
        <w:pBdr>
          <w:top w:val="none" w:color="auto" w:sz="0" w:space="1"/>
          <w:left w:val="none" w:color="auto" w:sz="0" w:space="4"/>
          <w:bottom w:val="none" w:color="auto" w:sz="0" w:space="1"/>
          <w:right w:val="none" w:color="auto" w:sz="0" w:space="4"/>
        </w:pBdr>
        <w:adjustRightInd w:val="0"/>
        <w:spacing w:line="34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（1）审查、评价磋商响应文件是否符合竞争性磋商文件的商务、技术等实质性要求；</w:t>
      </w:r>
    </w:p>
    <w:p w14:paraId="40FB529B">
      <w:pPr>
        <w:pStyle w:val="13"/>
        <w:pBdr>
          <w:top w:val="none" w:color="auto" w:sz="0" w:space="1"/>
          <w:left w:val="none" w:color="auto" w:sz="0" w:space="4"/>
          <w:bottom w:val="none" w:color="auto" w:sz="0" w:space="1"/>
          <w:right w:val="none" w:color="auto" w:sz="0" w:space="4"/>
        </w:pBdr>
        <w:adjustRightInd w:val="0"/>
        <w:spacing w:line="34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（2）要求潜在供应商对磋商响应文件有关事项作出澄清或者说明；</w:t>
      </w:r>
    </w:p>
    <w:p w14:paraId="137A9AF3">
      <w:pPr>
        <w:pStyle w:val="13"/>
        <w:pBdr>
          <w:top w:val="none" w:color="auto" w:sz="0" w:space="1"/>
          <w:left w:val="none" w:color="auto" w:sz="0" w:space="4"/>
          <w:bottom w:val="none" w:color="auto" w:sz="0" w:space="1"/>
          <w:right w:val="none" w:color="auto" w:sz="0" w:space="4"/>
        </w:pBdr>
        <w:adjustRightInd w:val="0"/>
        <w:spacing w:line="34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（3）对磋商响应文件进行比较和评价；</w:t>
      </w:r>
    </w:p>
    <w:p w14:paraId="5D859011">
      <w:pPr>
        <w:pStyle w:val="13"/>
        <w:pBdr>
          <w:top w:val="none" w:color="auto" w:sz="0" w:space="1"/>
          <w:left w:val="none" w:color="auto" w:sz="0" w:space="4"/>
          <w:bottom w:val="none" w:color="auto" w:sz="0" w:space="1"/>
          <w:right w:val="none" w:color="auto" w:sz="0" w:space="4"/>
        </w:pBdr>
        <w:adjustRightInd w:val="0"/>
        <w:spacing w:line="34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（4）向采购人、集采机构或者有关部门报告评审中发现的违法行为。</w:t>
      </w:r>
    </w:p>
    <w:p w14:paraId="6FC22B5D">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6.3.2 评审委员会按照第三章“评审办法”规定的方法、评审因素、标准和程序对磋商响应文件进行评审。第三章“评审办法”没有规定的方法、评审因素和标准，不作为评审依据。</w:t>
      </w:r>
    </w:p>
    <w:p w14:paraId="59CF7779">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6.3.3 评审应当在严格保密的情况下进行。任何单位和个人不得非法干预、影响评审办法的确定，以及评审过程和结果。评审委员会成员和与评审活动有关的人员在政府采购活动中应严格遵守政府采购评审工作纪律，不得向外界泄露评审情况。</w:t>
      </w:r>
    </w:p>
    <w:p w14:paraId="178A1276">
      <w:pPr>
        <w:pStyle w:val="13"/>
        <w:pBdr>
          <w:top w:val="none" w:color="auto" w:sz="0" w:space="1"/>
          <w:left w:val="none" w:color="auto" w:sz="0" w:space="4"/>
          <w:bottom w:val="none" w:color="auto" w:sz="0" w:space="1"/>
          <w:right w:val="none" w:color="auto" w:sz="0" w:space="4"/>
        </w:pBdr>
        <w:adjustRightInd w:val="0"/>
        <w:spacing w:line="34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6.3.4 在竞争性磋商采购中，出现下列情形之一的，应予废标：</w:t>
      </w:r>
    </w:p>
    <w:p w14:paraId="7B4EB0AE">
      <w:pPr>
        <w:pStyle w:val="13"/>
        <w:pBdr>
          <w:top w:val="none" w:color="auto" w:sz="0" w:space="1"/>
          <w:left w:val="none" w:color="auto" w:sz="0" w:space="4"/>
          <w:bottom w:val="none" w:color="auto" w:sz="0" w:space="1"/>
          <w:right w:val="none" w:color="auto" w:sz="0" w:space="4"/>
        </w:pBdr>
        <w:adjustRightInd w:val="0"/>
        <w:spacing w:line="34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（1）符合专业条件的潜在供应商或者对竞争性磋商文件作实质响应的潜在供应商不足3家的；</w:t>
      </w:r>
    </w:p>
    <w:p w14:paraId="366A1141">
      <w:pPr>
        <w:pStyle w:val="13"/>
        <w:pBdr>
          <w:top w:val="none" w:color="auto" w:sz="0" w:space="1"/>
          <w:left w:val="none" w:color="auto" w:sz="0" w:space="4"/>
          <w:bottom w:val="none" w:color="auto" w:sz="0" w:space="1"/>
          <w:right w:val="none" w:color="auto" w:sz="0" w:space="4"/>
        </w:pBdr>
        <w:adjustRightInd w:val="0"/>
        <w:spacing w:line="34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1B8650F1">
      <w:pPr>
        <w:pStyle w:val="13"/>
        <w:pBdr>
          <w:top w:val="none" w:color="auto" w:sz="0" w:space="1"/>
          <w:left w:val="none" w:color="auto" w:sz="0" w:space="4"/>
          <w:bottom w:val="none" w:color="auto" w:sz="0" w:space="1"/>
          <w:right w:val="none" w:color="auto" w:sz="0" w:space="4"/>
        </w:pBdr>
        <w:adjustRightInd w:val="0"/>
        <w:spacing w:line="348"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（3）潜在供应商的报价均超过了采购预算，采购人不能支付的；</w:t>
      </w:r>
    </w:p>
    <w:p w14:paraId="07C564F8">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（4）因重大变故，采购任务取消的。</w:t>
      </w:r>
    </w:p>
    <w:p w14:paraId="5A2AEABF">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6.3.5 评审完成后，评审委员会应当向采购人提交评审报告和成交人候选人名单。评审委员会推荐成交人候选人的人数见潜在供应商须知前附表。</w:t>
      </w:r>
    </w:p>
    <w:p w14:paraId="6B37E60B">
      <w:pPr>
        <w:pBdr>
          <w:top w:val="none" w:color="auto" w:sz="0" w:space="1"/>
          <w:left w:val="none" w:color="auto" w:sz="0" w:space="4"/>
          <w:bottom w:val="none" w:color="auto" w:sz="0" w:space="1"/>
          <w:right w:val="none" w:color="auto" w:sz="0" w:space="4"/>
        </w:pBdr>
        <w:spacing w:line="440" w:lineRule="exact"/>
        <w:ind w:firstLine="482" w:firstLineChars="200"/>
        <w:outlineLvl w:val="1"/>
        <w:rPr>
          <w:rFonts w:hint="eastAsia" w:ascii="宋体" w:hAnsi="宋体" w:eastAsia="宋体" w:cs="宋体"/>
          <w:b/>
          <w:sz w:val="24"/>
          <w:szCs w:val="24"/>
        </w:rPr>
      </w:pPr>
      <w:bookmarkStart w:id="99" w:name="_Toc445455038"/>
      <w:bookmarkStart w:id="100" w:name="_Toc374541575"/>
      <w:bookmarkStart w:id="101" w:name="_Toc24040"/>
      <w:bookmarkStart w:id="102" w:name="_Toc3576"/>
      <w:r>
        <w:rPr>
          <w:rFonts w:hint="eastAsia" w:ascii="宋体" w:hAnsi="宋体" w:eastAsia="宋体" w:cs="宋体"/>
          <w:b/>
          <w:sz w:val="24"/>
          <w:szCs w:val="24"/>
        </w:rPr>
        <w:t>7. 合同</w:t>
      </w:r>
      <w:bookmarkEnd w:id="99"/>
      <w:bookmarkEnd w:id="100"/>
      <w:r>
        <w:rPr>
          <w:rFonts w:hint="eastAsia" w:ascii="宋体" w:hAnsi="宋体" w:eastAsia="宋体" w:cs="宋体"/>
          <w:b/>
          <w:sz w:val="24"/>
          <w:szCs w:val="24"/>
        </w:rPr>
        <w:t>授予</w:t>
      </w:r>
      <w:bookmarkEnd w:id="101"/>
      <w:bookmarkEnd w:id="102"/>
    </w:p>
    <w:p w14:paraId="55409C88">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b/>
          <w:sz w:val="24"/>
          <w:szCs w:val="24"/>
        </w:rPr>
      </w:pPr>
      <w:bookmarkStart w:id="103" w:name="bookmark63"/>
      <w:bookmarkEnd w:id="103"/>
      <w:bookmarkStart w:id="104" w:name="_Toc152045567"/>
      <w:bookmarkStart w:id="105" w:name="_Toc179632585"/>
      <w:bookmarkStart w:id="106" w:name="_Toc288809326"/>
      <w:bookmarkStart w:id="107" w:name="_Toc144974535"/>
      <w:bookmarkStart w:id="108" w:name="_Toc152042343"/>
      <w:bookmarkStart w:id="109" w:name="_Toc274257091"/>
      <w:r>
        <w:rPr>
          <w:rFonts w:hint="eastAsia" w:ascii="宋体" w:hAnsi="宋体" w:eastAsia="宋体" w:cs="宋体"/>
          <w:b/>
          <w:sz w:val="24"/>
          <w:szCs w:val="24"/>
        </w:rPr>
        <w:t>7.1 确定成交人方式</w:t>
      </w:r>
      <w:bookmarkEnd w:id="104"/>
      <w:bookmarkEnd w:id="105"/>
      <w:bookmarkEnd w:id="106"/>
      <w:bookmarkEnd w:id="107"/>
      <w:bookmarkEnd w:id="108"/>
      <w:bookmarkEnd w:id="109"/>
    </w:p>
    <w:p w14:paraId="4FCB686E">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按照潜在供应商须知前附表的规定，采购人或采购人授权的评审委员会依法确定成交人。</w:t>
      </w:r>
    </w:p>
    <w:p w14:paraId="6A31F1A0">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b/>
          <w:sz w:val="24"/>
          <w:szCs w:val="24"/>
        </w:rPr>
      </w:pPr>
      <w:bookmarkStart w:id="110" w:name="_Toc288809327"/>
      <w:bookmarkStart w:id="111" w:name="_Toc179632586"/>
      <w:bookmarkStart w:id="112" w:name="_Toc274257092"/>
      <w:bookmarkStart w:id="113" w:name="_Toc152042344"/>
      <w:bookmarkStart w:id="114" w:name="_Toc152045568"/>
      <w:bookmarkStart w:id="115" w:name="_Toc144974536"/>
      <w:r>
        <w:rPr>
          <w:rFonts w:hint="eastAsia" w:ascii="宋体" w:hAnsi="宋体" w:eastAsia="宋体" w:cs="宋体"/>
          <w:b/>
          <w:sz w:val="24"/>
          <w:szCs w:val="24"/>
        </w:rPr>
        <w:t>7.2 成交通知</w:t>
      </w:r>
      <w:bookmarkEnd w:id="110"/>
      <w:bookmarkEnd w:id="111"/>
      <w:bookmarkEnd w:id="112"/>
      <w:bookmarkEnd w:id="113"/>
      <w:bookmarkEnd w:id="114"/>
      <w:bookmarkEnd w:id="115"/>
      <w:r>
        <w:rPr>
          <w:rFonts w:hint="eastAsia" w:ascii="宋体" w:hAnsi="宋体" w:eastAsia="宋体" w:cs="宋体"/>
          <w:b/>
          <w:sz w:val="24"/>
          <w:szCs w:val="24"/>
        </w:rPr>
        <w:t>及成交结果公示</w:t>
      </w:r>
    </w:p>
    <w:p w14:paraId="7556710D">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集采机构在成交人确定之日起2个工作日内以书面形式向成交人发出成交通知书，并在潜在供应商须知前附表规定的媒介上公示成交结果。</w:t>
      </w:r>
    </w:p>
    <w:p w14:paraId="4B40F151">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b/>
          <w:sz w:val="24"/>
          <w:szCs w:val="24"/>
        </w:rPr>
      </w:pPr>
      <w:bookmarkStart w:id="116" w:name="_Toc274257093"/>
      <w:bookmarkStart w:id="117" w:name="_Toc288809328"/>
      <w:r>
        <w:rPr>
          <w:rFonts w:hint="eastAsia" w:ascii="宋体" w:hAnsi="宋体" w:eastAsia="宋体" w:cs="宋体"/>
          <w:b/>
          <w:sz w:val="24"/>
          <w:szCs w:val="24"/>
        </w:rPr>
        <w:t>7.3 履约担保</w:t>
      </w:r>
      <w:bookmarkEnd w:id="116"/>
      <w:bookmarkEnd w:id="117"/>
    </w:p>
    <w:p w14:paraId="39FDBAD7">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7.3.1 在签订合同前，成交人应按潜在供应商须知前附表规定的金额、担保形式和竞争性磋商文件第四章“合同条款及格式”规定的履约担保格式向采购人提交履约担保。</w:t>
      </w:r>
    </w:p>
    <w:p w14:paraId="23E5F688">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7.3.2 成交人不能按本章第7.3.1项要求提交履约担保的，视为放弃成交，给采购人造成的损失，成交人还应当对超过部分予以赔偿。</w:t>
      </w:r>
    </w:p>
    <w:p w14:paraId="517E8D6A">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b/>
          <w:sz w:val="24"/>
          <w:szCs w:val="24"/>
        </w:rPr>
      </w:pPr>
      <w:bookmarkStart w:id="118" w:name="_Toc274257094"/>
      <w:bookmarkStart w:id="119" w:name="_Toc288809329"/>
      <w:r>
        <w:rPr>
          <w:rFonts w:hint="eastAsia" w:ascii="宋体" w:hAnsi="宋体" w:eastAsia="宋体" w:cs="宋体"/>
          <w:b/>
          <w:sz w:val="24"/>
          <w:szCs w:val="24"/>
        </w:rPr>
        <w:t>7.4 签订合同</w:t>
      </w:r>
      <w:bookmarkEnd w:id="118"/>
      <w:bookmarkEnd w:id="119"/>
    </w:p>
    <w:p w14:paraId="27CCF5B8">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7.4.1 采购人和成交人应当自成交通知书发出之日起30日内，根据竞争性磋商文件和成交人的磋商响应文件、双方协商确定的合同文本以及服务标的、采购金额、技术和服务要求等事项签订书面合同。</w:t>
      </w:r>
    </w:p>
    <w:p w14:paraId="6725C64E">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7.4.2采购人不得向成交供应商提出超出竞争性磋商文件以外的任何要求作为签订合同的条件，不得与成交供应商订立背离双方确定的合同文本</w:t>
      </w:r>
      <w:r>
        <w:rPr>
          <w:rFonts w:hint="eastAsia" w:ascii="宋体" w:hAnsi="宋体" w:eastAsia="宋体" w:cs="宋体"/>
          <w:bCs/>
          <w:sz w:val="24"/>
          <w:szCs w:val="24"/>
        </w:rPr>
        <w:t>等实质性内容的协议。</w:t>
      </w:r>
    </w:p>
    <w:p w14:paraId="2BB9F1DE">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7.4.3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65CA7EDD">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7.4.4政府采购合同履行中，采购人需追加与合同标的相同的服务的，在不改变合同其他条款的前提下，可以与成交人协商签订补充合同，但所有补充合同的采购金额不得超过原合同采购金额的百分之十。</w:t>
      </w:r>
      <w:bookmarkStart w:id="120" w:name="_Toc288809330"/>
      <w:bookmarkStart w:id="121" w:name="_Toc368984076"/>
      <w:bookmarkStart w:id="122" w:name="_Toc362879708"/>
      <w:bookmarkStart w:id="123" w:name="_Toc362882035"/>
      <w:bookmarkStart w:id="124" w:name="_Toc274257095"/>
      <w:bookmarkStart w:id="125" w:name="_Toc445455039"/>
      <w:bookmarkStart w:id="126" w:name="_Toc22207"/>
      <w:bookmarkStart w:id="127" w:name="_Toc415850478"/>
      <w:bookmarkStart w:id="128" w:name="_Toc333054288"/>
    </w:p>
    <w:p w14:paraId="56746662">
      <w:pPr>
        <w:pBdr>
          <w:top w:val="none" w:color="auto" w:sz="0" w:space="1"/>
          <w:left w:val="none" w:color="auto" w:sz="0" w:space="4"/>
          <w:bottom w:val="none" w:color="auto" w:sz="0" w:space="1"/>
          <w:right w:val="none" w:color="auto" w:sz="0" w:space="4"/>
        </w:pBdr>
        <w:spacing w:line="440" w:lineRule="exact"/>
        <w:ind w:firstLine="482" w:firstLineChars="200"/>
        <w:outlineLvl w:val="1"/>
        <w:rPr>
          <w:rFonts w:hint="eastAsia" w:ascii="宋体" w:hAnsi="宋体" w:eastAsia="宋体" w:cs="宋体"/>
          <w:b/>
          <w:sz w:val="24"/>
          <w:szCs w:val="24"/>
        </w:rPr>
      </w:pPr>
      <w:bookmarkStart w:id="129" w:name="_Toc9619"/>
      <w:bookmarkStart w:id="130" w:name="_Toc25859"/>
      <w:r>
        <w:rPr>
          <w:rFonts w:hint="eastAsia" w:ascii="宋体" w:hAnsi="宋体" w:eastAsia="宋体" w:cs="宋体"/>
          <w:b/>
          <w:sz w:val="24"/>
          <w:szCs w:val="24"/>
        </w:rPr>
        <w:t>8. 重新</w:t>
      </w:r>
      <w:bookmarkEnd w:id="120"/>
      <w:bookmarkEnd w:id="121"/>
      <w:bookmarkEnd w:id="122"/>
      <w:bookmarkEnd w:id="123"/>
      <w:bookmarkEnd w:id="124"/>
      <w:bookmarkEnd w:id="125"/>
      <w:bookmarkEnd w:id="126"/>
      <w:bookmarkEnd w:id="127"/>
      <w:bookmarkEnd w:id="128"/>
      <w:r>
        <w:rPr>
          <w:rFonts w:hint="eastAsia" w:ascii="宋体" w:hAnsi="宋体" w:eastAsia="宋体" w:cs="宋体"/>
          <w:b/>
          <w:sz w:val="24"/>
          <w:szCs w:val="24"/>
        </w:rPr>
        <w:t>竞争性磋商</w:t>
      </w:r>
      <w:bookmarkEnd w:id="129"/>
      <w:bookmarkEnd w:id="130"/>
    </w:p>
    <w:p w14:paraId="2C438B9E">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有下列情形之一的，采购人将重新竞争性磋商：</w:t>
      </w:r>
    </w:p>
    <w:p w14:paraId="7E6AC2AD">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（1）磋商响应文件递交截止时间止，潜在供应商少于3个的；</w:t>
      </w:r>
    </w:p>
    <w:p w14:paraId="4E953D4E">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（2）经评审委员会评审后否决所有磋商的；</w:t>
      </w:r>
    </w:p>
    <w:p w14:paraId="72FF60B1">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（3）法律规定的其他情形。</w:t>
      </w:r>
    </w:p>
    <w:p w14:paraId="1F69C38C">
      <w:pPr>
        <w:pBdr>
          <w:top w:val="none" w:color="auto" w:sz="0" w:space="1"/>
          <w:left w:val="none" w:color="auto" w:sz="0" w:space="4"/>
          <w:bottom w:val="none" w:color="auto" w:sz="0" w:space="1"/>
          <w:right w:val="none" w:color="auto" w:sz="0" w:space="4"/>
        </w:pBdr>
        <w:spacing w:line="440" w:lineRule="exact"/>
        <w:ind w:firstLine="482" w:firstLineChars="200"/>
        <w:outlineLvl w:val="1"/>
        <w:rPr>
          <w:rFonts w:hint="eastAsia" w:ascii="宋体" w:hAnsi="宋体" w:eastAsia="宋体" w:cs="宋体"/>
          <w:b/>
          <w:sz w:val="24"/>
          <w:szCs w:val="24"/>
        </w:rPr>
      </w:pPr>
      <w:bookmarkStart w:id="131" w:name="_Toc152045574"/>
      <w:bookmarkStart w:id="132" w:name="_Toc368984077"/>
      <w:bookmarkStart w:id="133" w:name="_Toc179632592"/>
      <w:bookmarkStart w:id="134" w:name="_Toc362882036"/>
      <w:bookmarkStart w:id="135" w:name="_Toc333054289"/>
      <w:bookmarkStart w:id="136" w:name="_Toc362879709"/>
      <w:bookmarkStart w:id="137" w:name="_Toc4044"/>
      <w:bookmarkStart w:id="138" w:name="_Toc445455040"/>
      <w:bookmarkStart w:id="139" w:name="_Toc415850479"/>
      <w:bookmarkStart w:id="140" w:name="_Toc144974542"/>
      <w:bookmarkStart w:id="141" w:name="_Toc152042350"/>
      <w:bookmarkStart w:id="142" w:name="_Toc288809333"/>
      <w:bookmarkStart w:id="143" w:name="_Toc26059"/>
      <w:bookmarkStart w:id="144" w:name="_Toc30848"/>
      <w:bookmarkStart w:id="145" w:name="_Toc274257098"/>
      <w:r>
        <w:rPr>
          <w:rFonts w:hint="eastAsia" w:ascii="宋体" w:hAnsi="宋体" w:eastAsia="宋体" w:cs="宋体"/>
          <w:b/>
          <w:sz w:val="24"/>
          <w:szCs w:val="24"/>
        </w:rPr>
        <w:t>9. 纪律和监督</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7928AA3E">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b/>
          <w:sz w:val="24"/>
          <w:szCs w:val="24"/>
        </w:rPr>
      </w:pPr>
      <w:bookmarkStart w:id="146" w:name="_Toc179632593"/>
      <w:bookmarkStart w:id="147" w:name="_Toc152042351"/>
      <w:bookmarkStart w:id="148" w:name="_Toc288809334"/>
      <w:bookmarkStart w:id="149" w:name="_Toc152045575"/>
      <w:bookmarkStart w:id="150" w:name="_Toc144974543"/>
      <w:bookmarkStart w:id="151" w:name="_Toc274257099"/>
      <w:r>
        <w:rPr>
          <w:rFonts w:hint="eastAsia" w:ascii="宋体" w:hAnsi="宋体" w:eastAsia="宋体" w:cs="宋体"/>
          <w:b/>
          <w:sz w:val="24"/>
          <w:szCs w:val="24"/>
        </w:rPr>
        <w:t>9.1 对采购人的纪律要求</w:t>
      </w:r>
      <w:bookmarkEnd w:id="146"/>
      <w:bookmarkEnd w:id="147"/>
      <w:bookmarkEnd w:id="148"/>
      <w:bookmarkEnd w:id="149"/>
      <w:bookmarkEnd w:id="150"/>
      <w:bookmarkEnd w:id="151"/>
    </w:p>
    <w:p w14:paraId="67FFF1E8">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采购人不得泄露竞争性磋商活动中应当保密的情况和资料，不得与潜在供应商串通损害国家利益、社会公共利益或者他人合法权益。</w:t>
      </w:r>
    </w:p>
    <w:p w14:paraId="352ADCD5">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b/>
          <w:sz w:val="24"/>
          <w:szCs w:val="24"/>
        </w:rPr>
      </w:pPr>
      <w:bookmarkStart w:id="152" w:name="_Toc144974544"/>
      <w:bookmarkStart w:id="153" w:name="_Toc274257100"/>
      <w:bookmarkStart w:id="154" w:name="_Toc179632594"/>
      <w:bookmarkStart w:id="155" w:name="_Toc152045576"/>
      <w:bookmarkStart w:id="156" w:name="_Toc288809335"/>
      <w:bookmarkStart w:id="157" w:name="_Toc152042352"/>
      <w:r>
        <w:rPr>
          <w:rFonts w:hint="eastAsia" w:ascii="宋体" w:hAnsi="宋体" w:eastAsia="宋体" w:cs="宋体"/>
          <w:b/>
          <w:sz w:val="24"/>
          <w:szCs w:val="24"/>
        </w:rPr>
        <w:t>9.2 对潜在供应商的纪律要求</w:t>
      </w:r>
      <w:bookmarkEnd w:id="152"/>
      <w:bookmarkEnd w:id="153"/>
      <w:bookmarkEnd w:id="154"/>
      <w:bookmarkEnd w:id="155"/>
      <w:bookmarkEnd w:id="156"/>
      <w:bookmarkEnd w:id="157"/>
    </w:p>
    <w:p w14:paraId="4215E54A">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潜在供应商不得相互串通磋商或者与采购人串通磋商，不得向采购人或者评审委员会成员行贿谋取成交，不得以他人名义磋商或者以其他方式弄虚作假骗取成交；潜在供应商不得以任何方式干扰、影响评审工作。</w:t>
      </w:r>
    </w:p>
    <w:p w14:paraId="3A7EA844">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bookmarkStart w:id="158" w:name="_Toc274257101"/>
      <w:bookmarkStart w:id="159" w:name="_Toc144974545"/>
      <w:bookmarkStart w:id="160" w:name="_Toc288809336"/>
      <w:bookmarkStart w:id="161" w:name="_Toc152045577"/>
      <w:bookmarkStart w:id="162" w:name="_Toc152042353"/>
      <w:bookmarkStart w:id="163" w:name="_Toc179632595"/>
      <w:r>
        <w:rPr>
          <w:rFonts w:hint="eastAsia" w:ascii="宋体" w:hAnsi="宋体" w:eastAsia="宋体" w:cs="宋体"/>
          <w:sz w:val="24"/>
          <w:szCs w:val="24"/>
        </w:rPr>
        <w:t>有下列情形之一的，视为潜在供应商串通磋商，其磋商无效：</w:t>
      </w:r>
    </w:p>
    <w:p w14:paraId="71CB1D20">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（1）不同潜在供应商的磋商响应文件由同一单位或者个人编制；</w:t>
      </w:r>
    </w:p>
    <w:p w14:paraId="6D51EBB6">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（2）不同潜在供应商委托同一单位或者个人办理磋商事宜；</w:t>
      </w:r>
    </w:p>
    <w:p w14:paraId="1DE08603">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（3）不同潜在供应商的磋商响应文件载明的项目管理成员或者联系人员为同一人；</w:t>
      </w:r>
    </w:p>
    <w:p w14:paraId="10CB7F65">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（4）不同潜在供应商的磋商响应文件异常一致或者磋商报价呈规律性差异；</w:t>
      </w:r>
    </w:p>
    <w:p w14:paraId="4527BFFE">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（5）不同潜在供应商的磋商响应文件相互混装；</w:t>
      </w:r>
    </w:p>
    <w:p w14:paraId="7C9A158E">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9.3 对评审委员会成员的纪律要求</w:t>
      </w:r>
      <w:bookmarkEnd w:id="158"/>
      <w:bookmarkEnd w:id="159"/>
      <w:bookmarkEnd w:id="160"/>
      <w:bookmarkEnd w:id="161"/>
      <w:bookmarkEnd w:id="162"/>
      <w:bookmarkEnd w:id="163"/>
    </w:p>
    <w:p w14:paraId="12B8D3FA">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审委员会成员不得收受他人的财物或者其他好处，不得向他人透露对磋商响应文件的评审和比较、成交人候选人的推荐情况以及评审有关的其他情况。在评审活动中，评审委员会成员不得擅离职守，影响评审程序正常进行，不得使用第三章“评审办法”没有规定的评审因素和标准进行评审。</w:t>
      </w:r>
    </w:p>
    <w:p w14:paraId="24F79BB2">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b/>
          <w:sz w:val="24"/>
          <w:szCs w:val="24"/>
        </w:rPr>
      </w:pPr>
      <w:bookmarkStart w:id="164" w:name="_Toc274257102"/>
      <w:bookmarkStart w:id="165" w:name="_Toc152045578"/>
      <w:bookmarkStart w:id="166" w:name="_Toc152042354"/>
      <w:bookmarkStart w:id="167" w:name="_Toc179632596"/>
      <w:bookmarkStart w:id="168" w:name="_Toc288809337"/>
      <w:r>
        <w:rPr>
          <w:rFonts w:hint="eastAsia" w:ascii="宋体" w:hAnsi="宋体" w:eastAsia="宋体" w:cs="宋体"/>
          <w:b/>
          <w:sz w:val="24"/>
          <w:szCs w:val="24"/>
        </w:rPr>
        <w:t>9.4 对与评审活动有关的工作人员的纪律要求</w:t>
      </w:r>
      <w:bookmarkEnd w:id="164"/>
      <w:bookmarkEnd w:id="165"/>
      <w:bookmarkEnd w:id="166"/>
      <w:bookmarkEnd w:id="167"/>
      <w:bookmarkEnd w:id="168"/>
    </w:p>
    <w:p w14:paraId="2F351EDB">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bookmarkStart w:id="169" w:name="_Toc152042355"/>
      <w:r>
        <w:rPr>
          <w:rFonts w:hint="eastAsia" w:ascii="宋体" w:hAnsi="宋体" w:eastAsia="宋体" w:cs="宋体"/>
          <w:sz w:val="24"/>
          <w:szCs w:val="24"/>
        </w:rPr>
        <w:t>与评审活动有关的工作人员不得收受他人的财物或者其他好处，不得向他人透露对磋商响应文件的评审和比较、成交人候选人的推荐情况以及评审有关的其他情况。在评审活动中，与评审活动有关的工作人员不得擅离职守，影响评审程序正常进行。</w:t>
      </w:r>
      <w:bookmarkEnd w:id="169"/>
    </w:p>
    <w:p w14:paraId="61D8022C">
      <w:pPr>
        <w:pBdr>
          <w:top w:val="none" w:color="auto" w:sz="0" w:space="1"/>
          <w:left w:val="none" w:color="auto" w:sz="0" w:space="4"/>
          <w:bottom w:val="none" w:color="auto" w:sz="0" w:space="1"/>
          <w:right w:val="none" w:color="auto" w:sz="0" w:space="4"/>
        </w:pBdr>
        <w:spacing w:line="440" w:lineRule="exact"/>
        <w:ind w:firstLine="482" w:firstLineChars="200"/>
        <w:rPr>
          <w:rFonts w:hint="eastAsia" w:ascii="宋体" w:hAnsi="宋体" w:eastAsia="宋体" w:cs="宋体"/>
          <w:b/>
          <w:sz w:val="24"/>
          <w:szCs w:val="24"/>
        </w:rPr>
      </w:pPr>
      <w:bookmarkStart w:id="170" w:name="_Toc288809338"/>
      <w:bookmarkStart w:id="171" w:name="_Toc274257103"/>
      <w:r>
        <w:rPr>
          <w:rFonts w:hint="eastAsia" w:ascii="宋体" w:hAnsi="宋体" w:eastAsia="宋体" w:cs="宋体"/>
          <w:b/>
          <w:sz w:val="24"/>
          <w:szCs w:val="24"/>
        </w:rPr>
        <w:t>9.5 质疑与投诉</w:t>
      </w:r>
      <w:bookmarkEnd w:id="170"/>
      <w:bookmarkEnd w:id="171"/>
    </w:p>
    <w:p w14:paraId="454870FF">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潜在供应商认为采购文件、采购过程、成交和成交结果使自己的合法权益受到损害的，应当首先依法向采购人、集采机构提出质疑。对采购人、集采机构的质疑答复不满意，或者采购人、集采机构未在规定期限内作出答复的，潜在供应商可以在答复期满后15个工作日内向同级财政部门提起投诉。</w:t>
      </w:r>
    </w:p>
    <w:p w14:paraId="7D55B0C1">
      <w:pPr>
        <w:numPr>
          <w:ilvl w:val="0"/>
          <w:numId w:val="6"/>
        </w:numPr>
        <w:pBdr>
          <w:top w:val="none" w:color="auto" w:sz="0" w:space="1"/>
          <w:left w:val="none" w:color="auto" w:sz="0" w:space="4"/>
          <w:bottom w:val="none" w:color="auto" w:sz="0" w:space="1"/>
          <w:right w:val="none" w:color="auto" w:sz="0" w:space="4"/>
        </w:pBdr>
        <w:spacing w:line="440" w:lineRule="exact"/>
        <w:ind w:firstLine="482" w:firstLineChars="200"/>
        <w:outlineLvl w:val="1"/>
        <w:rPr>
          <w:rFonts w:hint="eastAsia" w:ascii="宋体" w:hAnsi="宋体" w:eastAsia="宋体" w:cs="宋体"/>
          <w:b/>
          <w:sz w:val="24"/>
          <w:szCs w:val="24"/>
        </w:rPr>
      </w:pPr>
      <w:bookmarkStart w:id="172" w:name="_Toc14895"/>
      <w:bookmarkStart w:id="173" w:name="_Toc18775"/>
      <w:r>
        <w:rPr>
          <w:rFonts w:hint="eastAsia" w:ascii="宋体" w:hAnsi="宋体" w:eastAsia="宋体" w:cs="宋体"/>
          <w:b/>
          <w:sz w:val="24"/>
          <w:szCs w:val="24"/>
        </w:rPr>
        <w:t>是否采用电子竞争性磋商</w:t>
      </w:r>
      <w:bookmarkEnd w:id="172"/>
      <w:bookmarkEnd w:id="173"/>
    </w:p>
    <w:p w14:paraId="07F67624">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本竞争性磋商项目采用电子竞争性磋商方式</w:t>
      </w:r>
      <w:r>
        <w:rPr>
          <w:rFonts w:hint="eastAsia" w:ascii="宋体" w:hAnsi="宋体" w:eastAsia="宋体" w:cs="宋体"/>
          <w:sz w:val="24"/>
          <w:szCs w:val="24"/>
          <w:lang w:eastAsia="zh-CN"/>
        </w:rPr>
        <w:t>。</w:t>
      </w:r>
    </w:p>
    <w:p w14:paraId="4D4A51A3">
      <w:pPr>
        <w:numPr>
          <w:ilvl w:val="0"/>
          <w:numId w:val="6"/>
        </w:numPr>
        <w:pBdr>
          <w:top w:val="none" w:color="auto" w:sz="0" w:space="1"/>
          <w:left w:val="none" w:color="auto" w:sz="0" w:space="4"/>
          <w:bottom w:val="none" w:color="auto" w:sz="0" w:space="1"/>
          <w:right w:val="none" w:color="auto" w:sz="0" w:space="4"/>
        </w:pBdr>
        <w:spacing w:line="440" w:lineRule="exact"/>
        <w:ind w:firstLine="482" w:firstLineChars="200"/>
        <w:outlineLvl w:val="1"/>
        <w:rPr>
          <w:rFonts w:hint="eastAsia" w:ascii="宋体" w:hAnsi="宋体" w:eastAsia="宋体" w:cs="宋体"/>
          <w:b/>
          <w:sz w:val="24"/>
          <w:szCs w:val="24"/>
        </w:rPr>
      </w:pPr>
      <w:bookmarkStart w:id="174" w:name="_Toc274257104"/>
      <w:bookmarkStart w:id="175" w:name="_Toc333054290"/>
      <w:bookmarkStart w:id="176" w:name="_Toc368984078"/>
      <w:bookmarkStart w:id="177" w:name="_Toc415850480"/>
      <w:bookmarkStart w:id="178" w:name="_Toc20941"/>
      <w:bookmarkStart w:id="179" w:name="_Toc362879710"/>
      <w:bookmarkStart w:id="180" w:name="_Toc362882037"/>
      <w:bookmarkStart w:id="181" w:name="_Toc288809339"/>
      <w:bookmarkStart w:id="182" w:name="_Toc28337"/>
      <w:bookmarkStart w:id="183" w:name="_Toc445455041"/>
      <w:bookmarkStart w:id="184" w:name="_Toc16499"/>
      <w:r>
        <w:rPr>
          <w:rFonts w:hint="eastAsia" w:ascii="宋体" w:hAnsi="宋体" w:eastAsia="宋体" w:cs="宋体"/>
          <w:b/>
          <w:sz w:val="24"/>
          <w:szCs w:val="24"/>
        </w:rPr>
        <w:t>需要补充的其他内容</w:t>
      </w:r>
      <w:bookmarkEnd w:id="174"/>
      <w:bookmarkEnd w:id="175"/>
      <w:bookmarkEnd w:id="176"/>
      <w:bookmarkEnd w:id="177"/>
      <w:bookmarkEnd w:id="178"/>
      <w:bookmarkEnd w:id="179"/>
      <w:bookmarkEnd w:id="180"/>
      <w:bookmarkEnd w:id="181"/>
      <w:bookmarkEnd w:id="182"/>
      <w:bookmarkEnd w:id="183"/>
      <w:bookmarkEnd w:id="184"/>
    </w:p>
    <w:p w14:paraId="5965571F">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本项目采购标的为学校保安服务，根据《中小企业划型标准规定》（工信部联企业〔2011〕300号），所属行业为：租赁和商务服务业。</w:t>
      </w:r>
    </w:p>
    <w:p w14:paraId="1145C9EC">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 中型企业：从业人员100人及以上，且资产总额1亿元及以上；</w:t>
      </w:r>
    </w:p>
    <w:p w14:paraId="251249FB">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 小型企业：从业人员10人及以上，且资产总额1000万元及以上；</w:t>
      </w:r>
    </w:p>
    <w:p w14:paraId="4724403A">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 微型企业：从业人员10人以下或资产总额1000万元以下。</w:t>
      </w:r>
    </w:p>
    <w:p w14:paraId="6B6F9621">
      <w:pPr>
        <w:pBdr>
          <w:top w:val="none" w:color="auto" w:sz="0" w:space="1"/>
          <w:left w:val="none" w:color="auto" w:sz="0" w:space="4"/>
          <w:bottom w:val="none" w:color="auto" w:sz="0" w:space="1"/>
          <w:right w:val="none" w:color="auto" w:sz="0" w:space="4"/>
        </w:pBdr>
        <w:spacing w:line="440" w:lineRule="exact"/>
        <w:ind w:firstLine="480" w:firstLineChars="200"/>
        <w:rPr>
          <w:rFonts w:hint="eastAsia" w:ascii="宋体" w:hAnsi="宋体" w:eastAsia="宋体" w:cs="宋体"/>
          <w:b/>
          <w:bCs/>
          <w:color w:val="auto"/>
          <w:sz w:val="24"/>
          <w:szCs w:val="24"/>
        </w:rPr>
      </w:pPr>
      <w:r>
        <w:rPr>
          <w:rFonts w:hint="eastAsia" w:ascii="宋体" w:hAnsi="宋体" w:eastAsia="宋体" w:cs="宋体"/>
          <w:sz w:val="24"/>
          <w:szCs w:val="24"/>
        </w:rPr>
        <w:t>供应商应对照上述标准，自行判定企业类型，按要求提供中小企业声明函。</w:t>
      </w:r>
    </w:p>
    <w:p w14:paraId="02EACBE7">
      <w:pPr>
        <w:tabs>
          <w:tab w:val="left" w:pos="3684"/>
        </w:tabs>
        <w:ind w:firstLine="420"/>
        <w:rPr>
          <w:rFonts w:hint="eastAsia" w:ascii="宋体" w:hAnsi="宋体" w:eastAsia="宋体" w:cs="宋体"/>
          <w:color w:val="auto"/>
          <w:sz w:val="24"/>
          <w:szCs w:val="24"/>
        </w:rPr>
      </w:pPr>
      <w:r>
        <w:rPr>
          <w:rFonts w:hint="eastAsia" w:ascii="宋体" w:hAnsi="宋体" w:eastAsia="宋体" w:cs="宋体"/>
          <w:color w:val="auto"/>
          <w:sz w:val="24"/>
          <w:szCs w:val="24"/>
        </w:rPr>
        <w:tab/>
      </w:r>
    </w:p>
    <w:p w14:paraId="4729EF51">
      <w:pPr>
        <w:tabs>
          <w:tab w:val="left" w:pos="3684"/>
        </w:tabs>
        <w:ind w:firstLine="420"/>
        <w:rPr>
          <w:rFonts w:hint="eastAsia" w:ascii="宋体" w:hAnsi="宋体" w:eastAsia="宋体" w:cs="宋体"/>
          <w:color w:val="auto"/>
          <w:sz w:val="24"/>
          <w:szCs w:val="24"/>
        </w:rPr>
      </w:pPr>
    </w:p>
    <w:p w14:paraId="1A269419">
      <w:pPr>
        <w:pStyle w:val="2"/>
        <w:rPr>
          <w:rFonts w:hint="eastAsia" w:ascii="宋体" w:hAnsi="宋体" w:eastAsia="宋体" w:cs="宋体"/>
          <w:color w:val="auto"/>
          <w:sz w:val="24"/>
          <w:szCs w:val="24"/>
        </w:rPr>
        <w:sectPr>
          <w:footerReference r:id="rId14" w:type="first"/>
          <w:footerReference r:id="rId13" w:type="default"/>
          <w:pgSz w:w="11850" w:h="16783"/>
          <w:pgMar w:top="1440" w:right="1469" w:bottom="1440" w:left="1797" w:header="851" w:footer="992" w:gutter="0"/>
          <w:pgNumType w:fmt="decimal" w:start="1"/>
          <w:cols w:space="720" w:num="1"/>
          <w:docGrid w:type="lines" w:linePitch="312" w:charSpace="0"/>
        </w:sectPr>
      </w:pPr>
    </w:p>
    <w:p w14:paraId="48089A0D">
      <w:pPr>
        <w:pStyle w:val="57"/>
        <w:numPr>
          <w:ilvl w:val="0"/>
          <w:numId w:val="7"/>
        </w:numPr>
        <w:pBdr>
          <w:top w:val="none" w:color="auto" w:sz="0" w:space="1"/>
          <w:left w:val="none" w:color="auto" w:sz="0" w:space="4"/>
          <w:bottom w:val="none" w:color="auto" w:sz="0" w:space="1"/>
          <w:right w:val="none" w:color="auto" w:sz="0" w:space="4"/>
        </w:pBdr>
        <w:spacing w:line="240" w:lineRule="auto"/>
        <w:ind w:firstLine="0" w:firstLineChars="0"/>
        <w:jc w:val="center"/>
        <w:outlineLvl w:val="0"/>
        <w:rPr>
          <w:rFonts w:hint="eastAsia" w:ascii="宋体" w:hAnsi="宋体" w:eastAsia="宋体" w:cs="宋体"/>
          <w:b/>
          <w:sz w:val="24"/>
          <w:szCs w:val="24"/>
        </w:rPr>
      </w:pPr>
      <w:r>
        <w:rPr>
          <w:rFonts w:hint="eastAsia" w:ascii="宋体" w:hAnsi="宋体" w:eastAsia="宋体" w:cs="宋体"/>
          <w:b/>
          <w:sz w:val="24"/>
          <w:szCs w:val="24"/>
        </w:rPr>
        <w:t xml:space="preserve"> </w:t>
      </w:r>
      <w:bookmarkStart w:id="185" w:name="_Toc15249"/>
      <w:bookmarkStart w:id="186" w:name="_Toc10668"/>
      <w:r>
        <w:rPr>
          <w:rFonts w:hint="eastAsia" w:ascii="宋体" w:hAnsi="宋体" w:eastAsia="宋体" w:cs="宋体"/>
          <w:b/>
          <w:sz w:val="24"/>
          <w:szCs w:val="24"/>
        </w:rPr>
        <w:t>评审办法（综合评分法）</w:t>
      </w:r>
      <w:bookmarkEnd w:id="185"/>
      <w:bookmarkEnd w:id="186"/>
    </w:p>
    <w:p w14:paraId="75C2D5A7">
      <w:pPr>
        <w:pStyle w:val="57"/>
        <w:pBdr>
          <w:top w:val="none" w:color="auto" w:sz="0" w:space="1"/>
          <w:left w:val="none" w:color="auto" w:sz="0" w:space="4"/>
          <w:bottom w:val="none" w:color="auto" w:sz="0" w:space="1"/>
          <w:right w:val="none" w:color="auto" w:sz="0" w:space="4"/>
        </w:pBdr>
        <w:spacing w:line="240" w:lineRule="auto"/>
        <w:ind w:firstLine="0" w:firstLineChars="0"/>
        <w:jc w:val="center"/>
        <w:outlineLvl w:val="0"/>
        <w:rPr>
          <w:rFonts w:hint="eastAsia" w:ascii="宋体" w:hAnsi="宋体" w:eastAsia="宋体" w:cs="宋体"/>
          <w:b/>
          <w:bCs/>
          <w:sz w:val="24"/>
          <w:szCs w:val="24"/>
        </w:rPr>
      </w:pPr>
      <w:bookmarkStart w:id="187" w:name="_Toc24487"/>
    </w:p>
    <w:bookmarkEnd w:id="187"/>
    <w:p w14:paraId="2C94A1B4">
      <w:pPr>
        <w:pStyle w:val="57"/>
        <w:pBdr>
          <w:top w:val="none" w:color="auto" w:sz="0" w:space="1"/>
          <w:left w:val="none" w:color="auto" w:sz="0" w:space="4"/>
          <w:bottom w:val="none" w:color="auto" w:sz="0" w:space="1"/>
          <w:right w:val="none" w:color="auto" w:sz="0" w:space="4"/>
        </w:pBdr>
        <w:spacing w:line="240" w:lineRule="auto"/>
        <w:ind w:firstLine="0" w:firstLineChars="0"/>
        <w:jc w:val="center"/>
        <w:outlineLvl w:val="0"/>
        <w:rPr>
          <w:rFonts w:hint="eastAsia" w:ascii="宋体" w:hAnsi="宋体" w:eastAsia="宋体" w:cs="宋体"/>
          <w:b/>
          <w:sz w:val="24"/>
          <w:szCs w:val="24"/>
        </w:rPr>
      </w:pPr>
      <w:bookmarkStart w:id="188" w:name="_Toc1488"/>
      <w:r>
        <w:rPr>
          <w:rFonts w:hint="eastAsia" w:ascii="宋体" w:hAnsi="宋体" w:eastAsia="宋体" w:cs="宋体"/>
          <w:b/>
          <w:bCs/>
          <w:sz w:val="24"/>
          <w:szCs w:val="24"/>
        </w:rPr>
        <w:t>评审办法前附表</w:t>
      </w:r>
      <w:bookmarkEnd w:id="188"/>
    </w:p>
    <w:tbl>
      <w:tblPr>
        <w:tblStyle w:val="25"/>
        <w:tblpPr w:leftFromText="180" w:rightFromText="180" w:vertAnchor="text" w:horzAnchor="page" w:tblpX="1168" w:tblpY="679"/>
        <w:tblOverlap w:val="never"/>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974"/>
        <w:gridCol w:w="1744"/>
        <w:gridCol w:w="6098"/>
      </w:tblGrid>
      <w:tr w14:paraId="16B4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tblHeader/>
        </w:trPr>
        <w:tc>
          <w:tcPr>
            <w:tcW w:w="1764" w:type="dxa"/>
            <w:gridSpan w:val="2"/>
            <w:vAlign w:val="center"/>
          </w:tcPr>
          <w:p w14:paraId="188559F4">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jc w:val="center"/>
              <w:rPr>
                <w:rFonts w:hint="eastAsia" w:ascii="宋体" w:hAnsi="宋体" w:eastAsia="宋体" w:cs="宋体"/>
                <w:b/>
                <w:sz w:val="24"/>
                <w:szCs w:val="24"/>
              </w:rPr>
            </w:pPr>
            <w:bookmarkStart w:id="189" w:name="_Toc9204"/>
            <w:bookmarkStart w:id="190" w:name="_Toc6838"/>
            <w:r>
              <w:rPr>
                <w:rFonts w:hint="eastAsia" w:ascii="宋体" w:hAnsi="宋体" w:eastAsia="宋体" w:cs="宋体"/>
                <w:b/>
                <w:sz w:val="24"/>
                <w:szCs w:val="24"/>
              </w:rPr>
              <w:t>条款号</w:t>
            </w:r>
          </w:p>
        </w:tc>
        <w:tc>
          <w:tcPr>
            <w:tcW w:w="1744" w:type="dxa"/>
            <w:vAlign w:val="center"/>
          </w:tcPr>
          <w:p w14:paraId="53C84876">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评 审 因 素</w:t>
            </w:r>
          </w:p>
        </w:tc>
        <w:tc>
          <w:tcPr>
            <w:tcW w:w="6098" w:type="dxa"/>
            <w:vAlign w:val="center"/>
          </w:tcPr>
          <w:p w14:paraId="741C16D2">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评 审 标 准</w:t>
            </w:r>
          </w:p>
        </w:tc>
      </w:tr>
      <w:tr w14:paraId="44CC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90" w:type="dxa"/>
            <w:vAlign w:val="center"/>
          </w:tcPr>
          <w:p w14:paraId="205FC339">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leftChars="0" w:right="0" w:firstLine="0" w:firstLineChars="0"/>
              <w:jc w:val="both"/>
              <w:rPr>
                <w:rFonts w:hint="eastAsia" w:ascii="宋体" w:hAnsi="宋体" w:eastAsia="宋体" w:cs="宋体"/>
                <w:sz w:val="24"/>
                <w:szCs w:val="24"/>
              </w:rPr>
            </w:pPr>
            <w:r>
              <w:rPr>
                <w:rFonts w:hint="eastAsia" w:ascii="宋体" w:hAnsi="宋体" w:eastAsia="宋体" w:cs="宋体"/>
                <w:sz w:val="24"/>
                <w:szCs w:val="24"/>
              </w:rPr>
              <w:t>1</w:t>
            </w:r>
          </w:p>
        </w:tc>
        <w:tc>
          <w:tcPr>
            <w:tcW w:w="974" w:type="dxa"/>
            <w:vAlign w:val="center"/>
          </w:tcPr>
          <w:p w14:paraId="3FFC8146">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leftChars="0" w:right="0" w:firstLine="0" w:firstLineChars="0"/>
              <w:jc w:val="both"/>
              <w:rPr>
                <w:rFonts w:hint="eastAsia" w:ascii="宋体" w:hAnsi="宋体" w:eastAsia="宋体" w:cs="宋体"/>
                <w:b/>
                <w:sz w:val="24"/>
                <w:szCs w:val="24"/>
              </w:rPr>
            </w:pPr>
            <w:r>
              <w:rPr>
                <w:rFonts w:hint="eastAsia" w:ascii="宋体" w:hAnsi="宋体" w:eastAsia="宋体" w:cs="宋体"/>
                <w:b/>
                <w:sz w:val="24"/>
                <w:szCs w:val="24"/>
              </w:rPr>
              <w:t>评审</w:t>
            </w:r>
          </w:p>
          <w:p w14:paraId="30FF502E">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leftChars="0" w:right="0" w:firstLine="0" w:firstLineChars="0"/>
              <w:jc w:val="both"/>
              <w:rPr>
                <w:rFonts w:hint="eastAsia" w:ascii="宋体" w:hAnsi="宋体" w:eastAsia="宋体" w:cs="宋体"/>
                <w:b/>
                <w:sz w:val="24"/>
                <w:szCs w:val="24"/>
              </w:rPr>
            </w:pPr>
            <w:r>
              <w:rPr>
                <w:rFonts w:hint="eastAsia" w:ascii="宋体" w:hAnsi="宋体" w:eastAsia="宋体" w:cs="宋体"/>
                <w:b/>
                <w:sz w:val="24"/>
                <w:szCs w:val="24"/>
              </w:rPr>
              <w:t>方法</w:t>
            </w:r>
          </w:p>
        </w:tc>
        <w:tc>
          <w:tcPr>
            <w:tcW w:w="1744" w:type="dxa"/>
            <w:vAlign w:val="center"/>
          </w:tcPr>
          <w:p w14:paraId="4A329129">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leftChars="0" w:right="0" w:firstLine="0" w:firstLineChars="0"/>
              <w:jc w:val="both"/>
              <w:rPr>
                <w:rFonts w:hint="eastAsia" w:ascii="宋体" w:hAnsi="宋体" w:eastAsia="宋体" w:cs="宋体"/>
                <w:sz w:val="24"/>
                <w:szCs w:val="24"/>
              </w:rPr>
            </w:pPr>
            <w:r>
              <w:rPr>
                <w:rFonts w:hint="eastAsia" w:ascii="宋体" w:hAnsi="宋体" w:eastAsia="宋体" w:cs="宋体"/>
                <w:sz w:val="24"/>
                <w:szCs w:val="24"/>
              </w:rPr>
              <w:t>成交人候选人排序方法</w:t>
            </w:r>
          </w:p>
        </w:tc>
        <w:tc>
          <w:tcPr>
            <w:tcW w:w="6098" w:type="dxa"/>
            <w:vAlign w:val="center"/>
          </w:tcPr>
          <w:p w14:paraId="693AE8D4">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rPr>
                <w:rFonts w:hint="eastAsia" w:ascii="宋体" w:hAnsi="宋体" w:eastAsia="宋体" w:cs="宋体"/>
                <w:sz w:val="24"/>
                <w:szCs w:val="24"/>
              </w:rPr>
            </w:pPr>
            <w:r>
              <w:rPr>
                <w:rFonts w:hint="eastAsia" w:ascii="宋体" w:hAnsi="宋体" w:eastAsia="宋体" w:cs="宋体"/>
                <w:sz w:val="24"/>
                <w:szCs w:val="24"/>
              </w:rPr>
              <w:t>按评审后得分由高到低顺序排列，并推荐排名第一的成交人候选人为成交人，采购人应确定排名第一的成交人候选人为成交人。技术部分得分相等的，由评审委员会现场记名投票确定先后顺序。</w:t>
            </w:r>
          </w:p>
        </w:tc>
      </w:tr>
      <w:tr w14:paraId="5E65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790" w:type="dxa"/>
            <w:vMerge w:val="restart"/>
            <w:vAlign w:val="center"/>
          </w:tcPr>
          <w:p w14:paraId="43C4D269">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leftChars="0" w:right="0" w:firstLine="0" w:firstLineChars="0"/>
              <w:jc w:val="both"/>
              <w:rPr>
                <w:rFonts w:hint="eastAsia" w:ascii="宋体" w:hAnsi="宋体" w:eastAsia="宋体" w:cs="宋体"/>
                <w:sz w:val="24"/>
                <w:szCs w:val="24"/>
              </w:rPr>
            </w:pPr>
            <w:r>
              <w:rPr>
                <w:rFonts w:hint="eastAsia" w:ascii="宋体" w:hAnsi="宋体" w:eastAsia="宋体" w:cs="宋体"/>
                <w:sz w:val="24"/>
                <w:szCs w:val="24"/>
              </w:rPr>
              <w:t>2.1.1</w:t>
            </w:r>
          </w:p>
        </w:tc>
        <w:tc>
          <w:tcPr>
            <w:tcW w:w="974" w:type="dxa"/>
            <w:vMerge w:val="restart"/>
            <w:vAlign w:val="center"/>
          </w:tcPr>
          <w:p w14:paraId="302A3545">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leftChars="0" w:right="0" w:firstLine="0" w:firstLineChars="0"/>
              <w:jc w:val="both"/>
              <w:rPr>
                <w:rFonts w:hint="eastAsia" w:ascii="宋体" w:hAnsi="宋体" w:eastAsia="宋体" w:cs="宋体"/>
                <w:b/>
                <w:sz w:val="24"/>
                <w:szCs w:val="24"/>
              </w:rPr>
            </w:pPr>
            <w:r>
              <w:rPr>
                <w:rFonts w:hint="eastAsia" w:ascii="宋体" w:hAnsi="宋体" w:eastAsia="宋体" w:cs="宋体"/>
                <w:b/>
                <w:sz w:val="24"/>
                <w:szCs w:val="24"/>
              </w:rPr>
              <w:t>形式</w:t>
            </w:r>
          </w:p>
          <w:p w14:paraId="2F343782">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leftChars="0" w:right="0" w:firstLine="0" w:firstLineChars="0"/>
              <w:jc w:val="both"/>
              <w:rPr>
                <w:rFonts w:hint="eastAsia" w:ascii="宋体" w:hAnsi="宋体" w:eastAsia="宋体" w:cs="宋体"/>
                <w:b/>
                <w:sz w:val="24"/>
                <w:szCs w:val="24"/>
              </w:rPr>
            </w:pPr>
            <w:r>
              <w:rPr>
                <w:rFonts w:hint="eastAsia" w:ascii="宋体" w:hAnsi="宋体" w:eastAsia="宋体" w:cs="宋体"/>
                <w:b/>
                <w:sz w:val="24"/>
                <w:szCs w:val="24"/>
              </w:rPr>
              <w:t>评审</w:t>
            </w:r>
          </w:p>
          <w:p w14:paraId="36FD187D">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leftChars="0" w:right="0" w:firstLine="0" w:firstLineChars="0"/>
              <w:jc w:val="both"/>
              <w:rPr>
                <w:rFonts w:hint="eastAsia" w:ascii="宋体" w:hAnsi="宋体" w:eastAsia="宋体" w:cs="宋体"/>
                <w:b/>
                <w:sz w:val="24"/>
                <w:szCs w:val="24"/>
              </w:rPr>
            </w:pPr>
            <w:r>
              <w:rPr>
                <w:rFonts w:hint="eastAsia" w:ascii="宋体" w:hAnsi="宋体" w:eastAsia="宋体" w:cs="宋体"/>
                <w:b/>
                <w:sz w:val="24"/>
                <w:szCs w:val="24"/>
              </w:rPr>
              <w:t>标准</w:t>
            </w:r>
          </w:p>
        </w:tc>
        <w:tc>
          <w:tcPr>
            <w:tcW w:w="1744" w:type="dxa"/>
            <w:vAlign w:val="center"/>
          </w:tcPr>
          <w:p w14:paraId="200826F5">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leftChars="0" w:right="0" w:firstLine="0" w:firstLineChars="0"/>
              <w:jc w:val="both"/>
              <w:rPr>
                <w:rFonts w:hint="eastAsia" w:ascii="宋体" w:hAnsi="宋体" w:eastAsia="宋体" w:cs="宋体"/>
                <w:sz w:val="24"/>
                <w:szCs w:val="24"/>
              </w:rPr>
            </w:pPr>
            <w:r>
              <w:rPr>
                <w:rFonts w:hint="eastAsia" w:ascii="宋体" w:hAnsi="宋体" w:eastAsia="宋体" w:cs="宋体"/>
                <w:sz w:val="24"/>
                <w:szCs w:val="24"/>
              </w:rPr>
              <w:t>潜在供应商名称</w:t>
            </w:r>
          </w:p>
        </w:tc>
        <w:tc>
          <w:tcPr>
            <w:tcW w:w="6098" w:type="dxa"/>
            <w:vAlign w:val="center"/>
          </w:tcPr>
          <w:p w14:paraId="6FD1C39A">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rPr>
                <w:rFonts w:hint="eastAsia" w:ascii="宋体" w:hAnsi="宋体" w:eastAsia="宋体" w:cs="宋体"/>
                <w:sz w:val="24"/>
                <w:szCs w:val="24"/>
              </w:rPr>
            </w:pPr>
            <w:r>
              <w:rPr>
                <w:rFonts w:hint="eastAsia" w:ascii="宋体" w:hAnsi="宋体" w:eastAsia="宋体" w:cs="宋体"/>
                <w:sz w:val="24"/>
                <w:szCs w:val="24"/>
              </w:rPr>
              <w:t>与营业执照一致。</w:t>
            </w:r>
          </w:p>
        </w:tc>
      </w:tr>
      <w:tr w14:paraId="75D33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vMerge w:val="continue"/>
            <w:vAlign w:val="center"/>
          </w:tcPr>
          <w:p w14:paraId="4F04EEBD">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jc w:val="center"/>
              <w:rPr>
                <w:rFonts w:hint="eastAsia" w:ascii="宋体" w:hAnsi="宋体" w:eastAsia="宋体" w:cs="宋体"/>
                <w:sz w:val="24"/>
                <w:szCs w:val="24"/>
              </w:rPr>
            </w:pPr>
          </w:p>
        </w:tc>
        <w:tc>
          <w:tcPr>
            <w:tcW w:w="974" w:type="dxa"/>
            <w:vMerge w:val="continue"/>
            <w:vAlign w:val="center"/>
          </w:tcPr>
          <w:p w14:paraId="1EA5B7DE">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jc w:val="center"/>
              <w:rPr>
                <w:rFonts w:hint="eastAsia" w:ascii="宋体" w:hAnsi="宋体" w:eastAsia="宋体" w:cs="宋体"/>
                <w:b/>
                <w:sz w:val="24"/>
                <w:szCs w:val="24"/>
              </w:rPr>
            </w:pPr>
          </w:p>
        </w:tc>
        <w:tc>
          <w:tcPr>
            <w:tcW w:w="1744" w:type="dxa"/>
            <w:vAlign w:val="center"/>
          </w:tcPr>
          <w:p w14:paraId="54842C39">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leftChars="0" w:right="0" w:firstLine="0" w:firstLineChars="0"/>
              <w:jc w:val="both"/>
              <w:rPr>
                <w:rFonts w:hint="eastAsia" w:ascii="宋体" w:hAnsi="宋体" w:eastAsia="宋体" w:cs="宋体"/>
                <w:sz w:val="24"/>
                <w:szCs w:val="24"/>
              </w:rPr>
            </w:pPr>
            <w:r>
              <w:rPr>
                <w:rFonts w:hint="eastAsia" w:ascii="宋体" w:hAnsi="宋体" w:eastAsia="宋体" w:cs="宋体"/>
                <w:sz w:val="24"/>
                <w:szCs w:val="24"/>
                <w:shd w:val="clear" w:color="auto" w:fill="FFFFFF"/>
              </w:rPr>
              <w:t>磋商函签字盖章</w:t>
            </w:r>
          </w:p>
        </w:tc>
        <w:tc>
          <w:tcPr>
            <w:tcW w:w="6098" w:type="dxa"/>
            <w:vAlign w:val="center"/>
          </w:tcPr>
          <w:p w14:paraId="0BB59893">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rPr>
                <w:rFonts w:hint="eastAsia" w:ascii="宋体" w:hAnsi="宋体" w:eastAsia="宋体" w:cs="宋体"/>
                <w:sz w:val="24"/>
                <w:szCs w:val="24"/>
              </w:rPr>
            </w:pPr>
            <w:r>
              <w:rPr>
                <w:rFonts w:hint="eastAsia" w:ascii="宋体" w:hAnsi="宋体" w:eastAsia="宋体" w:cs="宋体"/>
                <w:sz w:val="24"/>
                <w:szCs w:val="24"/>
                <w:shd w:val="clear" w:color="auto" w:fill="FFFFFF"/>
                <w:lang w:eastAsia="zh-CN"/>
              </w:rPr>
              <w:t>由</w:t>
            </w:r>
            <w:r>
              <w:rPr>
                <w:rFonts w:hint="eastAsia" w:ascii="宋体" w:hAnsi="宋体" w:eastAsia="宋体" w:cs="宋体"/>
                <w:sz w:val="24"/>
                <w:szCs w:val="24"/>
                <w:shd w:val="clear" w:color="auto" w:fill="FFFFFF"/>
              </w:rPr>
              <w:t>法定代表人（单位负责人）或其委托代理人签字或盖单</w:t>
            </w:r>
            <w:r>
              <w:rPr>
                <w:rFonts w:hint="eastAsia" w:ascii="宋体" w:hAnsi="宋体" w:eastAsia="宋体" w:cs="宋体"/>
                <w:sz w:val="24"/>
                <w:szCs w:val="24"/>
                <w:shd w:val="clear" w:color="auto" w:fill="FFFFFF"/>
                <w:lang w:eastAsia="zh-CN"/>
              </w:rPr>
              <w:t>位公</w:t>
            </w:r>
            <w:r>
              <w:rPr>
                <w:rFonts w:hint="eastAsia" w:ascii="宋体" w:hAnsi="宋体" w:eastAsia="宋体" w:cs="宋体"/>
                <w:sz w:val="24"/>
                <w:szCs w:val="24"/>
                <w:shd w:val="clear" w:color="auto" w:fill="FFFFFF"/>
              </w:rPr>
              <w:t>章。由法定代表人（单位负责人）签字的，应附法定代表人（单位负责人）身份证明，由代理人签字的，应附授权委托书，身份证明或授权委托书应符合第六章“磋商响应文件格式”的规定。</w:t>
            </w:r>
          </w:p>
        </w:tc>
      </w:tr>
      <w:tr w14:paraId="50E31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90" w:type="dxa"/>
            <w:vMerge w:val="continue"/>
            <w:vAlign w:val="center"/>
          </w:tcPr>
          <w:p w14:paraId="1DB7E6B4">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jc w:val="center"/>
              <w:rPr>
                <w:rFonts w:hint="eastAsia" w:ascii="宋体" w:hAnsi="宋体" w:eastAsia="宋体" w:cs="宋体"/>
                <w:sz w:val="24"/>
                <w:szCs w:val="24"/>
              </w:rPr>
            </w:pPr>
          </w:p>
        </w:tc>
        <w:tc>
          <w:tcPr>
            <w:tcW w:w="974" w:type="dxa"/>
            <w:vMerge w:val="continue"/>
            <w:vAlign w:val="center"/>
          </w:tcPr>
          <w:p w14:paraId="08CD8CC3">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jc w:val="center"/>
              <w:rPr>
                <w:rFonts w:hint="eastAsia" w:ascii="宋体" w:hAnsi="宋体" w:eastAsia="宋体" w:cs="宋体"/>
                <w:b/>
                <w:sz w:val="24"/>
                <w:szCs w:val="24"/>
              </w:rPr>
            </w:pPr>
          </w:p>
        </w:tc>
        <w:tc>
          <w:tcPr>
            <w:tcW w:w="1744" w:type="dxa"/>
            <w:vAlign w:val="center"/>
          </w:tcPr>
          <w:p w14:paraId="6362B317">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leftChars="0" w:right="0" w:firstLine="0" w:firstLineChars="0"/>
              <w:jc w:val="both"/>
              <w:rPr>
                <w:rFonts w:hint="eastAsia" w:ascii="宋体" w:hAnsi="宋体" w:eastAsia="宋体" w:cs="宋体"/>
                <w:sz w:val="24"/>
                <w:szCs w:val="24"/>
              </w:rPr>
            </w:pPr>
            <w:r>
              <w:rPr>
                <w:rFonts w:hint="eastAsia" w:ascii="宋体" w:hAnsi="宋体" w:eastAsia="宋体" w:cs="宋体"/>
                <w:sz w:val="24"/>
                <w:szCs w:val="24"/>
              </w:rPr>
              <w:t>磋商响应文件格式</w:t>
            </w:r>
          </w:p>
        </w:tc>
        <w:tc>
          <w:tcPr>
            <w:tcW w:w="6098" w:type="dxa"/>
            <w:vAlign w:val="center"/>
          </w:tcPr>
          <w:p w14:paraId="52CFDFF6">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rPr>
                <w:rFonts w:hint="eastAsia" w:ascii="宋体" w:hAnsi="宋体" w:eastAsia="宋体" w:cs="宋体"/>
                <w:sz w:val="24"/>
                <w:szCs w:val="24"/>
              </w:rPr>
            </w:pPr>
            <w:r>
              <w:rPr>
                <w:rFonts w:hint="eastAsia" w:ascii="宋体" w:hAnsi="宋体" w:eastAsia="宋体" w:cs="宋体"/>
                <w:sz w:val="24"/>
                <w:szCs w:val="24"/>
              </w:rPr>
              <w:t>符合第</w:t>
            </w:r>
            <w:r>
              <w:rPr>
                <w:rFonts w:hint="eastAsia" w:ascii="宋体" w:hAnsi="宋体" w:eastAsia="宋体" w:cs="宋体"/>
                <w:sz w:val="24"/>
                <w:szCs w:val="24"/>
                <w:lang w:eastAsia="zh-CN"/>
              </w:rPr>
              <w:t>四</w:t>
            </w:r>
            <w:r>
              <w:rPr>
                <w:rFonts w:hint="eastAsia" w:ascii="宋体" w:hAnsi="宋体" w:eastAsia="宋体" w:cs="宋体"/>
                <w:sz w:val="24"/>
                <w:szCs w:val="24"/>
              </w:rPr>
              <w:t>章“磋商响应文件格式”规定，内容齐全、关键内容清晰可辨。</w:t>
            </w:r>
          </w:p>
        </w:tc>
      </w:tr>
      <w:tr w14:paraId="5CB12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90" w:type="dxa"/>
            <w:vMerge w:val="restart"/>
            <w:vAlign w:val="center"/>
          </w:tcPr>
          <w:p w14:paraId="20713CBF">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leftChars="0" w:right="0" w:firstLine="0" w:firstLineChars="0"/>
              <w:rPr>
                <w:rFonts w:hint="eastAsia" w:ascii="宋体" w:hAnsi="宋体" w:eastAsia="宋体" w:cs="宋体"/>
                <w:sz w:val="24"/>
                <w:szCs w:val="24"/>
              </w:rPr>
            </w:pPr>
            <w:r>
              <w:rPr>
                <w:rFonts w:hint="eastAsia" w:ascii="宋体" w:hAnsi="宋体" w:eastAsia="宋体" w:cs="宋体"/>
                <w:sz w:val="24"/>
                <w:szCs w:val="24"/>
              </w:rPr>
              <w:t>2.1.2</w:t>
            </w:r>
          </w:p>
        </w:tc>
        <w:tc>
          <w:tcPr>
            <w:tcW w:w="974" w:type="dxa"/>
            <w:vMerge w:val="restart"/>
            <w:vAlign w:val="center"/>
          </w:tcPr>
          <w:p w14:paraId="6B3C2B24">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leftChars="0" w:right="0" w:firstLine="0" w:firstLineChars="0"/>
              <w:jc w:val="both"/>
              <w:rPr>
                <w:rFonts w:hint="eastAsia" w:ascii="宋体" w:hAnsi="宋体" w:eastAsia="宋体" w:cs="宋体"/>
                <w:b/>
                <w:sz w:val="24"/>
                <w:szCs w:val="24"/>
              </w:rPr>
            </w:pPr>
            <w:r>
              <w:rPr>
                <w:rFonts w:hint="eastAsia" w:ascii="宋体" w:hAnsi="宋体" w:eastAsia="宋体" w:cs="宋体"/>
                <w:b/>
                <w:sz w:val="24"/>
                <w:szCs w:val="24"/>
              </w:rPr>
              <w:t>资格</w:t>
            </w:r>
          </w:p>
          <w:p w14:paraId="4CA7CD7C">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leftChars="0" w:right="0" w:firstLine="0" w:firstLineChars="0"/>
              <w:jc w:val="both"/>
              <w:rPr>
                <w:rFonts w:hint="eastAsia" w:ascii="宋体" w:hAnsi="宋体" w:eastAsia="宋体" w:cs="宋体"/>
                <w:b/>
                <w:sz w:val="24"/>
                <w:szCs w:val="24"/>
              </w:rPr>
            </w:pPr>
            <w:r>
              <w:rPr>
                <w:rFonts w:hint="eastAsia" w:ascii="宋体" w:hAnsi="宋体" w:eastAsia="宋体" w:cs="宋体"/>
                <w:b/>
                <w:sz w:val="24"/>
                <w:szCs w:val="24"/>
              </w:rPr>
              <w:t>评审</w:t>
            </w:r>
          </w:p>
          <w:p w14:paraId="491AC7FB">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leftChars="0" w:right="0" w:firstLine="0" w:firstLineChars="0"/>
              <w:jc w:val="both"/>
              <w:rPr>
                <w:rFonts w:hint="eastAsia" w:ascii="宋体" w:hAnsi="宋体" w:eastAsia="宋体" w:cs="宋体"/>
                <w:b/>
                <w:sz w:val="24"/>
                <w:szCs w:val="24"/>
              </w:rPr>
            </w:pPr>
            <w:r>
              <w:rPr>
                <w:rFonts w:hint="eastAsia" w:ascii="宋体" w:hAnsi="宋体" w:eastAsia="宋体" w:cs="宋体"/>
                <w:b/>
                <w:sz w:val="24"/>
                <w:szCs w:val="24"/>
              </w:rPr>
              <w:t>标准</w:t>
            </w:r>
          </w:p>
        </w:tc>
        <w:tc>
          <w:tcPr>
            <w:tcW w:w="1744" w:type="dxa"/>
            <w:vAlign w:val="center"/>
          </w:tcPr>
          <w:p w14:paraId="78DC408A">
            <w:pPr>
              <w:keepNext w:val="0"/>
              <w:keepLines w:val="0"/>
              <w:suppressLineNumbers w:val="0"/>
              <w:spacing w:before="0" w:beforeAutospacing="0" w:after="0" w:afterAutospacing="0" w:line="420" w:lineRule="exact"/>
              <w:ind w:left="0" w:leftChars="0" w:right="0" w:firstLine="0" w:firstLineChars="0"/>
              <w:jc w:val="both"/>
              <w:rPr>
                <w:rFonts w:hint="eastAsia" w:ascii="宋体" w:hAnsi="宋体" w:eastAsia="宋体" w:cs="宋体"/>
                <w:sz w:val="24"/>
                <w:szCs w:val="24"/>
              </w:rPr>
            </w:pPr>
            <w:r>
              <w:rPr>
                <w:rFonts w:hint="eastAsia" w:ascii="宋体" w:hAnsi="宋体" w:eastAsia="宋体" w:cs="宋体"/>
                <w:sz w:val="24"/>
                <w:szCs w:val="24"/>
              </w:rPr>
              <w:t>营业执照及相关证书</w:t>
            </w:r>
          </w:p>
        </w:tc>
        <w:tc>
          <w:tcPr>
            <w:tcW w:w="6098" w:type="dxa"/>
          </w:tcPr>
          <w:p w14:paraId="665A4091">
            <w:pPr>
              <w:keepNext w:val="0"/>
              <w:keepLines w:val="0"/>
              <w:suppressLineNumbers w:val="0"/>
              <w:spacing w:before="0" w:beforeAutospacing="0" w:after="0" w:afterAutospacing="0" w:line="420" w:lineRule="exact"/>
              <w:ind w:left="0" w:right="0"/>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具有独立承担民事责任的能力（提供有效的企业法人营业执照或其他组织证明文件）</w:t>
            </w:r>
          </w:p>
        </w:tc>
      </w:tr>
      <w:tr w14:paraId="6413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90" w:type="dxa"/>
            <w:vMerge w:val="continue"/>
            <w:vAlign w:val="center"/>
          </w:tcPr>
          <w:p w14:paraId="4991A126">
            <w:pPr>
              <w:pStyle w:val="9"/>
              <w:keepNext w:val="0"/>
              <w:keepLines w:val="0"/>
              <w:suppressLineNumbers w:val="0"/>
              <w:spacing w:before="0" w:beforeAutospacing="0" w:afterAutospacing="0" w:line="420" w:lineRule="exact"/>
              <w:ind w:left="0" w:right="0"/>
              <w:rPr>
                <w:rFonts w:hint="eastAsia" w:ascii="宋体" w:hAnsi="宋体" w:eastAsia="宋体" w:cs="宋体"/>
                <w:sz w:val="24"/>
                <w:szCs w:val="24"/>
              </w:rPr>
            </w:pPr>
          </w:p>
        </w:tc>
        <w:tc>
          <w:tcPr>
            <w:tcW w:w="974" w:type="dxa"/>
            <w:vMerge w:val="continue"/>
            <w:vAlign w:val="center"/>
          </w:tcPr>
          <w:p w14:paraId="3E780256">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jc w:val="center"/>
              <w:rPr>
                <w:rFonts w:hint="eastAsia" w:ascii="宋体" w:hAnsi="宋体" w:eastAsia="宋体" w:cs="宋体"/>
                <w:b/>
                <w:sz w:val="24"/>
                <w:szCs w:val="24"/>
              </w:rPr>
            </w:pPr>
          </w:p>
        </w:tc>
        <w:tc>
          <w:tcPr>
            <w:tcW w:w="1744" w:type="dxa"/>
            <w:vAlign w:val="center"/>
          </w:tcPr>
          <w:p w14:paraId="0E72B8B9">
            <w:pPr>
              <w:keepNext w:val="0"/>
              <w:keepLines w:val="0"/>
              <w:suppressLineNumbers w:val="0"/>
              <w:spacing w:before="0" w:beforeAutospacing="0" w:after="0" w:afterAutospacing="0" w:line="420" w:lineRule="exact"/>
              <w:ind w:left="0" w:right="0"/>
              <w:jc w:val="center"/>
              <w:rPr>
                <w:rFonts w:hint="eastAsia" w:ascii="宋体" w:hAnsi="宋体" w:eastAsia="宋体" w:cs="宋体"/>
                <w:sz w:val="24"/>
                <w:szCs w:val="24"/>
              </w:rPr>
            </w:pPr>
            <w:r>
              <w:rPr>
                <w:rFonts w:hint="eastAsia" w:ascii="宋体" w:hAnsi="宋体" w:eastAsia="宋体" w:cs="宋体"/>
                <w:sz w:val="24"/>
                <w:szCs w:val="24"/>
              </w:rPr>
              <w:t>具有良好的商业信誉和健全的财务会计制度</w:t>
            </w:r>
          </w:p>
        </w:tc>
        <w:tc>
          <w:tcPr>
            <w:tcW w:w="6098" w:type="dxa"/>
          </w:tcPr>
          <w:p w14:paraId="050BDEF1">
            <w:pPr>
              <w:keepNext w:val="0"/>
              <w:keepLines w:val="0"/>
              <w:suppressLineNumbers w:val="0"/>
              <w:spacing w:before="0" w:beforeAutospacing="0" w:after="0" w:afterAutospacing="0" w:line="420" w:lineRule="exact"/>
              <w:ind w:left="0" w:right="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提供202</w:t>
            </w:r>
            <w:r>
              <w:rPr>
                <w:rFonts w:hint="eastAsia" w:ascii="宋体" w:hAnsi="宋体" w:eastAsia="宋体" w:cs="宋体"/>
                <w:sz w:val="24"/>
                <w:szCs w:val="24"/>
                <w:shd w:val="clear" w:color="auto" w:fill="FFFFFF"/>
                <w:lang w:val="en-US" w:eastAsia="zh-CN"/>
              </w:rPr>
              <w:t>4</w:t>
            </w:r>
            <w:r>
              <w:rPr>
                <w:rFonts w:hint="eastAsia" w:ascii="宋体" w:hAnsi="宋体" w:eastAsia="宋体" w:cs="宋体"/>
                <w:sz w:val="24"/>
                <w:szCs w:val="24"/>
                <w:shd w:val="clear" w:color="auto" w:fill="FFFFFF"/>
              </w:rPr>
              <w:t>或202</w:t>
            </w:r>
            <w:r>
              <w:rPr>
                <w:rFonts w:hint="eastAsia" w:ascii="宋体" w:hAnsi="宋体" w:eastAsia="宋体" w:cs="宋体"/>
                <w:sz w:val="24"/>
                <w:szCs w:val="24"/>
                <w:shd w:val="clear" w:color="auto" w:fill="FFFFFF"/>
                <w:lang w:val="en-US" w:eastAsia="zh-CN"/>
              </w:rPr>
              <w:t>5</w:t>
            </w:r>
            <w:r>
              <w:rPr>
                <w:rFonts w:hint="eastAsia" w:ascii="宋体" w:hAnsi="宋体" w:eastAsia="宋体" w:cs="宋体"/>
                <w:sz w:val="24"/>
                <w:szCs w:val="24"/>
                <w:shd w:val="clear" w:color="auto" w:fill="FFFFFF"/>
              </w:rPr>
              <w:t>年度的经审计的财务报表，成立不满一年的企业可提供情况说明或成立至今的财务报表，此项要求可不列入废标条款</w:t>
            </w:r>
          </w:p>
        </w:tc>
      </w:tr>
      <w:tr w14:paraId="3484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90" w:type="dxa"/>
            <w:vMerge w:val="continue"/>
            <w:vAlign w:val="center"/>
          </w:tcPr>
          <w:p w14:paraId="4D62A40A">
            <w:pPr>
              <w:pStyle w:val="9"/>
              <w:keepNext w:val="0"/>
              <w:keepLines w:val="0"/>
              <w:suppressLineNumbers w:val="0"/>
              <w:spacing w:before="0" w:beforeAutospacing="0" w:afterAutospacing="0" w:line="420" w:lineRule="exact"/>
              <w:ind w:left="0" w:right="0"/>
              <w:rPr>
                <w:rFonts w:hint="eastAsia" w:ascii="宋体" w:hAnsi="宋体" w:eastAsia="宋体" w:cs="宋体"/>
                <w:color w:val="auto"/>
                <w:sz w:val="24"/>
                <w:szCs w:val="24"/>
              </w:rPr>
            </w:pPr>
          </w:p>
        </w:tc>
        <w:tc>
          <w:tcPr>
            <w:tcW w:w="974" w:type="dxa"/>
            <w:vMerge w:val="continue"/>
            <w:vAlign w:val="center"/>
          </w:tcPr>
          <w:p w14:paraId="2125FD69">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jc w:val="center"/>
              <w:rPr>
                <w:rFonts w:hint="eastAsia" w:ascii="宋体" w:hAnsi="宋体" w:eastAsia="宋体" w:cs="宋体"/>
                <w:b/>
                <w:sz w:val="24"/>
                <w:szCs w:val="24"/>
              </w:rPr>
            </w:pPr>
          </w:p>
        </w:tc>
        <w:tc>
          <w:tcPr>
            <w:tcW w:w="1744" w:type="dxa"/>
            <w:vAlign w:val="center"/>
          </w:tcPr>
          <w:p w14:paraId="355790BC">
            <w:pPr>
              <w:keepNext w:val="0"/>
              <w:keepLines w:val="0"/>
              <w:suppressLineNumbers w:val="0"/>
              <w:spacing w:before="0" w:beforeAutospacing="0" w:after="0" w:afterAutospacing="0" w:line="420" w:lineRule="exact"/>
              <w:ind w:left="0" w:right="0"/>
              <w:jc w:val="center"/>
              <w:rPr>
                <w:rFonts w:hint="eastAsia" w:ascii="宋体" w:hAnsi="宋体" w:eastAsia="宋体" w:cs="宋体"/>
                <w:sz w:val="24"/>
                <w:szCs w:val="24"/>
              </w:rPr>
            </w:pPr>
            <w:r>
              <w:rPr>
                <w:rFonts w:hint="eastAsia" w:ascii="宋体" w:hAnsi="宋体" w:eastAsia="宋体" w:cs="宋体"/>
                <w:sz w:val="24"/>
                <w:szCs w:val="24"/>
              </w:rPr>
              <w:t>具有履行合同所必需的设备和专业技术能力</w:t>
            </w:r>
          </w:p>
        </w:tc>
        <w:tc>
          <w:tcPr>
            <w:tcW w:w="6098" w:type="dxa"/>
            <w:vAlign w:val="center"/>
          </w:tcPr>
          <w:p w14:paraId="451116C3">
            <w:pPr>
              <w:keepNext w:val="0"/>
              <w:keepLines w:val="0"/>
              <w:suppressLineNumbers w:val="0"/>
              <w:spacing w:before="0" w:beforeAutospacing="0" w:after="0" w:afterAutospacing="0" w:line="420" w:lineRule="exact"/>
              <w:ind w:left="0" w:right="0"/>
              <w:rPr>
                <w:rFonts w:hint="eastAsia" w:ascii="宋体" w:hAnsi="宋体" w:eastAsia="宋体" w:cs="宋体"/>
                <w:sz w:val="24"/>
                <w:szCs w:val="24"/>
                <w:shd w:val="clear" w:color="auto" w:fill="FFFFFF"/>
              </w:rPr>
            </w:pPr>
            <w:r>
              <w:rPr>
                <w:rFonts w:hint="eastAsia" w:ascii="宋体" w:hAnsi="宋体" w:eastAsia="宋体" w:cs="宋体"/>
                <w:b w:val="0"/>
                <w:bCs w:val="0"/>
                <w:color w:val="auto"/>
                <w:kern w:val="1"/>
                <w:sz w:val="24"/>
                <w:szCs w:val="24"/>
                <w:lang w:val="en-US" w:eastAsia="zh-CN" w:bidi="ar"/>
              </w:rPr>
              <w:t>提供证明材料或书面声明</w:t>
            </w:r>
          </w:p>
        </w:tc>
      </w:tr>
      <w:tr w14:paraId="654B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90" w:type="dxa"/>
            <w:vMerge w:val="continue"/>
            <w:vAlign w:val="center"/>
          </w:tcPr>
          <w:p w14:paraId="3A8DEFFD">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rPr>
                <w:rFonts w:hint="eastAsia" w:ascii="宋体" w:hAnsi="宋体" w:eastAsia="宋体" w:cs="宋体"/>
                <w:sz w:val="24"/>
                <w:szCs w:val="24"/>
              </w:rPr>
            </w:pPr>
          </w:p>
        </w:tc>
        <w:tc>
          <w:tcPr>
            <w:tcW w:w="974" w:type="dxa"/>
            <w:vMerge w:val="continue"/>
            <w:vAlign w:val="center"/>
          </w:tcPr>
          <w:p w14:paraId="6FD10508">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jc w:val="center"/>
              <w:rPr>
                <w:rFonts w:hint="eastAsia" w:ascii="宋体" w:hAnsi="宋体" w:eastAsia="宋体" w:cs="宋体"/>
                <w:b/>
                <w:sz w:val="24"/>
                <w:szCs w:val="24"/>
              </w:rPr>
            </w:pPr>
          </w:p>
        </w:tc>
        <w:tc>
          <w:tcPr>
            <w:tcW w:w="1744" w:type="dxa"/>
            <w:vAlign w:val="center"/>
          </w:tcPr>
          <w:p w14:paraId="0EE169A7">
            <w:pPr>
              <w:keepNext w:val="0"/>
              <w:keepLines w:val="0"/>
              <w:suppressLineNumbers w:val="0"/>
              <w:spacing w:before="0" w:beforeAutospacing="0" w:after="0" w:afterAutospacing="0" w:line="420" w:lineRule="exact"/>
              <w:ind w:left="0" w:right="0"/>
              <w:jc w:val="center"/>
              <w:rPr>
                <w:rFonts w:hint="eastAsia" w:ascii="宋体" w:hAnsi="宋体" w:eastAsia="宋体" w:cs="宋体"/>
                <w:sz w:val="24"/>
                <w:szCs w:val="24"/>
              </w:rPr>
            </w:pPr>
            <w:r>
              <w:rPr>
                <w:rFonts w:hint="eastAsia" w:ascii="宋体" w:hAnsi="宋体" w:eastAsia="宋体" w:cs="宋体"/>
                <w:sz w:val="24"/>
                <w:szCs w:val="24"/>
              </w:rPr>
              <w:t>有依法缴纳税收和社会保障资金的良好记录</w:t>
            </w:r>
          </w:p>
        </w:tc>
        <w:tc>
          <w:tcPr>
            <w:tcW w:w="6098" w:type="dxa"/>
            <w:vAlign w:val="center"/>
          </w:tcPr>
          <w:p w14:paraId="2E5895F6">
            <w:pPr>
              <w:keepNext w:val="0"/>
              <w:keepLines w:val="0"/>
              <w:suppressLineNumbers w:val="0"/>
              <w:spacing w:before="0" w:beforeAutospacing="0" w:after="0" w:afterAutospacing="0" w:line="420" w:lineRule="exact"/>
              <w:ind w:left="0" w:leftChars="0" w:right="0" w:firstLine="0" w:firstLineChars="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提供202</w:t>
            </w:r>
            <w:r>
              <w:rPr>
                <w:rFonts w:hint="eastAsia" w:ascii="宋体" w:hAnsi="宋体" w:eastAsia="宋体" w:cs="宋体"/>
                <w:sz w:val="24"/>
                <w:szCs w:val="24"/>
                <w:shd w:val="clear" w:color="auto" w:fill="FFFFFF"/>
                <w:lang w:val="en-US" w:eastAsia="zh-CN"/>
              </w:rPr>
              <w:t>5</w:t>
            </w:r>
            <w:r>
              <w:rPr>
                <w:rFonts w:hint="eastAsia" w:ascii="宋体" w:hAnsi="宋体" w:eastAsia="宋体" w:cs="宋体"/>
                <w:sz w:val="24"/>
                <w:szCs w:val="24"/>
                <w:shd w:val="clear" w:color="auto" w:fill="FFFFFF"/>
              </w:rPr>
              <w:t>年1月至今任意</w:t>
            </w:r>
            <w:r>
              <w:rPr>
                <w:rFonts w:hint="eastAsia" w:ascii="宋体" w:hAnsi="宋体" w:eastAsia="宋体" w:cs="宋体"/>
                <w:sz w:val="24"/>
                <w:szCs w:val="24"/>
                <w:shd w:val="clear" w:color="auto" w:fill="FFFFFF"/>
                <w:lang w:eastAsia="zh-CN"/>
              </w:rPr>
              <w:t>一</w:t>
            </w:r>
            <w:r>
              <w:rPr>
                <w:rFonts w:hint="eastAsia" w:ascii="宋体" w:hAnsi="宋体" w:eastAsia="宋体" w:cs="宋体"/>
                <w:sz w:val="24"/>
                <w:szCs w:val="24"/>
                <w:shd w:val="clear" w:color="auto" w:fill="FFFFFF"/>
              </w:rPr>
              <w:t>个月缴纳税收及社会保障资金的完税凭证；成立不满三个月的申请人提供成立以来的税收和社会保障资金缴纳凭证或相关情况说明；依法免税或不需要缴纳社会保障资金的，提供相关证明文件</w:t>
            </w:r>
          </w:p>
        </w:tc>
      </w:tr>
      <w:tr w14:paraId="47BD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790" w:type="dxa"/>
            <w:vMerge w:val="continue"/>
            <w:vAlign w:val="center"/>
          </w:tcPr>
          <w:p w14:paraId="515FFC29">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rPr>
                <w:rFonts w:hint="eastAsia" w:ascii="宋体" w:hAnsi="宋体" w:eastAsia="宋体" w:cs="宋体"/>
                <w:sz w:val="24"/>
                <w:szCs w:val="24"/>
              </w:rPr>
            </w:pPr>
          </w:p>
        </w:tc>
        <w:tc>
          <w:tcPr>
            <w:tcW w:w="974" w:type="dxa"/>
            <w:vMerge w:val="continue"/>
            <w:vAlign w:val="center"/>
          </w:tcPr>
          <w:p w14:paraId="3F24A72B">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jc w:val="center"/>
              <w:rPr>
                <w:rFonts w:hint="eastAsia" w:ascii="宋体" w:hAnsi="宋体" w:eastAsia="宋体" w:cs="宋体"/>
                <w:b/>
                <w:sz w:val="24"/>
                <w:szCs w:val="24"/>
              </w:rPr>
            </w:pPr>
          </w:p>
        </w:tc>
        <w:tc>
          <w:tcPr>
            <w:tcW w:w="1744" w:type="dxa"/>
            <w:vAlign w:val="center"/>
          </w:tcPr>
          <w:p w14:paraId="32F5D018">
            <w:pPr>
              <w:keepNext w:val="0"/>
              <w:keepLines w:val="0"/>
              <w:suppressLineNumbers w:val="0"/>
              <w:spacing w:before="0" w:beforeAutospacing="0" w:after="0" w:afterAutospacing="0" w:line="420" w:lineRule="exact"/>
              <w:ind w:left="0" w:right="0"/>
              <w:jc w:val="center"/>
              <w:rPr>
                <w:rFonts w:hint="eastAsia" w:ascii="宋体" w:hAnsi="宋体" w:eastAsia="宋体" w:cs="宋体"/>
                <w:sz w:val="24"/>
                <w:szCs w:val="24"/>
              </w:rPr>
            </w:pPr>
            <w:r>
              <w:rPr>
                <w:rFonts w:hint="eastAsia" w:ascii="宋体" w:hAnsi="宋体" w:eastAsia="宋体" w:cs="宋体"/>
                <w:sz w:val="24"/>
                <w:szCs w:val="24"/>
              </w:rPr>
              <w:t>违法记录声明</w:t>
            </w:r>
          </w:p>
        </w:tc>
        <w:tc>
          <w:tcPr>
            <w:tcW w:w="6098" w:type="dxa"/>
            <w:vAlign w:val="center"/>
          </w:tcPr>
          <w:p w14:paraId="6AC91563">
            <w:pPr>
              <w:keepNext w:val="0"/>
              <w:keepLines w:val="0"/>
              <w:suppressLineNumbers w:val="0"/>
              <w:spacing w:before="0" w:beforeAutospacing="0" w:after="0" w:afterAutospacing="0" w:line="420" w:lineRule="exact"/>
              <w:ind w:left="0" w:leftChars="0" w:right="0" w:firstLine="0" w:firstLineChars="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提供参加政府采购活动前3年内在经营活动中没有重大违法记录的书面声明（重大违法记录，是指潜在供应商因违法经营受到刑事处罚或者责令停产停业、吊销许可证或者执照、较大数额罚款等行政处罚）</w:t>
            </w:r>
          </w:p>
        </w:tc>
      </w:tr>
      <w:tr w14:paraId="3451A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trPr>
        <w:tc>
          <w:tcPr>
            <w:tcW w:w="790" w:type="dxa"/>
            <w:vMerge w:val="continue"/>
            <w:vAlign w:val="center"/>
          </w:tcPr>
          <w:p w14:paraId="060DD41E">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rPr>
                <w:rFonts w:hint="eastAsia" w:ascii="宋体" w:hAnsi="宋体" w:eastAsia="宋体" w:cs="宋体"/>
                <w:sz w:val="24"/>
                <w:szCs w:val="24"/>
              </w:rPr>
            </w:pPr>
          </w:p>
        </w:tc>
        <w:tc>
          <w:tcPr>
            <w:tcW w:w="974" w:type="dxa"/>
            <w:vMerge w:val="continue"/>
            <w:vAlign w:val="center"/>
          </w:tcPr>
          <w:p w14:paraId="01998198">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jc w:val="center"/>
              <w:rPr>
                <w:rFonts w:hint="eastAsia" w:ascii="宋体" w:hAnsi="宋体" w:eastAsia="宋体" w:cs="宋体"/>
                <w:b/>
                <w:sz w:val="24"/>
                <w:szCs w:val="24"/>
              </w:rPr>
            </w:pPr>
          </w:p>
        </w:tc>
        <w:tc>
          <w:tcPr>
            <w:tcW w:w="1744" w:type="dxa"/>
            <w:vAlign w:val="center"/>
          </w:tcPr>
          <w:p w14:paraId="295D48FD">
            <w:pPr>
              <w:keepNext w:val="0"/>
              <w:keepLines w:val="0"/>
              <w:suppressLineNumbers w:val="0"/>
              <w:spacing w:before="0" w:beforeAutospacing="0" w:after="0" w:afterAutospacing="0" w:line="420" w:lineRule="exact"/>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企业信誉</w:t>
            </w:r>
          </w:p>
        </w:tc>
        <w:tc>
          <w:tcPr>
            <w:tcW w:w="6098" w:type="dxa"/>
            <w:vAlign w:val="center"/>
          </w:tcPr>
          <w:p w14:paraId="467F2FC7">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磋商申请人信誉良好，在经营活动中未因违法违规行为受到行政处罚或因违法违规行为正在受到行政调查，没有处于投标资格被暂停或取消，投标资格被取消，财产未被接管、冻结、破产等状态，无被禁止市场准入情形。且未被列入“信用中国https://www.creditchina.gov.cn” 失信被执行人名单（开具时间须为本项目招标公告发布之日后），重大税收违法案件当事人名单且在中国政府采购网（www.ccgp.gov.cn）没有政府采购严重违法失信行为记录（被禁止在一定期限内参加政府采购活动但期限届满的除外）</w:t>
            </w:r>
          </w:p>
        </w:tc>
      </w:tr>
      <w:tr w14:paraId="4648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90" w:type="dxa"/>
            <w:vMerge w:val="continue"/>
            <w:vAlign w:val="center"/>
          </w:tcPr>
          <w:p w14:paraId="4A3EFCBE">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rPr>
                <w:rFonts w:hint="eastAsia" w:ascii="宋体" w:hAnsi="宋体" w:eastAsia="宋体" w:cs="宋体"/>
                <w:sz w:val="24"/>
                <w:szCs w:val="24"/>
              </w:rPr>
            </w:pPr>
          </w:p>
        </w:tc>
        <w:tc>
          <w:tcPr>
            <w:tcW w:w="974" w:type="dxa"/>
            <w:vMerge w:val="continue"/>
            <w:vAlign w:val="center"/>
          </w:tcPr>
          <w:p w14:paraId="5404EE5B">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jc w:val="center"/>
              <w:rPr>
                <w:rFonts w:hint="eastAsia" w:ascii="宋体" w:hAnsi="宋体" w:eastAsia="宋体" w:cs="宋体"/>
                <w:b/>
                <w:sz w:val="24"/>
                <w:szCs w:val="24"/>
              </w:rPr>
            </w:pPr>
          </w:p>
        </w:tc>
        <w:tc>
          <w:tcPr>
            <w:tcW w:w="1744" w:type="dxa"/>
            <w:vAlign w:val="center"/>
          </w:tcPr>
          <w:p w14:paraId="6D5005AC">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特定资格要求</w:t>
            </w:r>
          </w:p>
        </w:tc>
        <w:tc>
          <w:tcPr>
            <w:tcW w:w="6098" w:type="dxa"/>
            <w:vAlign w:val="center"/>
          </w:tcPr>
          <w:p w14:paraId="2B13C43C">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（1）投标人须具备公安机关核发的有效期内的保安服务许可证，并具有与本招标项目相应的服务能力。</w:t>
            </w:r>
          </w:p>
          <w:p w14:paraId="3F2E4740">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（2）投标人派驻保安员持证率100%</w:t>
            </w: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rPr>
              <w:t>提供公安机关核发的保安员证</w:t>
            </w:r>
            <w:r>
              <w:rPr>
                <w:rFonts w:hint="eastAsia" w:ascii="宋体" w:hAnsi="宋体" w:eastAsia="宋体" w:cs="宋体"/>
                <w:sz w:val="24"/>
                <w:szCs w:val="24"/>
                <w:shd w:val="clear" w:color="auto" w:fill="FFFFFF"/>
                <w:lang w:eastAsia="zh-CN"/>
              </w:rPr>
              <w:t>）</w:t>
            </w:r>
            <w:r>
              <w:rPr>
                <w:rFonts w:hint="eastAsia" w:ascii="宋体" w:hAnsi="宋体" w:eastAsia="宋体" w:cs="宋体"/>
                <w:sz w:val="24"/>
                <w:szCs w:val="24"/>
                <w:shd w:val="clear" w:color="auto" w:fill="FFFFFF"/>
              </w:rPr>
              <w:t>并经过政审。</w:t>
            </w:r>
          </w:p>
        </w:tc>
      </w:tr>
      <w:tr w14:paraId="73D8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90" w:type="dxa"/>
            <w:vMerge w:val="continue"/>
            <w:vAlign w:val="center"/>
          </w:tcPr>
          <w:p w14:paraId="425C66F9">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rPr>
                <w:rFonts w:hint="eastAsia" w:ascii="宋体" w:hAnsi="宋体" w:eastAsia="宋体" w:cs="宋体"/>
                <w:sz w:val="24"/>
                <w:szCs w:val="24"/>
              </w:rPr>
            </w:pPr>
          </w:p>
        </w:tc>
        <w:tc>
          <w:tcPr>
            <w:tcW w:w="974" w:type="dxa"/>
            <w:vMerge w:val="continue"/>
            <w:vAlign w:val="center"/>
          </w:tcPr>
          <w:p w14:paraId="34CDA368">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jc w:val="center"/>
              <w:rPr>
                <w:rFonts w:hint="eastAsia" w:ascii="宋体" w:hAnsi="宋体" w:eastAsia="宋体" w:cs="宋体"/>
                <w:b/>
                <w:sz w:val="24"/>
                <w:szCs w:val="24"/>
              </w:rPr>
            </w:pPr>
          </w:p>
        </w:tc>
        <w:tc>
          <w:tcPr>
            <w:tcW w:w="1744" w:type="dxa"/>
            <w:vAlign w:val="center"/>
          </w:tcPr>
          <w:p w14:paraId="2A3C3E64">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jc w:val="center"/>
              <w:rPr>
                <w:rFonts w:hint="eastAsia" w:ascii="宋体" w:hAnsi="宋体" w:eastAsia="宋体" w:cs="宋体"/>
                <w:sz w:val="24"/>
                <w:szCs w:val="24"/>
                <w:lang w:eastAsia="zh-CN"/>
              </w:rPr>
            </w:pPr>
            <w:r>
              <w:rPr>
                <w:rFonts w:hint="eastAsia" w:ascii="宋体" w:hAnsi="宋体" w:eastAsia="宋体" w:cs="宋体"/>
                <w:b w:val="0"/>
                <w:bCs w:val="0"/>
                <w:color w:val="auto"/>
                <w:kern w:val="2"/>
                <w:sz w:val="24"/>
                <w:szCs w:val="24"/>
                <w:lang w:val="en-US" w:eastAsia="zh-CN" w:bidi="ar-SA"/>
              </w:rPr>
              <w:t>落实政府采购政策需满足的资格要求</w:t>
            </w:r>
          </w:p>
        </w:tc>
        <w:tc>
          <w:tcPr>
            <w:tcW w:w="6098" w:type="dxa"/>
            <w:vAlign w:val="center"/>
          </w:tcPr>
          <w:p w14:paraId="3952934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jc w:val="both"/>
              <w:textAlignment w:val="auto"/>
              <w:rPr>
                <w:rFonts w:hint="eastAsia" w:ascii="宋体" w:hAnsi="宋体" w:eastAsia="宋体" w:cs="宋体"/>
                <w:b w:val="0"/>
                <w:bCs w:val="0"/>
                <w:sz w:val="24"/>
                <w:szCs w:val="24"/>
                <w:lang w:val="en-US" w:eastAsia="zh-CN"/>
              </w:rPr>
            </w:pPr>
          </w:p>
          <w:p w14:paraId="2938FD06">
            <w:pPr>
              <w:pStyle w:val="9"/>
              <w:keepNext w:val="0"/>
              <w:keepLines w:val="0"/>
              <w:pageBreakBefore w:val="0"/>
              <w:numPr>
                <w:ilvl w:val="0"/>
                <w:numId w:val="0"/>
              </w:numPr>
              <w:suppressLineNumbers w:val="0"/>
              <w:kinsoku/>
              <w:wordWrap/>
              <w:overflowPunct/>
              <w:topLinePunct w:val="0"/>
              <w:autoSpaceDE/>
              <w:autoSpaceDN/>
              <w:bidi w:val="0"/>
              <w:adjustRightInd/>
              <w:spacing w:before="0" w:beforeAutospacing="0" w:afterAutospacing="0" w:line="360" w:lineRule="auto"/>
              <w:ind w:left="0" w:right="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本项目为专门面向中小企业采购项目，供应商应为中小微企业，须按要求提供《中小企业声明函》（残疾人福利性单位声明函、监狱企业证明文件），监狱企业、残疾人福利性单位视同小型或微型企业。</w:t>
            </w:r>
          </w:p>
          <w:p w14:paraId="636E3746">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leftChars="0" w:right="0" w:firstLine="0" w:firstLineChars="0"/>
              <w:rPr>
                <w:rFonts w:hint="eastAsia" w:ascii="宋体" w:hAnsi="宋体" w:eastAsia="宋体" w:cs="宋体"/>
                <w:sz w:val="24"/>
                <w:szCs w:val="24"/>
                <w:shd w:val="clear" w:color="auto" w:fill="FFFFFF"/>
              </w:rPr>
            </w:pPr>
            <w:r>
              <w:rPr>
                <w:rFonts w:hint="eastAsia" w:ascii="宋体" w:hAnsi="宋体" w:eastAsia="宋体" w:cs="宋体"/>
                <w:color w:val="auto"/>
                <w:sz w:val="24"/>
                <w:szCs w:val="24"/>
                <w:lang w:val="en-US" w:eastAsia="zh-CN"/>
              </w:rPr>
              <w:t>注：专门面向中小企业采购的项目或者采购包，不再执行价格评审优惠的扶持政策。</w:t>
            </w:r>
          </w:p>
        </w:tc>
      </w:tr>
      <w:tr w14:paraId="4979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90" w:type="dxa"/>
            <w:vMerge w:val="continue"/>
            <w:vAlign w:val="center"/>
          </w:tcPr>
          <w:p w14:paraId="3CBFFACB">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rPr>
                <w:rFonts w:hint="eastAsia" w:ascii="宋体" w:hAnsi="宋体" w:eastAsia="宋体" w:cs="宋体"/>
                <w:sz w:val="24"/>
                <w:szCs w:val="24"/>
              </w:rPr>
            </w:pPr>
          </w:p>
        </w:tc>
        <w:tc>
          <w:tcPr>
            <w:tcW w:w="974" w:type="dxa"/>
            <w:vMerge w:val="continue"/>
            <w:vAlign w:val="center"/>
          </w:tcPr>
          <w:p w14:paraId="6DCBB6DB">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jc w:val="center"/>
              <w:rPr>
                <w:rFonts w:hint="eastAsia" w:ascii="宋体" w:hAnsi="宋体" w:eastAsia="宋体" w:cs="宋体"/>
                <w:b/>
                <w:sz w:val="24"/>
                <w:szCs w:val="24"/>
              </w:rPr>
            </w:pPr>
          </w:p>
        </w:tc>
        <w:tc>
          <w:tcPr>
            <w:tcW w:w="1744" w:type="dxa"/>
            <w:vAlign w:val="center"/>
          </w:tcPr>
          <w:p w14:paraId="5528ACE9">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jc w:val="center"/>
              <w:rPr>
                <w:rFonts w:hint="eastAsia" w:ascii="宋体" w:hAnsi="宋体" w:eastAsia="宋体" w:cs="宋体"/>
                <w:sz w:val="24"/>
                <w:szCs w:val="24"/>
              </w:rPr>
            </w:pPr>
            <w:r>
              <w:rPr>
                <w:rFonts w:hint="eastAsia" w:ascii="宋体" w:hAnsi="宋体" w:eastAsia="宋体" w:cs="宋体"/>
                <w:sz w:val="24"/>
                <w:szCs w:val="24"/>
              </w:rPr>
              <w:t>其他要求</w:t>
            </w:r>
          </w:p>
        </w:tc>
        <w:tc>
          <w:tcPr>
            <w:tcW w:w="6098" w:type="dxa"/>
            <w:vAlign w:val="center"/>
          </w:tcPr>
          <w:p w14:paraId="4ACEA07B">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rPr>
                <w:rFonts w:hint="eastAsia" w:ascii="宋体" w:hAnsi="宋体" w:eastAsia="宋体" w:cs="宋体"/>
                <w:sz w:val="24"/>
                <w:szCs w:val="24"/>
              </w:rPr>
            </w:pPr>
            <w:r>
              <w:rPr>
                <w:rFonts w:hint="eastAsia" w:ascii="宋体" w:hAnsi="宋体" w:eastAsia="宋体" w:cs="宋体"/>
                <w:sz w:val="24"/>
                <w:szCs w:val="24"/>
                <w:lang w:val="zh-CN"/>
              </w:rPr>
              <w:t>符合</w:t>
            </w:r>
            <w:r>
              <w:rPr>
                <w:rFonts w:hint="eastAsia" w:ascii="宋体" w:hAnsi="宋体" w:eastAsia="宋体" w:cs="宋体"/>
                <w:sz w:val="24"/>
                <w:szCs w:val="24"/>
              </w:rPr>
              <w:t>第二章</w:t>
            </w:r>
            <w:r>
              <w:rPr>
                <w:rFonts w:hint="eastAsia" w:ascii="宋体" w:hAnsi="宋体" w:eastAsia="宋体" w:cs="宋体"/>
                <w:i/>
                <w:sz w:val="24"/>
                <w:szCs w:val="24"/>
              </w:rPr>
              <w:t>“</w:t>
            </w:r>
            <w:r>
              <w:rPr>
                <w:rFonts w:hint="eastAsia" w:ascii="宋体" w:hAnsi="宋体" w:eastAsia="宋体" w:cs="宋体"/>
                <w:sz w:val="24"/>
                <w:szCs w:val="24"/>
              </w:rPr>
              <w:t>潜在供应商须知前附表”第1.4.1项规定</w:t>
            </w:r>
          </w:p>
        </w:tc>
      </w:tr>
      <w:tr w14:paraId="70A7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90" w:type="dxa"/>
            <w:vMerge w:val="restart"/>
            <w:vAlign w:val="center"/>
          </w:tcPr>
          <w:p w14:paraId="1CEF821D">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jc w:val="center"/>
              <w:rPr>
                <w:rFonts w:hint="eastAsia" w:ascii="宋体" w:hAnsi="宋体" w:eastAsia="宋体" w:cs="宋体"/>
                <w:sz w:val="24"/>
                <w:szCs w:val="24"/>
              </w:rPr>
            </w:pPr>
            <w:r>
              <w:rPr>
                <w:rFonts w:hint="eastAsia" w:ascii="宋体" w:hAnsi="宋体" w:eastAsia="宋体" w:cs="宋体"/>
                <w:sz w:val="24"/>
                <w:szCs w:val="24"/>
              </w:rPr>
              <w:t>2.1.3</w:t>
            </w:r>
          </w:p>
        </w:tc>
        <w:tc>
          <w:tcPr>
            <w:tcW w:w="974" w:type="dxa"/>
            <w:vMerge w:val="restart"/>
            <w:vAlign w:val="center"/>
          </w:tcPr>
          <w:p w14:paraId="3278B91B">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leftChars="0" w:right="0" w:firstLine="0" w:firstLineChars="0"/>
              <w:jc w:val="both"/>
              <w:rPr>
                <w:rFonts w:hint="eastAsia" w:ascii="宋体" w:hAnsi="宋体" w:eastAsia="宋体" w:cs="宋体"/>
                <w:b/>
                <w:sz w:val="24"/>
                <w:szCs w:val="24"/>
              </w:rPr>
            </w:pPr>
            <w:r>
              <w:rPr>
                <w:rFonts w:hint="eastAsia" w:ascii="宋体" w:hAnsi="宋体" w:eastAsia="宋体" w:cs="宋体"/>
                <w:b/>
                <w:sz w:val="24"/>
                <w:szCs w:val="24"/>
              </w:rPr>
              <w:t>响应性评审</w:t>
            </w:r>
            <w:r>
              <w:rPr>
                <w:rFonts w:hint="eastAsia" w:ascii="宋体" w:hAnsi="宋体" w:eastAsia="宋体" w:cs="宋体"/>
                <w:b/>
                <w:sz w:val="24"/>
                <w:szCs w:val="24"/>
                <w:lang w:eastAsia="zh-CN"/>
              </w:rPr>
              <w:t>标</w:t>
            </w:r>
            <w:r>
              <w:rPr>
                <w:rFonts w:hint="eastAsia" w:ascii="宋体" w:hAnsi="宋体" w:eastAsia="宋体" w:cs="宋体"/>
                <w:b/>
                <w:sz w:val="24"/>
                <w:szCs w:val="24"/>
              </w:rPr>
              <w:t>准</w:t>
            </w:r>
          </w:p>
        </w:tc>
        <w:tc>
          <w:tcPr>
            <w:tcW w:w="1744" w:type="dxa"/>
            <w:vAlign w:val="center"/>
          </w:tcPr>
          <w:p w14:paraId="39D6D661">
            <w:pPr>
              <w:keepNext w:val="0"/>
              <w:keepLines w:val="0"/>
              <w:suppressLineNumbers w:val="0"/>
              <w:pBdr>
                <w:top w:val="none" w:color="auto" w:sz="0" w:space="1"/>
                <w:left w:val="none" w:color="auto" w:sz="0" w:space="4"/>
                <w:bottom w:val="none" w:color="auto" w:sz="0" w:space="1"/>
                <w:right w:val="none" w:color="auto" w:sz="0" w:space="4"/>
              </w:pBdr>
              <w:autoSpaceDE w:val="0"/>
              <w:autoSpaceDN w:val="0"/>
              <w:adjustRightInd w:val="0"/>
              <w:spacing w:before="0" w:beforeAutospacing="0" w:after="0" w:afterAutospacing="0" w:line="420" w:lineRule="exact"/>
              <w:ind w:left="0" w:right="0"/>
              <w:jc w:val="center"/>
              <w:rPr>
                <w:rFonts w:hint="eastAsia" w:ascii="宋体" w:hAnsi="宋体" w:eastAsia="宋体" w:cs="宋体"/>
                <w:sz w:val="24"/>
                <w:szCs w:val="24"/>
              </w:rPr>
            </w:pPr>
            <w:r>
              <w:rPr>
                <w:rFonts w:hint="eastAsia" w:ascii="宋体" w:hAnsi="宋体" w:eastAsia="宋体" w:cs="宋体"/>
                <w:kern w:val="0"/>
                <w:sz w:val="24"/>
                <w:szCs w:val="24"/>
              </w:rPr>
              <w:t>磋商报价</w:t>
            </w:r>
          </w:p>
        </w:tc>
        <w:tc>
          <w:tcPr>
            <w:tcW w:w="6098" w:type="dxa"/>
            <w:vAlign w:val="center"/>
          </w:tcPr>
          <w:p w14:paraId="182F7880">
            <w:pPr>
              <w:keepNext w:val="0"/>
              <w:keepLines w:val="0"/>
              <w:suppressLineNumbers w:val="0"/>
              <w:pBdr>
                <w:top w:val="none" w:color="auto" w:sz="0" w:space="1"/>
                <w:left w:val="none" w:color="auto" w:sz="0" w:space="4"/>
                <w:bottom w:val="none" w:color="auto" w:sz="0" w:space="1"/>
                <w:right w:val="none" w:color="auto" w:sz="0" w:space="4"/>
              </w:pBdr>
              <w:autoSpaceDE w:val="0"/>
              <w:autoSpaceDN w:val="0"/>
              <w:adjustRightInd w:val="0"/>
              <w:spacing w:before="0" w:beforeAutospacing="0" w:after="0" w:afterAutospacing="0" w:line="420" w:lineRule="exact"/>
              <w:ind w:left="0" w:right="0"/>
              <w:rPr>
                <w:rFonts w:hint="eastAsia" w:ascii="宋体" w:hAnsi="宋体" w:eastAsia="宋体" w:cs="宋体"/>
                <w:sz w:val="24"/>
                <w:szCs w:val="24"/>
              </w:rPr>
            </w:pPr>
            <w:r>
              <w:rPr>
                <w:rFonts w:hint="eastAsia" w:ascii="宋体" w:hAnsi="宋体" w:eastAsia="宋体" w:cs="宋体"/>
                <w:sz w:val="24"/>
                <w:szCs w:val="24"/>
                <w:lang w:val="zh-CN"/>
              </w:rPr>
              <w:t>不超过预算金额</w:t>
            </w:r>
          </w:p>
        </w:tc>
      </w:tr>
      <w:tr w14:paraId="3B1E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790" w:type="dxa"/>
            <w:vMerge w:val="continue"/>
            <w:vAlign w:val="center"/>
          </w:tcPr>
          <w:p w14:paraId="42A445B4">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jc w:val="center"/>
              <w:rPr>
                <w:rFonts w:hint="eastAsia" w:ascii="宋体" w:hAnsi="宋体" w:eastAsia="宋体" w:cs="宋体"/>
                <w:sz w:val="24"/>
                <w:szCs w:val="24"/>
              </w:rPr>
            </w:pPr>
          </w:p>
        </w:tc>
        <w:tc>
          <w:tcPr>
            <w:tcW w:w="974" w:type="dxa"/>
            <w:vMerge w:val="continue"/>
            <w:vAlign w:val="center"/>
          </w:tcPr>
          <w:p w14:paraId="32FEA43A">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rPr>
                <w:rFonts w:hint="eastAsia" w:ascii="宋体" w:hAnsi="宋体" w:eastAsia="宋体" w:cs="宋体"/>
                <w:b/>
                <w:sz w:val="24"/>
                <w:szCs w:val="24"/>
              </w:rPr>
            </w:pPr>
          </w:p>
        </w:tc>
        <w:tc>
          <w:tcPr>
            <w:tcW w:w="1744" w:type="dxa"/>
            <w:vAlign w:val="center"/>
          </w:tcPr>
          <w:p w14:paraId="61CFCD7D">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jc w:val="center"/>
              <w:rPr>
                <w:rFonts w:hint="eastAsia" w:ascii="宋体" w:hAnsi="宋体" w:eastAsia="宋体" w:cs="宋体"/>
                <w:sz w:val="24"/>
                <w:szCs w:val="24"/>
              </w:rPr>
            </w:pPr>
            <w:r>
              <w:rPr>
                <w:rFonts w:hint="eastAsia" w:ascii="宋体" w:hAnsi="宋体" w:eastAsia="宋体" w:cs="宋体"/>
                <w:sz w:val="24"/>
                <w:szCs w:val="24"/>
                <w:lang w:val="zh-CN"/>
              </w:rPr>
              <w:t>磋商内容</w:t>
            </w:r>
          </w:p>
        </w:tc>
        <w:tc>
          <w:tcPr>
            <w:tcW w:w="6098" w:type="dxa"/>
            <w:vAlign w:val="center"/>
          </w:tcPr>
          <w:p w14:paraId="39DCCCB2">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rPr>
                <w:rFonts w:hint="eastAsia" w:ascii="宋体" w:hAnsi="宋体" w:eastAsia="宋体" w:cs="宋体"/>
                <w:sz w:val="24"/>
                <w:szCs w:val="24"/>
              </w:rPr>
            </w:pPr>
            <w:r>
              <w:rPr>
                <w:rFonts w:hint="eastAsia" w:ascii="宋体" w:hAnsi="宋体" w:eastAsia="宋体" w:cs="宋体"/>
                <w:sz w:val="24"/>
                <w:szCs w:val="24"/>
                <w:lang w:val="zh-CN"/>
              </w:rPr>
              <w:t>符合</w:t>
            </w:r>
            <w:r>
              <w:rPr>
                <w:rFonts w:hint="eastAsia" w:ascii="宋体" w:hAnsi="宋体" w:eastAsia="宋体" w:cs="宋体"/>
                <w:sz w:val="24"/>
                <w:szCs w:val="24"/>
              </w:rPr>
              <w:t>第二章</w:t>
            </w:r>
            <w:r>
              <w:rPr>
                <w:rFonts w:hint="eastAsia" w:ascii="宋体" w:hAnsi="宋体" w:eastAsia="宋体" w:cs="宋体"/>
                <w:i/>
                <w:sz w:val="24"/>
                <w:szCs w:val="24"/>
              </w:rPr>
              <w:t>“</w:t>
            </w:r>
            <w:r>
              <w:rPr>
                <w:rFonts w:hint="eastAsia" w:ascii="宋体" w:hAnsi="宋体" w:eastAsia="宋体" w:cs="宋体"/>
                <w:sz w:val="24"/>
                <w:szCs w:val="24"/>
              </w:rPr>
              <w:t>潜在供应商须知</w:t>
            </w:r>
            <w:r>
              <w:rPr>
                <w:rFonts w:hint="eastAsia" w:ascii="宋体" w:hAnsi="宋体" w:eastAsia="宋体" w:cs="宋体"/>
                <w:i/>
                <w:sz w:val="24"/>
                <w:szCs w:val="24"/>
              </w:rPr>
              <w:t>”</w:t>
            </w:r>
            <w:r>
              <w:rPr>
                <w:rFonts w:hint="eastAsia" w:ascii="宋体" w:hAnsi="宋体" w:eastAsia="宋体" w:cs="宋体"/>
                <w:sz w:val="24"/>
                <w:szCs w:val="24"/>
              </w:rPr>
              <w:t>第1.3.1项规定</w:t>
            </w:r>
          </w:p>
        </w:tc>
      </w:tr>
      <w:tr w14:paraId="07CF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790" w:type="dxa"/>
            <w:vMerge w:val="continue"/>
            <w:vAlign w:val="center"/>
          </w:tcPr>
          <w:p w14:paraId="264ED411">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jc w:val="center"/>
              <w:rPr>
                <w:rFonts w:hint="eastAsia" w:ascii="宋体" w:hAnsi="宋体" w:eastAsia="宋体" w:cs="宋体"/>
                <w:sz w:val="24"/>
                <w:szCs w:val="24"/>
              </w:rPr>
            </w:pPr>
          </w:p>
        </w:tc>
        <w:tc>
          <w:tcPr>
            <w:tcW w:w="974" w:type="dxa"/>
            <w:vMerge w:val="continue"/>
            <w:vAlign w:val="center"/>
          </w:tcPr>
          <w:p w14:paraId="7AAC4EC1">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rPr>
                <w:rFonts w:hint="eastAsia" w:ascii="宋体" w:hAnsi="宋体" w:eastAsia="宋体" w:cs="宋体"/>
                <w:b/>
                <w:sz w:val="24"/>
                <w:szCs w:val="24"/>
              </w:rPr>
            </w:pPr>
          </w:p>
        </w:tc>
        <w:tc>
          <w:tcPr>
            <w:tcW w:w="1744" w:type="dxa"/>
            <w:vAlign w:val="center"/>
          </w:tcPr>
          <w:p w14:paraId="5B738325">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jc w:val="center"/>
              <w:rPr>
                <w:rFonts w:hint="eastAsia" w:ascii="宋体" w:hAnsi="宋体" w:eastAsia="宋体" w:cs="宋体"/>
                <w:sz w:val="24"/>
                <w:szCs w:val="24"/>
                <w:lang w:val="zh-CN"/>
              </w:rPr>
            </w:pPr>
            <w:r>
              <w:rPr>
                <w:rFonts w:hint="eastAsia" w:ascii="宋体" w:hAnsi="宋体" w:eastAsia="宋体" w:cs="宋体"/>
                <w:sz w:val="24"/>
                <w:szCs w:val="24"/>
                <w:lang w:val="zh-CN"/>
              </w:rPr>
              <w:t>合同履行期限</w:t>
            </w:r>
          </w:p>
        </w:tc>
        <w:tc>
          <w:tcPr>
            <w:tcW w:w="6098" w:type="dxa"/>
            <w:vAlign w:val="center"/>
          </w:tcPr>
          <w:p w14:paraId="7321DF24">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rPr>
                <w:rFonts w:hint="eastAsia" w:ascii="宋体" w:hAnsi="宋体" w:eastAsia="宋体" w:cs="宋体"/>
                <w:sz w:val="24"/>
                <w:szCs w:val="24"/>
                <w:lang w:val="zh-CN"/>
              </w:rPr>
            </w:pPr>
            <w:r>
              <w:rPr>
                <w:rFonts w:hint="eastAsia" w:ascii="宋体" w:hAnsi="宋体" w:eastAsia="宋体" w:cs="宋体"/>
                <w:sz w:val="24"/>
                <w:szCs w:val="24"/>
                <w:lang w:val="zh-CN"/>
              </w:rPr>
              <w:t>符合</w:t>
            </w:r>
            <w:r>
              <w:rPr>
                <w:rFonts w:hint="eastAsia" w:ascii="宋体" w:hAnsi="宋体" w:eastAsia="宋体" w:cs="宋体"/>
                <w:sz w:val="24"/>
                <w:szCs w:val="24"/>
              </w:rPr>
              <w:t>第二章</w:t>
            </w:r>
            <w:r>
              <w:rPr>
                <w:rFonts w:hint="eastAsia" w:ascii="宋体" w:hAnsi="宋体" w:eastAsia="宋体" w:cs="宋体"/>
                <w:i/>
                <w:sz w:val="24"/>
                <w:szCs w:val="24"/>
              </w:rPr>
              <w:t>“</w:t>
            </w:r>
            <w:r>
              <w:rPr>
                <w:rFonts w:hint="eastAsia" w:ascii="宋体" w:hAnsi="宋体" w:eastAsia="宋体" w:cs="宋体"/>
                <w:sz w:val="24"/>
                <w:szCs w:val="24"/>
              </w:rPr>
              <w:t>潜在供应商须知</w:t>
            </w:r>
            <w:r>
              <w:rPr>
                <w:rFonts w:hint="eastAsia" w:ascii="宋体" w:hAnsi="宋体" w:eastAsia="宋体" w:cs="宋体"/>
                <w:i/>
                <w:sz w:val="24"/>
                <w:szCs w:val="24"/>
              </w:rPr>
              <w:t>”</w:t>
            </w:r>
            <w:r>
              <w:rPr>
                <w:rFonts w:hint="eastAsia" w:ascii="宋体" w:hAnsi="宋体" w:eastAsia="宋体" w:cs="宋体"/>
                <w:sz w:val="24"/>
                <w:szCs w:val="24"/>
              </w:rPr>
              <w:t>第1.3.2项规定</w:t>
            </w:r>
          </w:p>
        </w:tc>
      </w:tr>
      <w:tr w14:paraId="7C22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790" w:type="dxa"/>
            <w:vMerge w:val="continue"/>
            <w:vAlign w:val="center"/>
          </w:tcPr>
          <w:p w14:paraId="2EAA4BB1">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jc w:val="center"/>
              <w:rPr>
                <w:rFonts w:hint="eastAsia" w:ascii="宋体" w:hAnsi="宋体" w:eastAsia="宋体" w:cs="宋体"/>
                <w:sz w:val="24"/>
                <w:szCs w:val="24"/>
              </w:rPr>
            </w:pPr>
          </w:p>
        </w:tc>
        <w:tc>
          <w:tcPr>
            <w:tcW w:w="974" w:type="dxa"/>
            <w:vMerge w:val="continue"/>
            <w:vAlign w:val="center"/>
          </w:tcPr>
          <w:p w14:paraId="30B3E84A">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rPr>
                <w:rFonts w:hint="eastAsia" w:ascii="宋体" w:hAnsi="宋体" w:eastAsia="宋体" w:cs="宋体"/>
                <w:b/>
                <w:sz w:val="24"/>
                <w:szCs w:val="24"/>
              </w:rPr>
            </w:pPr>
          </w:p>
        </w:tc>
        <w:tc>
          <w:tcPr>
            <w:tcW w:w="1744" w:type="dxa"/>
            <w:vAlign w:val="center"/>
          </w:tcPr>
          <w:p w14:paraId="548034D8">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jc w:val="center"/>
              <w:rPr>
                <w:rFonts w:hint="eastAsia" w:ascii="宋体" w:hAnsi="宋体" w:eastAsia="宋体" w:cs="宋体"/>
                <w:sz w:val="24"/>
                <w:szCs w:val="24"/>
              </w:rPr>
            </w:pPr>
            <w:r>
              <w:rPr>
                <w:rFonts w:hint="eastAsia" w:ascii="宋体" w:hAnsi="宋体" w:eastAsia="宋体" w:cs="宋体"/>
                <w:sz w:val="24"/>
                <w:szCs w:val="24"/>
              </w:rPr>
              <w:t>磋商有效期</w:t>
            </w:r>
          </w:p>
        </w:tc>
        <w:tc>
          <w:tcPr>
            <w:tcW w:w="6098" w:type="dxa"/>
            <w:vAlign w:val="center"/>
          </w:tcPr>
          <w:p w14:paraId="1109A115">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rPr>
                <w:rFonts w:hint="eastAsia" w:ascii="宋体" w:hAnsi="宋体" w:eastAsia="宋体" w:cs="宋体"/>
                <w:sz w:val="24"/>
                <w:szCs w:val="24"/>
              </w:rPr>
            </w:pPr>
            <w:r>
              <w:rPr>
                <w:rFonts w:hint="eastAsia" w:ascii="宋体" w:hAnsi="宋体" w:eastAsia="宋体" w:cs="宋体"/>
                <w:sz w:val="24"/>
                <w:szCs w:val="24"/>
                <w:lang w:val="zh-CN"/>
              </w:rPr>
              <w:t>符合</w:t>
            </w:r>
            <w:r>
              <w:rPr>
                <w:rFonts w:hint="eastAsia" w:ascii="宋体" w:hAnsi="宋体" w:eastAsia="宋体" w:cs="宋体"/>
                <w:sz w:val="24"/>
                <w:szCs w:val="24"/>
              </w:rPr>
              <w:t>第二章“潜在供应商须知”第3.3.1项规定</w:t>
            </w:r>
          </w:p>
        </w:tc>
      </w:tr>
      <w:tr w14:paraId="6574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790" w:type="dxa"/>
            <w:vMerge w:val="continue"/>
            <w:vAlign w:val="center"/>
          </w:tcPr>
          <w:p w14:paraId="7BAF0E96">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jc w:val="center"/>
              <w:rPr>
                <w:rFonts w:hint="eastAsia" w:ascii="宋体" w:hAnsi="宋体" w:eastAsia="宋体" w:cs="宋体"/>
                <w:sz w:val="24"/>
                <w:szCs w:val="24"/>
              </w:rPr>
            </w:pPr>
          </w:p>
        </w:tc>
        <w:tc>
          <w:tcPr>
            <w:tcW w:w="974" w:type="dxa"/>
            <w:vMerge w:val="continue"/>
            <w:vAlign w:val="center"/>
          </w:tcPr>
          <w:p w14:paraId="02491936">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rPr>
                <w:rFonts w:hint="eastAsia" w:ascii="宋体" w:hAnsi="宋体" w:eastAsia="宋体" w:cs="宋体"/>
                <w:b/>
                <w:sz w:val="24"/>
                <w:szCs w:val="24"/>
              </w:rPr>
            </w:pPr>
          </w:p>
        </w:tc>
        <w:tc>
          <w:tcPr>
            <w:tcW w:w="1744" w:type="dxa"/>
            <w:vAlign w:val="center"/>
          </w:tcPr>
          <w:p w14:paraId="2A7E0ED4">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jc w:val="center"/>
              <w:rPr>
                <w:rFonts w:hint="eastAsia" w:ascii="宋体" w:hAnsi="宋体" w:eastAsia="宋体" w:cs="宋体"/>
                <w:sz w:val="24"/>
                <w:szCs w:val="24"/>
              </w:rPr>
            </w:pPr>
            <w:r>
              <w:rPr>
                <w:rFonts w:hint="eastAsia" w:ascii="宋体" w:hAnsi="宋体" w:eastAsia="宋体" w:cs="宋体"/>
                <w:sz w:val="24"/>
                <w:szCs w:val="24"/>
              </w:rPr>
              <w:t>磋商保证金</w:t>
            </w:r>
          </w:p>
        </w:tc>
        <w:tc>
          <w:tcPr>
            <w:tcW w:w="6098" w:type="dxa"/>
            <w:vAlign w:val="center"/>
          </w:tcPr>
          <w:p w14:paraId="7E67EE98">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20" w:lineRule="exact"/>
              <w:ind w:left="0" w:right="0"/>
              <w:rPr>
                <w:rFonts w:hint="eastAsia" w:ascii="宋体" w:hAnsi="宋体" w:eastAsia="宋体" w:cs="宋体"/>
                <w:sz w:val="24"/>
                <w:szCs w:val="24"/>
                <w:lang w:val="zh-CN"/>
              </w:rPr>
            </w:pPr>
            <w:r>
              <w:rPr>
                <w:rFonts w:hint="eastAsia" w:ascii="宋体" w:hAnsi="宋体" w:eastAsia="宋体" w:cs="宋体"/>
                <w:sz w:val="24"/>
                <w:szCs w:val="24"/>
                <w:lang w:val="zh-CN"/>
              </w:rPr>
              <w:t>符合</w:t>
            </w:r>
            <w:r>
              <w:rPr>
                <w:rFonts w:hint="eastAsia" w:ascii="宋体" w:hAnsi="宋体" w:eastAsia="宋体" w:cs="宋体"/>
                <w:sz w:val="24"/>
                <w:szCs w:val="24"/>
              </w:rPr>
              <w:t>第二章“潜在供应商须知”第3.4.1项规定</w:t>
            </w:r>
          </w:p>
        </w:tc>
      </w:tr>
    </w:tbl>
    <w:p w14:paraId="12800D8E">
      <w:pPr>
        <w:snapToGrid w:val="0"/>
        <w:spacing w:line="470" w:lineRule="exact"/>
        <w:rPr>
          <w:rFonts w:hint="eastAsia" w:ascii="宋体" w:hAnsi="宋体" w:eastAsia="宋体" w:cs="宋体"/>
          <w:b/>
          <w:sz w:val="24"/>
          <w:szCs w:val="24"/>
        </w:rPr>
      </w:pPr>
    </w:p>
    <w:tbl>
      <w:tblPr>
        <w:tblStyle w:val="25"/>
        <w:tblW w:w="946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879"/>
        <w:gridCol w:w="1470"/>
        <w:gridCol w:w="1573"/>
        <w:gridCol w:w="5544"/>
      </w:tblGrid>
      <w:tr w14:paraId="4D21EA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51" w:hRule="atLeast"/>
          <w:jc w:val="center"/>
        </w:trPr>
        <w:tc>
          <w:tcPr>
            <w:tcW w:w="879" w:type="dxa"/>
            <w:tcBorders>
              <w:bottom w:val="single" w:color="auto" w:sz="4" w:space="0"/>
            </w:tcBorders>
            <w:vAlign w:val="center"/>
          </w:tcPr>
          <w:p w14:paraId="1DC5AF86">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b/>
                <w:sz w:val="24"/>
                <w:szCs w:val="24"/>
              </w:rPr>
              <w:t>条款号</w:t>
            </w:r>
          </w:p>
        </w:tc>
        <w:tc>
          <w:tcPr>
            <w:tcW w:w="1470" w:type="dxa"/>
            <w:tcBorders>
              <w:bottom w:val="single" w:color="auto" w:sz="4" w:space="0"/>
            </w:tcBorders>
            <w:vAlign w:val="center"/>
          </w:tcPr>
          <w:p w14:paraId="68CA8173">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条款内容</w:t>
            </w:r>
          </w:p>
        </w:tc>
        <w:tc>
          <w:tcPr>
            <w:tcW w:w="7117" w:type="dxa"/>
            <w:gridSpan w:val="2"/>
            <w:tcBorders>
              <w:bottom w:val="single" w:color="auto" w:sz="4" w:space="0"/>
            </w:tcBorders>
            <w:vAlign w:val="center"/>
          </w:tcPr>
          <w:p w14:paraId="654026B4">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编列内容</w:t>
            </w:r>
          </w:p>
        </w:tc>
      </w:tr>
      <w:tr w14:paraId="1DFAB1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750" w:hRule="atLeast"/>
          <w:jc w:val="center"/>
        </w:trPr>
        <w:tc>
          <w:tcPr>
            <w:tcW w:w="879" w:type="dxa"/>
            <w:tcBorders>
              <w:top w:val="single" w:color="auto" w:sz="4" w:space="0"/>
              <w:left w:val="single" w:color="auto" w:sz="4" w:space="0"/>
              <w:bottom w:val="single" w:color="auto" w:sz="4" w:space="0"/>
              <w:right w:val="single" w:color="auto" w:sz="4" w:space="0"/>
            </w:tcBorders>
            <w:vAlign w:val="center"/>
          </w:tcPr>
          <w:p w14:paraId="4AE8C559">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sz w:val="24"/>
                <w:szCs w:val="24"/>
              </w:rPr>
              <w:t>2.2.1</w:t>
            </w:r>
          </w:p>
        </w:tc>
        <w:tc>
          <w:tcPr>
            <w:tcW w:w="1470" w:type="dxa"/>
            <w:tcBorders>
              <w:top w:val="single" w:color="auto" w:sz="4" w:space="0"/>
              <w:left w:val="single" w:color="auto" w:sz="4" w:space="0"/>
              <w:bottom w:val="single" w:color="auto" w:sz="4" w:space="0"/>
              <w:right w:val="single" w:color="auto" w:sz="4" w:space="0"/>
            </w:tcBorders>
            <w:vAlign w:val="center"/>
          </w:tcPr>
          <w:p w14:paraId="105BD6BF">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分值构成</w:t>
            </w:r>
          </w:p>
          <w:p w14:paraId="404036E5">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sz w:val="24"/>
                <w:szCs w:val="24"/>
              </w:rPr>
              <w:t>（满分100分）</w:t>
            </w:r>
          </w:p>
        </w:tc>
        <w:tc>
          <w:tcPr>
            <w:tcW w:w="7117" w:type="dxa"/>
            <w:gridSpan w:val="2"/>
            <w:tcBorders>
              <w:top w:val="single" w:color="auto" w:sz="4" w:space="0"/>
              <w:left w:val="single" w:color="auto" w:sz="4" w:space="0"/>
              <w:right w:val="single" w:color="auto" w:sz="4" w:space="0"/>
            </w:tcBorders>
            <w:vAlign w:val="center"/>
          </w:tcPr>
          <w:p w14:paraId="0EA6D217">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潜在供应商的评审总得分＝F1＋F2，其中，</w:t>
            </w:r>
          </w:p>
          <w:p w14:paraId="3EFEC442">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磋商报价满分为</w:t>
            </w:r>
            <w:r>
              <w:rPr>
                <w:rFonts w:hint="eastAsia" w:ascii="宋体" w:hAnsi="宋体" w:eastAsia="宋体" w:cs="宋体"/>
                <w:sz w:val="24"/>
                <w:szCs w:val="24"/>
                <w:lang w:val="en-US" w:eastAsia="zh-CN"/>
              </w:rPr>
              <w:t>30</w:t>
            </w:r>
            <w:r>
              <w:rPr>
                <w:rFonts w:hint="eastAsia" w:ascii="宋体" w:hAnsi="宋体" w:eastAsia="宋体" w:cs="宋体"/>
                <w:sz w:val="24"/>
                <w:szCs w:val="24"/>
              </w:rPr>
              <w:t>分（F1）；技术部分满分为</w:t>
            </w:r>
            <w:r>
              <w:rPr>
                <w:rFonts w:hint="eastAsia" w:ascii="宋体" w:hAnsi="宋体" w:eastAsia="宋体" w:cs="宋体"/>
                <w:sz w:val="24"/>
                <w:szCs w:val="24"/>
                <w:lang w:val="en-US" w:eastAsia="zh-CN"/>
              </w:rPr>
              <w:t>70</w:t>
            </w:r>
            <w:r>
              <w:rPr>
                <w:rFonts w:hint="eastAsia" w:ascii="宋体" w:hAnsi="宋体" w:eastAsia="宋体" w:cs="宋体"/>
                <w:sz w:val="24"/>
                <w:szCs w:val="24"/>
              </w:rPr>
              <w:t>分（F2）。</w:t>
            </w:r>
          </w:p>
        </w:tc>
      </w:tr>
      <w:tr w14:paraId="2D0933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50" w:hRule="atLeast"/>
          <w:jc w:val="center"/>
        </w:trPr>
        <w:tc>
          <w:tcPr>
            <w:tcW w:w="879" w:type="dxa"/>
            <w:vAlign w:val="center"/>
          </w:tcPr>
          <w:p w14:paraId="005B299E">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470" w:type="dxa"/>
            <w:vAlign w:val="center"/>
          </w:tcPr>
          <w:p w14:paraId="14BF983C">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eastAsia" w:ascii="宋体" w:hAnsi="宋体" w:eastAsia="宋体" w:cs="宋体"/>
                <w:b/>
                <w:sz w:val="24"/>
                <w:szCs w:val="24"/>
              </w:rPr>
            </w:pPr>
            <w:r>
              <w:rPr>
                <w:rFonts w:hint="eastAsia" w:ascii="宋体" w:hAnsi="宋体" w:eastAsia="宋体" w:cs="宋体"/>
                <w:b/>
                <w:sz w:val="24"/>
                <w:szCs w:val="24"/>
              </w:rPr>
              <w:t>评审内容</w:t>
            </w:r>
          </w:p>
        </w:tc>
        <w:tc>
          <w:tcPr>
            <w:tcW w:w="7117" w:type="dxa"/>
            <w:gridSpan w:val="2"/>
            <w:vAlign w:val="center"/>
          </w:tcPr>
          <w:p w14:paraId="3DB3DAF5">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b/>
                <w:sz w:val="24"/>
                <w:szCs w:val="24"/>
              </w:rPr>
              <w:t>评分标准</w:t>
            </w:r>
          </w:p>
        </w:tc>
      </w:tr>
      <w:tr w14:paraId="23F5A2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1872" w:hRule="atLeast"/>
          <w:jc w:val="center"/>
        </w:trPr>
        <w:tc>
          <w:tcPr>
            <w:tcW w:w="879" w:type="dxa"/>
            <w:vAlign w:val="center"/>
          </w:tcPr>
          <w:p w14:paraId="3E34F0D7">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sz w:val="24"/>
                <w:szCs w:val="24"/>
              </w:rPr>
              <w:t>2.2.2</w:t>
            </w:r>
          </w:p>
        </w:tc>
        <w:tc>
          <w:tcPr>
            <w:tcW w:w="1470" w:type="dxa"/>
            <w:vAlign w:val="center"/>
          </w:tcPr>
          <w:p w14:paraId="014B5FA9">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leftChars="0" w:right="0" w:firstLine="0" w:firstLineChars="0"/>
              <w:jc w:val="left"/>
              <w:rPr>
                <w:rFonts w:hint="eastAsia" w:ascii="宋体" w:hAnsi="宋体" w:eastAsia="宋体" w:cs="宋体"/>
                <w:sz w:val="24"/>
                <w:szCs w:val="24"/>
              </w:rPr>
            </w:pPr>
            <w:r>
              <w:rPr>
                <w:rFonts w:hint="eastAsia" w:ascii="宋体" w:hAnsi="宋体" w:eastAsia="宋体" w:cs="宋体"/>
                <w:sz w:val="24"/>
                <w:szCs w:val="24"/>
              </w:rPr>
              <w:t>磋商报价（</w:t>
            </w:r>
            <w:r>
              <w:rPr>
                <w:rFonts w:hint="eastAsia" w:ascii="宋体" w:hAnsi="宋体" w:eastAsia="宋体" w:cs="宋体"/>
                <w:sz w:val="24"/>
                <w:szCs w:val="24"/>
                <w:lang w:val="en-US" w:eastAsia="zh-CN"/>
              </w:rPr>
              <w:t>30</w:t>
            </w:r>
            <w:r>
              <w:rPr>
                <w:rFonts w:hint="eastAsia" w:ascii="宋体" w:hAnsi="宋体" w:eastAsia="宋体" w:cs="宋体"/>
                <w:sz w:val="24"/>
                <w:szCs w:val="24"/>
              </w:rPr>
              <w:t>分）</w:t>
            </w:r>
          </w:p>
        </w:tc>
        <w:tc>
          <w:tcPr>
            <w:tcW w:w="7117" w:type="dxa"/>
            <w:gridSpan w:val="2"/>
            <w:vAlign w:val="center"/>
          </w:tcPr>
          <w:p w14:paraId="67EACB66">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rPr>
                <w:rFonts w:hint="eastAsia" w:ascii="宋体" w:hAnsi="宋体" w:eastAsia="宋体" w:cs="宋体"/>
                <w:sz w:val="24"/>
                <w:szCs w:val="24"/>
              </w:rPr>
            </w:pPr>
            <w:r>
              <w:rPr>
                <w:rFonts w:hint="eastAsia" w:ascii="宋体" w:hAnsi="宋体" w:eastAsia="宋体" w:cs="宋体"/>
                <w:sz w:val="24"/>
                <w:szCs w:val="24"/>
              </w:rPr>
              <w:t>满足竞争性磋商文件要求且磋商价格最低的磋商报价为磋商基准价。其价格得分为满分。</w:t>
            </w:r>
            <w:r>
              <w:rPr>
                <w:rFonts w:hint="eastAsia" w:ascii="宋体" w:hAnsi="宋体" w:eastAsia="宋体" w:cs="宋体"/>
                <w:sz w:val="24"/>
                <w:szCs w:val="24"/>
                <w:lang w:eastAsia="zh-CN"/>
              </w:rPr>
              <w:t>其他</w:t>
            </w:r>
            <w:r>
              <w:rPr>
                <w:rFonts w:hint="eastAsia" w:ascii="宋体" w:hAnsi="宋体" w:eastAsia="宋体" w:cs="宋体"/>
                <w:sz w:val="24"/>
                <w:szCs w:val="24"/>
              </w:rPr>
              <w:t>潜在供应商的磋商报价得分=（磋商基准价/最后磋商报价）×</w:t>
            </w:r>
            <w:r>
              <w:rPr>
                <w:rFonts w:hint="eastAsia" w:ascii="宋体" w:hAnsi="宋体" w:eastAsia="宋体" w:cs="宋体"/>
                <w:sz w:val="24"/>
                <w:szCs w:val="24"/>
                <w:lang w:val="en-US" w:eastAsia="zh-CN"/>
              </w:rPr>
              <w:t>30</w:t>
            </w:r>
            <w:r>
              <w:rPr>
                <w:rFonts w:hint="eastAsia" w:ascii="宋体" w:hAnsi="宋体" w:eastAsia="宋体" w:cs="宋体"/>
                <w:sz w:val="24"/>
                <w:szCs w:val="24"/>
              </w:rPr>
              <w:t>。</w:t>
            </w:r>
          </w:p>
        </w:tc>
      </w:tr>
      <w:tr w14:paraId="48E6D5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3" w:type="dxa"/>
            <w:bottom w:w="0" w:type="dxa"/>
            <w:right w:w="23" w:type="dxa"/>
          </w:tblCellMar>
        </w:tblPrEx>
        <w:trPr>
          <w:trHeight w:val="90" w:hRule="atLeast"/>
          <w:jc w:val="center"/>
        </w:trPr>
        <w:tc>
          <w:tcPr>
            <w:tcW w:w="879" w:type="dxa"/>
            <w:vMerge w:val="restart"/>
            <w:vAlign w:val="center"/>
          </w:tcPr>
          <w:p w14:paraId="5A2A8CA6">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eastAsia" w:ascii="宋体" w:hAnsi="宋体" w:eastAsia="宋体" w:cs="宋体"/>
                <w:sz w:val="24"/>
                <w:szCs w:val="24"/>
              </w:rPr>
            </w:pPr>
            <w:r>
              <w:rPr>
                <w:rFonts w:hint="eastAsia" w:ascii="宋体" w:hAnsi="宋体" w:eastAsia="宋体" w:cs="宋体"/>
                <w:sz w:val="24"/>
                <w:szCs w:val="24"/>
              </w:rPr>
              <w:t>2.2.3</w:t>
            </w:r>
          </w:p>
        </w:tc>
        <w:tc>
          <w:tcPr>
            <w:tcW w:w="1470" w:type="dxa"/>
            <w:vMerge w:val="restart"/>
            <w:vAlign w:val="center"/>
          </w:tcPr>
          <w:p w14:paraId="187B5510">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leftChars="0" w:right="0" w:firstLine="0" w:firstLineChars="0"/>
              <w:jc w:val="both"/>
              <w:rPr>
                <w:rFonts w:hint="eastAsia" w:ascii="宋体" w:hAnsi="宋体" w:eastAsia="宋体" w:cs="宋体"/>
                <w:sz w:val="24"/>
                <w:szCs w:val="24"/>
              </w:rPr>
            </w:pPr>
            <w:r>
              <w:rPr>
                <w:rFonts w:hint="eastAsia" w:ascii="宋体" w:hAnsi="宋体" w:eastAsia="宋体" w:cs="宋体"/>
                <w:sz w:val="24"/>
                <w:szCs w:val="24"/>
              </w:rPr>
              <w:t>技术部分（</w:t>
            </w:r>
            <w:r>
              <w:rPr>
                <w:rFonts w:hint="eastAsia" w:ascii="宋体" w:hAnsi="宋体" w:eastAsia="宋体" w:cs="宋体"/>
                <w:sz w:val="24"/>
                <w:szCs w:val="24"/>
                <w:lang w:val="en-US" w:eastAsia="zh-CN"/>
              </w:rPr>
              <w:t>70</w:t>
            </w:r>
            <w:r>
              <w:rPr>
                <w:rFonts w:hint="eastAsia" w:ascii="宋体" w:hAnsi="宋体" w:eastAsia="宋体" w:cs="宋体"/>
                <w:sz w:val="24"/>
                <w:szCs w:val="24"/>
              </w:rPr>
              <w:t>分）</w:t>
            </w:r>
          </w:p>
        </w:tc>
        <w:tc>
          <w:tcPr>
            <w:tcW w:w="1573" w:type="dxa"/>
            <w:vAlign w:val="center"/>
          </w:tcPr>
          <w:p w14:paraId="517EC800">
            <w:pPr>
              <w:keepNext w:val="0"/>
              <w:keepLines w:val="0"/>
              <w:widowControl/>
              <w:suppressLineNumbers w:val="0"/>
              <w:adjustRightInd w:val="0"/>
              <w:snapToGrid w:val="0"/>
              <w:spacing w:before="0" w:beforeAutospacing="0" w:after="0" w:afterAutospacing="0" w:line="400" w:lineRule="exact"/>
              <w:ind w:left="0" w:leftChars="0" w:right="0" w:firstLine="0" w:firstLineChars="0"/>
              <w:jc w:val="both"/>
              <w:textAlignment w:val="center"/>
              <w:rPr>
                <w:rFonts w:hint="eastAsia" w:ascii="宋体" w:hAnsi="宋体" w:eastAsia="宋体" w:cs="宋体"/>
                <w:sz w:val="24"/>
                <w:szCs w:val="24"/>
              </w:rPr>
            </w:pPr>
            <w:r>
              <w:rPr>
                <w:rFonts w:hint="eastAsia" w:ascii="宋体" w:hAnsi="宋体" w:eastAsia="宋体" w:cs="宋体"/>
                <w:sz w:val="24"/>
                <w:szCs w:val="24"/>
              </w:rPr>
              <w:t>企业业绩（</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5544" w:type="dxa"/>
            <w:vAlign w:val="center"/>
          </w:tcPr>
          <w:p w14:paraId="3F8A1FAE">
            <w:pPr>
              <w:keepNext w:val="0"/>
              <w:keepLines w:val="0"/>
              <w:widowControl/>
              <w:suppressLineNumbers w:val="0"/>
              <w:adjustRightInd w:val="0"/>
              <w:snapToGrid w:val="0"/>
              <w:spacing w:before="0" w:beforeAutospacing="0" w:after="0" w:afterAutospacing="0" w:line="400" w:lineRule="exact"/>
              <w:ind w:left="0" w:right="0"/>
              <w:jc w:val="left"/>
              <w:textAlignment w:val="center"/>
              <w:rPr>
                <w:rFonts w:hint="eastAsia" w:ascii="宋体" w:hAnsi="宋体" w:eastAsia="宋体" w:cs="宋体"/>
                <w:sz w:val="24"/>
                <w:szCs w:val="24"/>
              </w:rPr>
            </w:pPr>
            <w:r>
              <w:rPr>
                <w:rFonts w:hint="eastAsia" w:ascii="宋体" w:hAnsi="宋体" w:eastAsia="宋体" w:cs="宋体"/>
                <w:sz w:val="24"/>
                <w:szCs w:val="24"/>
              </w:rPr>
              <w:t>根据潜在供应商提供的企业业绩，进行评分：</w:t>
            </w:r>
          </w:p>
          <w:p w14:paraId="2004F5A8">
            <w:pPr>
              <w:keepNext w:val="0"/>
              <w:keepLines w:val="0"/>
              <w:widowControl/>
              <w:suppressLineNumbers w:val="0"/>
              <w:adjustRightInd w:val="0"/>
              <w:snapToGrid w:val="0"/>
              <w:spacing w:before="0" w:beforeAutospacing="0" w:after="0" w:afterAutospacing="0" w:line="400" w:lineRule="exact"/>
              <w:ind w:left="0" w:right="0"/>
              <w:jc w:val="left"/>
              <w:textAlignment w:val="center"/>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年1月1日以来（以合同签订日期为准）承担过一项类似业绩的得</w:t>
            </w:r>
            <w:r>
              <w:rPr>
                <w:rFonts w:hint="eastAsia" w:ascii="宋体" w:hAnsi="宋体" w:eastAsia="宋体" w:cs="宋体"/>
                <w:sz w:val="24"/>
                <w:szCs w:val="24"/>
                <w:lang w:val="en-US" w:eastAsia="zh-CN"/>
              </w:rPr>
              <w:t>1</w:t>
            </w:r>
            <w:r>
              <w:rPr>
                <w:rFonts w:hint="eastAsia" w:ascii="宋体" w:hAnsi="宋体" w:eastAsia="宋体" w:cs="宋体"/>
                <w:sz w:val="24"/>
                <w:szCs w:val="24"/>
              </w:rPr>
              <w:t>分，每增加一个加</w:t>
            </w:r>
            <w:r>
              <w:rPr>
                <w:rFonts w:hint="eastAsia" w:ascii="宋体" w:hAnsi="宋体" w:eastAsia="宋体" w:cs="宋体"/>
                <w:sz w:val="24"/>
                <w:szCs w:val="24"/>
                <w:lang w:val="en-US" w:eastAsia="zh-CN"/>
              </w:rPr>
              <w:t>1</w:t>
            </w:r>
            <w:r>
              <w:rPr>
                <w:rFonts w:hint="eastAsia" w:ascii="宋体" w:hAnsi="宋体" w:eastAsia="宋体" w:cs="宋体"/>
                <w:sz w:val="24"/>
                <w:szCs w:val="24"/>
              </w:rPr>
              <w:t>分，满分</w:t>
            </w:r>
            <w:r>
              <w:rPr>
                <w:rFonts w:hint="eastAsia" w:ascii="宋体" w:hAnsi="宋体" w:eastAsia="宋体" w:cs="宋体"/>
                <w:sz w:val="24"/>
                <w:szCs w:val="24"/>
                <w:lang w:val="en-US" w:eastAsia="zh-CN"/>
              </w:rPr>
              <w:t>2</w:t>
            </w:r>
            <w:r>
              <w:rPr>
                <w:rFonts w:hint="eastAsia" w:ascii="宋体" w:hAnsi="宋体" w:eastAsia="宋体" w:cs="宋体"/>
                <w:sz w:val="24"/>
                <w:szCs w:val="24"/>
              </w:rPr>
              <w:t>分。未提供不得分。</w:t>
            </w:r>
          </w:p>
          <w:p w14:paraId="058C1F18">
            <w:pPr>
              <w:keepNext w:val="0"/>
              <w:keepLines w:val="0"/>
              <w:widowControl/>
              <w:suppressLineNumbers w:val="0"/>
              <w:adjustRightInd w:val="0"/>
              <w:snapToGrid w:val="0"/>
              <w:spacing w:before="0" w:beforeAutospacing="0" w:after="0" w:afterAutospacing="0" w:line="400" w:lineRule="exact"/>
              <w:ind w:left="0" w:right="0"/>
              <w:jc w:val="left"/>
              <w:textAlignment w:val="center"/>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w:t>
            </w:r>
            <w:r>
              <w:rPr>
                <w:rFonts w:hint="eastAsia" w:ascii="宋体" w:hAnsi="宋体" w:eastAsia="宋体" w:cs="宋体"/>
                <w:sz w:val="24"/>
                <w:szCs w:val="24"/>
              </w:rPr>
              <w:t>提供成交通知书（成交通知书）或合同证明材料。</w:t>
            </w:r>
          </w:p>
        </w:tc>
      </w:tr>
      <w:tr w14:paraId="1EF8B9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3" w:type="dxa"/>
            <w:bottom w:w="0" w:type="dxa"/>
            <w:right w:w="23" w:type="dxa"/>
          </w:tblCellMar>
        </w:tblPrEx>
        <w:trPr>
          <w:trHeight w:val="90" w:hRule="atLeast"/>
          <w:jc w:val="center"/>
        </w:trPr>
        <w:tc>
          <w:tcPr>
            <w:tcW w:w="879" w:type="dxa"/>
            <w:vMerge w:val="continue"/>
            <w:vAlign w:val="center"/>
          </w:tcPr>
          <w:p w14:paraId="51587501">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rPr>
                <w:rFonts w:hint="eastAsia" w:ascii="宋体" w:hAnsi="宋体" w:eastAsia="宋体" w:cs="宋体"/>
                <w:color w:val="auto"/>
                <w:sz w:val="24"/>
                <w:szCs w:val="24"/>
              </w:rPr>
            </w:pPr>
          </w:p>
        </w:tc>
        <w:tc>
          <w:tcPr>
            <w:tcW w:w="1470" w:type="dxa"/>
            <w:vMerge w:val="continue"/>
            <w:vAlign w:val="center"/>
          </w:tcPr>
          <w:p w14:paraId="16CD9BDB">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rPr>
                <w:rFonts w:hint="eastAsia" w:ascii="宋体" w:hAnsi="宋体" w:eastAsia="宋体" w:cs="宋体"/>
                <w:color w:val="auto"/>
                <w:sz w:val="24"/>
                <w:szCs w:val="24"/>
              </w:rPr>
            </w:pPr>
          </w:p>
        </w:tc>
        <w:tc>
          <w:tcPr>
            <w:tcW w:w="1573" w:type="dxa"/>
            <w:vAlign w:val="center"/>
          </w:tcPr>
          <w:p w14:paraId="26AE6987">
            <w:pPr>
              <w:keepNext w:val="0"/>
              <w:keepLines w:val="0"/>
              <w:widowControl/>
              <w:suppressLineNumbers w:val="0"/>
              <w:adjustRightInd w:val="0"/>
              <w:snapToGrid w:val="0"/>
              <w:spacing w:before="0" w:beforeAutospacing="0" w:after="0" w:afterAutospacing="0" w:line="400" w:lineRule="exact"/>
              <w:ind w:left="0" w:leftChars="0" w:right="0" w:firstLine="0" w:firstLineChars="0"/>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服务方案（</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分）</w:t>
            </w:r>
          </w:p>
        </w:tc>
        <w:tc>
          <w:tcPr>
            <w:tcW w:w="5544" w:type="dxa"/>
            <w:vAlign w:val="center"/>
          </w:tcPr>
          <w:p w14:paraId="62E6D638">
            <w:pPr>
              <w:pStyle w:val="58"/>
              <w:keepNext w:val="0"/>
              <w:keepLines w:val="0"/>
              <w:suppressLineNumbers w:val="0"/>
              <w:tabs>
                <w:tab w:val="left" w:pos="421"/>
              </w:tabs>
              <w:adjustRightInd w:val="0"/>
              <w:snapToGrid w:val="0"/>
              <w:spacing w:before="0" w:beforeAutospacing="0" w:after="0" w:afterAutospacing="0" w:line="400" w:lineRule="exact"/>
              <w:ind w:left="0" w:right="-15"/>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根据潜在供应商提供的服务方案（包含但不限于：服务方案、工作特点、重点和难点分析、服务意识，企业文化特色的服务管理模式），进行综合比较评分：</w:t>
            </w:r>
          </w:p>
          <w:p w14:paraId="59ECF6FD">
            <w:pPr>
              <w:keepNext w:val="0"/>
              <w:keepLines w:val="0"/>
              <w:widowControl/>
              <w:suppressLineNumbers w:val="0"/>
              <w:adjustRightInd w:val="0"/>
              <w:snapToGrid w:val="0"/>
              <w:spacing w:before="0" w:beforeAutospacing="0" w:after="0" w:afterAutospacing="0" w:line="400" w:lineRule="exact"/>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第一个档次（</w:t>
            </w:r>
            <w:r>
              <w:rPr>
                <w:rFonts w:hint="eastAsia" w:ascii="宋体" w:hAnsi="宋体" w:eastAsia="宋体" w:cs="宋体"/>
                <w:color w:val="auto"/>
                <w:sz w:val="24"/>
                <w:szCs w:val="24"/>
                <w:lang w:val="en-US" w:eastAsia="zh-CN"/>
              </w:rPr>
              <w:t>11—15</w:t>
            </w:r>
            <w:r>
              <w:rPr>
                <w:rFonts w:hint="eastAsia" w:ascii="宋体" w:hAnsi="宋体" w:eastAsia="宋体" w:cs="宋体"/>
                <w:color w:val="auto"/>
                <w:sz w:val="24"/>
                <w:szCs w:val="24"/>
              </w:rPr>
              <w:t>分）：服务方案符合本项目工作的特点，有相关重点和难点分析，内容全面具体、科学合理、条理清晰，具有较强的服务意识、保障措施完善且能提供具有企业文化特色的服务管理模式；</w:t>
            </w:r>
          </w:p>
          <w:p w14:paraId="698D6817">
            <w:pPr>
              <w:keepNext w:val="0"/>
              <w:keepLines w:val="0"/>
              <w:widowControl/>
              <w:suppressLineNumbers w:val="0"/>
              <w:adjustRightInd w:val="0"/>
              <w:snapToGrid w:val="0"/>
              <w:spacing w:before="0" w:beforeAutospacing="0" w:after="0" w:afterAutospacing="0" w:line="400" w:lineRule="exact"/>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第二个档次（</w:t>
            </w:r>
            <w:r>
              <w:rPr>
                <w:rFonts w:hint="eastAsia" w:ascii="宋体" w:hAnsi="宋体" w:eastAsia="宋体" w:cs="宋体"/>
                <w:color w:val="auto"/>
                <w:sz w:val="24"/>
                <w:szCs w:val="24"/>
                <w:lang w:val="en-US" w:eastAsia="zh-CN"/>
              </w:rPr>
              <w:t>6—10</w:t>
            </w:r>
            <w:r>
              <w:rPr>
                <w:rFonts w:hint="eastAsia" w:ascii="宋体" w:hAnsi="宋体" w:eastAsia="宋体" w:cs="宋体"/>
                <w:color w:val="auto"/>
                <w:sz w:val="24"/>
                <w:szCs w:val="24"/>
              </w:rPr>
              <w:t>分）：服务方案基本符合本项目工作的特点，内容基本全面、合理、条理清晰，服务意识、保障措施一般，企业文化特色的服务管理模式一般；</w:t>
            </w:r>
          </w:p>
          <w:p w14:paraId="72DFECD0">
            <w:pPr>
              <w:keepNext w:val="0"/>
              <w:keepLines w:val="0"/>
              <w:widowControl/>
              <w:suppressLineNumbers w:val="0"/>
              <w:adjustRightInd w:val="0"/>
              <w:snapToGrid w:val="0"/>
              <w:spacing w:before="0" w:beforeAutospacing="0" w:after="0" w:afterAutospacing="0" w:line="400" w:lineRule="exact"/>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第三个档次（</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分）：服务方案不符合本项目工作的特点，内容不全面或不完善，服务意识、保障措施欠缺；</w:t>
            </w:r>
          </w:p>
          <w:p w14:paraId="32BCA401">
            <w:pPr>
              <w:keepNext w:val="0"/>
              <w:keepLines w:val="0"/>
              <w:widowControl/>
              <w:suppressLineNumbers w:val="0"/>
              <w:adjustRightInd w:val="0"/>
              <w:snapToGrid w:val="0"/>
              <w:spacing w:before="0" w:beforeAutospacing="0" w:after="0" w:afterAutospacing="0" w:line="400" w:lineRule="exact"/>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第四个档次（0分）：未提供服务方案不得分。</w:t>
            </w:r>
          </w:p>
        </w:tc>
      </w:tr>
      <w:tr w14:paraId="4F795D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3" w:type="dxa"/>
            <w:bottom w:w="0" w:type="dxa"/>
            <w:right w:w="23" w:type="dxa"/>
          </w:tblCellMar>
        </w:tblPrEx>
        <w:trPr>
          <w:trHeight w:val="1954" w:hRule="atLeast"/>
          <w:jc w:val="center"/>
        </w:trPr>
        <w:tc>
          <w:tcPr>
            <w:tcW w:w="879" w:type="dxa"/>
            <w:vMerge w:val="continue"/>
            <w:vAlign w:val="center"/>
          </w:tcPr>
          <w:p w14:paraId="73487C6B">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firstLine="480"/>
              <w:jc w:val="center"/>
              <w:rPr>
                <w:rFonts w:hint="eastAsia" w:ascii="宋体" w:hAnsi="宋体" w:eastAsia="宋体" w:cs="宋体"/>
                <w:color w:val="auto"/>
                <w:sz w:val="24"/>
                <w:szCs w:val="24"/>
              </w:rPr>
            </w:pPr>
          </w:p>
        </w:tc>
        <w:tc>
          <w:tcPr>
            <w:tcW w:w="1470" w:type="dxa"/>
            <w:vMerge w:val="continue"/>
            <w:vAlign w:val="center"/>
          </w:tcPr>
          <w:p w14:paraId="2B7E66D6">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firstLine="480"/>
              <w:jc w:val="center"/>
              <w:rPr>
                <w:rFonts w:hint="eastAsia" w:ascii="宋体" w:hAnsi="宋体" w:eastAsia="宋体" w:cs="宋体"/>
                <w:color w:val="auto"/>
                <w:sz w:val="24"/>
                <w:szCs w:val="24"/>
              </w:rPr>
            </w:pPr>
          </w:p>
        </w:tc>
        <w:tc>
          <w:tcPr>
            <w:tcW w:w="1573" w:type="dxa"/>
            <w:vAlign w:val="center"/>
          </w:tcPr>
          <w:p w14:paraId="05B7F853">
            <w:pPr>
              <w:pStyle w:val="58"/>
              <w:keepNext w:val="0"/>
              <w:keepLines w:val="0"/>
              <w:suppressLineNumbers w:val="0"/>
              <w:tabs>
                <w:tab w:val="left" w:pos="421"/>
              </w:tabs>
              <w:spacing w:before="0" w:beforeAutospacing="0" w:after="0" w:afterAutospacing="0" w:line="364" w:lineRule="auto"/>
              <w:ind w:left="0" w:leftChars="0" w:right="-15"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rPr>
              <w:t>服务质量保障方案及安全保障措施（</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分）</w:t>
            </w:r>
          </w:p>
        </w:tc>
        <w:tc>
          <w:tcPr>
            <w:tcW w:w="5544" w:type="dxa"/>
          </w:tcPr>
          <w:p w14:paraId="4A307872">
            <w:pPr>
              <w:pStyle w:val="58"/>
              <w:keepNext w:val="0"/>
              <w:keepLines w:val="0"/>
              <w:suppressLineNumbers w:val="0"/>
              <w:tabs>
                <w:tab w:val="left" w:pos="421"/>
              </w:tabs>
              <w:adjustRightInd w:val="0"/>
              <w:snapToGrid w:val="0"/>
              <w:spacing w:before="0" w:beforeAutospacing="0" w:after="0" w:afterAutospacing="0" w:line="400" w:lineRule="exact"/>
              <w:ind w:left="0" w:right="-15"/>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根据潜在供应商提供的服务质量保障方案及安全保障措施，进行综合比较评分：</w:t>
            </w:r>
          </w:p>
          <w:p w14:paraId="48FB366F">
            <w:pPr>
              <w:keepNext w:val="0"/>
              <w:keepLines w:val="0"/>
              <w:widowControl/>
              <w:suppressLineNumbers w:val="0"/>
              <w:adjustRightInd w:val="0"/>
              <w:snapToGrid w:val="0"/>
              <w:spacing w:before="0" w:beforeAutospacing="0" w:after="0" w:afterAutospacing="0" w:line="400" w:lineRule="exact"/>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第一个档次（</w:t>
            </w:r>
            <w:r>
              <w:rPr>
                <w:rFonts w:hint="eastAsia" w:ascii="宋体" w:hAnsi="宋体" w:eastAsia="宋体" w:cs="宋体"/>
                <w:color w:val="auto"/>
                <w:sz w:val="24"/>
                <w:szCs w:val="24"/>
                <w:lang w:val="en-US" w:eastAsia="zh-CN"/>
              </w:rPr>
              <w:t>11—15</w:t>
            </w:r>
            <w:r>
              <w:rPr>
                <w:rFonts w:hint="eastAsia" w:ascii="宋体" w:hAnsi="宋体" w:eastAsia="宋体" w:cs="宋体"/>
                <w:color w:val="auto"/>
                <w:sz w:val="24"/>
                <w:szCs w:val="24"/>
              </w:rPr>
              <w:t>分）：潜在供应商针对本项目提出的服务承诺及安全保障措施等完整、全面、具体、详细，可行性强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违约处罚措施完善具体、力度强； </w:t>
            </w:r>
          </w:p>
          <w:p w14:paraId="08978224">
            <w:pPr>
              <w:keepNext w:val="0"/>
              <w:keepLines w:val="0"/>
              <w:widowControl/>
              <w:suppressLineNumbers w:val="0"/>
              <w:adjustRightInd w:val="0"/>
              <w:snapToGrid w:val="0"/>
              <w:spacing w:before="0" w:beforeAutospacing="0" w:after="0" w:afterAutospacing="0" w:line="400" w:lineRule="exact"/>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第二个档次（</w:t>
            </w:r>
            <w:r>
              <w:rPr>
                <w:rFonts w:hint="eastAsia" w:ascii="宋体" w:hAnsi="宋体" w:eastAsia="宋体" w:cs="宋体"/>
                <w:color w:val="auto"/>
                <w:sz w:val="24"/>
                <w:szCs w:val="24"/>
                <w:lang w:val="en-US" w:eastAsia="zh-CN"/>
              </w:rPr>
              <w:t>6—10</w:t>
            </w:r>
            <w:r>
              <w:rPr>
                <w:rFonts w:hint="eastAsia" w:ascii="宋体" w:hAnsi="宋体" w:eastAsia="宋体" w:cs="宋体"/>
                <w:color w:val="auto"/>
                <w:sz w:val="24"/>
                <w:szCs w:val="24"/>
              </w:rPr>
              <w:t>分）：潜在供应商针对本项目提出的服务承诺及安全保障措施等基本完整，可行性一般，违约处罚措施基本完善、力度一般；</w:t>
            </w:r>
          </w:p>
          <w:p w14:paraId="3D7BD47F">
            <w:pPr>
              <w:keepNext w:val="0"/>
              <w:keepLines w:val="0"/>
              <w:widowControl/>
              <w:suppressLineNumbers w:val="0"/>
              <w:adjustRightInd w:val="0"/>
              <w:snapToGrid w:val="0"/>
              <w:spacing w:before="0" w:beforeAutospacing="0" w:after="0" w:afterAutospacing="0" w:line="400" w:lineRule="exact"/>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第三个档次（</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分）：潜在供应商针对本项目提出的服务承诺及安全保障措施等不完整或缺漏过多，无可行性，违约处罚措施不完善、力度弱；</w:t>
            </w:r>
          </w:p>
          <w:p w14:paraId="0DBCBA87">
            <w:pPr>
              <w:keepNext w:val="0"/>
              <w:keepLines w:val="0"/>
              <w:widowControl/>
              <w:suppressLineNumbers w:val="0"/>
              <w:adjustRightInd w:val="0"/>
              <w:snapToGrid w:val="0"/>
              <w:spacing w:before="0" w:beforeAutospacing="0" w:after="0" w:afterAutospacing="0" w:line="400" w:lineRule="exact"/>
              <w:ind w:left="0" w:leftChars="0" w:right="0" w:firstLine="480" w:firstLineChars="20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个档次（0分）：未提供质量保障方案及安全保障措施不得分。</w:t>
            </w:r>
          </w:p>
        </w:tc>
      </w:tr>
      <w:tr w14:paraId="3471B7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3" w:type="dxa"/>
            <w:bottom w:w="0" w:type="dxa"/>
            <w:right w:w="23" w:type="dxa"/>
          </w:tblCellMar>
        </w:tblPrEx>
        <w:trPr>
          <w:trHeight w:val="6399" w:hRule="exact"/>
          <w:jc w:val="center"/>
        </w:trPr>
        <w:tc>
          <w:tcPr>
            <w:tcW w:w="879" w:type="dxa"/>
            <w:vMerge w:val="continue"/>
            <w:vAlign w:val="center"/>
          </w:tcPr>
          <w:p w14:paraId="29C487CE">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eastAsia" w:ascii="宋体" w:hAnsi="宋体" w:eastAsia="宋体" w:cs="宋体"/>
                <w:color w:val="auto"/>
                <w:sz w:val="24"/>
                <w:szCs w:val="24"/>
              </w:rPr>
            </w:pPr>
          </w:p>
        </w:tc>
        <w:tc>
          <w:tcPr>
            <w:tcW w:w="1470" w:type="dxa"/>
            <w:vMerge w:val="continue"/>
            <w:vAlign w:val="center"/>
          </w:tcPr>
          <w:p w14:paraId="07A9093A">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eastAsia" w:ascii="宋体" w:hAnsi="宋体" w:eastAsia="宋体" w:cs="宋体"/>
                <w:color w:val="auto"/>
                <w:sz w:val="24"/>
                <w:szCs w:val="24"/>
              </w:rPr>
            </w:pPr>
          </w:p>
        </w:tc>
        <w:tc>
          <w:tcPr>
            <w:tcW w:w="1573" w:type="dxa"/>
            <w:vAlign w:val="center"/>
          </w:tcPr>
          <w:p w14:paraId="788F5075">
            <w:pPr>
              <w:keepNext w:val="0"/>
              <w:keepLines w:val="0"/>
              <w:widowControl/>
              <w:suppressLineNumbers w:val="0"/>
              <w:adjustRightInd w:val="0"/>
              <w:snapToGrid w:val="0"/>
              <w:spacing w:before="0" w:beforeAutospacing="0" w:after="0" w:afterAutospacing="0" w:line="400" w:lineRule="exact"/>
              <w:ind w:left="0" w:leftChars="0" w:right="0" w:firstLine="0" w:firstLineChars="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人员配备、培训管理（</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分）</w:t>
            </w:r>
          </w:p>
        </w:tc>
        <w:tc>
          <w:tcPr>
            <w:tcW w:w="5544" w:type="dxa"/>
          </w:tcPr>
          <w:p w14:paraId="0021878F">
            <w:pPr>
              <w:pStyle w:val="58"/>
              <w:keepNext w:val="0"/>
              <w:keepLines w:val="0"/>
              <w:suppressLineNumbers w:val="0"/>
              <w:tabs>
                <w:tab w:val="left" w:pos="421"/>
              </w:tabs>
              <w:adjustRightInd w:val="0"/>
              <w:snapToGrid w:val="0"/>
              <w:spacing w:before="0" w:beforeAutospacing="0" w:after="0" w:afterAutospacing="0" w:line="400" w:lineRule="exact"/>
              <w:ind w:left="0" w:right="-15"/>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根据潜在供应商提供的人员配备、培训管理（包含但不限于：人员数量、工作服，服务人员的培训方案、考核标准），进行综合比较评分：</w:t>
            </w:r>
          </w:p>
          <w:p w14:paraId="5708A12E">
            <w:pPr>
              <w:pStyle w:val="58"/>
              <w:keepNext w:val="0"/>
              <w:keepLines w:val="0"/>
              <w:suppressLineNumbers w:val="0"/>
              <w:tabs>
                <w:tab w:val="left" w:pos="421"/>
              </w:tabs>
              <w:adjustRightInd w:val="0"/>
              <w:snapToGrid w:val="0"/>
              <w:spacing w:before="0" w:beforeAutospacing="0" w:after="0" w:afterAutospacing="0" w:line="400" w:lineRule="exact"/>
              <w:ind w:left="0" w:right="-15"/>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第一个档次（</w:t>
            </w:r>
            <w:r>
              <w:rPr>
                <w:rFonts w:hint="eastAsia" w:ascii="宋体" w:hAnsi="宋体" w:eastAsia="宋体" w:cs="宋体"/>
                <w:color w:val="auto"/>
                <w:sz w:val="24"/>
                <w:szCs w:val="24"/>
                <w:lang w:val="en-US" w:eastAsia="zh-CN"/>
              </w:rPr>
              <w:t>11—15</w:t>
            </w:r>
            <w:r>
              <w:rPr>
                <w:rFonts w:hint="eastAsia" w:ascii="宋体" w:hAnsi="宋体" w:eastAsia="宋体" w:cs="宋体"/>
                <w:color w:val="auto"/>
                <w:sz w:val="24"/>
                <w:szCs w:val="24"/>
              </w:rPr>
              <w:t>分）：拟派本项目人员数量能完全满足日常工作需要，相关人员具有丰富的服务经验，对人员职责划分清晰，有明确且可行的工作计划安排。服务人员的培训方案完整、全面、具体、详细，考核标准可行性强；</w:t>
            </w:r>
          </w:p>
          <w:p w14:paraId="1CBF0AB5">
            <w:pPr>
              <w:pStyle w:val="58"/>
              <w:keepNext w:val="0"/>
              <w:keepLines w:val="0"/>
              <w:suppressLineNumbers w:val="0"/>
              <w:tabs>
                <w:tab w:val="left" w:pos="421"/>
              </w:tabs>
              <w:adjustRightInd w:val="0"/>
              <w:snapToGrid w:val="0"/>
              <w:spacing w:before="0" w:beforeAutospacing="0" w:after="0" w:afterAutospacing="0" w:line="400" w:lineRule="exact"/>
              <w:ind w:left="0" w:right="-15"/>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第二个档次（</w:t>
            </w:r>
            <w:r>
              <w:rPr>
                <w:rFonts w:hint="eastAsia" w:ascii="宋体" w:hAnsi="宋体" w:eastAsia="宋体" w:cs="宋体"/>
                <w:color w:val="auto"/>
                <w:sz w:val="24"/>
                <w:szCs w:val="24"/>
                <w:lang w:val="en-US" w:eastAsia="zh-CN"/>
              </w:rPr>
              <w:t>6—10</w:t>
            </w:r>
            <w:r>
              <w:rPr>
                <w:rFonts w:hint="eastAsia" w:ascii="宋体" w:hAnsi="宋体" w:eastAsia="宋体" w:cs="宋体"/>
                <w:color w:val="auto"/>
                <w:sz w:val="24"/>
                <w:szCs w:val="24"/>
              </w:rPr>
              <w:t>分）：拟派本项目人员数量基本满足日常工作需要，相关人员具有一定的服务经验，对人员职责划分较为清晰，有基本可行的工作计划安排。服务人员的培训方案比较全面、具体，考核标准可行性一般；</w:t>
            </w:r>
          </w:p>
          <w:p w14:paraId="524A5EC9">
            <w:pPr>
              <w:pStyle w:val="58"/>
              <w:keepNext w:val="0"/>
              <w:keepLines w:val="0"/>
              <w:suppressLineNumbers w:val="0"/>
              <w:tabs>
                <w:tab w:val="left" w:pos="421"/>
              </w:tabs>
              <w:adjustRightInd w:val="0"/>
              <w:snapToGrid w:val="0"/>
              <w:spacing w:before="0" w:beforeAutospacing="0" w:after="0" w:afterAutospacing="0" w:line="400" w:lineRule="exact"/>
              <w:ind w:left="0" w:right="-15"/>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第三个档次（</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分）：拟派本项目人员数量无法满足日常工作需要，相关人员无服务经验，对人员职责划分不清晰，工作计划安排不严谨或存在严重缺漏。服务人员的培训方案不全面，考核标准不具备可行性；</w:t>
            </w:r>
          </w:p>
          <w:p w14:paraId="170A787E">
            <w:pPr>
              <w:pStyle w:val="58"/>
              <w:keepNext w:val="0"/>
              <w:keepLines w:val="0"/>
              <w:suppressLineNumbers w:val="0"/>
              <w:tabs>
                <w:tab w:val="left" w:pos="421"/>
              </w:tabs>
              <w:adjustRightInd w:val="0"/>
              <w:snapToGrid w:val="0"/>
              <w:spacing w:before="0" w:beforeAutospacing="0" w:after="0" w:afterAutospacing="0" w:line="400" w:lineRule="exact"/>
              <w:ind w:left="0" w:right="-15"/>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第四个档次（0分）：未提供人员配备、培训管理不得分。</w:t>
            </w:r>
          </w:p>
        </w:tc>
      </w:tr>
      <w:tr w14:paraId="687B4A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3" w:type="dxa"/>
            <w:bottom w:w="0" w:type="dxa"/>
            <w:right w:w="23" w:type="dxa"/>
          </w:tblCellMar>
        </w:tblPrEx>
        <w:trPr>
          <w:trHeight w:val="5667" w:hRule="exact"/>
          <w:jc w:val="center"/>
        </w:trPr>
        <w:tc>
          <w:tcPr>
            <w:tcW w:w="879" w:type="dxa"/>
            <w:vMerge w:val="continue"/>
            <w:vAlign w:val="center"/>
          </w:tcPr>
          <w:p w14:paraId="2BF057C3">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eastAsia" w:ascii="宋体" w:hAnsi="宋体" w:eastAsia="宋体" w:cs="宋体"/>
                <w:color w:val="auto"/>
                <w:sz w:val="24"/>
                <w:szCs w:val="24"/>
              </w:rPr>
            </w:pPr>
          </w:p>
        </w:tc>
        <w:tc>
          <w:tcPr>
            <w:tcW w:w="1470" w:type="dxa"/>
            <w:vMerge w:val="continue"/>
            <w:vAlign w:val="center"/>
          </w:tcPr>
          <w:p w14:paraId="4BFE902C">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eastAsia" w:ascii="宋体" w:hAnsi="宋体" w:eastAsia="宋体" w:cs="宋体"/>
                <w:color w:val="auto"/>
                <w:sz w:val="24"/>
                <w:szCs w:val="24"/>
              </w:rPr>
            </w:pPr>
          </w:p>
        </w:tc>
        <w:tc>
          <w:tcPr>
            <w:tcW w:w="1573" w:type="dxa"/>
            <w:tcBorders>
              <w:bottom w:val="single" w:color="auto" w:sz="4" w:space="0"/>
            </w:tcBorders>
            <w:vAlign w:val="center"/>
          </w:tcPr>
          <w:p w14:paraId="413EF6A2">
            <w:pPr>
              <w:keepNext w:val="0"/>
              <w:keepLines w:val="0"/>
              <w:widowControl/>
              <w:suppressLineNumbers w:val="0"/>
              <w:adjustRightInd w:val="0"/>
              <w:snapToGrid w:val="0"/>
              <w:spacing w:before="0" w:beforeAutospacing="0" w:after="0" w:afterAutospacing="0" w:line="400" w:lineRule="exact"/>
              <w:ind w:left="0" w:leftChars="0" w:right="0" w:firstLine="0" w:firstLineChars="0"/>
              <w:jc w:val="both"/>
              <w:textAlignment w:val="center"/>
              <w:rPr>
                <w:rFonts w:hint="eastAsia" w:ascii="宋体" w:hAnsi="宋体" w:eastAsia="宋体" w:cs="宋体"/>
                <w:bCs w:val="0"/>
                <w:color w:val="auto"/>
                <w:sz w:val="24"/>
                <w:szCs w:val="24"/>
              </w:rPr>
            </w:pPr>
            <w:r>
              <w:rPr>
                <w:rFonts w:hint="eastAsia" w:ascii="宋体" w:hAnsi="宋体" w:eastAsia="宋体" w:cs="宋体"/>
                <w:color w:val="auto"/>
                <w:sz w:val="24"/>
                <w:szCs w:val="24"/>
              </w:rPr>
              <w:t>应急方案</w:t>
            </w:r>
            <w:r>
              <w:rPr>
                <w:rFonts w:hint="eastAsia" w:ascii="宋体" w:hAnsi="宋体" w:eastAsia="宋体" w:cs="宋体"/>
                <w:bCs w:val="0"/>
                <w:color w:val="auto"/>
                <w:sz w:val="24"/>
                <w:szCs w:val="24"/>
              </w:rPr>
              <w:t>（</w:t>
            </w:r>
            <w:r>
              <w:rPr>
                <w:rFonts w:hint="eastAsia" w:ascii="宋体" w:hAnsi="宋体" w:eastAsia="宋体" w:cs="宋体"/>
                <w:bCs w:val="0"/>
                <w:color w:val="auto"/>
                <w:sz w:val="24"/>
                <w:szCs w:val="24"/>
                <w:lang w:val="en-US" w:eastAsia="zh-CN"/>
              </w:rPr>
              <w:t>10</w:t>
            </w:r>
            <w:r>
              <w:rPr>
                <w:rFonts w:hint="eastAsia" w:ascii="宋体" w:hAnsi="宋体" w:eastAsia="宋体" w:cs="宋体"/>
                <w:bCs w:val="0"/>
                <w:color w:val="auto"/>
                <w:sz w:val="24"/>
                <w:szCs w:val="24"/>
              </w:rPr>
              <w:t>分）</w:t>
            </w:r>
          </w:p>
        </w:tc>
        <w:tc>
          <w:tcPr>
            <w:tcW w:w="5544" w:type="dxa"/>
            <w:tcBorders>
              <w:bottom w:val="single" w:color="auto" w:sz="4" w:space="0"/>
            </w:tcBorders>
            <w:vAlign w:val="center"/>
          </w:tcPr>
          <w:p w14:paraId="3AB65B33">
            <w:pPr>
              <w:pStyle w:val="58"/>
              <w:keepNext w:val="0"/>
              <w:keepLines w:val="0"/>
              <w:suppressLineNumbers w:val="0"/>
              <w:tabs>
                <w:tab w:val="left" w:pos="421"/>
              </w:tabs>
              <w:adjustRightInd w:val="0"/>
              <w:snapToGrid w:val="0"/>
              <w:spacing w:before="0" w:beforeAutospacing="0" w:after="0" w:afterAutospacing="0" w:line="400" w:lineRule="exact"/>
              <w:ind w:left="0" w:right="-15"/>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根据潜在供应商提供的应急方案（包含但不限于：应急保障制度体系的建设、突发情况应急措施、因服务过程中引发的安全事故应急措施、应急人员和责任、应急处理时间），进行综合比较评分：</w:t>
            </w:r>
          </w:p>
          <w:p w14:paraId="3DE573F6">
            <w:pPr>
              <w:pStyle w:val="58"/>
              <w:keepNext w:val="0"/>
              <w:keepLines w:val="0"/>
              <w:suppressLineNumbers w:val="0"/>
              <w:tabs>
                <w:tab w:val="left" w:pos="421"/>
              </w:tabs>
              <w:adjustRightInd w:val="0"/>
              <w:snapToGrid w:val="0"/>
              <w:spacing w:before="0" w:beforeAutospacing="0" w:after="0" w:afterAutospacing="0" w:line="400" w:lineRule="exact"/>
              <w:ind w:left="0" w:right="-15"/>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第一个档次（</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 xml:space="preserve">10分）：潜在供应商制定的应急方案内容完整齐全、实施有力、有针对性，人员调配、责任分工保障措施具体、可行，有具体的违约处罚措施及违约责任承诺； </w:t>
            </w:r>
          </w:p>
          <w:p w14:paraId="14AA712A">
            <w:pPr>
              <w:pStyle w:val="58"/>
              <w:keepNext w:val="0"/>
              <w:keepLines w:val="0"/>
              <w:suppressLineNumbers w:val="0"/>
              <w:tabs>
                <w:tab w:val="left" w:pos="421"/>
              </w:tabs>
              <w:adjustRightInd w:val="0"/>
              <w:snapToGrid w:val="0"/>
              <w:spacing w:before="0" w:beforeAutospacing="0" w:after="0" w:afterAutospacing="0" w:line="400" w:lineRule="exact"/>
              <w:ind w:left="0" w:right="-15"/>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第二个档次（</w:t>
            </w:r>
            <w:r>
              <w:rPr>
                <w:rFonts w:hint="eastAsia" w:ascii="宋体" w:hAnsi="宋体" w:eastAsia="宋体" w:cs="宋体"/>
                <w:color w:val="auto"/>
                <w:sz w:val="24"/>
                <w:szCs w:val="24"/>
                <w:lang w:val="en-US" w:eastAsia="zh-CN"/>
              </w:rPr>
              <w:t>3—6</w:t>
            </w:r>
            <w:r>
              <w:rPr>
                <w:rFonts w:hint="eastAsia" w:ascii="宋体" w:hAnsi="宋体" w:eastAsia="宋体" w:cs="宋体"/>
                <w:color w:val="auto"/>
                <w:sz w:val="24"/>
                <w:szCs w:val="24"/>
              </w:rPr>
              <w:t>分）：潜在供应商制定的应急方案内容基本齐全、针对性一般，人员调配、责任分工保障措施基本可行，违约处罚措施及违约责任承诺可执行性一般；</w:t>
            </w:r>
          </w:p>
          <w:p w14:paraId="692FADB0">
            <w:pPr>
              <w:pStyle w:val="58"/>
              <w:keepNext w:val="0"/>
              <w:keepLines w:val="0"/>
              <w:suppressLineNumbers w:val="0"/>
              <w:tabs>
                <w:tab w:val="left" w:pos="421"/>
              </w:tabs>
              <w:adjustRightInd w:val="0"/>
              <w:snapToGrid w:val="0"/>
              <w:spacing w:before="0" w:beforeAutospacing="0" w:after="0" w:afterAutospacing="0" w:line="400" w:lineRule="exact"/>
              <w:ind w:left="0" w:right="-15"/>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第三个档次（</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分）：潜在供应商制定的应急方案内容存在缺漏或明显不符合项目实施，人员调配、责任分工保障措施不可行，违约处罚措施及违约责任承诺不可行；</w:t>
            </w:r>
          </w:p>
          <w:p w14:paraId="508CDA0C">
            <w:pPr>
              <w:pStyle w:val="58"/>
              <w:keepNext w:val="0"/>
              <w:keepLines w:val="0"/>
              <w:suppressLineNumbers w:val="0"/>
              <w:tabs>
                <w:tab w:val="left" w:pos="421"/>
              </w:tabs>
              <w:adjustRightInd w:val="0"/>
              <w:snapToGrid w:val="0"/>
              <w:spacing w:before="0" w:beforeAutospacing="0" w:after="0" w:afterAutospacing="0" w:line="400" w:lineRule="exact"/>
              <w:ind w:left="0" w:right="-15"/>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第四个档次（0分）：未提供项目应急方案不得分。</w:t>
            </w:r>
          </w:p>
        </w:tc>
      </w:tr>
      <w:tr w14:paraId="0B4EFB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3" w:type="dxa"/>
            <w:bottom w:w="0" w:type="dxa"/>
            <w:right w:w="23" w:type="dxa"/>
          </w:tblCellMar>
        </w:tblPrEx>
        <w:trPr>
          <w:trHeight w:val="4840" w:hRule="exact"/>
          <w:jc w:val="center"/>
        </w:trPr>
        <w:tc>
          <w:tcPr>
            <w:tcW w:w="879" w:type="dxa"/>
            <w:vMerge w:val="continue"/>
            <w:vAlign w:val="center"/>
          </w:tcPr>
          <w:p w14:paraId="6FD42AFF">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eastAsia" w:ascii="宋体" w:hAnsi="宋体" w:eastAsia="宋体" w:cs="宋体"/>
                <w:color w:val="auto"/>
                <w:sz w:val="24"/>
                <w:szCs w:val="24"/>
              </w:rPr>
            </w:pPr>
          </w:p>
        </w:tc>
        <w:tc>
          <w:tcPr>
            <w:tcW w:w="1470" w:type="dxa"/>
            <w:vMerge w:val="continue"/>
            <w:vAlign w:val="center"/>
          </w:tcPr>
          <w:p w14:paraId="4280E974">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eastAsia" w:ascii="宋体" w:hAnsi="宋体" w:eastAsia="宋体" w:cs="宋体"/>
                <w:color w:val="auto"/>
                <w:sz w:val="24"/>
                <w:szCs w:val="24"/>
              </w:rPr>
            </w:pPr>
          </w:p>
        </w:tc>
        <w:tc>
          <w:tcPr>
            <w:tcW w:w="1573" w:type="dxa"/>
            <w:tcBorders>
              <w:top w:val="single" w:color="auto" w:sz="4" w:space="0"/>
              <w:bottom w:val="single" w:color="auto" w:sz="4" w:space="0"/>
            </w:tcBorders>
            <w:vAlign w:val="center"/>
          </w:tcPr>
          <w:p w14:paraId="7B08084A">
            <w:pPr>
              <w:keepNext w:val="0"/>
              <w:keepLines w:val="0"/>
              <w:widowControl/>
              <w:suppressLineNumbers w:val="0"/>
              <w:adjustRightInd w:val="0"/>
              <w:snapToGrid w:val="0"/>
              <w:spacing w:before="0" w:beforeAutospacing="0" w:after="0" w:afterAutospacing="0" w:line="400" w:lineRule="exact"/>
              <w:ind w:left="0" w:leftChars="0" w:right="0" w:firstLine="0" w:firstLineChars="0"/>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合同履行期限保证措施（</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分）</w:t>
            </w:r>
          </w:p>
        </w:tc>
        <w:tc>
          <w:tcPr>
            <w:tcW w:w="5544" w:type="dxa"/>
            <w:tcBorders>
              <w:top w:val="single" w:color="auto" w:sz="4" w:space="0"/>
              <w:bottom w:val="single" w:color="auto" w:sz="4" w:space="0"/>
            </w:tcBorders>
            <w:vAlign w:val="center"/>
          </w:tcPr>
          <w:p w14:paraId="3DAFFDEA">
            <w:pPr>
              <w:keepNext w:val="0"/>
              <w:keepLines w:val="0"/>
              <w:widowControl/>
              <w:suppressLineNumbers w:val="0"/>
              <w:tabs>
                <w:tab w:val="left" w:pos="312"/>
              </w:tabs>
              <w:adjustRightInd w:val="0"/>
              <w:snapToGrid w:val="0"/>
              <w:spacing w:before="0" w:beforeAutospacing="0" w:after="0" w:afterAutospacing="0" w:line="400" w:lineRule="exact"/>
              <w:ind w:left="0" w:right="0"/>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根据潜在供应商提供的合同履行期限保证措施，进行综合比较评分：</w:t>
            </w:r>
          </w:p>
          <w:p w14:paraId="04D3D982">
            <w:pPr>
              <w:keepNext w:val="0"/>
              <w:keepLines w:val="0"/>
              <w:widowControl/>
              <w:suppressLineNumbers w:val="0"/>
              <w:tabs>
                <w:tab w:val="left" w:pos="312"/>
              </w:tabs>
              <w:adjustRightInd w:val="0"/>
              <w:snapToGrid w:val="0"/>
              <w:spacing w:before="0" w:beforeAutospacing="0" w:after="0" w:afterAutospacing="0" w:line="400" w:lineRule="exact"/>
              <w:ind w:left="0" w:right="0"/>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第一个档次（</w:t>
            </w: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分）：合同履行期限承诺完全满足竞争性磋商文件要求且有具体可行的违约承诺，进度计划编制完整、安排合理，能有效保证合同履行期间工作效率的；</w:t>
            </w:r>
          </w:p>
          <w:p w14:paraId="0F8A2EC9">
            <w:pPr>
              <w:keepNext w:val="0"/>
              <w:keepLines w:val="0"/>
              <w:widowControl/>
              <w:suppressLineNumbers w:val="0"/>
              <w:adjustRightInd w:val="0"/>
              <w:snapToGrid w:val="0"/>
              <w:spacing w:before="0" w:beforeAutospacing="0" w:after="0" w:afterAutospacing="0" w:line="400" w:lineRule="exact"/>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第二个档次（</w:t>
            </w:r>
            <w:r>
              <w:rPr>
                <w:rFonts w:hint="eastAsia" w:ascii="宋体" w:hAnsi="宋体" w:eastAsia="宋体" w:cs="宋体"/>
                <w:color w:val="auto"/>
                <w:sz w:val="24"/>
                <w:szCs w:val="24"/>
                <w:lang w:val="en-US" w:eastAsia="zh-CN"/>
              </w:rPr>
              <w:t>2—3</w:t>
            </w:r>
            <w:r>
              <w:rPr>
                <w:rFonts w:hint="eastAsia" w:ascii="宋体" w:hAnsi="宋体" w:eastAsia="宋体" w:cs="宋体"/>
                <w:color w:val="auto"/>
                <w:sz w:val="24"/>
                <w:szCs w:val="24"/>
              </w:rPr>
              <w:t>分）：合同履行期限承诺完全满足竞争性磋商文件要求，有违约承诺但存在缺漏，进度计划编制较为完整、安排基本合理，能基本保证合同履行期间工作效率的；</w:t>
            </w:r>
          </w:p>
          <w:p w14:paraId="726CC5DF">
            <w:pPr>
              <w:keepNext w:val="0"/>
              <w:keepLines w:val="0"/>
              <w:widowControl/>
              <w:suppressLineNumbers w:val="0"/>
              <w:adjustRightInd w:val="0"/>
              <w:snapToGrid w:val="0"/>
              <w:spacing w:before="0" w:beforeAutospacing="0" w:after="0" w:afterAutospacing="0" w:line="400" w:lineRule="exact"/>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第三个档次（</w:t>
            </w:r>
            <w:r>
              <w:rPr>
                <w:rFonts w:hint="eastAsia" w:ascii="宋体" w:hAnsi="宋体" w:eastAsia="宋体" w:cs="宋体"/>
                <w:color w:val="auto"/>
                <w:sz w:val="24"/>
                <w:szCs w:val="24"/>
                <w:lang w:val="en-US" w:eastAsia="zh-CN"/>
              </w:rPr>
              <w:t>0-1</w:t>
            </w:r>
            <w:r>
              <w:rPr>
                <w:rFonts w:hint="eastAsia" w:ascii="宋体" w:hAnsi="宋体" w:eastAsia="宋体" w:cs="宋体"/>
                <w:color w:val="auto"/>
                <w:sz w:val="24"/>
                <w:szCs w:val="24"/>
              </w:rPr>
              <w:t>分）：合同履行期限承诺满足竞争性磋商文件要求，但违约承诺不可行，进度计划编制存在缺漏、安排不合理，不能保证合同履行期间工作效率的；</w:t>
            </w:r>
          </w:p>
          <w:p w14:paraId="3760B6F5">
            <w:pPr>
              <w:keepNext w:val="0"/>
              <w:keepLines w:val="0"/>
              <w:widowControl/>
              <w:suppressLineNumbers w:val="0"/>
              <w:adjustRightInd w:val="0"/>
              <w:snapToGrid w:val="0"/>
              <w:spacing w:before="0" w:beforeAutospacing="0" w:after="0" w:afterAutospacing="0" w:line="400" w:lineRule="exact"/>
              <w:ind w:left="0" w:right="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第四个档次（0分）：未提供合同履行期限保证措施不得分。</w:t>
            </w:r>
          </w:p>
        </w:tc>
      </w:tr>
      <w:tr w14:paraId="7BD2B2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3" w:type="dxa"/>
            <w:bottom w:w="0" w:type="dxa"/>
            <w:right w:w="23" w:type="dxa"/>
          </w:tblCellMar>
        </w:tblPrEx>
        <w:trPr>
          <w:trHeight w:val="4822" w:hRule="exact"/>
          <w:jc w:val="center"/>
        </w:trPr>
        <w:tc>
          <w:tcPr>
            <w:tcW w:w="879" w:type="dxa"/>
            <w:vMerge w:val="continue"/>
            <w:vAlign w:val="center"/>
          </w:tcPr>
          <w:p w14:paraId="351656B7">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eastAsia" w:ascii="宋体" w:hAnsi="宋体" w:eastAsia="宋体" w:cs="宋体"/>
                <w:color w:val="auto"/>
                <w:sz w:val="24"/>
                <w:szCs w:val="24"/>
              </w:rPr>
            </w:pPr>
          </w:p>
        </w:tc>
        <w:tc>
          <w:tcPr>
            <w:tcW w:w="1470" w:type="dxa"/>
            <w:vMerge w:val="continue"/>
            <w:vAlign w:val="center"/>
          </w:tcPr>
          <w:p w14:paraId="0F6D397A">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eastAsia" w:ascii="宋体" w:hAnsi="宋体" w:eastAsia="宋体" w:cs="宋体"/>
                <w:color w:val="auto"/>
                <w:sz w:val="24"/>
                <w:szCs w:val="24"/>
              </w:rPr>
            </w:pPr>
          </w:p>
        </w:tc>
        <w:tc>
          <w:tcPr>
            <w:tcW w:w="1573" w:type="dxa"/>
            <w:tcBorders>
              <w:top w:val="single" w:color="auto" w:sz="4" w:space="0"/>
              <w:bottom w:val="single" w:color="auto" w:sz="4" w:space="0"/>
            </w:tcBorders>
            <w:vAlign w:val="center"/>
          </w:tcPr>
          <w:p w14:paraId="7D7FC293">
            <w:pPr>
              <w:keepNext w:val="0"/>
              <w:keepLines w:val="0"/>
              <w:widowControl/>
              <w:suppressLineNumbers w:val="0"/>
              <w:adjustRightInd w:val="0"/>
              <w:snapToGrid w:val="0"/>
              <w:spacing w:before="0" w:beforeAutospacing="0" w:after="0" w:afterAutospacing="0" w:line="400" w:lineRule="exact"/>
              <w:ind w:left="0" w:leftChars="0" w:right="0" w:firstLine="0" w:firstLineChars="0"/>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进驻交接计划方案（</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p>
        </w:tc>
        <w:tc>
          <w:tcPr>
            <w:tcW w:w="5544" w:type="dxa"/>
            <w:tcBorders>
              <w:top w:val="single" w:color="auto" w:sz="4" w:space="0"/>
              <w:bottom w:val="single" w:color="auto" w:sz="4" w:space="0"/>
            </w:tcBorders>
            <w:vAlign w:val="center"/>
          </w:tcPr>
          <w:p w14:paraId="4497DB3E">
            <w:pPr>
              <w:keepNext w:val="0"/>
              <w:keepLines w:val="0"/>
              <w:widowControl/>
              <w:suppressLineNumbers w:val="0"/>
              <w:tabs>
                <w:tab w:val="left" w:pos="312"/>
              </w:tabs>
              <w:adjustRightInd w:val="0"/>
              <w:snapToGrid w:val="0"/>
              <w:spacing w:before="0" w:beforeAutospacing="0" w:after="0" w:afterAutospacing="0" w:line="400" w:lineRule="exact"/>
              <w:ind w:left="0" w:right="0"/>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根据潜在供应商提供的进驻交接计划方案，进行综合比较评分：</w:t>
            </w:r>
          </w:p>
          <w:p w14:paraId="00F1B351">
            <w:pPr>
              <w:keepNext w:val="0"/>
              <w:keepLines w:val="0"/>
              <w:widowControl/>
              <w:suppressLineNumbers w:val="0"/>
              <w:tabs>
                <w:tab w:val="left" w:pos="312"/>
              </w:tabs>
              <w:adjustRightInd w:val="0"/>
              <w:snapToGrid w:val="0"/>
              <w:spacing w:before="0" w:beforeAutospacing="0" w:after="0" w:afterAutospacing="0" w:line="400" w:lineRule="exact"/>
              <w:ind w:left="0" w:right="0"/>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第一个档次（</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分）：根据项目特点，拟定进驻交接计划方案，计划方案内容具体详尽，切实可行，交接过程中的计划安排具有有效保障措施的；</w:t>
            </w:r>
          </w:p>
          <w:p w14:paraId="205E549A">
            <w:pPr>
              <w:keepNext w:val="0"/>
              <w:keepLines w:val="0"/>
              <w:widowControl/>
              <w:suppressLineNumbers w:val="0"/>
              <w:tabs>
                <w:tab w:val="left" w:pos="312"/>
              </w:tabs>
              <w:adjustRightInd w:val="0"/>
              <w:snapToGrid w:val="0"/>
              <w:spacing w:before="0" w:beforeAutospacing="0" w:after="0" w:afterAutospacing="0" w:line="400" w:lineRule="exact"/>
              <w:ind w:left="0" w:right="0"/>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第二个档次（</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分）：根据项目特点，拟定进驻交接计划方案，计划方案内容基本具体、可行，交接过程中的计划安排保障措施一般的；</w:t>
            </w:r>
          </w:p>
          <w:p w14:paraId="18AD7B57">
            <w:pPr>
              <w:keepNext w:val="0"/>
              <w:keepLines w:val="0"/>
              <w:widowControl/>
              <w:suppressLineNumbers w:val="0"/>
              <w:tabs>
                <w:tab w:val="left" w:pos="312"/>
              </w:tabs>
              <w:adjustRightInd w:val="0"/>
              <w:snapToGrid w:val="0"/>
              <w:spacing w:before="0" w:beforeAutospacing="0" w:after="0" w:afterAutospacing="0" w:line="400" w:lineRule="exact"/>
              <w:ind w:left="0" w:right="0"/>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第三个档次（</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分）：根据项目特点，拟定进驻交接计划方案，计划方案内容缺失或缺漏，交接过程中的计划安排保障措施不可行的；</w:t>
            </w:r>
          </w:p>
          <w:p w14:paraId="2F9C7D6A">
            <w:pPr>
              <w:keepNext w:val="0"/>
              <w:keepLines w:val="0"/>
              <w:widowControl/>
              <w:suppressLineNumbers w:val="0"/>
              <w:tabs>
                <w:tab w:val="left" w:pos="312"/>
              </w:tabs>
              <w:adjustRightInd w:val="0"/>
              <w:snapToGrid w:val="0"/>
              <w:spacing w:before="0" w:beforeAutospacing="0" w:after="0" w:afterAutospacing="0" w:line="400" w:lineRule="exact"/>
              <w:ind w:left="0" w:right="0"/>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第四档次（0分）：未提供进驻交接计划方案不得分。</w:t>
            </w:r>
          </w:p>
        </w:tc>
      </w:tr>
      <w:tr w14:paraId="6096EF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3" w:type="dxa"/>
            <w:bottom w:w="0" w:type="dxa"/>
            <w:right w:w="23" w:type="dxa"/>
          </w:tblCellMar>
        </w:tblPrEx>
        <w:trPr>
          <w:trHeight w:val="1972" w:hRule="exact"/>
          <w:jc w:val="center"/>
        </w:trPr>
        <w:tc>
          <w:tcPr>
            <w:tcW w:w="879" w:type="dxa"/>
            <w:vMerge w:val="continue"/>
            <w:vAlign w:val="center"/>
          </w:tcPr>
          <w:p w14:paraId="66EAC553">
            <w:pPr>
              <w:keepNext w:val="0"/>
              <w:keepLines w:val="0"/>
              <w:widowControl/>
              <w:suppressLineNumbers w:val="0"/>
              <w:pBdr>
                <w:top w:val="none" w:color="auto" w:sz="0" w:space="1"/>
                <w:left w:val="none" w:color="auto" w:sz="0" w:space="4"/>
                <w:bottom w:val="none" w:color="auto" w:sz="0" w:space="1"/>
                <w:right w:val="none" w:color="auto" w:sz="0" w:space="4"/>
              </w:pBdr>
              <w:tabs>
                <w:tab w:val="left" w:pos="312"/>
              </w:tabs>
              <w:adjustRightInd w:val="0"/>
              <w:snapToGrid w:val="0"/>
              <w:spacing w:before="0" w:beforeAutospacing="0" w:after="0" w:afterAutospacing="0" w:line="400" w:lineRule="exact"/>
              <w:ind w:left="0" w:right="0"/>
              <w:textAlignment w:val="center"/>
              <w:rPr>
                <w:rFonts w:hint="eastAsia" w:ascii="宋体" w:hAnsi="宋体" w:eastAsia="宋体" w:cs="宋体"/>
                <w:color w:val="auto"/>
                <w:sz w:val="24"/>
                <w:szCs w:val="24"/>
              </w:rPr>
            </w:pPr>
          </w:p>
        </w:tc>
        <w:tc>
          <w:tcPr>
            <w:tcW w:w="1470" w:type="dxa"/>
            <w:vMerge w:val="continue"/>
            <w:vAlign w:val="center"/>
          </w:tcPr>
          <w:p w14:paraId="0C2487BD">
            <w:pPr>
              <w:keepNext w:val="0"/>
              <w:keepLines w:val="0"/>
              <w:widowControl/>
              <w:suppressLineNumbers w:val="0"/>
              <w:pBdr>
                <w:top w:val="none" w:color="auto" w:sz="0" w:space="1"/>
                <w:left w:val="none" w:color="auto" w:sz="0" w:space="4"/>
                <w:bottom w:val="none" w:color="auto" w:sz="0" w:space="1"/>
                <w:right w:val="none" w:color="auto" w:sz="0" w:space="4"/>
              </w:pBdr>
              <w:tabs>
                <w:tab w:val="left" w:pos="312"/>
              </w:tabs>
              <w:adjustRightInd w:val="0"/>
              <w:snapToGrid w:val="0"/>
              <w:spacing w:before="0" w:beforeAutospacing="0" w:after="0" w:afterAutospacing="0" w:line="400" w:lineRule="exact"/>
              <w:ind w:left="0" w:right="0"/>
              <w:textAlignment w:val="center"/>
              <w:rPr>
                <w:rFonts w:hint="eastAsia" w:ascii="宋体" w:hAnsi="宋体" w:eastAsia="宋体" w:cs="宋体"/>
                <w:color w:val="auto"/>
                <w:sz w:val="24"/>
                <w:szCs w:val="24"/>
              </w:rPr>
            </w:pPr>
          </w:p>
        </w:tc>
        <w:tc>
          <w:tcPr>
            <w:tcW w:w="1573" w:type="dxa"/>
            <w:tcBorders>
              <w:top w:val="single" w:color="auto" w:sz="4" w:space="0"/>
            </w:tcBorders>
            <w:vAlign w:val="center"/>
          </w:tcPr>
          <w:p w14:paraId="15158724">
            <w:pPr>
              <w:keepNext w:val="0"/>
              <w:keepLines w:val="0"/>
              <w:widowControl/>
              <w:suppressLineNumbers w:val="0"/>
              <w:adjustRightInd w:val="0"/>
              <w:snapToGrid w:val="0"/>
              <w:spacing w:before="0" w:beforeAutospacing="0" w:after="0" w:afterAutospacing="0" w:line="400" w:lineRule="exact"/>
              <w:ind w:left="0" w:leftChars="0" w:right="0" w:firstLine="0" w:firstLineChars="0"/>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增值服务（</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tc>
        <w:tc>
          <w:tcPr>
            <w:tcW w:w="5544" w:type="dxa"/>
            <w:tcBorders>
              <w:top w:val="single" w:color="auto" w:sz="4" w:space="0"/>
            </w:tcBorders>
            <w:vAlign w:val="center"/>
          </w:tcPr>
          <w:p w14:paraId="1A91DFBE">
            <w:pPr>
              <w:keepNext w:val="0"/>
              <w:keepLines w:val="0"/>
              <w:widowControl/>
              <w:suppressLineNumbers w:val="0"/>
              <w:tabs>
                <w:tab w:val="left" w:pos="312"/>
              </w:tabs>
              <w:adjustRightInd w:val="0"/>
              <w:snapToGrid w:val="0"/>
              <w:spacing w:before="0" w:beforeAutospacing="0" w:after="0" w:afterAutospacing="0" w:line="400" w:lineRule="exact"/>
              <w:ind w:left="0" w:right="0"/>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根据潜在供应商提供的增值服务，进行综合比较评分：</w:t>
            </w:r>
          </w:p>
          <w:p w14:paraId="7FADF26E">
            <w:pPr>
              <w:keepNext w:val="0"/>
              <w:keepLines w:val="0"/>
              <w:widowControl/>
              <w:suppressLineNumbers w:val="0"/>
              <w:tabs>
                <w:tab w:val="left" w:pos="312"/>
              </w:tabs>
              <w:adjustRightInd w:val="0"/>
              <w:snapToGrid w:val="0"/>
              <w:spacing w:before="0" w:beforeAutospacing="0" w:after="0" w:afterAutospacing="0" w:line="400" w:lineRule="exact"/>
              <w:ind w:left="0" w:right="0"/>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第一个档次（3分）：潜在供应商提供的增值服务可行。</w:t>
            </w:r>
          </w:p>
          <w:p w14:paraId="29A43B07">
            <w:pPr>
              <w:keepNext w:val="0"/>
              <w:keepLines w:val="0"/>
              <w:widowControl/>
              <w:suppressLineNumbers w:val="0"/>
              <w:tabs>
                <w:tab w:val="left" w:pos="312"/>
              </w:tabs>
              <w:adjustRightInd w:val="0"/>
              <w:snapToGrid w:val="0"/>
              <w:spacing w:before="0" w:beforeAutospacing="0" w:after="0" w:afterAutospacing="0" w:line="400" w:lineRule="exact"/>
              <w:ind w:left="0" w:right="0"/>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第二个档次（2分）：潜在供应商提供的增值服务基本可行。</w:t>
            </w:r>
          </w:p>
          <w:p w14:paraId="7EA7018D">
            <w:pPr>
              <w:keepNext w:val="0"/>
              <w:keepLines w:val="0"/>
              <w:widowControl/>
              <w:suppressLineNumbers w:val="0"/>
              <w:tabs>
                <w:tab w:val="left" w:pos="312"/>
              </w:tabs>
              <w:adjustRightInd w:val="0"/>
              <w:snapToGrid w:val="0"/>
              <w:spacing w:before="0" w:beforeAutospacing="0" w:after="0" w:afterAutospacing="0" w:line="400" w:lineRule="exact"/>
              <w:ind w:left="0" w:right="0"/>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第三个档次（1分）：潜在供应商提供的增值服务不可行。</w:t>
            </w:r>
          </w:p>
          <w:p w14:paraId="679920EC">
            <w:pPr>
              <w:keepNext w:val="0"/>
              <w:keepLines w:val="0"/>
              <w:widowControl/>
              <w:suppressLineNumbers w:val="0"/>
              <w:tabs>
                <w:tab w:val="left" w:pos="312"/>
              </w:tabs>
              <w:adjustRightInd w:val="0"/>
              <w:snapToGrid w:val="0"/>
              <w:spacing w:before="0" w:beforeAutospacing="0" w:after="0" w:afterAutospacing="0" w:line="400" w:lineRule="exact"/>
              <w:ind w:left="0" w:right="0"/>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第四个档次（0分）：未提供增值服务不得分。</w:t>
            </w:r>
          </w:p>
        </w:tc>
      </w:tr>
    </w:tbl>
    <w:p w14:paraId="5E012016">
      <w:pPr>
        <w:widowControl/>
        <w:tabs>
          <w:tab w:val="left" w:pos="312"/>
        </w:tabs>
        <w:adjustRightInd w:val="0"/>
        <w:snapToGrid w:val="0"/>
        <w:spacing w:line="400" w:lineRule="exact"/>
        <w:textAlignment w:val="center"/>
        <w:rPr>
          <w:rFonts w:hint="eastAsia" w:ascii="宋体" w:hAnsi="宋体" w:eastAsia="宋体" w:cs="宋体"/>
          <w:sz w:val="24"/>
          <w:szCs w:val="24"/>
        </w:rPr>
      </w:pPr>
      <w:r>
        <w:rPr>
          <w:rFonts w:hint="eastAsia" w:ascii="宋体" w:hAnsi="宋体" w:eastAsia="宋体" w:cs="宋体"/>
          <w:color w:val="auto"/>
          <w:sz w:val="24"/>
          <w:szCs w:val="24"/>
        </w:rPr>
        <w:br w:type="page"/>
      </w:r>
      <w:bookmarkEnd w:id="189"/>
      <w:bookmarkEnd w:id="190"/>
    </w:p>
    <w:p w14:paraId="78DD81E9">
      <w:pPr>
        <w:pStyle w:val="59"/>
        <w:numPr>
          <w:ilvl w:val="0"/>
          <w:numId w:val="8"/>
        </w:numPr>
        <w:pBdr>
          <w:top w:val="none" w:color="auto" w:sz="0" w:space="1"/>
          <w:left w:val="none" w:color="auto" w:sz="0" w:space="4"/>
          <w:bottom w:val="none" w:color="auto" w:sz="0" w:space="1"/>
          <w:right w:val="none" w:color="auto" w:sz="0" w:space="4"/>
        </w:pBdr>
        <w:spacing w:line="360" w:lineRule="auto"/>
        <w:ind w:firstLine="482"/>
        <w:outlineLvl w:val="1"/>
        <w:rPr>
          <w:rFonts w:hint="eastAsia" w:ascii="宋体" w:hAnsi="宋体" w:eastAsia="宋体" w:cs="宋体"/>
          <w:b/>
          <w:bCs/>
          <w:sz w:val="24"/>
          <w:szCs w:val="24"/>
        </w:rPr>
      </w:pPr>
      <w:bookmarkStart w:id="191" w:name="_Toc445455044"/>
      <w:bookmarkStart w:id="192" w:name="_Toc7547"/>
      <w:bookmarkStart w:id="193" w:name="_Toc9541"/>
      <w:bookmarkStart w:id="194" w:name="_Toc30627"/>
      <w:bookmarkStart w:id="195" w:name="_Toc23133"/>
      <w:r>
        <w:rPr>
          <w:rFonts w:hint="eastAsia" w:ascii="宋体" w:hAnsi="宋体" w:eastAsia="宋体" w:cs="宋体"/>
          <w:b/>
          <w:bCs/>
          <w:sz w:val="24"/>
          <w:szCs w:val="24"/>
        </w:rPr>
        <w:t>评审办法</w:t>
      </w:r>
      <w:bookmarkEnd w:id="191"/>
      <w:bookmarkEnd w:id="192"/>
      <w:bookmarkEnd w:id="193"/>
      <w:bookmarkEnd w:id="194"/>
      <w:bookmarkEnd w:id="195"/>
    </w:p>
    <w:p w14:paraId="77FC16CB">
      <w:pPr>
        <w:pStyle w:val="13"/>
        <w:pBdr>
          <w:top w:val="none" w:color="auto" w:sz="0" w:space="1"/>
          <w:left w:val="none" w:color="auto" w:sz="0" w:space="4"/>
          <w:bottom w:val="none" w:color="auto" w:sz="0" w:space="1"/>
          <w:right w:val="none" w:color="auto" w:sz="0" w:space="4"/>
        </w:pBdr>
        <w:spacing w:line="360" w:lineRule="auto"/>
        <w:ind w:firstLine="482" w:firstLineChars="200"/>
        <w:contextualSpacing/>
        <w:outlineLvl w:val="2"/>
        <w:rPr>
          <w:rFonts w:hint="eastAsia" w:ascii="宋体" w:hAnsi="宋体" w:eastAsia="宋体" w:cs="宋体"/>
          <w:b/>
          <w:bCs/>
          <w:sz w:val="24"/>
          <w:szCs w:val="24"/>
        </w:rPr>
      </w:pPr>
      <w:r>
        <w:rPr>
          <w:rFonts w:hint="eastAsia" w:ascii="宋体" w:hAnsi="宋体" w:eastAsia="宋体" w:cs="宋体"/>
          <w:b/>
          <w:bCs/>
          <w:sz w:val="24"/>
          <w:szCs w:val="24"/>
        </w:rPr>
        <w:t>1.1 成交人候选人排序方法</w:t>
      </w:r>
    </w:p>
    <w:p w14:paraId="1991CF55">
      <w:pPr>
        <w:pStyle w:val="13"/>
        <w:pBdr>
          <w:top w:val="none" w:color="auto" w:sz="0" w:space="1"/>
          <w:left w:val="none" w:color="auto" w:sz="0" w:space="4"/>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本次竞争性磋商评审办法采用综合评分法，</w:t>
      </w:r>
      <w:r>
        <w:rPr>
          <w:rFonts w:hint="eastAsia" w:ascii="宋体" w:hAnsi="宋体" w:eastAsia="宋体" w:cs="宋体"/>
          <w:kern w:val="0"/>
          <w:sz w:val="24"/>
          <w:szCs w:val="24"/>
          <w:lang w:eastAsia="zh-CN"/>
        </w:rPr>
        <w:t>指在</w:t>
      </w:r>
      <w:r>
        <w:rPr>
          <w:rFonts w:hint="eastAsia" w:ascii="宋体" w:hAnsi="宋体" w:eastAsia="宋体" w:cs="宋体"/>
          <w:kern w:val="0"/>
          <w:sz w:val="24"/>
          <w:szCs w:val="24"/>
        </w:rPr>
        <w:t>最大限度地满足竞争性磋商文件实质性要求前提下，按照竞争性磋商文件中规定的各项评分内容评审后，评审委员会按照综合得分由高到低的顺序推荐第一、二、三成交人候选人，并推荐排名第一的成交人候选人为成交人，采购人应确定排名第一的成交人候选人为成交人。</w:t>
      </w:r>
      <w:bookmarkStart w:id="196" w:name="qihoosnap5"/>
      <w:bookmarkEnd w:id="196"/>
      <w:r>
        <w:rPr>
          <w:rFonts w:hint="eastAsia" w:ascii="宋体" w:hAnsi="宋体" w:eastAsia="宋体" w:cs="宋体"/>
          <w:kern w:val="0"/>
          <w:sz w:val="24"/>
          <w:szCs w:val="24"/>
        </w:rPr>
        <w:t>如果前两名</w:t>
      </w:r>
      <w:bookmarkStart w:id="197" w:name="qihoosnap0"/>
      <w:bookmarkEnd w:id="197"/>
      <w:r>
        <w:rPr>
          <w:rFonts w:hint="eastAsia" w:ascii="宋体" w:hAnsi="宋体" w:eastAsia="宋体" w:cs="宋体"/>
          <w:kern w:val="0"/>
          <w:sz w:val="24"/>
          <w:szCs w:val="24"/>
        </w:rPr>
        <w:t>成交人候选人综合评分相等时，</w:t>
      </w:r>
      <w:bookmarkStart w:id="198" w:name="qihoosnap1"/>
      <w:bookmarkEnd w:id="198"/>
      <w:r>
        <w:rPr>
          <w:rFonts w:hint="eastAsia" w:ascii="宋体" w:hAnsi="宋体" w:eastAsia="宋体" w:cs="宋体"/>
          <w:kern w:val="0"/>
          <w:sz w:val="24"/>
          <w:szCs w:val="24"/>
        </w:rPr>
        <w:t>以技术部分</w:t>
      </w:r>
      <w:bookmarkStart w:id="199" w:name="qihoosnap4"/>
      <w:bookmarkEnd w:id="199"/>
      <w:r>
        <w:rPr>
          <w:rFonts w:hint="eastAsia" w:ascii="宋体" w:hAnsi="宋体" w:eastAsia="宋体" w:cs="宋体"/>
          <w:kern w:val="0"/>
          <w:sz w:val="24"/>
          <w:szCs w:val="24"/>
        </w:rPr>
        <w:t>得分高的优先；</w:t>
      </w:r>
      <w:bookmarkStart w:id="200" w:name="qihoosnap2"/>
      <w:bookmarkEnd w:id="200"/>
      <w:r>
        <w:rPr>
          <w:rFonts w:hint="eastAsia" w:ascii="宋体" w:hAnsi="宋体" w:eastAsia="宋体" w:cs="宋体"/>
          <w:kern w:val="0"/>
          <w:sz w:val="24"/>
          <w:szCs w:val="24"/>
        </w:rPr>
        <w:t>技术部分得分也相等的，以商务部分得分高的优先；商务部分得分也相等的，以磋商报价低的优先；磋商报价也相等的，由评审委员会现场记名投票确定先后顺序。</w:t>
      </w:r>
    </w:p>
    <w:p w14:paraId="0ACCE4CB">
      <w:pPr>
        <w:pStyle w:val="13"/>
        <w:pBdr>
          <w:top w:val="none" w:color="auto" w:sz="0" w:space="1"/>
          <w:left w:val="none" w:color="auto" w:sz="0" w:space="4"/>
          <w:bottom w:val="none" w:color="auto" w:sz="0" w:space="1"/>
          <w:right w:val="none" w:color="auto" w:sz="0" w:space="4"/>
        </w:pBdr>
        <w:spacing w:line="360" w:lineRule="auto"/>
        <w:ind w:firstLine="482" w:firstLineChars="200"/>
        <w:contextualSpacing/>
        <w:outlineLvl w:val="2"/>
        <w:rPr>
          <w:rFonts w:hint="eastAsia" w:ascii="宋体" w:hAnsi="宋体" w:eastAsia="宋体" w:cs="宋体"/>
          <w:b/>
          <w:bCs/>
          <w:sz w:val="24"/>
          <w:szCs w:val="24"/>
        </w:rPr>
      </w:pPr>
      <w:bookmarkStart w:id="201" w:name="_Toc443758794"/>
      <w:bookmarkStart w:id="202" w:name="_Toc444785379"/>
      <w:bookmarkStart w:id="203" w:name="_Toc445455046"/>
      <w:r>
        <w:rPr>
          <w:rFonts w:hint="eastAsia" w:ascii="宋体" w:hAnsi="宋体" w:eastAsia="宋体" w:cs="宋体"/>
          <w:b/>
          <w:bCs/>
          <w:sz w:val="24"/>
          <w:szCs w:val="24"/>
        </w:rPr>
        <w:t>1.2 评审原则</w:t>
      </w:r>
      <w:bookmarkEnd w:id="201"/>
      <w:bookmarkEnd w:id="202"/>
      <w:bookmarkEnd w:id="203"/>
    </w:p>
    <w:p w14:paraId="237127FE">
      <w:pPr>
        <w:pStyle w:val="13"/>
        <w:pBdr>
          <w:top w:val="none" w:color="auto" w:sz="0" w:space="1"/>
          <w:left w:val="none" w:color="auto" w:sz="0" w:space="4"/>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1.2.1 评审活动遵循公平、公正、科学、择优的原则。</w:t>
      </w:r>
    </w:p>
    <w:p w14:paraId="324A0BB3">
      <w:pPr>
        <w:pStyle w:val="13"/>
        <w:pBdr>
          <w:top w:val="none" w:color="auto" w:sz="0" w:space="1"/>
          <w:left w:val="none" w:color="auto" w:sz="0" w:space="4"/>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1.2.2 评审委员会应当根据本评审办法的规定，对磋商响应文件进行系统的评审和比较。</w:t>
      </w:r>
    </w:p>
    <w:p w14:paraId="3FA7480C">
      <w:pPr>
        <w:pStyle w:val="13"/>
        <w:pBdr>
          <w:top w:val="none" w:color="auto" w:sz="0" w:space="1"/>
          <w:left w:val="none" w:color="auto" w:sz="0" w:space="4"/>
          <w:bottom w:val="none" w:color="auto" w:sz="0" w:space="1"/>
          <w:right w:val="none" w:color="auto" w:sz="0" w:space="4"/>
        </w:pBdr>
        <w:spacing w:line="360" w:lineRule="auto"/>
        <w:ind w:firstLine="482" w:firstLineChars="200"/>
        <w:contextualSpacing/>
        <w:outlineLvl w:val="2"/>
        <w:rPr>
          <w:rFonts w:hint="eastAsia" w:ascii="宋体" w:hAnsi="宋体" w:eastAsia="宋体" w:cs="宋体"/>
          <w:b/>
          <w:bCs/>
          <w:sz w:val="24"/>
          <w:szCs w:val="24"/>
        </w:rPr>
      </w:pPr>
      <w:bookmarkStart w:id="204" w:name="_Toc445455047"/>
      <w:bookmarkStart w:id="205" w:name="_Toc443758795"/>
      <w:bookmarkStart w:id="206" w:name="_Toc444785380"/>
      <w:r>
        <w:rPr>
          <w:rFonts w:hint="eastAsia" w:ascii="宋体" w:hAnsi="宋体" w:eastAsia="宋体" w:cs="宋体"/>
          <w:b/>
          <w:bCs/>
          <w:sz w:val="24"/>
          <w:szCs w:val="24"/>
        </w:rPr>
        <w:t>1.3 评审机构</w:t>
      </w:r>
      <w:bookmarkEnd w:id="204"/>
      <w:bookmarkEnd w:id="205"/>
      <w:bookmarkEnd w:id="206"/>
    </w:p>
    <w:p w14:paraId="06630473">
      <w:pPr>
        <w:pStyle w:val="13"/>
        <w:pBdr>
          <w:top w:val="none" w:color="auto" w:sz="0" w:space="1"/>
          <w:left w:val="none" w:color="auto" w:sz="0" w:space="4"/>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采购人依法组建评审委员会，从财政局专家库中随机抽取，由采购人代表和评审专家共3人以上单数组成，其中评审专家人数不可少于评审委员会成员总数的2/3。</w:t>
      </w:r>
    </w:p>
    <w:p w14:paraId="3194381C">
      <w:pPr>
        <w:pStyle w:val="13"/>
        <w:pBdr>
          <w:top w:val="none" w:color="auto" w:sz="0" w:space="1"/>
          <w:left w:val="none" w:color="auto" w:sz="0" w:space="4"/>
          <w:bottom w:val="none" w:color="auto" w:sz="0" w:space="1"/>
          <w:right w:val="none" w:color="auto" w:sz="0" w:space="4"/>
        </w:pBdr>
        <w:spacing w:line="360" w:lineRule="auto"/>
        <w:ind w:firstLine="482" w:firstLineChars="200"/>
        <w:contextualSpacing/>
        <w:outlineLvl w:val="2"/>
        <w:rPr>
          <w:rFonts w:hint="eastAsia" w:ascii="宋体" w:hAnsi="宋体" w:eastAsia="宋体" w:cs="宋体"/>
          <w:b/>
          <w:bCs/>
          <w:sz w:val="24"/>
          <w:szCs w:val="24"/>
        </w:rPr>
      </w:pPr>
      <w:bookmarkStart w:id="207" w:name="_Toc443758796"/>
      <w:bookmarkStart w:id="208" w:name="_Toc444785381"/>
      <w:bookmarkStart w:id="209" w:name="_Toc445455048"/>
      <w:r>
        <w:rPr>
          <w:rFonts w:hint="eastAsia" w:ascii="宋体" w:hAnsi="宋体" w:eastAsia="宋体" w:cs="宋体"/>
          <w:b/>
          <w:bCs/>
          <w:sz w:val="24"/>
          <w:szCs w:val="24"/>
        </w:rPr>
        <w:t>1.4 评审纪律</w:t>
      </w:r>
      <w:bookmarkEnd w:id="207"/>
      <w:bookmarkEnd w:id="208"/>
      <w:bookmarkEnd w:id="209"/>
    </w:p>
    <w:p w14:paraId="5C077AEF">
      <w:pPr>
        <w:pStyle w:val="13"/>
        <w:pBdr>
          <w:top w:val="none" w:color="auto" w:sz="0" w:space="1"/>
          <w:left w:val="none" w:color="auto" w:sz="0" w:space="4"/>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1.4.1 评审委员会的成员应严格遵守保密规定，严格自律，自觉接受有关部门的监督。</w:t>
      </w:r>
    </w:p>
    <w:p w14:paraId="0E28D614">
      <w:pPr>
        <w:pStyle w:val="13"/>
        <w:pBdr>
          <w:top w:val="none" w:color="auto" w:sz="0" w:space="1"/>
          <w:left w:val="none" w:color="auto" w:sz="0" w:space="4"/>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1.4.2 评审委员会的成员必须对评审情况和评审结果保密，不得向磋商利害关系人泄露对磋商响应文件的评审、比较，成交人候选人的推荐以及与评审有关的其他情况。</w:t>
      </w:r>
    </w:p>
    <w:p w14:paraId="0D6D9725">
      <w:pPr>
        <w:pStyle w:val="13"/>
        <w:pBdr>
          <w:top w:val="none" w:color="auto" w:sz="0" w:space="1"/>
          <w:left w:val="none" w:color="auto" w:sz="0" w:space="4"/>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1.4.3 评审完成后所有评审材料应如数交还。</w:t>
      </w:r>
    </w:p>
    <w:p w14:paraId="7F077C1C">
      <w:pPr>
        <w:pStyle w:val="13"/>
        <w:pBdr>
          <w:top w:val="none" w:color="auto" w:sz="0" w:space="1"/>
          <w:left w:val="none" w:color="auto" w:sz="0" w:space="4"/>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1.4.4 评审期间，与会人员不得随意外出、缺席，因公有事确需外出，必须征得同意。</w:t>
      </w:r>
    </w:p>
    <w:p w14:paraId="075A127B">
      <w:pPr>
        <w:pStyle w:val="13"/>
        <w:pBdr>
          <w:top w:val="none" w:color="auto" w:sz="0" w:space="1"/>
          <w:left w:val="none" w:color="auto" w:sz="0" w:space="4"/>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1.4.5 与会人员违反上述规定对评审造成不良影响的，后果由责任者承担。</w:t>
      </w:r>
    </w:p>
    <w:p w14:paraId="3B69E106">
      <w:pPr>
        <w:pStyle w:val="59"/>
        <w:numPr>
          <w:ilvl w:val="0"/>
          <w:numId w:val="8"/>
        </w:numPr>
        <w:pBdr>
          <w:top w:val="none" w:color="auto" w:sz="0" w:space="1"/>
          <w:left w:val="none" w:color="auto" w:sz="0" w:space="4"/>
          <w:bottom w:val="none" w:color="auto" w:sz="0" w:space="1"/>
          <w:right w:val="none" w:color="auto" w:sz="0" w:space="4"/>
        </w:pBdr>
        <w:spacing w:line="360" w:lineRule="auto"/>
        <w:ind w:firstLine="482"/>
        <w:outlineLvl w:val="1"/>
        <w:rPr>
          <w:rFonts w:hint="eastAsia" w:ascii="宋体" w:hAnsi="宋体" w:eastAsia="宋体" w:cs="宋体"/>
          <w:b/>
          <w:sz w:val="24"/>
          <w:szCs w:val="24"/>
        </w:rPr>
      </w:pPr>
      <w:bookmarkStart w:id="210" w:name="_Toc443758797"/>
      <w:bookmarkStart w:id="211" w:name="_Toc445455049"/>
      <w:bookmarkStart w:id="212" w:name="_Toc444785382"/>
      <w:bookmarkStart w:id="213" w:name="_Toc10114"/>
      <w:bookmarkStart w:id="214" w:name="_Toc14262"/>
      <w:bookmarkStart w:id="215" w:name="_Toc10258"/>
      <w:bookmarkStart w:id="216" w:name="_Toc30170"/>
      <w:r>
        <w:rPr>
          <w:rFonts w:hint="eastAsia" w:ascii="宋体" w:hAnsi="宋体" w:eastAsia="宋体" w:cs="宋体"/>
          <w:b/>
          <w:sz w:val="24"/>
          <w:szCs w:val="24"/>
        </w:rPr>
        <w:t>评审</w:t>
      </w:r>
      <w:bookmarkEnd w:id="210"/>
      <w:bookmarkEnd w:id="211"/>
      <w:bookmarkEnd w:id="212"/>
      <w:r>
        <w:rPr>
          <w:rFonts w:hint="eastAsia" w:ascii="宋体" w:hAnsi="宋体" w:eastAsia="宋体" w:cs="宋体"/>
          <w:b/>
          <w:sz w:val="24"/>
          <w:szCs w:val="24"/>
        </w:rPr>
        <w:t>标准</w:t>
      </w:r>
      <w:bookmarkEnd w:id="213"/>
      <w:bookmarkEnd w:id="214"/>
      <w:bookmarkEnd w:id="215"/>
      <w:bookmarkEnd w:id="216"/>
    </w:p>
    <w:p w14:paraId="42E1D9FD">
      <w:pPr>
        <w:pStyle w:val="13"/>
        <w:pBdr>
          <w:top w:val="none" w:color="auto" w:sz="0" w:space="1"/>
          <w:left w:val="none" w:color="auto" w:sz="0" w:space="4"/>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2.1 初步评审标准</w:t>
      </w:r>
    </w:p>
    <w:p w14:paraId="6D51F945">
      <w:pPr>
        <w:pStyle w:val="13"/>
        <w:pBdr>
          <w:top w:val="none" w:color="auto" w:sz="0" w:space="1"/>
          <w:left w:val="none" w:color="auto" w:sz="0" w:space="4"/>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2.1.1 形式评审标准：详见评审办法前附表。</w:t>
      </w:r>
    </w:p>
    <w:p w14:paraId="69CDAD8D">
      <w:pPr>
        <w:pStyle w:val="13"/>
        <w:pBdr>
          <w:top w:val="none" w:color="auto" w:sz="0" w:space="1"/>
          <w:left w:val="none" w:color="auto" w:sz="0" w:space="4"/>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2.1.2 资格评审标准：见评审办法前附表。</w:t>
      </w:r>
    </w:p>
    <w:p w14:paraId="28FF06FC">
      <w:pPr>
        <w:pStyle w:val="13"/>
        <w:pBdr>
          <w:top w:val="none" w:color="auto" w:sz="0" w:space="1"/>
          <w:left w:val="none" w:color="auto" w:sz="0" w:space="4"/>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2.1.3 响应性评审标准：见评审办法前附表。</w:t>
      </w:r>
    </w:p>
    <w:p w14:paraId="7317ADE3">
      <w:pPr>
        <w:pStyle w:val="13"/>
        <w:pBdr>
          <w:top w:val="none" w:color="auto" w:sz="0" w:space="1"/>
          <w:left w:val="none" w:color="auto" w:sz="0" w:space="4"/>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bookmarkStart w:id="217" w:name="bookmark97"/>
      <w:bookmarkEnd w:id="217"/>
      <w:r>
        <w:rPr>
          <w:rFonts w:hint="eastAsia" w:ascii="宋体" w:hAnsi="宋体" w:eastAsia="宋体" w:cs="宋体"/>
          <w:kern w:val="0"/>
          <w:sz w:val="24"/>
          <w:szCs w:val="24"/>
        </w:rPr>
        <w:t>2.2 详细评审标准</w:t>
      </w:r>
    </w:p>
    <w:p w14:paraId="3EDD2922">
      <w:pPr>
        <w:pStyle w:val="13"/>
        <w:pBdr>
          <w:top w:val="none" w:color="auto" w:sz="0" w:space="1"/>
          <w:left w:val="none" w:color="auto" w:sz="0" w:space="4"/>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2.2.1分值构成：详见评审办法前附表。</w:t>
      </w:r>
    </w:p>
    <w:p w14:paraId="677A6356">
      <w:pPr>
        <w:pStyle w:val="13"/>
        <w:pBdr>
          <w:top w:val="none" w:color="auto" w:sz="0" w:space="1"/>
          <w:left w:val="none" w:color="auto" w:sz="0" w:space="1"/>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2.2.2磋商报价标准：详见评审办法前附表。</w:t>
      </w:r>
    </w:p>
    <w:p w14:paraId="2367A5EB">
      <w:pPr>
        <w:pStyle w:val="13"/>
        <w:pBdr>
          <w:top w:val="none" w:color="auto" w:sz="0" w:space="1"/>
          <w:left w:val="none" w:color="auto" w:sz="0" w:space="1"/>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2.2.3技术部分标准：详见评审办法前附表。</w:t>
      </w:r>
    </w:p>
    <w:p w14:paraId="77E51703">
      <w:pPr>
        <w:pStyle w:val="59"/>
        <w:numPr>
          <w:ilvl w:val="0"/>
          <w:numId w:val="8"/>
        </w:numPr>
        <w:pBdr>
          <w:top w:val="none" w:color="auto" w:sz="0" w:space="1"/>
          <w:left w:val="none" w:color="auto" w:sz="0" w:space="1"/>
          <w:bottom w:val="none" w:color="auto" w:sz="0" w:space="1"/>
          <w:right w:val="none" w:color="auto" w:sz="0" w:space="4"/>
        </w:pBdr>
        <w:spacing w:line="360" w:lineRule="auto"/>
        <w:ind w:firstLine="482"/>
        <w:outlineLvl w:val="1"/>
        <w:rPr>
          <w:rFonts w:hint="eastAsia" w:ascii="宋体" w:hAnsi="宋体" w:eastAsia="宋体" w:cs="宋体"/>
          <w:b/>
          <w:sz w:val="24"/>
          <w:szCs w:val="24"/>
        </w:rPr>
      </w:pPr>
      <w:bookmarkStart w:id="218" w:name="_Toc14335"/>
      <w:bookmarkStart w:id="219" w:name="_Toc12328"/>
      <w:bookmarkStart w:id="220" w:name="_Toc32304"/>
      <w:bookmarkStart w:id="221" w:name="_Toc3299"/>
      <w:r>
        <w:rPr>
          <w:rFonts w:hint="eastAsia" w:ascii="宋体" w:hAnsi="宋体" w:eastAsia="宋体" w:cs="宋体"/>
          <w:b/>
          <w:sz w:val="24"/>
          <w:szCs w:val="24"/>
        </w:rPr>
        <w:t>评审程序</w:t>
      </w:r>
      <w:bookmarkEnd w:id="218"/>
      <w:bookmarkEnd w:id="219"/>
      <w:bookmarkEnd w:id="220"/>
      <w:bookmarkEnd w:id="221"/>
    </w:p>
    <w:p w14:paraId="0ABB4BCE">
      <w:pPr>
        <w:pStyle w:val="13"/>
        <w:pBdr>
          <w:top w:val="none" w:color="auto" w:sz="0" w:space="1"/>
          <w:left w:val="none" w:color="auto" w:sz="0" w:space="1"/>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3.1 推选评审委员会（磋商小组）组长，组长与其他成员有同等表决权。</w:t>
      </w:r>
    </w:p>
    <w:p w14:paraId="7C6FFCAD">
      <w:pPr>
        <w:pStyle w:val="13"/>
        <w:pBdr>
          <w:top w:val="none" w:color="auto" w:sz="0" w:space="1"/>
          <w:left w:val="none" w:color="auto" w:sz="0" w:space="1"/>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3.2 评审委员会成员阅读和研究竞争性磋商文件，了解和熟悉本次竞争性磋商的目标、范围、性质、主要技术要求、评审标准、评审方法和在评审过程中考虑的相关因素。</w:t>
      </w:r>
    </w:p>
    <w:p w14:paraId="7D5B9D6F">
      <w:pPr>
        <w:pStyle w:val="13"/>
        <w:pBdr>
          <w:top w:val="none" w:color="auto" w:sz="0" w:space="1"/>
          <w:left w:val="none" w:color="auto" w:sz="0" w:space="1"/>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3.3 对磋商响应文件进行评审和比较，记录各家潜在供应商的优点和缺陷。</w:t>
      </w:r>
    </w:p>
    <w:p w14:paraId="56EA3BC4">
      <w:pPr>
        <w:pStyle w:val="13"/>
        <w:pBdr>
          <w:top w:val="none" w:color="auto" w:sz="0" w:space="1"/>
          <w:left w:val="none" w:color="auto" w:sz="0" w:space="1"/>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3.4 评审委员会成员就磋商响应文件发表专业的、客观的、公正的意见。为公平起见，每个成员对磋商响应文件有任何质疑，应当在讨论时向评审委员会提出</w:t>
      </w:r>
      <w:r>
        <w:rPr>
          <w:rFonts w:hint="eastAsia" w:ascii="宋体" w:hAnsi="宋体" w:eastAsia="宋体" w:cs="宋体"/>
          <w:kern w:val="0"/>
          <w:sz w:val="24"/>
          <w:szCs w:val="24"/>
          <w:lang w:eastAsia="zh-CN"/>
        </w:rPr>
        <w:t>，在</w:t>
      </w:r>
      <w:r>
        <w:rPr>
          <w:rFonts w:hint="eastAsia" w:ascii="宋体" w:hAnsi="宋体" w:eastAsia="宋体" w:cs="宋体"/>
          <w:kern w:val="0"/>
          <w:sz w:val="24"/>
          <w:szCs w:val="24"/>
        </w:rPr>
        <w:t>排序结果公布后才提出的质疑，不可作为改变排序结果的依据。</w:t>
      </w:r>
    </w:p>
    <w:p w14:paraId="70C9B381">
      <w:pPr>
        <w:pStyle w:val="13"/>
        <w:pBdr>
          <w:top w:val="none" w:color="auto" w:sz="0" w:space="1"/>
          <w:left w:val="none" w:color="auto" w:sz="0" w:space="1"/>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3.5 评审委员会各成员应自主评审，并签字确认。</w:t>
      </w:r>
    </w:p>
    <w:p w14:paraId="25EFF6CA">
      <w:pPr>
        <w:pStyle w:val="13"/>
        <w:pBdr>
          <w:top w:val="none" w:color="auto" w:sz="0" w:space="1"/>
          <w:left w:val="none" w:color="auto" w:sz="0" w:space="1"/>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3.6 初步评审</w:t>
      </w:r>
    </w:p>
    <w:p w14:paraId="345E098D">
      <w:pPr>
        <w:pStyle w:val="13"/>
        <w:pBdr>
          <w:top w:val="none" w:color="auto" w:sz="0" w:space="1"/>
          <w:left w:val="none" w:color="auto" w:sz="0" w:space="1"/>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3.6.1评审委员会依据本章第2.1款</w:t>
      </w:r>
      <w:r>
        <w:rPr>
          <w:rFonts w:hint="eastAsia" w:ascii="宋体" w:hAnsi="宋体" w:eastAsia="宋体" w:cs="宋体"/>
          <w:kern w:val="0"/>
          <w:sz w:val="24"/>
          <w:szCs w:val="24"/>
          <w:lang w:eastAsia="zh-CN"/>
        </w:rPr>
        <w:t>规定</w:t>
      </w:r>
      <w:r>
        <w:rPr>
          <w:rFonts w:hint="eastAsia" w:ascii="宋体" w:hAnsi="宋体" w:eastAsia="宋体" w:cs="宋体"/>
          <w:kern w:val="0"/>
          <w:sz w:val="24"/>
          <w:szCs w:val="24"/>
        </w:rPr>
        <w:t>确定成交</w:t>
      </w:r>
      <w:r>
        <w:rPr>
          <w:rFonts w:hint="eastAsia" w:ascii="宋体" w:hAnsi="宋体" w:eastAsia="宋体" w:cs="宋体"/>
          <w:kern w:val="0"/>
          <w:sz w:val="24"/>
          <w:szCs w:val="24"/>
          <w:lang w:eastAsia="zh-CN"/>
        </w:rPr>
        <w:t>人</w:t>
      </w:r>
      <w:r>
        <w:rPr>
          <w:rFonts w:hint="eastAsia" w:ascii="宋体" w:hAnsi="宋体" w:eastAsia="宋体" w:cs="宋体"/>
          <w:kern w:val="0"/>
          <w:sz w:val="24"/>
          <w:szCs w:val="24"/>
        </w:rPr>
        <w:t>对磋商响应文件进行初步评审。有一项不符合评审标准的，评审委员会应当否决其磋商。</w:t>
      </w:r>
    </w:p>
    <w:p w14:paraId="7AA5E116">
      <w:pPr>
        <w:pStyle w:val="13"/>
        <w:pBdr>
          <w:top w:val="none" w:color="auto" w:sz="0" w:space="1"/>
          <w:left w:val="none" w:color="auto" w:sz="0" w:space="1"/>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3.6.2潜在供应商有以下情形之一的，评审委员会应当否决其磋商：</w:t>
      </w:r>
    </w:p>
    <w:p w14:paraId="43519595">
      <w:pPr>
        <w:pStyle w:val="13"/>
        <w:pBdr>
          <w:top w:val="none" w:color="auto" w:sz="0" w:space="1"/>
          <w:left w:val="none" w:color="auto" w:sz="0" w:space="1"/>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（1）磋商响应文件没有对竞争性磋商文件的实质性要求和条件作出响应</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或者对竞争性磋商文件的偏差超出竞争性磋商文件规定的偏差范围或最高项数；</w:t>
      </w:r>
    </w:p>
    <w:p w14:paraId="627B5FC3">
      <w:pPr>
        <w:pStyle w:val="13"/>
        <w:pBdr>
          <w:top w:val="none" w:color="auto" w:sz="0" w:space="1"/>
          <w:left w:val="none" w:color="auto" w:sz="0" w:space="1"/>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（2）有串通磋商、弄虚作假、行贿等违法行为。</w:t>
      </w:r>
    </w:p>
    <w:p w14:paraId="7D3F82F3">
      <w:pPr>
        <w:pStyle w:val="13"/>
        <w:pBdr>
          <w:top w:val="none" w:color="auto" w:sz="0" w:space="1"/>
          <w:left w:val="none" w:color="auto" w:sz="0" w:space="1"/>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3.6.3磋商报价有算术错误及其他错误的，评审委员会按以下原则要求潜在供应商对磋商报价进行修正，并要求潜在供应商书面澄清确认。潜在供应商拒不澄清确认的，评审委员会应当否决其磋商：</w:t>
      </w:r>
    </w:p>
    <w:p w14:paraId="7B708D19">
      <w:pPr>
        <w:pStyle w:val="13"/>
        <w:pBdr>
          <w:top w:val="none" w:color="auto" w:sz="0" w:space="1"/>
          <w:left w:val="none" w:color="auto" w:sz="0" w:space="1"/>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3.磋商响应文件报价出现前后不一致的，除磋商文件另有规定外，按照下列规定修正：</w:t>
      </w:r>
    </w:p>
    <w:p w14:paraId="4DC1EB3E">
      <w:pPr>
        <w:pStyle w:val="13"/>
        <w:pBdr>
          <w:top w:val="none" w:color="auto" w:sz="0" w:space="1"/>
          <w:left w:val="none" w:color="auto" w:sz="0" w:space="1"/>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㈠磋商响应文件中磋商报价表内容与磋商响应文件中相应内容不一致的，以磋商报价表为准；</w:t>
      </w:r>
    </w:p>
    <w:p w14:paraId="71025888">
      <w:pPr>
        <w:pStyle w:val="13"/>
        <w:pBdr>
          <w:top w:val="none" w:color="auto" w:sz="0" w:space="1"/>
          <w:left w:val="none" w:color="auto" w:sz="0" w:space="1"/>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㈡大写金额和小写金额不一致的，以大写金额为准；</w:t>
      </w:r>
    </w:p>
    <w:p w14:paraId="7859D44E">
      <w:pPr>
        <w:pStyle w:val="13"/>
        <w:pBdr>
          <w:top w:val="none" w:color="auto" w:sz="0" w:space="1"/>
          <w:left w:val="none" w:color="auto" w:sz="0" w:space="1"/>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㈢单价金额小数点或者百分比有明显错位的，以磋商报价表的总价为准，并修改单价；</w:t>
      </w:r>
    </w:p>
    <w:p w14:paraId="12FDCCBD">
      <w:pPr>
        <w:pStyle w:val="13"/>
        <w:pBdr>
          <w:top w:val="none" w:color="auto" w:sz="0" w:space="1"/>
          <w:left w:val="none" w:color="auto" w:sz="0" w:space="1"/>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㈣总价金额与按单价汇总金额不一致的，以单价金额计算结果为准。</w:t>
      </w:r>
    </w:p>
    <w:p w14:paraId="235C70BB">
      <w:pPr>
        <w:pStyle w:val="13"/>
        <w:pBdr>
          <w:top w:val="none" w:color="auto" w:sz="0" w:space="1"/>
          <w:left w:val="none" w:color="auto" w:sz="0" w:space="1"/>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3.7详细评审</w:t>
      </w:r>
    </w:p>
    <w:p w14:paraId="70609890">
      <w:pPr>
        <w:pStyle w:val="13"/>
        <w:pBdr>
          <w:top w:val="none" w:color="auto" w:sz="0" w:space="1"/>
          <w:left w:val="none" w:color="auto" w:sz="0" w:space="1"/>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3.7.1评审委员会发现潜在供应商的报价明显低于</w:t>
      </w:r>
      <w:r>
        <w:rPr>
          <w:rFonts w:hint="eastAsia" w:ascii="宋体" w:hAnsi="宋体" w:eastAsia="宋体" w:cs="宋体"/>
          <w:kern w:val="0"/>
          <w:sz w:val="24"/>
          <w:szCs w:val="24"/>
          <w:lang w:eastAsia="zh-CN"/>
        </w:rPr>
        <w:t>其他</w:t>
      </w:r>
      <w:r>
        <w:rPr>
          <w:rFonts w:hint="eastAsia" w:ascii="宋体" w:hAnsi="宋体" w:eastAsia="宋体" w:cs="宋体"/>
          <w:kern w:val="0"/>
          <w:sz w:val="24"/>
          <w:szCs w:val="24"/>
        </w:rPr>
        <w:t>磋商报价，使得其磋商报价可能低于其成本的，应当要求该潜在供应商作出书面说明并提供相应的证明材料。潜在供应商不能合理说明或者不能提供相应证明材料的，由评审委员会认定该潜在供应商以低于成本报价竞标，并否决其磋商。</w:t>
      </w:r>
    </w:p>
    <w:p w14:paraId="2656E1DD">
      <w:pPr>
        <w:pStyle w:val="13"/>
        <w:pBdr>
          <w:top w:val="none" w:color="auto" w:sz="0" w:space="1"/>
          <w:left w:val="none" w:color="auto" w:sz="0" w:space="1"/>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3.7.2 本项目采用综合评分法，满分为100分。各评委对通过初步评审的磋商响应文件进行详细评审。</w:t>
      </w:r>
    </w:p>
    <w:p w14:paraId="22431DA3">
      <w:pPr>
        <w:pStyle w:val="13"/>
        <w:pBdr>
          <w:top w:val="none" w:color="auto" w:sz="0" w:space="1"/>
          <w:left w:val="none" w:color="auto" w:sz="0" w:space="1"/>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3.7.3 统计分数原则：按竞争性磋商文件中规定的各项评审因素进行综合评审后分别独立评分，将各评委的评分汇总后计算算术平均值，平均后各项评分因素得分的和为潜在供应商的评审总得分（四舍五入，保留两位小数）。</w:t>
      </w:r>
    </w:p>
    <w:p w14:paraId="0E085D62">
      <w:pPr>
        <w:pStyle w:val="59"/>
        <w:pBdr>
          <w:top w:val="none" w:color="auto" w:sz="0" w:space="1"/>
          <w:left w:val="none" w:color="auto" w:sz="0" w:space="1"/>
          <w:bottom w:val="none" w:color="auto" w:sz="0" w:space="1"/>
          <w:right w:val="none" w:color="auto" w:sz="0" w:space="4"/>
        </w:pBdr>
        <w:spacing w:line="360" w:lineRule="auto"/>
        <w:ind w:firstLine="482"/>
        <w:outlineLvl w:val="1"/>
        <w:rPr>
          <w:rFonts w:hint="eastAsia" w:ascii="宋体" w:hAnsi="宋体" w:eastAsia="宋体" w:cs="宋体"/>
          <w:b/>
          <w:sz w:val="24"/>
          <w:szCs w:val="24"/>
        </w:rPr>
      </w:pPr>
      <w:bookmarkStart w:id="222" w:name="_Toc17001"/>
      <w:bookmarkStart w:id="223" w:name="_Toc9773"/>
      <w:bookmarkStart w:id="224" w:name="_Toc20086"/>
      <w:bookmarkStart w:id="225" w:name="_Toc12839"/>
      <w:r>
        <w:rPr>
          <w:rFonts w:hint="eastAsia" w:ascii="宋体" w:hAnsi="宋体" w:eastAsia="宋体" w:cs="宋体"/>
          <w:b/>
          <w:sz w:val="24"/>
          <w:szCs w:val="24"/>
        </w:rPr>
        <w:t>4. 磋商响应文件的澄清</w:t>
      </w:r>
      <w:bookmarkEnd w:id="222"/>
      <w:bookmarkEnd w:id="223"/>
      <w:bookmarkEnd w:id="224"/>
      <w:bookmarkEnd w:id="225"/>
    </w:p>
    <w:p w14:paraId="0BD17AB7">
      <w:pPr>
        <w:pStyle w:val="13"/>
        <w:pBdr>
          <w:top w:val="none" w:color="auto" w:sz="0" w:space="1"/>
          <w:left w:val="none" w:color="auto" w:sz="0" w:space="1"/>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4.1 在评审过程中，评审委员会可以书面形式要求潜在供应商对磋商响应文件中含义不明确、对同类问题表述不一致或者有明显文字和计算错误的内容</w:t>
      </w:r>
      <w:r>
        <w:rPr>
          <w:rFonts w:hint="eastAsia" w:ascii="宋体" w:hAnsi="宋体" w:eastAsia="宋体" w:cs="宋体"/>
          <w:kern w:val="0"/>
          <w:sz w:val="24"/>
          <w:szCs w:val="24"/>
          <w:lang w:eastAsia="zh-CN"/>
        </w:rPr>
        <w:t>做必要</w:t>
      </w:r>
      <w:r>
        <w:rPr>
          <w:rFonts w:hint="eastAsia" w:ascii="宋体" w:hAnsi="宋体" w:eastAsia="宋体" w:cs="宋体"/>
          <w:kern w:val="0"/>
          <w:sz w:val="24"/>
          <w:szCs w:val="24"/>
        </w:rPr>
        <w:t>的澄清、说明或补正。澄清、说明或补正应以书面方式进行。评审委员会不接受潜在供应商主动提出的澄清、说明或补正。</w:t>
      </w:r>
    </w:p>
    <w:p w14:paraId="14E873D0">
      <w:pPr>
        <w:pStyle w:val="13"/>
        <w:pBdr>
          <w:top w:val="none" w:color="auto" w:sz="0" w:space="1"/>
          <w:left w:val="none" w:color="auto" w:sz="0" w:space="1"/>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4.2 澄清、说明或补正不得超出磋商响应文件的范围且不得改变磋商响应文件的实质性内容，并构成磋商响应文件的组成部分。</w:t>
      </w:r>
    </w:p>
    <w:p w14:paraId="6D93A521">
      <w:pPr>
        <w:pStyle w:val="13"/>
        <w:pBdr>
          <w:top w:val="none" w:color="auto" w:sz="0" w:space="1"/>
          <w:left w:val="none" w:color="auto" w:sz="0" w:space="1"/>
          <w:bottom w:val="none" w:color="auto" w:sz="0" w:space="1"/>
          <w:right w:val="none" w:color="auto" w:sz="0" w:space="4"/>
        </w:pBd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4.3 评审委员会对潜在供应商提交的澄清、说明或补正有疑问的，可以要求潜在供应商进一步澄清、说明或补正，直至满足评审委员会的要求。</w:t>
      </w:r>
    </w:p>
    <w:p w14:paraId="48663A32">
      <w:pPr>
        <w:pStyle w:val="59"/>
        <w:pBdr>
          <w:top w:val="none" w:color="auto" w:sz="0" w:space="1"/>
          <w:left w:val="none" w:color="auto" w:sz="0" w:space="1"/>
          <w:bottom w:val="none" w:color="auto" w:sz="0" w:space="1"/>
          <w:right w:val="none" w:color="auto" w:sz="0" w:space="4"/>
        </w:pBdr>
        <w:spacing w:line="360" w:lineRule="auto"/>
        <w:ind w:firstLine="482"/>
        <w:outlineLvl w:val="1"/>
        <w:rPr>
          <w:rFonts w:hint="eastAsia" w:ascii="宋体" w:hAnsi="宋体" w:eastAsia="宋体" w:cs="宋体"/>
          <w:b/>
          <w:sz w:val="24"/>
          <w:szCs w:val="24"/>
        </w:rPr>
      </w:pPr>
      <w:bookmarkStart w:id="226" w:name="_Toc20923"/>
      <w:bookmarkStart w:id="227" w:name="_Toc23352"/>
      <w:bookmarkStart w:id="228" w:name="_Toc17613"/>
      <w:bookmarkStart w:id="229" w:name="_Toc23251"/>
      <w:r>
        <w:rPr>
          <w:rFonts w:hint="eastAsia" w:ascii="宋体" w:hAnsi="宋体" w:eastAsia="宋体" w:cs="宋体"/>
          <w:b/>
          <w:sz w:val="24"/>
          <w:szCs w:val="24"/>
        </w:rPr>
        <w:t>5. 评审结果</w:t>
      </w:r>
      <w:bookmarkEnd w:id="226"/>
      <w:bookmarkEnd w:id="227"/>
      <w:bookmarkEnd w:id="228"/>
      <w:bookmarkEnd w:id="229"/>
    </w:p>
    <w:p w14:paraId="4D4F8721">
      <w:pPr>
        <w:pBdr>
          <w:top w:val="none" w:color="auto" w:sz="0" w:space="1"/>
          <w:left w:val="none" w:color="auto" w:sz="0" w:space="1"/>
          <w:bottom w:val="none" w:color="auto" w:sz="0" w:space="1"/>
          <w:right w:val="none" w:color="auto" w:sz="0" w:space="4"/>
        </w:pBdr>
        <w:spacing w:line="360" w:lineRule="auto"/>
        <w:ind w:firstLine="480"/>
        <w:contextualSpacing/>
        <w:rPr>
          <w:rFonts w:hint="eastAsia" w:ascii="宋体" w:hAnsi="宋体" w:eastAsia="宋体" w:cs="宋体"/>
          <w:sz w:val="24"/>
          <w:szCs w:val="24"/>
        </w:rPr>
      </w:pPr>
      <w:r>
        <w:rPr>
          <w:rFonts w:hint="eastAsia" w:ascii="宋体" w:hAnsi="宋体" w:eastAsia="宋体" w:cs="宋体"/>
          <w:sz w:val="24"/>
          <w:szCs w:val="24"/>
        </w:rPr>
        <w:t>（1）评审委员将根据评审后的评审总得分由高到低顺序排列推荐3名成交人候选人，并标明排序。</w:t>
      </w:r>
    </w:p>
    <w:p w14:paraId="24ACD2F5">
      <w:pPr>
        <w:pBdr>
          <w:top w:val="none" w:color="auto" w:sz="0" w:space="1"/>
          <w:left w:val="none" w:color="auto" w:sz="0" w:space="1"/>
          <w:bottom w:val="none" w:color="auto" w:sz="0" w:space="1"/>
          <w:right w:val="none" w:color="auto" w:sz="0" w:space="4"/>
        </w:pBdr>
        <w:spacing w:line="360" w:lineRule="auto"/>
        <w:ind w:firstLine="480"/>
        <w:contextualSpacing/>
        <w:rPr>
          <w:rFonts w:hint="eastAsia" w:ascii="宋体" w:hAnsi="宋体" w:eastAsia="宋体" w:cs="宋体"/>
          <w:sz w:val="24"/>
          <w:szCs w:val="24"/>
        </w:rPr>
      </w:pPr>
      <w:r>
        <w:rPr>
          <w:rFonts w:hint="eastAsia" w:ascii="宋体" w:hAnsi="宋体" w:eastAsia="宋体" w:cs="宋体"/>
          <w:sz w:val="24"/>
          <w:szCs w:val="24"/>
        </w:rPr>
        <w:t>（2）如果评审委员会根据本章的规定作废标处理后，有效磋商不足三个，且少于第二章“潜在供应商须知”前附表第6.3.2款规定的成交人候选人数量的，则评审委员会可以将所有有效磋商按最终得分由高至低的次序作为成交人候选人向采购人推荐。如果因有效磋商不足三个使得磋商明显缺乏竞争的，评审委员会可以建议采购人重新竞争性磋商。</w:t>
      </w:r>
    </w:p>
    <w:p w14:paraId="774BC21E">
      <w:pPr>
        <w:pBdr>
          <w:top w:val="none" w:color="auto" w:sz="0" w:space="1"/>
          <w:left w:val="none" w:color="auto" w:sz="0" w:space="1"/>
          <w:bottom w:val="none" w:color="auto" w:sz="0" w:space="1"/>
          <w:right w:val="none" w:color="auto" w:sz="0" w:space="4"/>
        </w:pBdr>
        <w:spacing w:line="360" w:lineRule="auto"/>
        <w:ind w:firstLine="480"/>
        <w:contextualSpacing/>
        <w:rPr>
          <w:rFonts w:hint="eastAsia" w:ascii="宋体" w:hAnsi="宋体" w:eastAsia="宋体" w:cs="宋体"/>
          <w:sz w:val="24"/>
          <w:szCs w:val="24"/>
        </w:rPr>
      </w:pPr>
      <w:r>
        <w:rPr>
          <w:rFonts w:hint="eastAsia" w:ascii="宋体" w:hAnsi="宋体" w:eastAsia="宋体" w:cs="宋体"/>
          <w:sz w:val="24"/>
          <w:szCs w:val="24"/>
        </w:rPr>
        <w:t>（3）评审委员会完成评审后，应当向采购人提交书面评审报告和成交人候选人名单，采购人根据推荐排名第一的成交人候选人为成交人。</w:t>
      </w:r>
    </w:p>
    <w:p w14:paraId="3CA0C860">
      <w:pPr>
        <w:keepNext w:val="0"/>
        <w:keepLines w:val="0"/>
        <w:pageBreakBefore w:val="0"/>
        <w:widowControl w:val="0"/>
        <w:pBdr>
          <w:top w:val="none" w:color="auto" w:sz="0" w:space="1"/>
          <w:left w:val="none" w:color="auto" w:sz="0" w:space="1"/>
          <w:bottom w:val="none" w:color="auto" w:sz="0" w:space="1"/>
          <w:right w:val="none" w:color="auto" w:sz="0" w:space="4"/>
        </w:pBdr>
        <w:kinsoku/>
        <w:wordWrap/>
        <w:overflowPunct/>
        <w:topLinePunct w:val="0"/>
        <w:autoSpaceDE/>
        <w:autoSpaceDN/>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注：1.评审委员会发现采购文件存在歧义、重大缺陷导致评审工作无法进行，或者采购文件内容违反国家有关规定的，要停止评审工作并向采购人或集采机构书面说明情况，采购人或集采机构应当修改采购文件后重新组织采购活动；发现潜在供应商提供虚假材料、串通等违法违规行为的，要及时向采购人或集采机构报告。</w:t>
      </w:r>
    </w:p>
    <w:p w14:paraId="192DC003">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
          <w:sz w:val="24"/>
          <w:szCs w:val="24"/>
        </w:rPr>
        <w:t>评审中若遇特殊问题，由评审委员会根据有关</w:t>
      </w:r>
      <w:r>
        <w:rPr>
          <w:rFonts w:hint="eastAsia" w:ascii="宋体" w:hAnsi="宋体" w:eastAsia="宋体" w:cs="宋体"/>
          <w:b/>
          <w:sz w:val="24"/>
          <w:szCs w:val="24"/>
          <w:lang w:eastAsia="zh-CN"/>
        </w:rPr>
        <w:t>法律法规</w:t>
      </w:r>
      <w:r>
        <w:rPr>
          <w:rFonts w:hint="eastAsia" w:ascii="宋体" w:hAnsi="宋体" w:eastAsia="宋体" w:cs="宋体"/>
          <w:b/>
          <w:sz w:val="24"/>
          <w:szCs w:val="24"/>
        </w:rPr>
        <w:t>、规定研究决定。</w:t>
      </w:r>
    </w:p>
    <w:p w14:paraId="43F23A30">
      <w:pPr>
        <w:keepNext w:val="0"/>
        <w:keepLines w:val="0"/>
        <w:pageBreakBefore w:val="0"/>
        <w:widowControl w:val="0"/>
        <w:kinsoku/>
        <w:wordWrap/>
        <w:overflowPunct/>
        <w:topLinePunct w:val="0"/>
        <w:autoSpaceDE/>
        <w:autoSpaceDN/>
        <w:bidi w:val="0"/>
        <w:spacing w:line="360" w:lineRule="auto"/>
        <w:ind w:left="-147"/>
        <w:textAlignment w:val="auto"/>
        <w:rPr>
          <w:rFonts w:hint="eastAsia" w:ascii="宋体" w:hAnsi="宋体" w:eastAsia="宋体" w:cs="宋体"/>
          <w:color w:val="auto"/>
          <w:sz w:val="24"/>
          <w:szCs w:val="24"/>
        </w:rPr>
      </w:pPr>
    </w:p>
    <w:p w14:paraId="40292224">
      <w:pPr>
        <w:keepNext w:val="0"/>
        <w:keepLines w:val="0"/>
        <w:pageBreakBefore w:val="0"/>
        <w:widowControl w:val="0"/>
        <w:kinsoku/>
        <w:wordWrap/>
        <w:overflowPunct/>
        <w:topLinePunct w:val="0"/>
        <w:autoSpaceDE/>
        <w:autoSpaceDN/>
        <w:bidi w:val="0"/>
        <w:spacing w:line="360" w:lineRule="auto"/>
        <w:ind w:left="-147"/>
        <w:textAlignment w:val="auto"/>
        <w:rPr>
          <w:rFonts w:hint="eastAsia" w:ascii="宋体" w:hAnsi="宋体" w:eastAsia="宋体" w:cs="宋体"/>
          <w:color w:val="auto"/>
          <w:sz w:val="24"/>
          <w:szCs w:val="24"/>
        </w:rPr>
      </w:pPr>
    </w:p>
    <w:p w14:paraId="17510D41">
      <w:pPr>
        <w:keepNext w:val="0"/>
        <w:keepLines w:val="0"/>
        <w:pageBreakBefore w:val="0"/>
        <w:widowControl w:val="0"/>
        <w:kinsoku/>
        <w:wordWrap/>
        <w:overflowPunct/>
        <w:topLinePunct w:val="0"/>
        <w:autoSpaceDE/>
        <w:autoSpaceDN/>
        <w:bidi w:val="0"/>
        <w:spacing w:line="360" w:lineRule="auto"/>
        <w:ind w:left="-147"/>
        <w:textAlignment w:val="auto"/>
        <w:rPr>
          <w:rFonts w:hint="eastAsia" w:ascii="宋体" w:hAnsi="宋体" w:eastAsia="宋体" w:cs="宋体"/>
          <w:color w:val="auto"/>
          <w:sz w:val="24"/>
          <w:szCs w:val="24"/>
        </w:rPr>
      </w:pPr>
    </w:p>
    <w:p w14:paraId="6CC79C17">
      <w:pPr>
        <w:keepNext w:val="0"/>
        <w:keepLines w:val="0"/>
        <w:pageBreakBefore w:val="0"/>
        <w:widowControl w:val="0"/>
        <w:kinsoku/>
        <w:wordWrap/>
        <w:overflowPunct/>
        <w:topLinePunct w:val="0"/>
        <w:autoSpaceDE/>
        <w:autoSpaceDN/>
        <w:bidi w:val="0"/>
        <w:spacing w:line="360" w:lineRule="auto"/>
        <w:ind w:left="-147"/>
        <w:textAlignment w:val="auto"/>
        <w:rPr>
          <w:rFonts w:hint="eastAsia" w:ascii="宋体" w:hAnsi="宋体" w:eastAsia="宋体" w:cs="宋体"/>
          <w:color w:val="auto"/>
          <w:sz w:val="24"/>
          <w:szCs w:val="24"/>
        </w:rPr>
      </w:pPr>
    </w:p>
    <w:p w14:paraId="56D735B3">
      <w:pPr>
        <w:keepNext w:val="0"/>
        <w:keepLines w:val="0"/>
        <w:pageBreakBefore w:val="0"/>
        <w:widowControl w:val="0"/>
        <w:kinsoku/>
        <w:wordWrap/>
        <w:overflowPunct/>
        <w:topLinePunct w:val="0"/>
        <w:autoSpaceDE/>
        <w:autoSpaceDN/>
        <w:bidi w:val="0"/>
        <w:spacing w:line="360" w:lineRule="auto"/>
        <w:ind w:left="-147"/>
        <w:textAlignment w:val="auto"/>
        <w:rPr>
          <w:rFonts w:hint="eastAsia" w:ascii="宋体" w:hAnsi="宋体" w:eastAsia="宋体" w:cs="宋体"/>
          <w:color w:val="auto"/>
          <w:sz w:val="24"/>
          <w:szCs w:val="24"/>
        </w:rPr>
      </w:pPr>
    </w:p>
    <w:p w14:paraId="5CD9CC8F">
      <w:pPr>
        <w:keepNext w:val="0"/>
        <w:keepLines w:val="0"/>
        <w:pageBreakBefore w:val="0"/>
        <w:widowControl w:val="0"/>
        <w:kinsoku/>
        <w:wordWrap/>
        <w:overflowPunct/>
        <w:topLinePunct w:val="0"/>
        <w:autoSpaceDE/>
        <w:autoSpaceDN/>
        <w:bidi w:val="0"/>
        <w:spacing w:line="360" w:lineRule="auto"/>
        <w:ind w:left="-147"/>
        <w:textAlignment w:val="auto"/>
        <w:rPr>
          <w:rFonts w:hint="eastAsia" w:ascii="宋体" w:hAnsi="宋体" w:eastAsia="宋体" w:cs="宋体"/>
          <w:color w:val="auto"/>
          <w:sz w:val="24"/>
          <w:szCs w:val="24"/>
        </w:rPr>
      </w:pPr>
    </w:p>
    <w:p w14:paraId="381B2149">
      <w:pPr>
        <w:keepNext w:val="0"/>
        <w:keepLines w:val="0"/>
        <w:pageBreakBefore w:val="0"/>
        <w:widowControl w:val="0"/>
        <w:kinsoku/>
        <w:wordWrap/>
        <w:overflowPunct/>
        <w:topLinePunct w:val="0"/>
        <w:autoSpaceDE/>
        <w:autoSpaceDN/>
        <w:bidi w:val="0"/>
        <w:spacing w:line="360" w:lineRule="auto"/>
        <w:ind w:left="-147"/>
        <w:textAlignment w:val="auto"/>
        <w:rPr>
          <w:rFonts w:hint="eastAsia" w:ascii="宋体" w:hAnsi="宋体" w:eastAsia="宋体" w:cs="宋体"/>
          <w:color w:val="auto"/>
          <w:sz w:val="24"/>
          <w:szCs w:val="24"/>
        </w:rPr>
      </w:pPr>
    </w:p>
    <w:p w14:paraId="7E43C1A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szCs w:val="24"/>
        </w:rPr>
      </w:pPr>
      <w:bookmarkStart w:id="230" w:name="OLE_LINK5"/>
      <w:r>
        <w:rPr>
          <w:rFonts w:hint="eastAsia" w:ascii="宋体" w:hAnsi="宋体" w:eastAsia="宋体" w:cs="宋体"/>
          <w:color w:val="auto"/>
          <w:sz w:val="24"/>
          <w:szCs w:val="24"/>
        </w:rPr>
        <w:br w:type="page"/>
      </w:r>
    </w:p>
    <w:p w14:paraId="2E448F16">
      <w:pPr>
        <w:pStyle w:val="2"/>
        <w:jc w:val="center"/>
        <w:rPr>
          <w:rFonts w:hint="eastAsia" w:ascii="宋体" w:hAnsi="宋体" w:eastAsia="宋体" w:cs="宋体"/>
          <w:color w:val="auto"/>
          <w:sz w:val="24"/>
          <w:szCs w:val="24"/>
        </w:rPr>
      </w:pPr>
      <w:bookmarkStart w:id="231" w:name="_Toc17111"/>
      <w:r>
        <w:rPr>
          <w:rFonts w:hint="eastAsia" w:ascii="宋体" w:hAnsi="宋体" w:eastAsia="宋体" w:cs="宋体"/>
          <w:color w:val="auto"/>
          <w:sz w:val="24"/>
          <w:szCs w:val="24"/>
        </w:rPr>
        <w:t>第四章 竞争性磋商响应文件格式</w:t>
      </w:r>
      <w:bookmarkEnd w:id="230"/>
      <w:bookmarkEnd w:id="231"/>
    </w:p>
    <w:p w14:paraId="0A52EFB2">
      <w:pPr>
        <w:spacing w:line="240" w:lineRule="auto"/>
        <w:ind w:firstLine="924"/>
        <w:jc w:val="center"/>
        <w:rPr>
          <w:rFonts w:hint="eastAsia" w:ascii="宋体" w:hAnsi="宋体" w:eastAsia="宋体" w:cs="宋体"/>
          <w:b/>
          <w:bCs/>
          <w:color w:val="auto"/>
          <w:sz w:val="24"/>
          <w:szCs w:val="24"/>
        </w:rPr>
      </w:pPr>
    </w:p>
    <w:p w14:paraId="23436814">
      <w:pPr>
        <w:spacing w:line="240" w:lineRule="auto"/>
        <w:ind w:left="0" w:leftChars="0" w:firstLine="0" w:firstLineChars="0"/>
        <w:jc w:val="center"/>
        <w:rPr>
          <w:rFonts w:hint="eastAsia" w:ascii="宋体" w:hAnsi="宋体" w:eastAsia="宋体" w:cs="宋体"/>
          <w:b/>
          <w:color w:val="auto"/>
          <w:kern w:val="0"/>
          <w:sz w:val="24"/>
          <w:szCs w:val="24"/>
          <w:lang w:eastAsia="zh-CN"/>
        </w:rPr>
      </w:pPr>
    </w:p>
    <w:p w14:paraId="76884D03">
      <w:pPr>
        <w:spacing w:line="240" w:lineRule="auto"/>
        <w:ind w:left="0" w:leftChars="0" w:firstLine="0" w:firstLineChars="0"/>
        <w:jc w:val="center"/>
        <w:rPr>
          <w:rFonts w:hint="eastAsia" w:ascii="宋体" w:hAnsi="宋体" w:eastAsia="宋体" w:cs="宋体"/>
          <w:b/>
          <w:color w:val="auto"/>
          <w:kern w:val="0"/>
          <w:sz w:val="24"/>
          <w:szCs w:val="24"/>
          <w:lang w:eastAsia="zh-CN"/>
        </w:rPr>
      </w:pPr>
    </w:p>
    <w:p w14:paraId="55C915C3">
      <w:pPr>
        <w:spacing w:line="240" w:lineRule="auto"/>
        <w:ind w:left="0" w:leftChars="0" w:firstLine="0" w:firstLineChars="0"/>
        <w:jc w:val="center"/>
        <w:rPr>
          <w:rFonts w:hint="eastAsia" w:ascii="宋体" w:hAnsi="宋体" w:eastAsia="宋体" w:cs="宋体"/>
          <w:b/>
          <w:color w:val="auto"/>
          <w:kern w:val="0"/>
          <w:sz w:val="24"/>
          <w:szCs w:val="24"/>
          <w:lang w:eastAsia="zh-CN"/>
        </w:rPr>
      </w:pPr>
    </w:p>
    <w:p w14:paraId="4A3AD660">
      <w:pPr>
        <w:spacing w:line="240" w:lineRule="auto"/>
        <w:ind w:left="0" w:leftChars="0" w:firstLine="0" w:firstLineChars="0"/>
        <w:jc w:val="center"/>
        <w:rPr>
          <w:rFonts w:hint="eastAsia" w:ascii="宋体" w:hAnsi="宋体" w:eastAsia="宋体" w:cs="宋体"/>
          <w:b/>
          <w:bCs/>
          <w:color w:val="auto"/>
          <w:sz w:val="24"/>
          <w:szCs w:val="24"/>
        </w:rPr>
      </w:pPr>
      <w:r>
        <w:rPr>
          <w:rFonts w:hint="eastAsia" w:ascii="宋体" w:hAnsi="宋体" w:cs="宋体"/>
          <w:b/>
          <w:color w:val="auto"/>
          <w:kern w:val="0"/>
          <w:sz w:val="24"/>
          <w:szCs w:val="24"/>
          <w:lang w:eastAsia="zh-CN"/>
        </w:rPr>
        <w:t>蒙自市文澜中心学校采购保安服务（三次）</w:t>
      </w:r>
    </w:p>
    <w:p w14:paraId="58A376EC">
      <w:pPr>
        <w:spacing w:line="240" w:lineRule="auto"/>
        <w:ind w:firstLine="0" w:firstLineChars="0"/>
        <w:jc w:val="center"/>
        <w:rPr>
          <w:rFonts w:hint="eastAsia" w:ascii="宋体" w:hAnsi="宋体" w:eastAsia="宋体" w:cs="宋体"/>
          <w:b/>
          <w:bCs/>
          <w:color w:val="auto"/>
          <w:sz w:val="24"/>
          <w:szCs w:val="24"/>
        </w:rPr>
      </w:pPr>
    </w:p>
    <w:p w14:paraId="62D9E347">
      <w:pPr>
        <w:spacing w:line="240" w:lineRule="auto"/>
        <w:ind w:firstLine="0" w:firstLineChars="0"/>
        <w:jc w:val="center"/>
        <w:rPr>
          <w:rFonts w:hint="eastAsia" w:ascii="宋体" w:hAnsi="宋体" w:eastAsia="宋体" w:cs="宋体"/>
          <w:b/>
          <w:bCs/>
          <w:color w:val="auto"/>
          <w:sz w:val="24"/>
          <w:szCs w:val="24"/>
        </w:rPr>
      </w:pPr>
    </w:p>
    <w:p w14:paraId="691FFA42">
      <w:pPr>
        <w:spacing w:line="240" w:lineRule="auto"/>
        <w:ind w:firstLine="0" w:firstLineChars="0"/>
        <w:jc w:val="center"/>
        <w:rPr>
          <w:rFonts w:hint="eastAsia" w:ascii="宋体" w:hAnsi="宋体" w:eastAsia="宋体" w:cs="宋体"/>
          <w:b/>
          <w:bCs/>
          <w:color w:val="auto"/>
          <w:sz w:val="24"/>
          <w:szCs w:val="24"/>
        </w:rPr>
      </w:pPr>
    </w:p>
    <w:p w14:paraId="11969FCC">
      <w:pPr>
        <w:spacing w:line="240" w:lineRule="auto"/>
        <w:ind w:firstLine="0" w:firstLineChars="0"/>
        <w:jc w:val="center"/>
        <w:rPr>
          <w:rFonts w:hint="eastAsia" w:ascii="宋体" w:hAnsi="宋体" w:eastAsia="宋体" w:cs="宋体"/>
          <w:b/>
          <w:bCs/>
          <w:color w:val="auto"/>
          <w:sz w:val="24"/>
          <w:szCs w:val="24"/>
        </w:rPr>
      </w:pPr>
    </w:p>
    <w:p w14:paraId="604A29C9">
      <w:pPr>
        <w:spacing w:line="240" w:lineRule="auto"/>
        <w:ind w:firstLine="0" w:firstLineChars="0"/>
        <w:jc w:val="center"/>
        <w:rPr>
          <w:rFonts w:hint="eastAsia" w:ascii="宋体" w:hAnsi="宋体" w:eastAsia="宋体" w:cs="宋体"/>
          <w:b/>
          <w:bCs/>
          <w:color w:val="auto"/>
          <w:sz w:val="24"/>
          <w:szCs w:val="24"/>
        </w:rPr>
      </w:pPr>
    </w:p>
    <w:p w14:paraId="2138E2F7">
      <w:pPr>
        <w:spacing w:line="240" w:lineRule="auto"/>
        <w:ind w:firstLine="0" w:firstLineChars="0"/>
        <w:jc w:val="center"/>
        <w:rPr>
          <w:rFonts w:hint="eastAsia" w:ascii="宋体" w:hAnsi="宋体" w:eastAsia="宋体" w:cs="宋体"/>
          <w:b/>
          <w:bCs/>
          <w:color w:val="auto"/>
          <w:sz w:val="24"/>
          <w:szCs w:val="24"/>
        </w:rPr>
      </w:pPr>
    </w:p>
    <w:p w14:paraId="728E1ACF">
      <w:pPr>
        <w:spacing w:line="240" w:lineRule="auto"/>
        <w:ind w:firstLine="0" w:firstLineChars="0"/>
        <w:jc w:val="center"/>
        <w:rPr>
          <w:rFonts w:hint="eastAsia" w:ascii="宋体" w:hAnsi="宋体" w:eastAsia="宋体" w:cs="宋体"/>
          <w:b/>
          <w:bCs/>
          <w:color w:val="auto"/>
          <w:sz w:val="24"/>
          <w:szCs w:val="24"/>
        </w:rPr>
      </w:pPr>
    </w:p>
    <w:p w14:paraId="26B82B92">
      <w:pPr>
        <w:spacing w:line="240" w:lineRule="auto"/>
        <w:ind w:firstLine="0" w:firstLineChars="0"/>
        <w:jc w:val="center"/>
        <w:rPr>
          <w:rFonts w:hint="eastAsia" w:ascii="宋体" w:hAnsi="宋体" w:eastAsia="宋体" w:cs="宋体"/>
          <w:b/>
          <w:bCs/>
          <w:color w:val="auto"/>
          <w:sz w:val="24"/>
          <w:szCs w:val="24"/>
        </w:rPr>
      </w:pPr>
    </w:p>
    <w:p w14:paraId="43C935E4">
      <w:pPr>
        <w:spacing w:line="240" w:lineRule="auto"/>
        <w:ind w:firstLine="0" w:firstLineChars="0"/>
        <w:jc w:val="center"/>
        <w:rPr>
          <w:rFonts w:hint="eastAsia" w:ascii="宋体" w:hAnsi="宋体" w:eastAsia="宋体" w:cs="宋体"/>
          <w:b/>
          <w:bCs/>
          <w:color w:val="auto"/>
          <w:sz w:val="24"/>
          <w:szCs w:val="24"/>
        </w:rPr>
      </w:pPr>
    </w:p>
    <w:p w14:paraId="43962EAF">
      <w:pPr>
        <w:spacing w:line="240" w:lineRule="auto"/>
        <w:ind w:firstLine="0" w:firstLineChars="0"/>
        <w:jc w:val="center"/>
        <w:rPr>
          <w:rFonts w:hint="eastAsia" w:ascii="宋体" w:hAnsi="宋体" w:eastAsia="宋体" w:cs="宋体"/>
          <w:b/>
          <w:bCs/>
          <w:color w:val="auto"/>
          <w:sz w:val="24"/>
          <w:szCs w:val="24"/>
        </w:rPr>
      </w:pPr>
    </w:p>
    <w:p w14:paraId="0C2CD3DB">
      <w:pPr>
        <w:spacing w:line="240" w:lineRule="auto"/>
        <w:ind w:firstLine="0" w:firstLineChars="0"/>
        <w:jc w:val="center"/>
        <w:rPr>
          <w:rFonts w:hint="eastAsia" w:ascii="宋体" w:hAnsi="宋体" w:eastAsia="宋体" w:cs="宋体"/>
          <w:b/>
          <w:bCs/>
          <w:color w:val="auto"/>
          <w:sz w:val="24"/>
          <w:szCs w:val="24"/>
        </w:rPr>
      </w:pPr>
    </w:p>
    <w:p w14:paraId="51F17C66">
      <w:pPr>
        <w:spacing w:line="240" w:lineRule="auto"/>
        <w:ind w:firstLine="0" w:firstLineChars="0"/>
        <w:jc w:val="center"/>
        <w:rPr>
          <w:rFonts w:hint="eastAsia" w:ascii="宋体" w:hAnsi="宋体" w:eastAsia="宋体" w:cs="宋体"/>
          <w:b/>
          <w:bCs/>
          <w:color w:val="auto"/>
          <w:sz w:val="24"/>
          <w:szCs w:val="24"/>
        </w:rPr>
      </w:pPr>
    </w:p>
    <w:p w14:paraId="1FF2B242">
      <w:pPr>
        <w:spacing w:line="240" w:lineRule="auto"/>
        <w:ind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竞争性磋商响应文件</w:t>
      </w:r>
    </w:p>
    <w:p w14:paraId="7065192B">
      <w:pPr>
        <w:widowControl/>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lang w:eastAsia="zh-CN"/>
        </w:rPr>
        <w:t>招标编号：YNHJX-HH-26004</w:t>
      </w:r>
    </w:p>
    <w:p w14:paraId="631C9E6F">
      <w:pPr>
        <w:pStyle w:val="22"/>
        <w:spacing w:before="0" w:beforeAutospacing="0" w:after="0" w:afterAutospacing="0" w:line="4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p>
    <w:p w14:paraId="7FCD64BD">
      <w:pPr>
        <w:ind w:firstLine="1044"/>
        <w:jc w:val="center"/>
        <w:rPr>
          <w:rFonts w:hint="eastAsia" w:ascii="宋体" w:hAnsi="宋体" w:eastAsia="宋体" w:cs="宋体"/>
          <w:b/>
          <w:color w:val="auto"/>
          <w:sz w:val="24"/>
          <w:szCs w:val="24"/>
        </w:rPr>
      </w:pPr>
    </w:p>
    <w:p w14:paraId="519EE61D">
      <w:pPr>
        <w:ind w:firstLine="1044"/>
        <w:jc w:val="center"/>
        <w:rPr>
          <w:rFonts w:hint="eastAsia" w:ascii="宋体" w:hAnsi="宋体" w:eastAsia="宋体" w:cs="宋体"/>
          <w:b/>
          <w:color w:val="auto"/>
          <w:sz w:val="24"/>
          <w:szCs w:val="24"/>
        </w:rPr>
      </w:pPr>
    </w:p>
    <w:p w14:paraId="40151338">
      <w:pPr>
        <w:ind w:firstLine="1044"/>
        <w:jc w:val="center"/>
        <w:rPr>
          <w:rFonts w:hint="eastAsia" w:ascii="宋体" w:hAnsi="宋体" w:eastAsia="宋体" w:cs="宋体"/>
          <w:b/>
          <w:color w:val="auto"/>
          <w:sz w:val="24"/>
          <w:szCs w:val="24"/>
        </w:rPr>
      </w:pPr>
    </w:p>
    <w:p w14:paraId="5BBBC51B">
      <w:pPr>
        <w:ind w:firstLine="1044"/>
        <w:jc w:val="center"/>
        <w:rPr>
          <w:rFonts w:hint="eastAsia" w:ascii="宋体" w:hAnsi="宋体" w:eastAsia="宋体" w:cs="宋体"/>
          <w:b/>
          <w:color w:val="auto"/>
          <w:sz w:val="24"/>
          <w:szCs w:val="24"/>
        </w:rPr>
      </w:pPr>
    </w:p>
    <w:p w14:paraId="4C859AFE">
      <w:pPr>
        <w:ind w:firstLine="1044"/>
        <w:jc w:val="center"/>
        <w:rPr>
          <w:rFonts w:hint="eastAsia" w:ascii="宋体" w:hAnsi="宋体" w:eastAsia="宋体" w:cs="宋体"/>
          <w:b/>
          <w:color w:val="auto"/>
          <w:sz w:val="24"/>
          <w:szCs w:val="24"/>
        </w:rPr>
      </w:pPr>
    </w:p>
    <w:p w14:paraId="7981658C">
      <w:pPr>
        <w:ind w:firstLine="1044"/>
        <w:jc w:val="center"/>
        <w:rPr>
          <w:rFonts w:hint="eastAsia" w:ascii="宋体" w:hAnsi="宋体" w:eastAsia="宋体" w:cs="宋体"/>
          <w:b/>
          <w:color w:val="auto"/>
          <w:sz w:val="24"/>
          <w:szCs w:val="24"/>
        </w:rPr>
      </w:pPr>
    </w:p>
    <w:p w14:paraId="057D9235">
      <w:pPr>
        <w:ind w:firstLine="0" w:firstLineChars="0"/>
        <w:rPr>
          <w:rFonts w:hint="eastAsia" w:ascii="宋体" w:hAnsi="宋体" w:eastAsia="宋体" w:cs="宋体"/>
          <w:b/>
          <w:color w:val="auto"/>
          <w:sz w:val="24"/>
          <w:szCs w:val="24"/>
        </w:rPr>
      </w:pPr>
    </w:p>
    <w:p w14:paraId="259A7EBF">
      <w:pPr>
        <w:ind w:firstLine="0" w:firstLineChars="0"/>
        <w:rPr>
          <w:rFonts w:hint="eastAsia" w:ascii="宋体" w:hAnsi="宋体" w:eastAsia="宋体" w:cs="宋体"/>
          <w:b/>
          <w:color w:val="auto"/>
          <w:sz w:val="24"/>
          <w:szCs w:val="24"/>
        </w:rPr>
      </w:pPr>
    </w:p>
    <w:p w14:paraId="353081F5">
      <w:pPr>
        <w:ind w:firstLine="0" w:firstLineChars="0"/>
        <w:rPr>
          <w:rFonts w:hint="eastAsia" w:ascii="宋体" w:hAnsi="宋体" w:eastAsia="宋体" w:cs="宋体"/>
          <w:b/>
          <w:color w:val="auto"/>
          <w:sz w:val="24"/>
          <w:szCs w:val="24"/>
        </w:rPr>
      </w:pPr>
    </w:p>
    <w:p w14:paraId="7FEBF9FF">
      <w:pPr>
        <w:ind w:firstLine="0" w:firstLineChars="0"/>
        <w:rPr>
          <w:rFonts w:hint="eastAsia" w:ascii="宋体" w:hAnsi="宋体" w:eastAsia="宋体" w:cs="宋体"/>
          <w:b/>
          <w:color w:val="auto"/>
          <w:sz w:val="24"/>
          <w:szCs w:val="24"/>
        </w:rPr>
      </w:pPr>
    </w:p>
    <w:p w14:paraId="1BCA947C">
      <w:pPr>
        <w:ind w:firstLine="0" w:firstLineChars="0"/>
        <w:rPr>
          <w:rFonts w:hint="eastAsia" w:ascii="宋体" w:hAnsi="宋体" w:eastAsia="宋体" w:cs="宋体"/>
          <w:b/>
          <w:color w:val="auto"/>
          <w:sz w:val="24"/>
          <w:szCs w:val="24"/>
        </w:rPr>
      </w:pPr>
    </w:p>
    <w:p w14:paraId="0D95F1FF">
      <w:pPr>
        <w:snapToGrid w:val="0"/>
        <w:spacing w:line="360" w:lineRule="auto"/>
        <w:ind w:firstLine="6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 xml:space="preserve">                                                                  </w:t>
      </w:r>
    </w:p>
    <w:p w14:paraId="1BF35F57">
      <w:pPr>
        <w:snapToGrid w:val="0"/>
        <w:spacing w:line="360" w:lineRule="auto"/>
        <w:ind w:firstLine="6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磋商申请人</w:t>
      </w:r>
      <w:r>
        <w:rPr>
          <w:rFonts w:hint="eastAsia" w:ascii="宋体" w:hAnsi="宋体" w:eastAsia="宋体" w:cs="宋体"/>
          <w:color w:val="auto"/>
          <w:sz w:val="24"/>
          <w:szCs w:val="24"/>
        </w:rPr>
        <w:t>名称（公章）：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rPr>
        <w:t xml:space="preserve">       </w:t>
      </w:r>
    </w:p>
    <w:p w14:paraId="378DF34B">
      <w:pPr>
        <w:snapToGrid w:val="0"/>
        <w:spacing w:line="360" w:lineRule="auto"/>
        <w:ind w:firstLine="60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法定代表人或其委托代理人（签字或盖章）：</w:t>
      </w:r>
      <w:r>
        <w:rPr>
          <w:rFonts w:hint="eastAsia" w:ascii="宋体" w:hAnsi="宋体" w:eastAsia="宋体" w:cs="宋体"/>
          <w:color w:val="auto"/>
          <w:sz w:val="24"/>
          <w:szCs w:val="24"/>
          <w:u w:val="single"/>
        </w:rPr>
        <w:t xml:space="preserve">                 </w:t>
      </w:r>
    </w:p>
    <w:p w14:paraId="50E2CF4D">
      <w:pPr>
        <w:snapToGrid w:val="0"/>
        <w:spacing w:line="360" w:lineRule="auto"/>
        <w:ind w:left="420" w:firstLine="144" w:firstLineChars="60"/>
        <w:rPr>
          <w:rFonts w:hint="eastAsia" w:ascii="宋体" w:hAnsi="宋体" w:eastAsia="宋体" w:cs="宋体"/>
          <w:color w:val="auto"/>
          <w:sz w:val="24"/>
          <w:szCs w:val="24"/>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145C5B79">
      <w:pPr>
        <w:spacing w:line="600" w:lineRule="exact"/>
        <w:ind w:left="420" w:firstLine="144" w:firstLineChars="60"/>
        <w:jc w:val="center"/>
        <w:rPr>
          <w:rFonts w:hint="eastAsia" w:ascii="宋体" w:hAnsi="宋体" w:eastAsia="宋体" w:cs="宋体"/>
          <w:color w:val="auto"/>
          <w:sz w:val="24"/>
          <w:szCs w:val="24"/>
        </w:rPr>
      </w:pPr>
    </w:p>
    <w:p w14:paraId="4BBAB482">
      <w:pPr>
        <w:spacing w:line="600" w:lineRule="exact"/>
        <w:ind w:left="420" w:firstLine="144" w:firstLineChars="60"/>
        <w:jc w:val="center"/>
        <w:rPr>
          <w:rFonts w:hint="eastAsia" w:ascii="宋体" w:hAnsi="宋体" w:eastAsia="宋体" w:cs="宋体"/>
          <w:color w:val="auto"/>
          <w:sz w:val="24"/>
          <w:szCs w:val="24"/>
        </w:rPr>
      </w:pPr>
      <w:r>
        <w:rPr>
          <w:rFonts w:hint="eastAsia" w:ascii="宋体" w:hAnsi="宋体" w:eastAsia="宋体" w:cs="宋体"/>
          <w:color w:val="auto"/>
          <w:sz w:val="24"/>
          <w:szCs w:val="24"/>
        </w:rPr>
        <w:t>目录</w:t>
      </w:r>
    </w:p>
    <w:p w14:paraId="5EE444E1">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caps/>
          <w:sz w:val="24"/>
          <w:szCs w:val="24"/>
        </w:rPr>
      </w:pPr>
      <w:r>
        <w:rPr>
          <w:rFonts w:hint="eastAsia" w:ascii="宋体" w:hAnsi="宋体" w:eastAsia="宋体" w:cs="宋体"/>
          <w:b/>
          <w:color w:val="auto"/>
          <w:sz w:val="24"/>
          <w:szCs w:val="24"/>
        </w:rPr>
        <w:br w:type="page"/>
      </w:r>
      <w:r>
        <w:rPr>
          <w:rFonts w:hint="eastAsia" w:ascii="宋体" w:hAnsi="宋体" w:eastAsia="宋体" w:cs="宋体"/>
          <w:b/>
          <w:caps/>
          <w:sz w:val="24"/>
          <w:szCs w:val="24"/>
        </w:rPr>
        <w:t>一、磋商报价一览表</w:t>
      </w:r>
    </w:p>
    <w:p w14:paraId="540B70ED">
      <w:pPr>
        <w:pBdr>
          <w:top w:val="none" w:color="auto" w:sz="0" w:space="1"/>
          <w:left w:val="none" w:color="auto" w:sz="0" w:space="4"/>
          <w:bottom w:val="none" w:color="auto" w:sz="0" w:space="1"/>
          <w:right w:val="none" w:color="auto" w:sz="0" w:space="4"/>
        </w:pBdr>
        <w:spacing w:line="240" w:lineRule="exact"/>
        <w:ind w:right="-244"/>
        <w:rPr>
          <w:rFonts w:hint="eastAsia" w:ascii="宋体" w:hAnsi="宋体" w:eastAsia="宋体" w:cs="宋体"/>
          <w:sz w:val="24"/>
          <w:szCs w:val="24"/>
        </w:rPr>
      </w:pPr>
      <w:r>
        <w:rPr>
          <w:rFonts w:hint="eastAsia" w:ascii="宋体" w:hAnsi="宋体" w:eastAsia="宋体" w:cs="宋体"/>
          <w:sz w:val="24"/>
          <w:szCs w:val="24"/>
        </w:rPr>
        <w:t>项目名称：</w:t>
      </w:r>
    </w:p>
    <w:p w14:paraId="454375F4">
      <w:pPr>
        <w:pBdr>
          <w:top w:val="none" w:color="auto" w:sz="0" w:space="1"/>
          <w:left w:val="none" w:color="auto" w:sz="0" w:space="4"/>
          <w:bottom w:val="none" w:color="auto" w:sz="0" w:space="1"/>
          <w:right w:val="none" w:color="auto" w:sz="0" w:space="4"/>
        </w:pBdr>
        <w:rPr>
          <w:rFonts w:hint="eastAsia" w:ascii="宋体" w:hAnsi="宋体" w:eastAsia="宋体" w:cs="宋体"/>
          <w:kern w:val="0"/>
          <w:sz w:val="24"/>
          <w:szCs w:val="24"/>
        </w:rPr>
      </w:pPr>
      <w:r>
        <w:rPr>
          <w:rFonts w:hint="eastAsia" w:ascii="宋体" w:hAnsi="宋体" w:eastAsia="宋体" w:cs="宋体"/>
          <w:sz w:val="24"/>
          <w:szCs w:val="24"/>
        </w:rPr>
        <w:t>项目编号：</w:t>
      </w:r>
    </w:p>
    <w:tbl>
      <w:tblPr>
        <w:tblStyle w:val="25"/>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7329"/>
      </w:tblGrid>
      <w:tr w14:paraId="2071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2310" w:type="dxa"/>
            <w:vAlign w:val="center"/>
          </w:tcPr>
          <w:p w14:paraId="56E23A54">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潜在供应商名称</w:t>
            </w:r>
          </w:p>
        </w:tc>
        <w:tc>
          <w:tcPr>
            <w:tcW w:w="7329" w:type="dxa"/>
            <w:vAlign w:val="center"/>
          </w:tcPr>
          <w:p w14:paraId="6D3DD4D8">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0"/>
              <w:jc w:val="center"/>
              <w:rPr>
                <w:rFonts w:hint="eastAsia" w:ascii="宋体" w:hAnsi="宋体" w:eastAsia="宋体" w:cs="宋体"/>
                <w:sz w:val="24"/>
                <w:szCs w:val="24"/>
              </w:rPr>
            </w:pPr>
          </w:p>
        </w:tc>
      </w:tr>
      <w:tr w14:paraId="2DE4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2310" w:type="dxa"/>
            <w:vMerge w:val="restart"/>
            <w:vAlign w:val="center"/>
          </w:tcPr>
          <w:p w14:paraId="2F9117BD">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磋商总报价</w:t>
            </w:r>
          </w:p>
        </w:tc>
        <w:tc>
          <w:tcPr>
            <w:tcW w:w="7329" w:type="dxa"/>
            <w:vAlign w:val="center"/>
          </w:tcPr>
          <w:p w14:paraId="13CC5AE3">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0"/>
              <w:jc w:val="left"/>
              <w:rPr>
                <w:rFonts w:hint="eastAsia" w:ascii="宋体" w:hAnsi="宋体" w:eastAsia="宋体" w:cs="宋体"/>
                <w:kern w:val="0"/>
                <w:sz w:val="24"/>
                <w:szCs w:val="24"/>
                <w:u w:val="single"/>
              </w:rPr>
            </w:pPr>
            <w:r>
              <w:rPr>
                <w:rFonts w:hint="eastAsia" w:ascii="宋体" w:hAnsi="宋体" w:eastAsia="宋体" w:cs="宋体"/>
                <w:kern w:val="0"/>
                <w:sz w:val="24"/>
                <w:szCs w:val="24"/>
              </w:rPr>
              <w:t>小写：</w:t>
            </w:r>
          </w:p>
        </w:tc>
      </w:tr>
      <w:tr w14:paraId="54E6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2310" w:type="dxa"/>
            <w:vMerge w:val="continue"/>
            <w:vAlign w:val="center"/>
          </w:tcPr>
          <w:p w14:paraId="28A6FF4C">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0"/>
              <w:jc w:val="center"/>
              <w:rPr>
                <w:rFonts w:hint="eastAsia" w:ascii="宋体" w:hAnsi="宋体" w:eastAsia="宋体" w:cs="宋体"/>
                <w:kern w:val="0"/>
                <w:sz w:val="24"/>
                <w:szCs w:val="24"/>
              </w:rPr>
            </w:pPr>
          </w:p>
        </w:tc>
        <w:tc>
          <w:tcPr>
            <w:tcW w:w="7329" w:type="dxa"/>
            <w:vAlign w:val="center"/>
          </w:tcPr>
          <w:p w14:paraId="70896736">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rPr>
              <w:t>大写：</w:t>
            </w:r>
          </w:p>
        </w:tc>
      </w:tr>
      <w:tr w14:paraId="7C6F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10" w:type="dxa"/>
            <w:vAlign w:val="center"/>
          </w:tcPr>
          <w:p w14:paraId="5029A114">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rPr>
              <w:t>合同履行期限</w:t>
            </w:r>
          </w:p>
        </w:tc>
        <w:tc>
          <w:tcPr>
            <w:tcW w:w="7329" w:type="dxa"/>
            <w:vAlign w:val="center"/>
          </w:tcPr>
          <w:p w14:paraId="67BDF76B">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0"/>
              <w:rPr>
                <w:rFonts w:hint="eastAsia" w:ascii="宋体" w:hAnsi="宋体" w:eastAsia="宋体" w:cs="宋体"/>
                <w:sz w:val="24"/>
                <w:szCs w:val="24"/>
              </w:rPr>
            </w:pPr>
          </w:p>
        </w:tc>
      </w:tr>
      <w:tr w14:paraId="19D8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10" w:type="dxa"/>
            <w:vAlign w:val="center"/>
          </w:tcPr>
          <w:p w14:paraId="2ECEC3D4">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服务地点</w:t>
            </w:r>
          </w:p>
        </w:tc>
        <w:tc>
          <w:tcPr>
            <w:tcW w:w="7329" w:type="dxa"/>
            <w:vAlign w:val="center"/>
          </w:tcPr>
          <w:p w14:paraId="0A3F8756">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0"/>
              <w:rPr>
                <w:rFonts w:hint="eastAsia" w:ascii="宋体" w:hAnsi="宋体" w:eastAsia="宋体" w:cs="宋体"/>
                <w:sz w:val="24"/>
                <w:szCs w:val="24"/>
              </w:rPr>
            </w:pPr>
          </w:p>
        </w:tc>
      </w:tr>
      <w:tr w14:paraId="411AA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10" w:type="dxa"/>
            <w:vAlign w:val="center"/>
          </w:tcPr>
          <w:p w14:paraId="4A8F64D3">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服务质量承诺</w:t>
            </w:r>
          </w:p>
        </w:tc>
        <w:tc>
          <w:tcPr>
            <w:tcW w:w="7329" w:type="dxa"/>
            <w:vAlign w:val="center"/>
          </w:tcPr>
          <w:p w14:paraId="1531C1E2">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0"/>
              <w:rPr>
                <w:rFonts w:hint="eastAsia" w:ascii="宋体" w:hAnsi="宋体" w:eastAsia="宋体" w:cs="宋体"/>
                <w:sz w:val="24"/>
                <w:szCs w:val="24"/>
              </w:rPr>
            </w:pPr>
          </w:p>
        </w:tc>
      </w:tr>
      <w:tr w14:paraId="2D72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10" w:type="dxa"/>
            <w:vAlign w:val="center"/>
          </w:tcPr>
          <w:p w14:paraId="05E5761B">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0"/>
              <w:jc w:val="center"/>
              <w:rPr>
                <w:rFonts w:hint="eastAsia" w:ascii="宋体" w:hAnsi="宋体" w:eastAsia="宋体" w:cs="宋体"/>
                <w:sz w:val="24"/>
                <w:szCs w:val="24"/>
              </w:rPr>
            </w:pPr>
            <w:r>
              <w:rPr>
                <w:rFonts w:hint="eastAsia" w:ascii="宋体" w:hAnsi="宋体" w:eastAsia="宋体" w:cs="宋体"/>
                <w:bCs/>
                <w:kern w:val="0"/>
                <w:sz w:val="24"/>
                <w:szCs w:val="24"/>
              </w:rPr>
              <w:t>潜在供应商地址</w:t>
            </w:r>
          </w:p>
        </w:tc>
        <w:tc>
          <w:tcPr>
            <w:tcW w:w="7329" w:type="dxa"/>
            <w:vAlign w:val="center"/>
          </w:tcPr>
          <w:p w14:paraId="42E04753">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0"/>
              <w:rPr>
                <w:rFonts w:hint="eastAsia" w:ascii="宋体" w:hAnsi="宋体" w:eastAsia="宋体" w:cs="宋体"/>
                <w:sz w:val="24"/>
                <w:szCs w:val="24"/>
              </w:rPr>
            </w:pPr>
          </w:p>
        </w:tc>
      </w:tr>
      <w:tr w14:paraId="686C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10" w:type="dxa"/>
            <w:vAlign w:val="center"/>
          </w:tcPr>
          <w:p w14:paraId="67DBA34A">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0"/>
              <w:jc w:val="center"/>
              <w:rPr>
                <w:rFonts w:hint="eastAsia" w:ascii="宋体" w:hAnsi="宋体" w:eastAsia="宋体" w:cs="宋体"/>
                <w:bCs/>
                <w:kern w:val="0"/>
                <w:sz w:val="24"/>
                <w:szCs w:val="24"/>
              </w:rPr>
            </w:pPr>
            <w:r>
              <w:rPr>
                <w:rFonts w:hint="eastAsia" w:ascii="宋体" w:hAnsi="宋体" w:eastAsia="宋体" w:cs="宋体"/>
                <w:bCs/>
                <w:kern w:val="0"/>
                <w:sz w:val="24"/>
                <w:szCs w:val="24"/>
              </w:rPr>
              <w:t>联系电话</w:t>
            </w:r>
          </w:p>
        </w:tc>
        <w:tc>
          <w:tcPr>
            <w:tcW w:w="7329" w:type="dxa"/>
            <w:vAlign w:val="center"/>
          </w:tcPr>
          <w:p w14:paraId="78A32DDA">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0"/>
              <w:rPr>
                <w:rFonts w:hint="eastAsia" w:ascii="宋体" w:hAnsi="宋体" w:eastAsia="宋体" w:cs="宋体"/>
                <w:sz w:val="24"/>
                <w:szCs w:val="24"/>
              </w:rPr>
            </w:pPr>
          </w:p>
        </w:tc>
      </w:tr>
      <w:tr w14:paraId="39B7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10" w:type="dxa"/>
            <w:vAlign w:val="center"/>
          </w:tcPr>
          <w:p w14:paraId="25DF8CCB">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0"/>
              <w:jc w:val="center"/>
              <w:rPr>
                <w:rFonts w:hint="eastAsia" w:ascii="宋体" w:hAnsi="宋体" w:eastAsia="宋体" w:cs="宋体"/>
                <w:bCs/>
                <w:kern w:val="0"/>
                <w:sz w:val="24"/>
                <w:szCs w:val="24"/>
              </w:rPr>
            </w:pPr>
            <w:r>
              <w:rPr>
                <w:rFonts w:hint="eastAsia" w:ascii="宋体" w:hAnsi="宋体" w:eastAsia="宋体" w:cs="宋体"/>
                <w:bCs/>
                <w:kern w:val="0"/>
                <w:sz w:val="24"/>
                <w:szCs w:val="24"/>
              </w:rPr>
              <w:t>备注</w:t>
            </w:r>
          </w:p>
        </w:tc>
        <w:tc>
          <w:tcPr>
            <w:tcW w:w="7329" w:type="dxa"/>
            <w:vAlign w:val="center"/>
          </w:tcPr>
          <w:p w14:paraId="416938A1">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0"/>
              <w:rPr>
                <w:rFonts w:hint="eastAsia" w:ascii="宋体" w:hAnsi="宋体" w:eastAsia="宋体" w:cs="宋体"/>
                <w:sz w:val="24"/>
                <w:szCs w:val="24"/>
              </w:rPr>
            </w:pPr>
          </w:p>
        </w:tc>
      </w:tr>
      <w:tr w14:paraId="12C7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exact"/>
        </w:trPr>
        <w:tc>
          <w:tcPr>
            <w:tcW w:w="9639" w:type="dxa"/>
            <w:gridSpan w:val="2"/>
            <w:vAlign w:val="center"/>
          </w:tcPr>
          <w:p w14:paraId="55740147">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0"/>
              <w:rPr>
                <w:rFonts w:hint="eastAsia" w:ascii="宋体" w:hAnsi="宋体" w:eastAsia="宋体" w:cs="宋体"/>
                <w:sz w:val="24"/>
                <w:szCs w:val="24"/>
              </w:rPr>
            </w:pPr>
            <w:r>
              <w:rPr>
                <w:rFonts w:hint="eastAsia" w:ascii="宋体" w:hAnsi="宋体" w:eastAsia="宋体" w:cs="宋体"/>
                <w:sz w:val="24"/>
                <w:szCs w:val="24"/>
              </w:rPr>
              <w:t>潜在供应商名称（电子签章）：</w:t>
            </w:r>
          </w:p>
        </w:tc>
      </w:tr>
      <w:tr w14:paraId="7FDE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exact"/>
        </w:trPr>
        <w:tc>
          <w:tcPr>
            <w:tcW w:w="9639" w:type="dxa"/>
            <w:gridSpan w:val="2"/>
            <w:vAlign w:val="bottom"/>
          </w:tcPr>
          <w:p w14:paraId="649EC5ED">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480"/>
              <w:rPr>
                <w:rFonts w:hint="eastAsia" w:ascii="宋体" w:hAnsi="宋体" w:eastAsia="宋体" w:cs="宋体"/>
                <w:sz w:val="24"/>
                <w:szCs w:val="24"/>
              </w:rPr>
            </w:pPr>
            <w:r>
              <w:rPr>
                <w:rFonts w:hint="eastAsia" w:ascii="宋体" w:hAnsi="宋体" w:eastAsia="宋体" w:cs="宋体"/>
                <w:sz w:val="24"/>
                <w:szCs w:val="24"/>
              </w:rPr>
              <w:t>法定代表人或被授权人（签字或盖章）：</w:t>
            </w:r>
          </w:p>
          <w:p w14:paraId="4E7F4C11">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0"/>
              <w:jc w:val="right"/>
              <w:rPr>
                <w:rFonts w:hint="eastAsia" w:ascii="宋体" w:hAnsi="宋体" w:eastAsia="宋体" w:cs="宋体"/>
                <w:sz w:val="24"/>
                <w:szCs w:val="24"/>
              </w:rPr>
            </w:pPr>
            <w:r>
              <w:rPr>
                <w:rFonts w:hint="eastAsia" w:ascii="宋体" w:hAnsi="宋体" w:eastAsia="宋体" w:cs="宋体"/>
                <w:sz w:val="24"/>
                <w:szCs w:val="24"/>
              </w:rPr>
              <w:t>日期：    年    月    日</w:t>
            </w:r>
          </w:p>
        </w:tc>
      </w:tr>
    </w:tbl>
    <w:p w14:paraId="681CC138">
      <w:pPr>
        <w:pStyle w:val="3"/>
        <w:pBdr>
          <w:top w:val="none" w:color="auto" w:sz="0" w:space="1"/>
          <w:left w:val="none" w:color="auto" w:sz="0" w:space="4"/>
          <w:bottom w:val="none" w:color="auto" w:sz="0" w:space="1"/>
          <w:right w:val="none" w:color="auto" w:sz="0" w:space="4"/>
        </w:pBdr>
        <w:spacing w:line="360" w:lineRule="auto"/>
        <w:rPr>
          <w:rFonts w:hint="eastAsia" w:ascii="宋体" w:hAnsi="宋体" w:eastAsia="宋体" w:cs="宋体"/>
          <w:sz w:val="24"/>
          <w:szCs w:val="24"/>
        </w:rPr>
      </w:pPr>
    </w:p>
    <w:p w14:paraId="19E0C90E">
      <w:pPr>
        <w:rPr>
          <w:rFonts w:hint="eastAsia" w:ascii="宋体" w:hAnsi="宋体" w:eastAsia="宋体" w:cs="宋体"/>
          <w:sz w:val="24"/>
          <w:szCs w:val="24"/>
        </w:rPr>
      </w:pPr>
    </w:p>
    <w:p w14:paraId="5919B258">
      <w:pPr>
        <w:pStyle w:val="9"/>
        <w:rPr>
          <w:rFonts w:hint="eastAsia" w:ascii="宋体" w:hAnsi="宋体" w:eastAsia="宋体" w:cs="宋体"/>
          <w:color w:val="auto"/>
          <w:sz w:val="24"/>
          <w:szCs w:val="24"/>
        </w:rPr>
      </w:pPr>
    </w:p>
    <w:p w14:paraId="67F7422D">
      <w:pPr>
        <w:pStyle w:val="3"/>
        <w:pBdr>
          <w:top w:val="none" w:color="auto" w:sz="0" w:space="1"/>
          <w:left w:val="none" w:color="auto" w:sz="0" w:space="4"/>
          <w:bottom w:val="none" w:color="auto" w:sz="0" w:space="1"/>
          <w:right w:val="none" w:color="auto" w:sz="0" w:space="4"/>
        </w:pBd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14:paraId="245923EB">
      <w:pPr>
        <w:rPr>
          <w:rFonts w:hint="eastAsia" w:ascii="宋体" w:hAnsi="宋体" w:eastAsia="宋体" w:cs="宋体"/>
          <w:sz w:val="24"/>
          <w:szCs w:val="24"/>
        </w:rPr>
      </w:pPr>
    </w:p>
    <w:p w14:paraId="54E84D26">
      <w:pPr>
        <w:pStyle w:val="9"/>
        <w:rPr>
          <w:rFonts w:hint="eastAsia" w:ascii="宋体" w:hAnsi="宋体" w:eastAsia="宋体" w:cs="宋体"/>
          <w:color w:val="auto"/>
          <w:sz w:val="24"/>
          <w:szCs w:val="24"/>
        </w:rPr>
      </w:pPr>
    </w:p>
    <w:p w14:paraId="11403A6B">
      <w:pPr>
        <w:pStyle w:val="3"/>
        <w:pBdr>
          <w:top w:val="none" w:color="auto" w:sz="0" w:space="1"/>
          <w:left w:val="none" w:color="auto" w:sz="0" w:space="4"/>
          <w:bottom w:val="none" w:color="auto" w:sz="0" w:space="1"/>
          <w:right w:val="none" w:color="auto" w:sz="0" w:space="4"/>
        </w:pBdr>
        <w:spacing w:line="360" w:lineRule="auto"/>
        <w:rPr>
          <w:rFonts w:hint="eastAsia" w:ascii="宋体" w:hAnsi="宋体" w:eastAsia="宋体" w:cs="宋体"/>
          <w:sz w:val="24"/>
          <w:szCs w:val="24"/>
        </w:rPr>
      </w:pPr>
      <w:bookmarkStart w:id="232" w:name="_Toc29785"/>
      <w:bookmarkStart w:id="233" w:name="_Toc11879"/>
      <w:r>
        <w:rPr>
          <w:rFonts w:hint="eastAsia" w:ascii="宋体" w:hAnsi="宋体" w:eastAsia="宋体" w:cs="宋体"/>
          <w:sz w:val="24"/>
          <w:szCs w:val="24"/>
        </w:rPr>
        <w:t>二、磋商函</w:t>
      </w:r>
      <w:bookmarkEnd w:id="232"/>
      <w:bookmarkEnd w:id="233"/>
    </w:p>
    <w:p w14:paraId="39747A0C">
      <w:pPr>
        <w:pBdr>
          <w:top w:val="none" w:color="auto" w:sz="0" w:space="1"/>
          <w:left w:val="none" w:color="auto" w:sz="0" w:space="4"/>
          <w:bottom w:val="none" w:color="auto" w:sz="0" w:space="1"/>
          <w:right w:val="none" w:color="auto" w:sz="0" w:space="4"/>
        </w:pBdr>
        <w:spacing w:line="312" w:lineRule="auto"/>
        <w:rPr>
          <w:rFonts w:hint="eastAsia" w:ascii="宋体" w:hAnsi="宋体" w:eastAsia="宋体" w:cs="宋体"/>
          <w:bCs/>
          <w:sz w:val="24"/>
          <w:szCs w:val="24"/>
        </w:rPr>
      </w:pPr>
      <w:bookmarkStart w:id="234" w:name="_Toc115429318"/>
      <w:bookmarkStart w:id="235" w:name="_Toc118523791"/>
    </w:p>
    <w:p w14:paraId="7537A241">
      <w:pPr>
        <w:pBdr>
          <w:top w:val="none" w:color="auto" w:sz="0" w:space="1"/>
          <w:left w:val="none" w:color="auto" w:sz="0" w:space="4"/>
          <w:bottom w:val="none" w:color="auto" w:sz="0" w:space="1"/>
          <w:right w:val="none" w:color="auto" w:sz="0" w:space="4"/>
        </w:pBdr>
        <w:spacing w:line="312" w:lineRule="auto"/>
        <w:rPr>
          <w:rFonts w:hint="eastAsia" w:ascii="宋体" w:hAnsi="宋体" w:eastAsia="宋体" w:cs="宋体"/>
          <w:bCs/>
          <w:sz w:val="24"/>
          <w:szCs w:val="24"/>
        </w:rPr>
      </w:pPr>
      <w:r>
        <w:rPr>
          <w:rFonts w:hint="eastAsia" w:ascii="宋体" w:hAnsi="宋体" w:eastAsia="宋体" w:cs="宋体"/>
          <w:bCs/>
          <w:sz w:val="24"/>
          <w:szCs w:val="24"/>
        </w:rPr>
        <w:t>致</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（采购人）</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w:t>
      </w:r>
    </w:p>
    <w:p w14:paraId="0013C70A">
      <w:pPr>
        <w:pStyle w:val="22"/>
        <w:widowControl w:val="0"/>
        <w:pBdr>
          <w:top w:val="none" w:color="auto" w:sz="0" w:space="1"/>
          <w:left w:val="none" w:color="auto" w:sz="0" w:space="4"/>
          <w:bottom w:val="none" w:color="auto" w:sz="0" w:space="1"/>
          <w:right w:val="none" w:color="auto" w:sz="0" w:space="4"/>
        </w:pBdr>
        <w:spacing w:before="0" w:beforeAutospacing="0" w:after="0" w:afterAutospacing="0" w:line="360" w:lineRule="exact"/>
        <w:ind w:firstLine="482"/>
        <w:jc w:val="both"/>
        <w:rPr>
          <w:rFonts w:hint="eastAsia" w:ascii="宋体" w:hAnsi="宋体" w:eastAsia="宋体" w:cs="宋体"/>
          <w:sz w:val="24"/>
          <w:szCs w:val="24"/>
        </w:rPr>
      </w:pPr>
      <w:r>
        <w:rPr>
          <w:rFonts w:hint="eastAsia" w:ascii="宋体" w:hAnsi="宋体" w:eastAsia="宋体" w:cs="宋体"/>
          <w:sz w:val="24"/>
          <w:szCs w:val="24"/>
        </w:rPr>
        <w:t>我方已仔细研究了</w:t>
      </w:r>
      <w:r>
        <w:rPr>
          <w:rFonts w:hint="eastAsia" w:ascii="宋体" w:hAnsi="宋体" w:eastAsia="宋体" w:cs="宋体"/>
          <w:sz w:val="24"/>
          <w:szCs w:val="24"/>
          <w:u w:val="single"/>
          <w:lang w:val="en-US" w:eastAsia="zh-CN"/>
        </w:rPr>
        <w:t xml:space="preserve">     （项目名称）    </w:t>
      </w:r>
      <w:r>
        <w:rPr>
          <w:rFonts w:hint="eastAsia" w:ascii="宋体" w:hAnsi="宋体" w:eastAsia="宋体" w:cs="宋体"/>
          <w:sz w:val="24"/>
          <w:szCs w:val="24"/>
          <w:u w:val="single"/>
        </w:rPr>
        <w:t>（项目编号：       ）</w:t>
      </w:r>
      <w:r>
        <w:rPr>
          <w:rFonts w:hint="eastAsia" w:ascii="宋体" w:hAnsi="宋体" w:eastAsia="宋体" w:cs="宋体"/>
          <w:sz w:val="24"/>
          <w:szCs w:val="24"/>
        </w:rPr>
        <w:t xml:space="preserve">竞争性磋商文件的全部内容，正式授权下述签字人 </w:t>
      </w:r>
      <w:r>
        <w:rPr>
          <w:rFonts w:hint="eastAsia" w:ascii="宋体" w:hAnsi="宋体" w:eastAsia="宋体" w:cs="宋体"/>
          <w:sz w:val="24"/>
          <w:szCs w:val="24"/>
          <w:u w:val="single"/>
        </w:rPr>
        <w:t>（姓名和职务）</w:t>
      </w:r>
      <w:r>
        <w:rPr>
          <w:rFonts w:hint="eastAsia" w:ascii="宋体" w:hAnsi="宋体" w:eastAsia="宋体" w:cs="宋体"/>
          <w:sz w:val="24"/>
          <w:szCs w:val="24"/>
        </w:rPr>
        <w:t>全权代表</w:t>
      </w:r>
      <w:r>
        <w:rPr>
          <w:rFonts w:hint="eastAsia" w:ascii="宋体" w:hAnsi="宋体" w:eastAsia="宋体" w:cs="宋体"/>
          <w:sz w:val="24"/>
          <w:szCs w:val="24"/>
          <w:u w:val="single"/>
        </w:rPr>
        <w:t>（潜在供应商全称）</w:t>
      </w:r>
      <w:r>
        <w:rPr>
          <w:rFonts w:hint="eastAsia" w:ascii="宋体" w:hAnsi="宋体" w:eastAsia="宋体" w:cs="宋体"/>
          <w:sz w:val="24"/>
          <w:szCs w:val="24"/>
        </w:rPr>
        <w:t>参加磋商，并提交磋商响应文件，磋商有效期</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98F3C45">
      <w:pPr>
        <w:pStyle w:val="22"/>
        <w:widowControl w:val="0"/>
        <w:pBdr>
          <w:top w:val="none" w:color="auto" w:sz="0" w:space="1"/>
          <w:left w:val="none" w:color="auto" w:sz="0" w:space="4"/>
          <w:bottom w:val="none" w:color="auto" w:sz="0" w:space="1"/>
          <w:right w:val="none" w:color="auto" w:sz="0" w:space="4"/>
        </w:pBdr>
        <w:spacing w:before="0" w:beforeAutospacing="0" w:after="0" w:afterAutospacing="0" w:line="360" w:lineRule="exact"/>
        <w:ind w:firstLine="482"/>
        <w:jc w:val="both"/>
        <w:rPr>
          <w:rFonts w:hint="eastAsia" w:ascii="宋体" w:hAnsi="宋体" w:eastAsia="宋体" w:cs="宋体"/>
          <w:sz w:val="24"/>
          <w:szCs w:val="24"/>
        </w:rPr>
      </w:pPr>
      <w:r>
        <w:rPr>
          <w:rFonts w:hint="eastAsia" w:ascii="宋体" w:hAnsi="宋体" w:eastAsia="宋体" w:cs="宋体"/>
          <w:sz w:val="24"/>
          <w:szCs w:val="24"/>
        </w:rPr>
        <w:t>据此函，签字人兹宣布同意如下：</w:t>
      </w:r>
    </w:p>
    <w:p w14:paraId="16B9B09D">
      <w:pPr>
        <w:pBdr>
          <w:top w:val="none" w:color="auto" w:sz="0" w:space="1"/>
          <w:left w:val="none" w:color="auto" w:sz="0" w:space="4"/>
          <w:bottom w:val="none" w:color="auto" w:sz="0" w:space="1"/>
          <w:right w:val="none" w:color="auto" w:sz="0" w:space="4"/>
        </w:pBdr>
        <w:spacing w:line="312" w:lineRule="auto"/>
        <w:ind w:firstLine="49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我方已详细审查全部竞争性磋商文件，包括（澄清文件）（如有）。我方完全理解竞争性磋商文件的全部要求，并承担对这方面有不明及误解的后果。</w:t>
      </w:r>
    </w:p>
    <w:p w14:paraId="67842641">
      <w:pPr>
        <w:pBdr>
          <w:top w:val="none" w:color="auto" w:sz="0" w:space="1"/>
          <w:left w:val="none" w:color="auto" w:sz="0" w:space="4"/>
          <w:bottom w:val="none" w:color="auto" w:sz="0" w:space="1"/>
          <w:right w:val="none" w:color="auto" w:sz="0" w:space="4"/>
        </w:pBdr>
        <w:spacing w:line="312" w:lineRule="auto"/>
        <w:ind w:firstLine="490"/>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在潜在供应商须知规定的解锁磋商</w:t>
      </w:r>
      <w:r>
        <w:rPr>
          <w:rFonts w:hint="eastAsia" w:ascii="宋体" w:hAnsi="宋体" w:eastAsia="宋体" w:cs="宋体"/>
          <w:sz w:val="24"/>
          <w:szCs w:val="24"/>
          <w:lang w:eastAsia="zh-CN"/>
        </w:rPr>
        <w:t>响应</w:t>
      </w:r>
      <w:r>
        <w:rPr>
          <w:rFonts w:hint="eastAsia" w:ascii="宋体" w:hAnsi="宋体" w:eastAsia="宋体" w:cs="宋体"/>
          <w:sz w:val="24"/>
          <w:szCs w:val="24"/>
        </w:rPr>
        <w:t>文件日期起遵循本磋商响应文件，并在潜在供应商须知前附表规定的磋商响应文件有效期满之前均具有约束力。</w:t>
      </w:r>
    </w:p>
    <w:p w14:paraId="15DDA49D">
      <w:pPr>
        <w:pBdr>
          <w:top w:val="none" w:color="auto" w:sz="0" w:space="1"/>
          <w:left w:val="none" w:color="auto" w:sz="0" w:space="4"/>
          <w:bottom w:val="none" w:color="auto" w:sz="0" w:space="1"/>
          <w:right w:val="none" w:color="auto" w:sz="0" w:space="4"/>
        </w:pBdr>
        <w:spacing w:line="312" w:lineRule="auto"/>
        <w:ind w:firstLine="490"/>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同意应贵方要求提供与</w:t>
      </w:r>
      <w:r>
        <w:rPr>
          <w:rFonts w:hint="eastAsia" w:ascii="宋体" w:hAnsi="宋体" w:eastAsia="宋体" w:cs="宋体"/>
          <w:sz w:val="24"/>
          <w:szCs w:val="24"/>
          <w:lang w:eastAsia="zh-CN"/>
        </w:rPr>
        <w:t>本次</w:t>
      </w:r>
      <w:r>
        <w:rPr>
          <w:rFonts w:hint="eastAsia" w:ascii="宋体" w:hAnsi="宋体" w:eastAsia="宋体" w:cs="宋体"/>
          <w:sz w:val="24"/>
          <w:szCs w:val="24"/>
        </w:rPr>
        <w:t>磋商有关的任何数据或资料，并保证数据和资料的完整性和真实性。</w:t>
      </w:r>
    </w:p>
    <w:p w14:paraId="0EE25342">
      <w:pPr>
        <w:pBdr>
          <w:top w:val="none" w:color="auto" w:sz="0" w:space="1"/>
          <w:left w:val="none" w:color="auto" w:sz="0" w:space="4"/>
          <w:bottom w:val="none" w:color="auto" w:sz="0" w:space="1"/>
          <w:right w:val="none" w:color="auto" w:sz="0" w:space="4"/>
        </w:pBdr>
        <w:spacing w:line="312" w:lineRule="auto"/>
        <w:ind w:firstLine="490"/>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如我方成交：</w:t>
      </w:r>
    </w:p>
    <w:p w14:paraId="3EBC3D73">
      <w:pPr>
        <w:pBdr>
          <w:top w:val="none" w:color="auto" w:sz="0" w:space="1"/>
          <w:left w:val="none" w:color="auto" w:sz="0" w:space="4"/>
          <w:bottom w:val="none" w:color="auto" w:sz="0" w:space="1"/>
          <w:right w:val="none" w:color="auto" w:sz="0" w:space="4"/>
        </w:pBdr>
        <w:spacing w:line="312" w:lineRule="auto"/>
        <w:ind w:firstLine="490"/>
        <w:rPr>
          <w:rFonts w:hint="eastAsia" w:ascii="宋体" w:hAnsi="宋体" w:eastAsia="宋体" w:cs="宋体"/>
          <w:sz w:val="24"/>
          <w:szCs w:val="24"/>
        </w:rPr>
      </w:pPr>
      <w:r>
        <w:rPr>
          <w:rFonts w:hint="eastAsia" w:ascii="宋体" w:hAnsi="宋体" w:eastAsia="宋体" w:cs="宋体"/>
          <w:sz w:val="24"/>
          <w:szCs w:val="24"/>
        </w:rPr>
        <w:t>（1）我方承诺在收到成交通知书后，在成交通知书规定的期限内与贵方签订合同，并履行相应的合同责任和义务。</w:t>
      </w:r>
    </w:p>
    <w:p w14:paraId="31484934">
      <w:pPr>
        <w:pBdr>
          <w:top w:val="none" w:color="auto" w:sz="0" w:space="1"/>
          <w:left w:val="none" w:color="auto" w:sz="0" w:space="4"/>
          <w:bottom w:val="none" w:color="auto" w:sz="0" w:space="1"/>
          <w:right w:val="none" w:color="auto" w:sz="0" w:space="4"/>
        </w:pBdr>
        <w:spacing w:line="312" w:lineRule="auto"/>
        <w:ind w:firstLine="490"/>
        <w:rPr>
          <w:rFonts w:hint="eastAsia" w:ascii="宋体" w:hAnsi="宋体" w:eastAsia="宋体" w:cs="宋体"/>
          <w:sz w:val="24"/>
          <w:szCs w:val="24"/>
        </w:rPr>
      </w:pPr>
      <w:r>
        <w:rPr>
          <w:rFonts w:hint="eastAsia" w:ascii="宋体" w:hAnsi="宋体" w:eastAsia="宋体" w:cs="宋体"/>
          <w:sz w:val="24"/>
          <w:szCs w:val="24"/>
        </w:rPr>
        <w:t>（2）我方承诺按照竞争性磋商文件规定向贵方递交履约担保。</w:t>
      </w:r>
    </w:p>
    <w:p w14:paraId="4C539651">
      <w:pPr>
        <w:pBdr>
          <w:top w:val="none" w:color="auto" w:sz="0" w:space="1"/>
          <w:left w:val="none" w:color="auto" w:sz="0" w:space="4"/>
          <w:bottom w:val="none" w:color="auto" w:sz="0" w:space="1"/>
          <w:right w:val="none" w:color="auto" w:sz="0" w:space="4"/>
        </w:pBdr>
        <w:spacing w:line="312" w:lineRule="auto"/>
        <w:ind w:firstLine="490"/>
        <w:rPr>
          <w:rFonts w:hint="eastAsia" w:ascii="宋体" w:hAnsi="宋体" w:eastAsia="宋体" w:cs="宋体"/>
          <w:sz w:val="24"/>
          <w:szCs w:val="24"/>
        </w:rPr>
      </w:pPr>
      <w:r>
        <w:rPr>
          <w:rFonts w:hint="eastAsia" w:ascii="宋体" w:hAnsi="宋体" w:eastAsia="宋体" w:cs="宋体"/>
          <w:sz w:val="24"/>
          <w:szCs w:val="24"/>
        </w:rPr>
        <w:t>（3）我方承诺严格遵守竞争性磋商文件中的各项要求及合同条款，并在服务周</w:t>
      </w:r>
      <w:r>
        <w:rPr>
          <w:rFonts w:hint="eastAsia" w:ascii="宋体" w:hAnsi="宋体" w:eastAsia="宋体" w:cs="宋体"/>
          <w:sz w:val="24"/>
          <w:szCs w:val="24"/>
          <w:lang w:eastAsia="zh-CN"/>
        </w:rPr>
        <w:t>期内</w:t>
      </w:r>
      <w:r>
        <w:rPr>
          <w:rFonts w:hint="eastAsia" w:ascii="宋体" w:hAnsi="宋体" w:eastAsia="宋体" w:cs="宋体"/>
          <w:sz w:val="24"/>
          <w:szCs w:val="24"/>
        </w:rPr>
        <w:t>承担合同规定的责任义务。</w:t>
      </w:r>
    </w:p>
    <w:p w14:paraId="0D9E3057">
      <w:pPr>
        <w:pBdr>
          <w:top w:val="none" w:color="auto" w:sz="0" w:space="1"/>
          <w:left w:val="none" w:color="auto" w:sz="0" w:space="4"/>
          <w:bottom w:val="none" w:color="auto" w:sz="0" w:space="1"/>
          <w:right w:val="none" w:color="auto" w:sz="0" w:space="4"/>
        </w:pBdr>
        <w:spacing w:line="312" w:lineRule="auto"/>
        <w:ind w:firstLine="490"/>
        <w:rPr>
          <w:rFonts w:hint="eastAsia" w:ascii="宋体" w:hAnsi="宋体" w:eastAsia="宋体" w:cs="宋体"/>
          <w:sz w:val="24"/>
          <w:szCs w:val="24"/>
        </w:rPr>
      </w:pPr>
      <w:r>
        <w:rPr>
          <w:rFonts w:hint="eastAsia" w:ascii="宋体" w:hAnsi="宋体" w:eastAsia="宋体" w:cs="宋体"/>
          <w:sz w:val="24"/>
          <w:szCs w:val="24"/>
        </w:rPr>
        <w:t>（4）我方已详细审核竞争性磋商文件，我方对竞争性磋商文件各项条款和评审办法无异议，知道必须放弃提出含糊不清或误解问题的权利。</w:t>
      </w:r>
    </w:p>
    <w:p w14:paraId="4BB5CF17">
      <w:pPr>
        <w:pBdr>
          <w:top w:val="none" w:color="auto" w:sz="0" w:space="1"/>
          <w:left w:val="none" w:color="auto" w:sz="0" w:space="4"/>
          <w:bottom w:val="none" w:color="auto" w:sz="0" w:space="1"/>
          <w:right w:val="none" w:color="auto" w:sz="0" w:space="4"/>
        </w:pBdr>
        <w:spacing w:line="312" w:lineRule="auto"/>
        <w:ind w:firstLine="490"/>
        <w:rPr>
          <w:rFonts w:hint="eastAsia" w:ascii="宋体" w:hAnsi="宋体" w:eastAsia="宋体" w:cs="宋体"/>
          <w:sz w:val="24"/>
          <w:szCs w:val="24"/>
        </w:rPr>
      </w:pPr>
      <w:r>
        <w:rPr>
          <w:rFonts w:hint="eastAsia" w:ascii="宋体" w:hAnsi="宋体" w:eastAsia="宋体" w:cs="宋体"/>
          <w:sz w:val="24"/>
          <w:szCs w:val="24"/>
          <w:lang w:eastAsia="zh-CN"/>
        </w:rPr>
        <w:t>5.</w:t>
      </w:r>
      <w:r>
        <w:rPr>
          <w:rFonts w:hint="eastAsia" w:ascii="宋体" w:hAnsi="宋体" w:eastAsia="宋体" w:cs="宋体"/>
          <w:sz w:val="24"/>
          <w:szCs w:val="24"/>
        </w:rPr>
        <w:t>我方在此声明，所递交的磋商响应文件及有关资料内容完整、真实和准确。</w:t>
      </w:r>
    </w:p>
    <w:p w14:paraId="6C4D8D5B">
      <w:pPr>
        <w:pBdr>
          <w:top w:val="none" w:color="auto" w:sz="0" w:space="1"/>
          <w:left w:val="none" w:color="auto" w:sz="0" w:space="4"/>
          <w:bottom w:val="none" w:color="auto" w:sz="0" w:space="1"/>
          <w:right w:val="none" w:color="auto" w:sz="0" w:space="4"/>
        </w:pBdr>
        <w:spacing w:line="312" w:lineRule="auto"/>
        <w:ind w:firstLine="49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u w:val="single"/>
        </w:rPr>
        <w:t xml:space="preserve">                            </w:t>
      </w:r>
      <w:r>
        <w:rPr>
          <w:rFonts w:hint="eastAsia" w:ascii="宋体" w:hAnsi="宋体" w:eastAsia="宋体" w:cs="宋体"/>
          <w:sz w:val="24"/>
          <w:szCs w:val="24"/>
        </w:rPr>
        <w:t>（其他补充说明）。</w:t>
      </w:r>
    </w:p>
    <w:p w14:paraId="32888DAD">
      <w:pPr>
        <w:pBdr>
          <w:top w:val="none" w:color="auto" w:sz="0" w:space="1"/>
          <w:left w:val="none" w:color="auto" w:sz="0" w:space="4"/>
          <w:bottom w:val="none" w:color="auto" w:sz="0" w:space="1"/>
          <w:right w:val="none" w:color="auto" w:sz="0" w:space="4"/>
        </w:pBdr>
        <w:spacing w:line="312" w:lineRule="auto"/>
        <w:ind w:firstLine="490"/>
        <w:rPr>
          <w:rFonts w:hint="eastAsia" w:ascii="宋体" w:hAnsi="宋体" w:eastAsia="宋体" w:cs="宋体"/>
          <w:sz w:val="24"/>
          <w:szCs w:val="24"/>
        </w:rPr>
      </w:pPr>
    </w:p>
    <w:p w14:paraId="0580AD8D">
      <w:pPr>
        <w:pStyle w:val="9"/>
        <w:rPr>
          <w:rFonts w:hint="eastAsia" w:ascii="宋体" w:hAnsi="宋体" w:eastAsia="宋体" w:cs="宋体"/>
          <w:sz w:val="24"/>
          <w:szCs w:val="24"/>
        </w:rPr>
      </w:pPr>
    </w:p>
    <w:p w14:paraId="47094C18">
      <w:pPr>
        <w:pBdr>
          <w:top w:val="none" w:color="auto" w:sz="0" w:space="1"/>
          <w:left w:val="none" w:color="auto" w:sz="0" w:space="4"/>
          <w:bottom w:val="none" w:color="auto" w:sz="0" w:space="1"/>
          <w:right w:val="none" w:color="auto" w:sz="0" w:space="4"/>
        </w:pBdr>
        <w:spacing w:line="312" w:lineRule="auto"/>
        <w:ind w:left="237" w:leftChars="113" w:firstLine="840" w:firstLineChars="350"/>
        <w:rPr>
          <w:rFonts w:hint="eastAsia" w:ascii="宋体" w:hAnsi="宋体" w:eastAsia="宋体" w:cs="宋体"/>
          <w:sz w:val="24"/>
          <w:szCs w:val="24"/>
          <w:u w:val="single"/>
        </w:rPr>
      </w:pPr>
      <w:r>
        <w:rPr>
          <w:rFonts w:hint="eastAsia" w:ascii="宋体" w:hAnsi="宋体" w:eastAsia="宋体" w:cs="宋体"/>
          <w:sz w:val="24"/>
          <w:szCs w:val="24"/>
        </w:rPr>
        <w:t>潜在供应商：</w:t>
      </w:r>
      <w:r>
        <w:rPr>
          <w:rFonts w:hint="eastAsia" w:ascii="宋体" w:hAnsi="宋体" w:eastAsia="宋体" w:cs="宋体"/>
          <w:sz w:val="24"/>
          <w:szCs w:val="24"/>
          <w:u w:val="single"/>
        </w:rPr>
        <w:t xml:space="preserve">             （电子签章）              </w:t>
      </w:r>
    </w:p>
    <w:p w14:paraId="2D368EDC">
      <w:pPr>
        <w:pBdr>
          <w:top w:val="none" w:color="auto" w:sz="0" w:space="1"/>
          <w:left w:val="none" w:color="auto" w:sz="0" w:space="4"/>
          <w:bottom w:val="none" w:color="auto" w:sz="0" w:space="1"/>
          <w:right w:val="none" w:color="auto" w:sz="0" w:space="4"/>
        </w:pBdr>
        <w:spacing w:line="312" w:lineRule="auto"/>
        <w:ind w:left="237" w:leftChars="113" w:firstLine="840" w:firstLineChars="35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（签字或盖章）  </w:t>
      </w:r>
    </w:p>
    <w:p w14:paraId="300C696C">
      <w:pPr>
        <w:pBdr>
          <w:top w:val="none" w:color="auto" w:sz="0" w:space="1"/>
          <w:left w:val="none" w:color="auto" w:sz="0" w:space="4"/>
          <w:bottom w:val="none" w:color="auto" w:sz="0" w:space="1"/>
          <w:right w:val="none" w:color="auto" w:sz="0" w:space="4"/>
        </w:pBdr>
        <w:spacing w:line="312" w:lineRule="auto"/>
        <w:ind w:left="237" w:leftChars="113" w:firstLine="840" w:firstLineChars="350"/>
        <w:rPr>
          <w:rFonts w:hint="eastAsia" w:ascii="宋体" w:hAnsi="宋体" w:eastAsia="宋体" w:cs="宋体"/>
          <w:sz w:val="24"/>
          <w:szCs w:val="24"/>
          <w:u w:val="single"/>
        </w:rPr>
      </w:pPr>
      <w:r>
        <w:rPr>
          <w:rFonts w:hint="eastAsia" w:ascii="宋体" w:hAnsi="宋体" w:eastAsia="宋体" w:cs="宋体"/>
          <w:sz w:val="24"/>
          <w:szCs w:val="24"/>
        </w:rPr>
        <w:t>单位地址：</w:t>
      </w:r>
      <w:r>
        <w:rPr>
          <w:rFonts w:hint="eastAsia" w:ascii="宋体" w:hAnsi="宋体" w:eastAsia="宋体" w:cs="宋体"/>
          <w:sz w:val="24"/>
          <w:szCs w:val="24"/>
          <w:u w:val="single"/>
        </w:rPr>
        <w:t xml:space="preserve">                                     </w:t>
      </w:r>
    </w:p>
    <w:p w14:paraId="4D7D5F39">
      <w:pPr>
        <w:pBdr>
          <w:top w:val="none" w:color="auto" w:sz="0" w:space="1"/>
          <w:left w:val="none" w:color="auto" w:sz="0" w:space="4"/>
          <w:bottom w:val="none" w:color="auto" w:sz="0" w:space="1"/>
          <w:right w:val="none" w:color="auto" w:sz="0" w:space="4"/>
        </w:pBdr>
        <w:spacing w:line="312" w:lineRule="auto"/>
        <w:ind w:left="237" w:leftChars="113" w:firstLine="840" w:firstLineChars="350"/>
        <w:rPr>
          <w:rFonts w:hint="eastAsia" w:ascii="宋体" w:hAnsi="宋体" w:eastAsia="宋体" w:cs="宋体"/>
          <w:sz w:val="24"/>
          <w:szCs w:val="24"/>
          <w:u w:val="single"/>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rPr>
        <w:t>传真：</w:t>
      </w:r>
      <w:r>
        <w:rPr>
          <w:rFonts w:hint="eastAsia" w:ascii="宋体" w:hAnsi="宋体" w:eastAsia="宋体" w:cs="宋体"/>
          <w:sz w:val="24"/>
          <w:szCs w:val="24"/>
          <w:u w:val="single"/>
        </w:rPr>
        <w:t xml:space="preserve">        </w:t>
      </w:r>
    </w:p>
    <w:p w14:paraId="05E30366">
      <w:pPr>
        <w:pBdr>
          <w:top w:val="none" w:color="auto" w:sz="0" w:space="1"/>
          <w:left w:val="none" w:color="auto" w:sz="0" w:space="4"/>
          <w:bottom w:val="none" w:color="auto" w:sz="0" w:space="1"/>
          <w:right w:val="none" w:color="auto" w:sz="0" w:space="4"/>
        </w:pBdr>
        <w:spacing w:line="312" w:lineRule="auto"/>
        <w:ind w:left="237" w:leftChars="113" w:firstLine="840" w:firstLineChars="35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0FA58843">
      <w:pPr>
        <w:pBdr>
          <w:top w:val="none" w:color="auto" w:sz="0" w:space="1"/>
          <w:left w:val="none" w:color="auto" w:sz="0" w:space="4"/>
          <w:bottom w:val="none" w:color="auto" w:sz="0" w:space="1"/>
          <w:right w:val="none" w:color="auto" w:sz="0" w:space="4"/>
        </w:pBdr>
        <w:spacing w:line="312" w:lineRule="auto"/>
        <w:rPr>
          <w:rFonts w:hint="eastAsia" w:ascii="宋体" w:hAnsi="宋体" w:eastAsia="宋体" w:cs="宋体"/>
          <w:sz w:val="24"/>
          <w:szCs w:val="24"/>
        </w:rPr>
      </w:pPr>
    </w:p>
    <w:bookmarkEnd w:id="234"/>
    <w:bookmarkEnd w:id="235"/>
    <w:p w14:paraId="13702AC4">
      <w:pPr>
        <w:pStyle w:val="3"/>
        <w:pBdr>
          <w:top w:val="none" w:color="auto" w:sz="0" w:space="1"/>
          <w:left w:val="none" w:color="auto" w:sz="0" w:space="4"/>
          <w:bottom w:val="none" w:color="auto" w:sz="0" w:space="1"/>
          <w:right w:val="none" w:color="auto" w:sz="0" w:space="4"/>
        </w:pBdr>
        <w:spacing w:before="280" w:after="290" w:line="360" w:lineRule="exact"/>
        <w:rPr>
          <w:rFonts w:hint="eastAsia" w:ascii="宋体" w:hAnsi="宋体" w:eastAsia="宋体" w:cs="宋体"/>
          <w:sz w:val="24"/>
          <w:szCs w:val="24"/>
        </w:rPr>
      </w:pPr>
      <w:bookmarkStart w:id="236" w:name="_Toc276652315"/>
      <w:bookmarkStart w:id="237" w:name="_Toc276652597"/>
      <w:bookmarkStart w:id="238" w:name="_Toc277876026"/>
      <w:bookmarkStart w:id="239" w:name="_Toc10162"/>
      <w:r>
        <w:rPr>
          <w:rFonts w:hint="eastAsia" w:ascii="宋体" w:hAnsi="宋体" w:eastAsia="宋体" w:cs="宋体"/>
          <w:sz w:val="24"/>
          <w:szCs w:val="24"/>
        </w:rPr>
        <w:br w:type="page"/>
      </w:r>
      <w:bookmarkStart w:id="240" w:name="_Toc19186"/>
      <w:bookmarkStart w:id="241" w:name="_Toc13973"/>
      <w:bookmarkStart w:id="242" w:name="_Toc25554"/>
      <w:r>
        <w:rPr>
          <w:rFonts w:hint="eastAsia" w:ascii="宋体" w:hAnsi="宋体" w:eastAsia="宋体" w:cs="宋体"/>
          <w:sz w:val="24"/>
          <w:szCs w:val="24"/>
        </w:rPr>
        <w:t>三、法定代表人身份证明</w:t>
      </w:r>
      <w:bookmarkEnd w:id="236"/>
      <w:bookmarkEnd w:id="237"/>
      <w:bookmarkEnd w:id="238"/>
      <w:r>
        <w:rPr>
          <w:rFonts w:hint="eastAsia" w:ascii="宋体" w:hAnsi="宋体" w:eastAsia="宋体" w:cs="宋体"/>
          <w:sz w:val="24"/>
          <w:szCs w:val="24"/>
        </w:rPr>
        <w:t>书</w:t>
      </w:r>
      <w:bookmarkEnd w:id="239"/>
      <w:bookmarkEnd w:id="240"/>
      <w:bookmarkEnd w:id="241"/>
      <w:bookmarkEnd w:id="242"/>
    </w:p>
    <w:p w14:paraId="308ECC55">
      <w:pPr>
        <w:pBdr>
          <w:top w:val="none" w:color="auto" w:sz="0" w:space="1"/>
          <w:left w:val="none" w:color="auto" w:sz="0" w:space="4"/>
          <w:bottom w:val="none" w:color="auto" w:sz="0" w:space="1"/>
          <w:right w:val="none" w:color="auto" w:sz="0" w:space="4"/>
        </w:pBdr>
        <w:rPr>
          <w:rFonts w:hint="eastAsia" w:ascii="宋体" w:hAnsi="宋体" w:eastAsia="宋体" w:cs="宋体"/>
          <w:sz w:val="24"/>
          <w:szCs w:val="24"/>
        </w:rPr>
      </w:pPr>
    </w:p>
    <w:p w14:paraId="12F48C83">
      <w:pPr>
        <w:pBdr>
          <w:top w:val="none" w:color="auto" w:sz="0" w:space="1"/>
          <w:left w:val="none" w:color="auto" w:sz="0" w:space="4"/>
          <w:bottom w:val="none" w:color="auto" w:sz="0" w:space="1"/>
          <w:right w:val="none" w:color="auto" w:sz="0" w:space="4"/>
        </w:pBdr>
        <w:spacing w:line="360" w:lineRule="auto"/>
        <w:ind w:firstLine="612"/>
        <w:rPr>
          <w:rFonts w:hint="eastAsia" w:ascii="宋体" w:hAnsi="宋体" w:eastAsia="宋体" w:cs="宋体"/>
          <w:sz w:val="24"/>
          <w:szCs w:val="24"/>
        </w:rPr>
      </w:pPr>
      <w:r>
        <w:rPr>
          <w:rFonts w:hint="eastAsia" w:ascii="宋体" w:hAnsi="宋体" w:eastAsia="宋体" w:cs="宋体"/>
          <w:sz w:val="24"/>
          <w:szCs w:val="24"/>
        </w:rPr>
        <w:t>单位名称：</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6103B25E">
      <w:pPr>
        <w:pBdr>
          <w:top w:val="none" w:color="auto" w:sz="0" w:space="1"/>
          <w:left w:val="none" w:color="auto" w:sz="0" w:space="4"/>
          <w:bottom w:val="none" w:color="auto" w:sz="0" w:space="1"/>
          <w:right w:val="none" w:color="auto" w:sz="0" w:space="4"/>
        </w:pBdr>
        <w:spacing w:line="360" w:lineRule="auto"/>
        <w:ind w:firstLine="610"/>
        <w:rPr>
          <w:rFonts w:hint="eastAsia" w:ascii="宋体" w:hAnsi="宋体" w:eastAsia="宋体" w:cs="宋体"/>
          <w:sz w:val="24"/>
          <w:szCs w:val="24"/>
          <w:u w:val="single"/>
        </w:rPr>
      </w:pPr>
      <w:r>
        <w:rPr>
          <w:rFonts w:hint="eastAsia" w:ascii="宋体" w:hAnsi="宋体" w:eastAsia="宋体" w:cs="宋体"/>
          <w:sz w:val="24"/>
          <w:szCs w:val="24"/>
        </w:rPr>
        <w:t>单位性质：</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0150D8B8">
      <w:pPr>
        <w:pBdr>
          <w:top w:val="none" w:color="auto" w:sz="0" w:space="1"/>
          <w:left w:val="none" w:color="auto" w:sz="0" w:space="4"/>
          <w:bottom w:val="none" w:color="auto" w:sz="0" w:space="1"/>
          <w:right w:val="none" w:color="auto" w:sz="0" w:space="4"/>
        </w:pBdr>
        <w:spacing w:line="360" w:lineRule="auto"/>
        <w:ind w:firstLine="610"/>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4313F8F7">
      <w:pPr>
        <w:pBdr>
          <w:top w:val="none" w:color="auto" w:sz="0" w:space="1"/>
          <w:left w:val="none" w:color="auto" w:sz="0" w:space="4"/>
          <w:bottom w:val="none" w:color="auto" w:sz="0" w:space="1"/>
          <w:right w:val="none" w:color="auto" w:sz="0" w:space="4"/>
        </w:pBdr>
        <w:spacing w:line="360" w:lineRule="auto"/>
        <w:ind w:firstLine="610"/>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EBCF60C">
      <w:pPr>
        <w:pBdr>
          <w:top w:val="none" w:color="auto" w:sz="0" w:space="1"/>
          <w:left w:val="none" w:color="auto" w:sz="0" w:space="4"/>
          <w:bottom w:val="none" w:color="auto" w:sz="0" w:space="1"/>
          <w:right w:val="none" w:color="auto" w:sz="0" w:space="4"/>
        </w:pBdr>
        <w:spacing w:line="360" w:lineRule="auto"/>
        <w:ind w:firstLine="610"/>
        <w:rPr>
          <w:rFonts w:hint="eastAsia" w:ascii="宋体" w:hAnsi="宋体" w:eastAsia="宋体" w:cs="宋体"/>
          <w:sz w:val="24"/>
          <w:szCs w:val="24"/>
          <w:u w:val="single"/>
        </w:rPr>
      </w:pPr>
      <w:r>
        <w:rPr>
          <w:rFonts w:hint="eastAsia" w:ascii="宋体" w:hAnsi="宋体" w:eastAsia="宋体" w:cs="宋体"/>
          <w:sz w:val="24"/>
          <w:szCs w:val="24"/>
        </w:rPr>
        <w:t>经营期限：</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3F510179">
      <w:pPr>
        <w:pBdr>
          <w:top w:val="none" w:color="auto" w:sz="0" w:space="1"/>
          <w:left w:val="none" w:color="auto" w:sz="0" w:space="4"/>
          <w:bottom w:val="none" w:color="auto" w:sz="0" w:space="1"/>
          <w:right w:val="none" w:color="auto" w:sz="0" w:space="4"/>
        </w:pBdr>
        <w:spacing w:line="360" w:lineRule="auto"/>
        <w:ind w:firstLine="610"/>
        <w:rPr>
          <w:rFonts w:hint="eastAsia" w:ascii="宋体" w:hAnsi="宋体" w:eastAsia="宋体" w:cs="宋体"/>
          <w:sz w:val="24"/>
          <w:szCs w:val="24"/>
          <w:u w:val="single"/>
        </w:rPr>
      </w:pPr>
      <w:r>
        <w:rPr>
          <w:rFonts w:hint="eastAsia" w:ascii="宋体" w:hAnsi="宋体" w:eastAsia="宋体" w:cs="宋体"/>
          <w:sz w:val="24"/>
          <w:szCs w:val="24"/>
        </w:rPr>
        <w:t>姓    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12A7450D">
      <w:pPr>
        <w:pBdr>
          <w:top w:val="none" w:color="auto" w:sz="0" w:space="1"/>
          <w:left w:val="none" w:color="auto" w:sz="0" w:space="4"/>
          <w:bottom w:val="none" w:color="auto" w:sz="0" w:space="1"/>
          <w:right w:val="none" w:color="auto" w:sz="0" w:space="4"/>
        </w:pBdr>
        <w:spacing w:line="360" w:lineRule="auto"/>
        <w:ind w:firstLine="610"/>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（潜在供应商单位名称）         </w:t>
      </w:r>
      <w:r>
        <w:rPr>
          <w:rFonts w:hint="eastAsia" w:ascii="宋体" w:hAnsi="宋体" w:eastAsia="宋体" w:cs="宋体"/>
          <w:sz w:val="24"/>
          <w:szCs w:val="24"/>
        </w:rPr>
        <w:t>的法定代表人。</w:t>
      </w:r>
    </w:p>
    <w:p w14:paraId="09EBED78">
      <w:pPr>
        <w:pBdr>
          <w:top w:val="none" w:color="auto" w:sz="0" w:space="1"/>
          <w:left w:val="none" w:color="auto" w:sz="0" w:space="4"/>
          <w:bottom w:val="none" w:color="auto" w:sz="0" w:space="1"/>
          <w:right w:val="none" w:color="auto" w:sz="0" w:space="4"/>
        </w:pBdr>
        <w:spacing w:line="360" w:lineRule="auto"/>
        <w:ind w:firstLine="610"/>
        <w:rPr>
          <w:rFonts w:hint="eastAsia" w:ascii="宋体" w:hAnsi="宋体" w:eastAsia="宋体" w:cs="宋体"/>
          <w:sz w:val="24"/>
          <w:szCs w:val="24"/>
        </w:rPr>
      </w:pPr>
      <w:r>
        <w:rPr>
          <w:rFonts w:hint="eastAsia" w:ascii="宋体" w:hAnsi="宋体" w:eastAsia="宋体" w:cs="宋体"/>
          <w:sz w:val="24"/>
          <w:szCs w:val="24"/>
        </w:rPr>
        <w:t>特此证明。</w:t>
      </w:r>
    </w:p>
    <w:p w14:paraId="07335E9A">
      <w:pPr>
        <w:pBdr>
          <w:top w:val="none" w:color="auto" w:sz="0" w:space="1"/>
          <w:left w:val="none" w:color="auto" w:sz="0" w:space="4"/>
          <w:bottom w:val="none" w:color="auto" w:sz="0" w:space="1"/>
          <w:right w:val="none" w:color="auto" w:sz="0" w:space="4"/>
        </w:pBdr>
        <w:spacing w:line="360" w:lineRule="auto"/>
        <w:ind w:firstLine="610"/>
        <w:rPr>
          <w:rFonts w:hint="eastAsia" w:ascii="宋体" w:hAnsi="宋体" w:eastAsia="宋体" w:cs="宋体"/>
          <w:sz w:val="24"/>
          <w:szCs w:val="24"/>
        </w:rPr>
      </w:pPr>
      <w:r>
        <w:rPr>
          <w:rFonts w:hint="eastAsia" w:ascii="宋体" w:hAnsi="宋体" w:eastAsia="宋体" w:cs="宋体"/>
          <w:sz w:val="24"/>
          <w:szCs w:val="24"/>
        </w:rPr>
        <w:t>附：法定代表人身份证扫描件</w:t>
      </w:r>
    </w:p>
    <w:p w14:paraId="70761D28">
      <w:pPr>
        <w:pBdr>
          <w:top w:val="none" w:color="auto" w:sz="0" w:space="1"/>
          <w:left w:val="none" w:color="auto" w:sz="0" w:space="4"/>
          <w:bottom w:val="none" w:color="auto" w:sz="0" w:space="1"/>
          <w:right w:val="none" w:color="auto" w:sz="0" w:space="4"/>
        </w:pBdr>
        <w:spacing w:line="360" w:lineRule="auto"/>
        <w:ind w:firstLine="610"/>
        <w:rPr>
          <w:rFonts w:hint="eastAsia" w:ascii="宋体" w:hAnsi="宋体" w:eastAsia="宋体" w:cs="宋体"/>
          <w:sz w:val="24"/>
          <w:szCs w:val="24"/>
        </w:rPr>
      </w:pPr>
    </w:p>
    <w:tbl>
      <w:tblPr>
        <w:tblStyle w:val="25"/>
        <w:tblW w:w="8255" w:type="dxa"/>
        <w:tblInd w:w="7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5"/>
        <w:gridCol w:w="3960"/>
      </w:tblGrid>
      <w:tr w14:paraId="0AFF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5" w:hRule="atLeast"/>
        </w:trPr>
        <w:tc>
          <w:tcPr>
            <w:tcW w:w="4295" w:type="dxa"/>
            <w:tcBorders>
              <w:top w:val="single" w:color="auto" w:sz="4" w:space="0"/>
              <w:left w:val="single" w:color="auto" w:sz="4" w:space="0"/>
              <w:bottom w:val="single" w:color="auto" w:sz="4" w:space="0"/>
              <w:right w:val="single" w:color="auto" w:sz="4" w:space="0"/>
            </w:tcBorders>
            <w:vAlign w:val="center"/>
          </w:tcPr>
          <w:p w14:paraId="0B6A7493">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40" w:lineRule="exact"/>
              <w:ind w:left="0" w:right="0"/>
              <w:jc w:val="center"/>
              <w:rPr>
                <w:rFonts w:hint="eastAsia" w:ascii="宋体" w:hAnsi="宋体" w:eastAsia="宋体" w:cs="宋体"/>
                <w:sz w:val="24"/>
                <w:szCs w:val="24"/>
                <w:lang w:bidi="ar"/>
              </w:rPr>
            </w:pPr>
            <w:r>
              <w:rPr>
                <w:rFonts w:hint="eastAsia" w:ascii="宋体" w:hAnsi="宋体" w:eastAsia="宋体" w:cs="宋体"/>
                <w:sz w:val="24"/>
                <w:szCs w:val="24"/>
                <w:lang w:bidi="ar"/>
              </w:rPr>
              <w:t>法定代表人身份证扫描件</w:t>
            </w:r>
          </w:p>
          <w:p w14:paraId="390E58D9">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lang w:bidi="ar"/>
              </w:rPr>
              <w:t>（国徽面）</w:t>
            </w:r>
          </w:p>
        </w:tc>
        <w:tc>
          <w:tcPr>
            <w:tcW w:w="3960" w:type="dxa"/>
            <w:tcBorders>
              <w:top w:val="single" w:color="auto" w:sz="4" w:space="0"/>
              <w:left w:val="single" w:color="auto" w:sz="4" w:space="0"/>
              <w:bottom w:val="single" w:color="auto" w:sz="4" w:space="0"/>
              <w:right w:val="single" w:color="auto" w:sz="4" w:space="0"/>
            </w:tcBorders>
            <w:vAlign w:val="center"/>
          </w:tcPr>
          <w:p w14:paraId="4CABAA3D">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40" w:lineRule="exact"/>
              <w:ind w:left="0" w:right="0"/>
              <w:jc w:val="center"/>
              <w:rPr>
                <w:rFonts w:hint="eastAsia" w:ascii="宋体" w:hAnsi="宋体" w:eastAsia="宋体" w:cs="宋体"/>
                <w:sz w:val="24"/>
                <w:szCs w:val="24"/>
                <w:lang w:bidi="ar"/>
              </w:rPr>
            </w:pPr>
            <w:r>
              <w:rPr>
                <w:rFonts w:hint="eastAsia" w:ascii="宋体" w:hAnsi="宋体" w:eastAsia="宋体" w:cs="宋体"/>
                <w:sz w:val="24"/>
                <w:szCs w:val="24"/>
                <w:lang w:bidi="ar"/>
              </w:rPr>
              <w:t>法定代表人身份证扫描件</w:t>
            </w:r>
          </w:p>
          <w:p w14:paraId="09BF60B6">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lang w:bidi="ar"/>
              </w:rPr>
              <w:t>（人像面）</w:t>
            </w:r>
          </w:p>
        </w:tc>
      </w:tr>
    </w:tbl>
    <w:p w14:paraId="35D23B59">
      <w:pPr>
        <w:pBdr>
          <w:top w:val="none" w:color="auto" w:sz="0" w:space="1"/>
          <w:left w:val="none" w:color="auto" w:sz="0" w:space="4"/>
          <w:bottom w:val="none" w:color="auto" w:sz="0" w:space="1"/>
          <w:right w:val="none" w:color="auto" w:sz="0" w:space="4"/>
        </w:pBdr>
        <w:spacing w:line="360" w:lineRule="auto"/>
        <w:ind w:firstLine="610"/>
        <w:rPr>
          <w:rFonts w:hint="eastAsia" w:ascii="宋体" w:hAnsi="宋体" w:eastAsia="宋体" w:cs="宋体"/>
          <w:sz w:val="24"/>
          <w:szCs w:val="24"/>
        </w:rPr>
      </w:pPr>
    </w:p>
    <w:p w14:paraId="63EEEC04">
      <w:pPr>
        <w:pBdr>
          <w:top w:val="none" w:color="auto" w:sz="0" w:space="1"/>
          <w:left w:val="none" w:color="auto" w:sz="0" w:space="4"/>
          <w:bottom w:val="none" w:color="auto" w:sz="0" w:space="1"/>
          <w:right w:val="none" w:color="auto" w:sz="0" w:space="4"/>
        </w:pBdr>
        <w:spacing w:line="360" w:lineRule="exact"/>
        <w:rPr>
          <w:rFonts w:hint="eastAsia" w:ascii="宋体" w:hAnsi="宋体" w:eastAsia="宋体" w:cs="宋体"/>
          <w:sz w:val="24"/>
          <w:szCs w:val="24"/>
        </w:rPr>
      </w:pPr>
    </w:p>
    <w:p w14:paraId="5D78D6D0">
      <w:pPr>
        <w:pBdr>
          <w:top w:val="none" w:color="auto" w:sz="0" w:space="1"/>
          <w:left w:val="none" w:color="auto" w:sz="0" w:space="4"/>
          <w:bottom w:val="none" w:color="auto" w:sz="0" w:space="1"/>
          <w:right w:val="none" w:color="auto" w:sz="0" w:space="4"/>
        </w:pBdr>
        <w:spacing w:line="360" w:lineRule="exact"/>
        <w:rPr>
          <w:rFonts w:hint="eastAsia" w:ascii="宋体" w:hAnsi="宋体" w:eastAsia="宋体" w:cs="宋体"/>
          <w:sz w:val="24"/>
          <w:szCs w:val="24"/>
        </w:rPr>
      </w:pPr>
    </w:p>
    <w:p w14:paraId="7ABF5C36">
      <w:pPr>
        <w:pBdr>
          <w:top w:val="none" w:color="auto" w:sz="0" w:space="1"/>
          <w:left w:val="none" w:color="auto" w:sz="0" w:space="4"/>
          <w:bottom w:val="none" w:color="auto" w:sz="0" w:space="1"/>
          <w:right w:val="none" w:color="auto" w:sz="0" w:space="4"/>
        </w:pBdr>
        <w:spacing w:line="360" w:lineRule="exact"/>
        <w:ind w:firstLine="4348" w:firstLineChars="1812"/>
        <w:rPr>
          <w:rFonts w:hint="eastAsia" w:ascii="宋体" w:hAnsi="宋体" w:eastAsia="宋体" w:cs="宋体"/>
          <w:sz w:val="24"/>
          <w:szCs w:val="24"/>
          <w:u w:val="single"/>
        </w:rPr>
      </w:pPr>
      <w:r>
        <w:rPr>
          <w:rFonts w:hint="eastAsia" w:ascii="宋体" w:hAnsi="宋体" w:eastAsia="宋体" w:cs="宋体"/>
          <w:sz w:val="24"/>
          <w:szCs w:val="24"/>
        </w:rPr>
        <w:t>潜在供应商：</w:t>
      </w:r>
      <w:r>
        <w:rPr>
          <w:rFonts w:hint="eastAsia" w:ascii="宋体" w:hAnsi="宋体" w:eastAsia="宋体" w:cs="宋体"/>
          <w:sz w:val="24"/>
          <w:szCs w:val="24"/>
          <w:u w:val="single"/>
        </w:rPr>
        <w:t xml:space="preserve">     （电子签章）     </w:t>
      </w:r>
    </w:p>
    <w:p w14:paraId="13DD0E64">
      <w:pPr>
        <w:pBdr>
          <w:top w:val="none" w:color="auto" w:sz="0" w:space="1"/>
          <w:left w:val="none" w:color="auto" w:sz="0" w:space="4"/>
          <w:bottom w:val="none" w:color="auto" w:sz="0" w:space="1"/>
          <w:right w:val="none" w:color="auto" w:sz="0" w:space="4"/>
        </w:pBdr>
        <w:spacing w:line="360" w:lineRule="exact"/>
        <w:ind w:firstLine="4348" w:firstLineChars="1812"/>
        <w:rPr>
          <w:rFonts w:hint="eastAsia" w:ascii="宋体" w:hAnsi="宋体" w:eastAsia="宋体" w:cs="宋体"/>
          <w:sz w:val="24"/>
          <w:szCs w:val="24"/>
          <w:u w:val="single"/>
        </w:rPr>
      </w:pPr>
    </w:p>
    <w:p w14:paraId="7F23A8BB">
      <w:pPr>
        <w:pBdr>
          <w:top w:val="none" w:color="auto" w:sz="0" w:space="1"/>
          <w:left w:val="none" w:color="auto" w:sz="0" w:space="4"/>
          <w:bottom w:val="none" w:color="auto" w:sz="0" w:space="1"/>
          <w:right w:val="none" w:color="auto" w:sz="0" w:space="4"/>
        </w:pBdr>
        <w:spacing w:line="360" w:lineRule="exact"/>
        <w:ind w:firstLine="4348" w:firstLineChars="1812"/>
        <w:rPr>
          <w:rFonts w:hint="eastAsia" w:ascii="宋体" w:hAnsi="宋体" w:eastAsia="宋体" w:cs="宋体"/>
          <w:sz w:val="24"/>
          <w:szCs w:val="24"/>
          <w:u w:val="single"/>
        </w:rPr>
      </w:pPr>
      <w:r>
        <w:rPr>
          <w:rFonts w:hint="eastAsia" w:ascii="宋体" w:hAnsi="宋体" w:eastAsia="宋体" w:cs="宋体"/>
          <w:sz w:val="24"/>
          <w:szCs w:val="24"/>
        </w:rPr>
        <w:t>日  期：      年    月    日</w:t>
      </w:r>
    </w:p>
    <w:p w14:paraId="395225F3">
      <w:pPr>
        <w:pBdr>
          <w:top w:val="none" w:color="auto" w:sz="0" w:space="1"/>
          <w:left w:val="none" w:color="auto" w:sz="0" w:space="4"/>
          <w:bottom w:val="none" w:color="auto" w:sz="0" w:space="1"/>
          <w:right w:val="none" w:color="auto" w:sz="0" w:space="4"/>
        </w:pBdr>
        <w:spacing w:before="240" w:line="500" w:lineRule="exact"/>
        <w:jc w:val="right"/>
        <w:rPr>
          <w:rFonts w:hint="eastAsia" w:ascii="宋体" w:hAnsi="宋体" w:eastAsia="宋体" w:cs="宋体"/>
          <w:sz w:val="24"/>
          <w:szCs w:val="24"/>
        </w:rPr>
      </w:pPr>
    </w:p>
    <w:p w14:paraId="5148AA74">
      <w:pPr>
        <w:pBdr>
          <w:top w:val="none" w:color="auto" w:sz="0" w:space="1"/>
          <w:left w:val="none" w:color="auto" w:sz="0" w:space="4"/>
          <w:bottom w:val="none" w:color="auto" w:sz="0" w:space="1"/>
          <w:right w:val="none" w:color="auto" w:sz="0" w:space="4"/>
        </w:pBdr>
        <w:spacing w:before="240" w:line="500" w:lineRule="exact"/>
        <w:jc w:val="right"/>
        <w:rPr>
          <w:rFonts w:hint="eastAsia" w:ascii="宋体" w:hAnsi="宋体" w:eastAsia="宋体" w:cs="宋体"/>
          <w:sz w:val="24"/>
          <w:szCs w:val="24"/>
        </w:rPr>
      </w:pPr>
    </w:p>
    <w:p w14:paraId="364AAE11">
      <w:pPr>
        <w:pBdr>
          <w:top w:val="none" w:color="auto" w:sz="0" w:space="1"/>
          <w:left w:val="none" w:color="auto" w:sz="0" w:space="4"/>
          <w:bottom w:val="none" w:color="auto" w:sz="0" w:space="1"/>
          <w:right w:val="none" w:color="auto" w:sz="0" w:space="4"/>
        </w:pBdr>
        <w:spacing w:before="240" w:line="500" w:lineRule="exact"/>
        <w:jc w:val="right"/>
        <w:rPr>
          <w:rFonts w:hint="eastAsia" w:ascii="宋体" w:hAnsi="宋体" w:eastAsia="宋体" w:cs="宋体"/>
          <w:sz w:val="24"/>
          <w:szCs w:val="24"/>
        </w:rPr>
        <w:sectPr>
          <w:pgSz w:w="11850" w:h="16783"/>
          <w:pgMar w:top="1440" w:right="1080" w:bottom="1440" w:left="1080" w:header="851" w:footer="992" w:gutter="0"/>
          <w:cols w:space="708" w:num="1"/>
          <w:docGrid w:type="lines" w:linePitch="312" w:charSpace="0"/>
        </w:sectPr>
      </w:pPr>
    </w:p>
    <w:p w14:paraId="49B0A479">
      <w:pPr>
        <w:keepNext/>
        <w:keepLines/>
        <w:pBdr>
          <w:top w:val="none" w:color="auto" w:sz="0" w:space="1"/>
          <w:left w:val="none" w:color="auto" w:sz="0" w:space="4"/>
          <w:bottom w:val="none" w:color="auto" w:sz="0" w:space="1"/>
          <w:right w:val="none" w:color="auto" w:sz="0" w:space="4"/>
        </w:pBdr>
        <w:snapToGrid w:val="0"/>
        <w:spacing w:line="480" w:lineRule="auto"/>
        <w:jc w:val="center"/>
        <w:outlineLvl w:val="1"/>
        <w:rPr>
          <w:rFonts w:hint="eastAsia" w:ascii="宋体" w:hAnsi="宋体" w:eastAsia="宋体" w:cs="宋体"/>
          <w:b/>
          <w:bCs/>
          <w:sz w:val="24"/>
          <w:szCs w:val="24"/>
        </w:rPr>
      </w:pPr>
      <w:bookmarkStart w:id="243" w:name="_Toc8347"/>
      <w:bookmarkStart w:id="244" w:name="_Toc292983045"/>
      <w:bookmarkStart w:id="245" w:name="_Toc19047"/>
      <w:bookmarkStart w:id="246" w:name="_Toc29293"/>
      <w:bookmarkStart w:id="247" w:name="_Toc397420669"/>
      <w:bookmarkStart w:id="248" w:name="_Toc30307"/>
      <w:bookmarkStart w:id="249" w:name="_Toc292983033"/>
      <w:bookmarkStart w:id="250" w:name="_Toc265766862"/>
      <w:r>
        <w:rPr>
          <w:rFonts w:hint="eastAsia" w:ascii="宋体" w:hAnsi="宋体" w:eastAsia="宋体" w:cs="宋体"/>
          <w:b/>
          <w:bCs/>
          <w:sz w:val="24"/>
          <w:szCs w:val="24"/>
        </w:rPr>
        <w:t>四、法定代表人授权委托书</w:t>
      </w:r>
      <w:bookmarkEnd w:id="243"/>
      <w:bookmarkEnd w:id="244"/>
      <w:bookmarkEnd w:id="245"/>
      <w:bookmarkEnd w:id="246"/>
      <w:bookmarkEnd w:id="247"/>
      <w:bookmarkEnd w:id="248"/>
    </w:p>
    <w:p w14:paraId="0F583BE3">
      <w:pPr>
        <w:pStyle w:val="9"/>
        <w:pBdr>
          <w:top w:val="none" w:color="auto" w:sz="0" w:space="1"/>
          <w:left w:val="none" w:color="auto" w:sz="0" w:space="4"/>
          <w:bottom w:val="none" w:color="auto" w:sz="0" w:space="1"/>
          <w:right w:val="none" w:color="auto" w:sz="0" w:space="4"/>
        </w:pBdr>
        <w:tabs>
          <w:tab w:val="left" w:pos="3158"/>
        </w:tabs>
        <w:kinsoku w:val="0"/>
        <w:overflowPunct w:val="0"/>
        <w:spacing w:before="36"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本人</w:t>
      </w:r>
      <w:r>
        <w:rPr>
          <w:rFonts w:hint="eastAsia" w:ascii="宋体" w:hAnsi="宋体" w:eastAsia="宋体" w:cs="宋体"/>
          <w:color w:val="auto"/>
          <w:sz w:val="24"/>
          <w:szCs w:val="24"/>
          <w:u w:val="single"/>
        </w:rPr>
        <w:t xml:space="preserve">    （姓名）</w:t>
      </w: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（潜在供应商名称）的法定代表人，</w:t>
      </w:r>
      <w:r>
        <w:rPr>
          <w:rFonts w:hint="eastAsia" w:ascii="宋体" w:hAnsi="宋体" w:eastAsia="宋体" w:cs="宋体"/>
          <w:color w:val="auto"/>
          <w:spacing w:val="-13"/>
          <w:sz w:val="24"/>
          <w:szCs w:val="24"/>
        </w:rPr>
        <w:t>现委托</w:t>
      </w:r>
      <w:r>
        <w:rPr>
          <w:rFonts w:hint="eastAsia" w:ascii="宋体" w:hAnsi="宋体" w:eastAsia="宋体" w:cs="宋体"/>
          <w:color w:val="auto"/>
          <w:spacing w:val="-13"/>
          <w:sz w:val="24"/>
          <w:szCs w:val="24"/>
          <w:u w:val="single"/>
        </w:rPr>
        <w:t>（姓名）</w:t>
      </w:r>
      <w:r>
        <w:rPr>
          <w:rFonts w:hint="eastAsia" w:ascii="宋体" w:hAnsi="宋体" w:eastAsia="宋体" w:cs="宋体"/>
          <w:color w:val="auto"/>
          <w:sz w:val="24"/>
          <w:szCs w:val="24"/>
        </w:rPr>
        <w:t>为我方代理人。代理人根据授权，以我方名义签署、</w:t>
      </w:r>
      <w:r>
        <w:rPr>
          <w:rFonts w:hint="eastAsia" w:ascii="宋体" w:hAnsi="宋体" w:eastAsia="宋体" w:cs="宋体"/>
          <w:color w:val="auto"/>
          <w:spacing w:val="-1"/>
          <w:sz w:val="24"/>
          <w:szCs w:val="24"/>
        </w:rPr>
        <w:t>澄清确认、递交、撤回、修改竞争性磋商项目磋商响应文件、签订合同和处理有关事宜</w:t>
      </w:r>
      <w:r>
        <w:rPr>
          <w:rFonts w:hint="eastAsia" w:ascii="宋体" w:hAnsi="宋体" w:eastAsia="宋体" w:cs="宋体"/>
          <w:color w:val="auto"/>
          <w:sz w:val="24"/>
          <w:szCs w:val="24"/>
        </w:rPr>
        <w:t>。</w:t>
      </w:r>
    </w:p>
    <w:p w14:paraId="5CE8188F">
      <w:pPr>
        <w:pBdr>
          <w:top w:val="none" w:color="auto" w:sz="0" w:space="1"/>
          <w:left w:val="none" w:color="auto" w:sz="0" w:space="4"/>
          <w:bottom w:val="none" w:color="auto" w:sz="0" w:space="1"/>
          <w:right w:val="none" w:color="auto" w:sz="0" w:space="4"/>
        </w:pBd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委托期限：</w:t>
      </w:r>
      <w:r>
        <w:rPr>
          <w:rFonts w:hint="eastAsia" w:ascii="宋体" w:hAnsi="宋体" w:eastAsia="宋体" w:cs="宋体"/>
          <w:sz w:val="24"/>
          <w:szCs w:val="24"/>
          <w:u w:val="single"/>
        </w:rPr>
        <w:t xml:space="preserve">                                </w:t>
      </w:r>
    </w:p>
    <w:p w14:paraId="531C2261">
      <w:pPr>
        <w:pBdr>
          <w:top w:val="none" w:color="auto" w:sz="0" w:space="1"/>
          <w:left w:val="none" w:color="auto" w:sz="0" w:space="4"/>
          <w:bottom w:val="none" w:color="auto" w:sz="0" w:space="1"/>
          <w:right w:val="none" w:color="auto" w:sz="0" w:space="4"/>
        </w:pBd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在此授权范围内，被授权人所实施的行为具有法律效力，授权人予以认可。</w:t>
      </w:r>
    </w:p>
    <w:p w14:paraId="68FD0FA9">
      <w:pPr>
        <w:pBdr>
          <w:top w:val="none" w:color="auto" w:sz="0" w:space="1"/>
          <w:left w:val="none" w:color="auto" w:sz="0" w:space="4"/>
          <w:bottom w:val="none" w:color="auto" w:sz="0" w:space="1"/>
          <w:right w:val="none" w:color="auto" w:sz="0" w:space="4"/>
        </w:pBd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授权代表无权转让委托权，特此委托。</w:t>
      </w:r>
    </w:p>
    <w:p w14:paraId="5E5B4EAA">
      <w:pPr>
        <w:pBdr>
          <w:top w:val="none" w:color="auto" w:sz="0" w:space="1"/>
          <w:left w:val="none" w:color="auto" w:sz="0" w:space="4"/>
          <w:bottom w:val="none" w:color="auto" w:sz="0" w:space="1"/>
          <w:right w:val="none" w:color="auto" w:sz="0" w:space="4"/>
        </w:pBd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附：授权委托人身份证扫描件</w:t>
      </w:r>
    </w:p>
    <w:p w14:paraId="6B6A4D4F">
      <w:pPr>
        <w:pBdr>
          <w:top w:val="none" w:color="auto" w:sz="0" w:space="1"/>
          <w:left w:val="none" w:color="auto" w:sz="0" w:space="4"/>
          <w:bottom w:val="none" w:color="auto" w:sz="0" w:space="1"/>
          <w:right w:val="none" w:color="auto" w:sz="0" w:space="4"/>
        </w:pBdr>
        <w:spacing w:line="360" w:lineRule="auto"/>
        <w:ind w:firstLine="480" w:firstLineChars="200"/>
        <w:contextualSpacing/>
        <w:rPr>
          <w:rFonts w:hint="eastAsia" w:ascii="宋体" w:hAnsi="宋体" w:eastAsia="宋体" w:cs="宋体"/>
          <w:sz w:val="24"/>
          <w:szCs w:val="24"/>
        </w:rPr>
      </w:pPr>
    </w:p>
    <w:tbl>
      <w:tblPr>
        <w:tblStyle w:val="25"/>
        <w:tblW w:w="8165" w:type="dxa"/>
        <w:tblInd w:w="7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5"/>
        <w:gridCol w:w="4000"/>
      </w:tblGrid>
      <w:tr w14:paraId="536C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5" w:hRule="atLeast"/>
        </w:trPr>
        <w:tc>
          <w:tcPr>
            <w:tcW w:w="4165" w:type="dxa"/>
            <w:tcBorders>
              <w:top w:val="single" w:color="auto" w:sz="4" w:space="0"/>
              <w:left w:val="single" w:color="auto" w:sz="4" w:space="0"/>
              <w:bottom w:val="single" w:color="auto" w:sz="4" w:space="0"/>
              <w:right w:val="single" w:color="auto" w:sz="4" w:space="0"/>
            </w:tcBorders>
            <w:vAlign w:val="center"/>
          </w:tcPr>
          <w:p w14:paraId="22059728">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40" w:lineRule="exact"/>
              <w:ind w:left="0" w:right="0"/>
              <w:jc w:val="center"/>
              <w:rPr>
                <w:rFonts w:hint="eastAsia" w:ascii="宋体" w:hAnsi="宋体" w:eastAsia="宋体" w:cs="宋体"/>
                <w:sz w:val="24"/>
                <w:szCs w:val="24"/>
                <w:lang w:bidi="ar"/>
              </w:rPr>
            </w:pPr>
            <w:r>
              <w:rPr>
                <w:rFonts w:hint="eastAsia" w:ascii="宋体" w:hAnsi="宋体" w:eastAsia="宋体" w:cs="宋体"/>
                <w:sz w:val="24"/>
                <w:szCs w:val="24"/>
                <w:lang w:bidi="ar"/>
              </w:rPr>
              <w:t>授权委托人身份证扫描件</w:t>
            </w:r>
          </w:p>
          <w:p w14:paraId="48E79A03">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lang w:bidi="ar"/>
              </w:rPr>
              <w:t>（国徽面）</w:t>
            </w:r>
          </w:p>
        </w:tc>
        <w:tc>
          <w:tcPr>
            <w:tcW w:w="4000" w:type="dxa"/>
            <w:tcBorders>
              <w:top w:val="single" w:color="auto" w:sz="4" w:space="0"/>
              <w:left w:val="single" w:color="auto" w:sz="4" w:space="0"/>
              <w:bottom w:val="single" w:color="auto" w:sz="4" w:space="0"/>
              <w:right w:val="single" w:color="auto" w:sz="4" w:space="0"/>
            </w:tcBorders>
            <w:vAlign w:val="center"/>
          </w:tcPr>
          <w:p w14:paraId="7F21AB33">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40" w:lineRule="exact"/>
              <w:ind w:left="0" w:right="0"/>
              <w:jc w:val="center"/>
              <w:rPr>
                <w:rFonts w:hint="eastAsia" w:ascii="宋体" w:hAnsi="宋体" w:eastAsia="宋体" w:cs="宋体"/>
                <w:sz w:val="24"/>
                <w:szCs w:val="24"/>
                <w:lang w:bidi="ar"/>
              </w:rPr>
            </w:pPr>
            <w:r>
              <w:rPr>
                <w:rFonts w:hint="eastAsia" w:ascii="宋体" w:hAnsi="宋体" w:eastAsia="宋体" w:cs="宋体"/>
                <w:sz w:val="24"/>
                <w:szCs w:val="24"/>
                <w:lang w:bidi="ar"/>
              </w:rPr>
              <w:t>授权委托人身份证扫描件</w:t>
            </w:r>
          </w:p>
          <w:p w14:paraId="60187333">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lang w:bidi="ar"/>
              </w:rPr>
              <w:t>（人像面）</w:t>
            </w:r>
          </w:p>
        </w:tc>
      </w:tr>
    </w:tbl>
    <w:p w14:paraId="3F30FE90">
      <w:pPr>
        <w:pBdr>
          <w:top w:val="none" w:color="auto" w:sz="0" w:space="1"/>
          <w:left w:val="none" w:color="auto" w:sz="0" w:space="4"/>
          <w:right w:val="none" w:color="auto" w:sz="0" w:space="4"/>
        </w:pBdr>
        <w:spacing w:line="360" w:lineRule="auto"/>
        <w:ind w:firstLine="480" w:firstLineChars="200"/>
        <w:contextualSpacing/>
        <w:rPr>
          <w:rFonts w:hint="eastAsia" w:ascii="宋体" w:hAnsi="宋体" w:eastAsia="宋体" w:cs="宋体"/>
          <w:sz w:val="24"/>
          <w:szCs w:val="24"/>
        </w:rPr>
      </w:pPr>
    </w:p>
    <w:p w14:paraId="7989F9F2">
      <w:pPr>
        <w:pBdr>
          <w:top w:val="none" w:color="auto" w:sz="0" w:space="1"/>
          <w:left w:val="none" w:color="auto" w:sz="0" w:space="4"/>
          <w:right w:val="none" w:color="auto" w:sz="0" w:space="4"/>
        </w:pBdr>
        <w:spacing w:line="360" w:lineRule="auto"/>
        <w:ind w:firstLine="5400" w:firstLineChars="2250"/>
        <w:contextualSpacing/>
        <w:rPr>
          <w:rFonts w:hint="eastAsia" w:ascii="宋体" w:hAnsi="宋体" w:eastAsia="宋体" w:cs="宋体"/>
          <w:sz w:val="24"/>
          <w:szCs w:val="24"/>
        </w:rPr>
      </w:pPr>
    </w:p>
    <w:p w14:paraId="11026496">
      <w:pPr>
        <w:pBdr>
          <w:top w:val="none" w:color="auto" w:sz="0" w:space="1"/>
          <w:left w:val="none" w:color="auto" w:sz="0" w:space="4"/>
          <w:right w:val="none" w:color="auto" w:sz="0" w:space="4"/>
        </w:pBdr>
        <w:spacing w:line="360" w:lineRule="auto"/>
        <w:ind w:firstLine="818" w:firstLineChars="341"/>
        <w:contextualSpacing/>
        <w:rPr>
          <w:rFonts w:hint="eastAsia" w:ascii="宋体" w:hAnsi="宋体" w:eastAsia="宋体" w:cs="宋体"/>
          <w:sz w:val="24"/>
          <w:szCs w:val="24"/>
        </w:rPr>
      </w:pPr>
      <w:r>
        <w:rPr>
          <w:rFonts w:hint="eastAsia" w:ascii="宋体" w:hAnsi="宋体" w:eastAsia="宋体" w:cs="宋体"/>
          <w:sz w:val="24"/>
          <w:szCs w:val="24"/>
        </w:rPr>
        <w:t>潜在供应商：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（电子签章）</w:t>
      </w:r>
    </w:p>
    <w:p w14:paraId="12107176">
      <w:pPr>
        <w:pBdr>
          <w:top w:val="none" w:color="auto" w:sz="0" w:space="1"/>
          <w:left w:val="none" w:color="auto" w:sz="0" w:space="4"/>
          <w:right w:val="none" w:color="auto" w:sz="0" w:space="4"/>
        </w:pBdr>
        <w:spacing w:line="360" w:lineRule="auto"/>
        <w:ind w:firstLine="818" w:firstLineChars="341"/>
        <w:contextualSpacing/>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（签字或电子签章）</w:t>
      </w:r>
    </w:p>
    <w:p w14:paraId="2B637A4D">
      <w:pPr>
        <w:pBdr>
          <w:top w:val="none" w:color="auto" w:sz="0" w:space="1"/>
          <w:left w:val="none" w:color="auto" w:sz="0" w:space="4"/>
          <w:right w:val="none" w:color="auto" w:sz="0" w:space="4"/>
        </w:pBdr>
        <w:spacing w:line="360" w:lineRule="auto"/>
        <w:ind w:firstLine="818" w:firstLineChars="341"/>
        <w:contextualSpacing/>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14:paraId="4CC387E5">
      <w:pPr>
        <w:pBdr>
          <w:top w:val="none" w:color="auto" w:sz="0" w:space="1"/>
          <w:left w:val="none" w:color="auto" w:sz="0" w:space="4"/>
          <w:right w:val="none" w:color="auto" w:sz="0" w:space="4"/>
        </w:pBdr>
        <w:spacing w:line="360" w:lineRule="auto"/>
        <w:ind w:firstLine="818" w:firstLineChars="341"/>
        <w:contextualSpacing/>
        <w:rPr>
          <w:rFonts w:hint="eastAsia" w:ascii="宋体" w:hAnsi="宋体" w:eastAsia="宋体" w:cs="宋体"/>
          <w:sz w:val="24"/>
          <w:szCs w:val="24"/>
        </w:rPr>
      </w:pPr>
      <w:r>
        <w:rPr>
          <w:rFonts w:hint="eastAsia" w:ascii="宋体" w:hAnsi="宋体" w:eastAsia="宋体" w:cs="宋体"/>
          <w:sz w:val="24"/>
          <w:szCs w:val="24"/>
        </w:rPr>
        <w:t>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14:paraId="6959DC5E">
      <w:pPr>
        <w:pBdr>
          <w:top w:val="none" w:color="auto" w:sz="0" w:space="1"/>
          <w:left w:val="none" w:color="auto" w:sz="0" w:space="4"/>
          <w:right w:val="none" w:color="auto" w:sz="0" w:space="4"/>
        </w:pBdr>
        <w:spacing w:line="360" w:lineRule="auto"/>
        <w:ind w:firstLine="818" w:firstLineChars="341"/>
        <w:contextualSpacing/>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14:paraId="7A187F76">
      <w:pPr>
        <w:pBdr>
          <w:top w:val="none" w:color="auto" w:sz="0" w:space="1"/>
          <w:left w:val="none" w:color="auto" w:sz="0" w:space="4"/>
          <w:right w:val="none" w:color="auto" w:sz="0" w:space="4"/>
        </w:pBdr>
        <w:spacing w:line="360" w:lineRule="auto"/>
        <w:ind w:firstLine="818" w:firstLineChars="341"/>
        <w:contextualSpacing/>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31FF803">
      <w:pPr>
        <w:pStyle w:val="9"/>
        <w:rPr>
          <w:rFonts w:hint="eastAsia" w:ascii="宋体" w:hAnsi="宋体" w:eastAsia="宋体" w:cs="宋体"/>
          <w:sz w:val="24"/>
          <w:szCs w:val="24"/>
        </w:rPr>
      </w:pPr>
    </w:p>
    <w:p w14:paraId="18C5EA5D">
      <w:pPr>
        <w:pBdr>
          <w:top w:val="none" w:color="auto" w:sz="0" w:space="1"/>
          <w:left w:val="none" w:color="auto" w:sz="0" w:space="4"/>
          <w:right w:val="none" w:color="auto" w:sz="0" w:space="4"/>
        </w:pBdr>
        <w:spacing w:line="360" w:lineRule="auto"/>
        <w:ind w:firstLine="480" w:firstLineChars="200"/>
        <w:contextualSpacing/>
        <w:rPr>
          <w:rFonts w:hint="eastAsia" w:ascii="宋体" w:hAnsi="宋体" w:eastAsia="宋体" w:cs="宋体"/>
          <w:b/>
          <w:sz w:val="24"/>
          <w:szCs w:val="24"/>
        </w:rPr>
      </w:pPr>
      <w:r>
        <w:rPr>
          <w:rFonts w:hint="eastAsia" w:ascii="宋体" w:hAnsi="宋体" w:eastAsia="宋体" w:cs="宋体"/>
          <w:b/>
          <w:sz w:val="24"/>
          <w:szCs w:val="24"/>
        </w:rPr>
        <w:t>注：如潜在供应商由法定代表人亲自签署磋商响应文件并参与相关活动，则不需要办理授权。如有被授权的代理人签署上述文件，则必须按本格式规定填报并提交授权书，否则被授权的代理人将不被认可。</w:t>
      </w:r>
      <w:bookmarkEnd w:id="249"/>
      <w:bookmarkEnd w:id="250"/>
    </w:p>
    <w:p w14:paraId="516110E6">
      <w:pPr>
        <w:pBdr>
          <w:top w:val="none" w:color="auto" w:sz="0" w:space="1"/>
          <w:left w:val="none" w:color="auto" w:sz="0" w:space="4"/>
          <w:bottom w:val="none" w:color="auto" w:sz="0" w:space="1"/>
          <w:right w:val="none" w:color="auto" w:sz="0" w:space="4"/>
        </w:pBdr>
        <w:spacing w:line="312" w:lineRule="auto"/>
        <w:ind w:left="237" w:leftChars="113" w:firstLine="840" w:firstLineChars="350"/>
        <w:rPr>
          <w:rFonts w:hint="eastAsia" w:ascii="宋体" w:hAnsi="宋体" w:eastAsia="宋体" w:cs="宋体"/>
          <w:sz w:val="24"/>
          <w:szCs w:val="24"/>
          <w:u w:val="single"/>
        </w:rPr>
      </w:pPr>
    </w:p>
    <w:p w14:paraId="7FECE4DA">
      <w:pPr>
        <w:pStyle w:val="3"/>
        <w:pBdr>
          <w:top w:val="none" w:color="auto" w:sz="0" w:space="1"/>
          <w:left w:val="none" w:color="auto" w:sz="0" w:space="4"/>
          <w:bottom w:val="none" w:color="auto" w:sz="0" w:space="1"/>
          <w:right w:val="none" w:color="auto" w:sz="0" w:space="4"/>
        </w:pBdr>
        <w:spacing w:line="480" w:lineRule="auto"/>
        <w:rPr>
          <w:rFonts w:hint="eastAsia" w:ascii="宋体" w:hAnsi="宋体" w:eastAsia="宋体" w:cs="宋体"/>
          <w:sz w:val="24"/>
          <w:szCs w:val="24"/>
        </w:rPr>
      </w:pPr>
      <w:bookmarkStart w:id="251" w:name="_Toc31173"/>
      <w:bookmarkStart w:id="252" w:name="_Toc13432"/>
      <w:bookmarkStart w:id="253" w:name="_Toc9029"/>
      <w:bookmarkStart w:id="254" w:name="_Toc28131"/>
      <w:bookmarkStart w:id="255" w:name="_Toc32191"/>
      <w:bookmarkStart w:id="256" w:name="_Toc292983036"/>
      <w:bookmarkStart w:id="257" w:name="_Toc381796438"/>
      <w:bookmarkStart w:id="258" w:name="_Toc31603098"/>
      <w:bookmarkStart w:id="259" w:name="_Toc38173197"/>
      <w:r>
        <w:rPr>
          <w:rFonts w:hint="eastAsia" w:ascii="宋体" w:hAnsi="宋体" w:eastAsia="宋体" w:cs="宋体"/>
          <w:sz w:val="24"/>
          <w:szCs w:val="24"/>
        </w:rPr>
        <w:t>五、资格审查资料</w:t>
      </w:r>
      <w:bookmarkEnd w:id="251"/>
      <w:bookmarkEnd w:id="252"/>
      <w:bookmarkEnd w:id="253"/>
      <w:bookmarkEnd w:id="254"/>
      <w:bookmarkEnd w:id="255"/>
    </w:p>
    <w:p w14:paraId="1353D830">
      <w:pPr>
        <w:pBdr>
          <w:top w:val="none" w:color="auto" w:sz="0" w:space="1"/>
          <w:left w:val="none" w:color="auto" w:sz="0" w:space="4"/>
          <w:bottom w:val="none" w:color="auto" w:sz="0" w:space="1"/>
          <w:right w:val="none" w:color="auto" w:sz="0" w:space="4"/>
        </w:pBdr>
        <w:snapToGrid w:val="0"/>
        <w:spacing w:line="400" w:lineRule="exact"/>
        <w:jc w:val="center"/>
        <w:outlineLvl w:val="2"/>
        <w:rPr>
          <w:rFonts w:hint="eastAsia" w:ascii="宋体" w:hAnsi="宋体" w:eastAsia="宋体" w:cs="宋体"/>
          <w:b/>
          <w:sz w:val="24"/>
          <w:szCs w:val="24"/>
        </w:rPr>
      </w:pPr>
      <w:r>
        <w:rPr>
          <w:rFonts w:hint="eastAsia" w:ascii="宋体" w:hAnsi="宋体" w:eastAsia="宋体" w:cs="宋体"/>
          <w:b/>
          <w:sz w:val="24"/>
          <w:szCs w:val="24"/>
        </w:rPr>
        <w:t>（一）资格后审申请书</w:t>
      </w:r>
    </w:p>
    <w:p w14:paraId="54581015">
      <w:pPr>
        <w:pBdr>
          <w:top w:val="none" w:color="auto" w:sz="0" w:space="1"/>
          <w:left w:val="none" w:color="auto" w:sz="0" w:space="4"/>
          <w:bottom w:val="none" w:color="auto" w:sz="0" w:space="1"/>
          <w:right w:val="none" w:color="auto" w:sz="0" w:space="4"/>
        </w:pBdr>
        <w:tabs>
          <w:tab w:val="left" w:pos="5015"/>
        </w:tabs>
        <w:snapToGrid w:val="0"/>
        <w:spacing w:line="360" w:lineRule="auto"/>
        <w:rPr>
          <w:rFonts w:hint="eastAsia" w:ascii="宋体" w:hAnsi="宋体" w:eastAsia="宋体" w:cs="宋体"/>
          <w:b/>
          <w:sz w:val="24"/>
          <w:szCs w:val="24"/>
        </w:rPr>
      </w:pPr>
      <w:r>
        <w:rPr>
          <w:rFonts w:hint="eastAsia" w:ascii="宋体" w:hAnsi="宋体" w:eastAsia="宋体" w:cs="宋体"/>
          <w:b/>
          <w:sz w:val="24"/>
          <w:szCs w:val="24"/>
        </w:rPr>
        <w:t>致：</w:t>
      </w:r>
      <w:r>
        <w:rPr>
          <w:rFonts w:hint="eastAsia" w:ascii="宋体" w:hAnsi="宋体" w:eastAsia="宋体" w:cs="宋体"/>
          <w:b/>
          <w:sz w:val="24"/>
          <w:szCs w:val="24"/>
          <w:u w:val="single"/>
        </w:rPr>
        <w:t xml:space="preserve">        （采购人）            </w:t>
      </w:r>
    </w:p>
    <w:p w14:paraId="03F5A858">
      <w:pPr>
        <w:pBdr>
          <w:top w:val="none" w:color="auto" w:sz="0" w:space="1"/>
          <w:left w:val="none" w:color="auto" w:sz="0" w:space="4"/>
          <w:bottom w:val="none" w:color="auto" w:sz="0" w:space="1"/>
          <w:right w:val="none" w:color="auto" w:sz="0" w:space="4"/>
        </w:pBdr>
        <w:tabs>
          <w:tab w:val="left" w:pos="5015"/>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1.经授权作为代表，并以</w:t>
      </w:r>
      <w:r>
        <w:rPr>
          <w:rFonts w:hint="eastAsia" w:ascii="宋体" w:hAnsi="宋体" w:eastAsia="宋体" w:cs="宋体"/>
          <w:sz w:val="24"/>
          <w:szCs w:val="24"/>
          <w:u w:val="single"/>
        </w:rPr>
        <w:t>（潜在供应商名称）</w:t>
      </w:r>
      <w:r>
        <w:rPr>
          <w:rFonts w:hint="eastAsia" w:ascii="宋体" w:hAnsi="宋体" w:eastAsia="宋体" w:cs="宋体"/>
          <w:sz w:val="24"/>
          <w:szCs w:val="24"/>
        </w:rPr>
        <w:t>（以下简称“潜在供应商”）的名义，在充分理解《竞争性磋商文件》的基础上，本申请书签字人在此以</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潜在供应商的身份，向你方提出资格后审申请。</w:t>
      </w:r>
    </w:p>
    <w:p w14:paraId="75997BDE">
      <w:pPr>
        <w:pBdr>
          <w:top w:val="none" w:color="auto" w:sz="0" w:space="1"/>
          <w:left w:val="none" w:color="auto" w:sz="0" w:space="4"/>
          <w:bottom w:val="none" w:color="auto" w:sz="0" w:space="1"/>
          <w:right w:val="none" w:color="auto" w:sz="0" w:space="4"/>
        </w:pBdr>
        <w:tabs>
          <w:tab w:val="left" w:pos="5015"/>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2.竞争性磋商文件中所要求的所有资格审查资料将作为本申请书附件。</w:t>
      </w:r>
    </w:p>
    <w:p w14:paraId="6C15B8C0">
      <w:pPr>
        <w:pBdr>
          <w:top w:val="none" w:color="auto" w:sz="0" w:space="1"/>
          <w:left w:val="none" w:color="auto" w:sz="0" w:space="4"/>
          <w:bottom w:val="none" w:color="auto" w:sz="0" w:space="1"/>
          <w:right w:val="none" w:color="auto" w:sz="0" w:space="4"/>
        </w:pBdr>
        <w:tabs>
          <w:tab w:val="left" w:pos="5015"/>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按资格审查的要求，你方授权代表可调查、审核我方提交的与本申请书相关的声明、文件和资料，并通过我方的开户银行和客户，澄清本申请书中有关财务和技术方面的问题。本申请书还将授权给有关的任何个人或机构及其授权代表，按你方的要求，提供必要的相关资料，以核实本申请书中提交的或与本申请人的资金来源、经验和能力有关的声明和资料。</w:t>
      </w:r>
    </w:p>
    <w:p w14:paraId="6CDDCB75">
      <w:pPr>
        <w:pBdr>
          <w:top w:val="none" w:color="auto" w:sz="0" w:space="1"/>
          <w:left w:val="none" w:color="auto" w:sz="0" w:space="4"/>
          <w:bottom w:val="none" w:color="auto" w:sz="0" w:space="1"/>
          <w:right w:val="none" w:color="auto" w:sz="0" w:space="4"/>
        </w:pBdr>
        <w:tabs>
          <w:tab w:val="left" w:pos="5015"/>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4.本申请充分理解下列情况：</w:t>
      </w:r>
    </w:p>
    <w:p w14:paraId="2B7788FC">
      <w:pPr>
        <w:pBdr>
          <w:top w:val="none" w:color="auto" w:sz="0" w:space="1"/>
          <w:left w:val="none" w:color="auto" w:sz="0" w:space="4"/>
          <w:bottom w:val="none" w:color="auto" w:sz="0" w:space="1"/>
          <w:right w:val="none" w:color="auto" w:sz="0" w:space="4"/>
        </w:pBdr>
        <w:tabs>
          <w:tab w:val="left" w:pos="360"/>
        </w:tabs>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（1）拒绝不符合资格审查合格条件的申请。</w:t>
      </w:r>
    </w:p>
    <w:p w14:paraId="35C07E08">
      <w:pPr>
        <w:pBdr>
          <w:top w:val="none" w:color="auto" w:sz="0" w:space="1"/>
          <w:left w:val="none" w:color="auto" w:sz="0" w:space="4"/>
          <w:bottom w:val="none" w:color="auto" w:sz="0" w:space="1"/>
          <w:right w:val="none" w:color="auto" w:sz="0" w:space="4"/>
        </w:pBdr>
        <w:tabs>
          <w:tab w:val="left" w:pos="360"/>
        </w:tabs>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（2）若遇到特殊情况，取消资格后审及拒绝全部申请。</w:t>
      </w:r>
    </w:p>
    <w:p w14:paraId="11820F35">
      <w:pPr>
        <w:pBdr>
          <w:top w:val="none" w:color="auto" w:sz="0" w:space="1"/>
          <w:left w:val="none" w:color="auto" w:sz="0" w:space="4"/>
          <w:bottom w:val="none" w:color="auto" w:sz="0" w:space="1"/>
          <w:right w:val="none" w:color="auto" w:sz="0" w:space="4"/>
        </w:pBdr>
        <w:tabs>
          <w:tab w:val="left" w:pos="360"/>
        </w:tabs>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（3）采购人对由此引起的对申请人的影响不承担任何责任，亦无义务告知申请人有关上述行为的理由。</w:t>
      </w:r>
    </w:p>
    <w:p w14:paraId="65443CA8">
      <w:pPr>
        <w:pBdr>
          <w:top w:val="none" w:color="auto" w:sz="0" w:space="1"/>
          <w:left w:val="none" w:color="auto" w:sz="0" w:space="4"/>
          <w:bottom w:val="none" w:color="auto" w:sz="0" w:space="1"/>
          <w:right w:val="none" w:color="auto" w:sz="0"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5.下述签字人在此声明，本申请书中所提交的声明和资料在各方面都是完整的、真实的和准确的。</w:t>
      </w:r>
    </w:p>
    <w:p w14:paraId="11595BB4">
      <w:pPr>
        <w:pBdr>
          <w:top w:val="none" w:color="auto" w:sz="0" w:space="1"/>
          <w:left w:val="none" w:color="auto" w:sz="0" w:space="4"/>
          <w:bottom w:val="none" w:color="auto" w:sz="0" w:space="1"/>
          <w:right w:val="none" w:color="auto" w:sz="0" w:space="4"/>
        </w:pBdr>
        <w:spacing w:line="360" w:lineRule="auto"/>
        <w:rPr>
          <w:rFonts w:hint="eastAsia" w:ascii="宋体" w:hAnsi="宋体" w:eastAsia="宋体" w:cs="宋体"/>
          <w:sz w:val="24"/>
          <w:szCs w:val="24"/>
        </w:rPr>
      </w:pPr>
    </w:p>
    <w:p w14:paraId="3FCCBA6D">
      <w:pPr>
        <w:pBdr>
          <w:top w:val="none" w:color="auto" w:sz="0" w:space="1"/>
          <w:left w:val="none" w:color="auto" w:sz="0" w:space="4"/>
          <w:bottom w:val="none" w:color="auto" w:sz="0" w:space="1"/>
          <w:right w:val="none" w:color="auto" w:sz="0" w:space="4"/>
        </w:pBdr>
        <w:spacing w:line="380" w:lineRule="exact"/>
        <w:rPr>
          <w:rFonts w:hint="eastAsia" w:ascii="宋体" w:hAnsi="宋体" w:eastAsia="宋体" w:cs="宋体"/>
          <w:sz w:val="24"/>
          <w:szCs w:val="24"/>
        </w:rPr>
      </w:pPr>
    </w:p>
    <w:p w14:paraId="51276D1B">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潜在供应商：</w:t>
      </w:r>
      <w:r>
        <w:rPr>
          <w:rFonts w:hint="eastAsia" w:ascii="宋体" w:hAnsi="宋体" w:eastAsia="宋体" w:cs="宋体"/>
          <w:sz w:val="24"/>
          <w:szCs w:val="24"/>
          <w:u w:val="single"/>
        </w:rPr>
        <w:t xml:space="preserve">                    （电子签章）</w:t>
      </w:r>
    </w:p>
    <w:p w14:paraId="71429DFE">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caps/>
          <w:sz w:val="24"/>
          <w:szCs w:val="24"/>
          <w:u w:val="single"/>
        </w:rPr>
      </w:pPr>
      <w:r>
        <w:rPr>
          <w:rFonts w:hint="eastAsia" w:ascii="宋体" w:hAnsi="宋体" w:eastAsia="宋体" w:cs="宋体"/>
          <w:caps/>
          <w:sz w:val="24"/>
          <w:szCs w:val="24"/>
        </w:rPr>
        <w:t xml:space="preserve">                             法定代表人或其委托代理人：</w:t>
      </w:r>
      <w:r>
        <w:rPr>
          <w:rFonts w:hint="eastAsia" w:ascii="宋体" w:hAnsi="宋体" w:eastAsia="宋体" w:cs="宋体"/>
          <w:caps/>
          <w:sz w:val="24"/>
          <w:szCs w:val="24"/>
          <w:u w:val="single"/>
        </w:rPr>
        <w:t>（</w:t>
      </w:r>
      <w:r>
        <w:rPr>
          <w:rFonts w:hint="eastAsia" w:ascii="宋体" w:hAnsi="宋体" w:eastAsia="宋体" w:cs="宋体"/>
          <w:sz w:val="24"/>
          <w:szCs w:val="24"/>
          <w:u w:val="single"/>
        </w:rPr>
        <w:t>签字或盖章</w:t>
      </w:r>
      <w:r>
        <w:rPr>
          <w:rFonts w:hint="eastAsia" w:ascii="宋体" w:hAnsi="宋体" w:eastAsia="宋体" w:cs="宋体"/>
          <w:caps/>
          <w:sz w:val="24"/>
          <w:szCs w:val="24"/>
          <w:u w:val="single"/>
        </w:rPr>
        <w:t>）</w:t>
      </w:r>
    </w:p>
    <w:p w14:paraId="600232A2">
      <w:pPr>
        <w:pBdr>
          <w:top w:val="none" w:color="auto" w:sz="0" w:space="1"/>
          <w:left w:val="none" w:color="auto" w:sz="0" w:space="4"/>
          <w:bottom w:val="none" w:color="auto" w:sz="0" w:space="1"/>
          <w:right w:val="none" w:color="auto" w:sz="0" w:space="4"/>
        </w:pBdr>
        <w:spacing w:line="360" w:lineRule="auto"/>
        <w:ind w:firstLine="4800" w:firstLineChars="2000"/>
        <w:rPr>
          <w:rFonts w:hint="eastAsia" w:ascii="宋体" w:hAnsi="宋体" w:eastAsia="宋体" w:cs="宋体"/>
          <w:sz w:val="24"/>
          <w:szCs w:val="24"/>
        </w:rPr>
      </w:pPr>
      <w:r>
        <w:rPr>
          <w:rFonts w:hint="eastAsia" w:ascii="宋体" w:hAnsi="宋体" w:eastAsia="宋体" w:cs="宋体"/>
          <w:sz w:val="24"/>
          <w:szCs w:val="24"/>
        </w:rPr>
        <w:t>日     期：     年   月  日</w:t>
      </w:r>
    </w:p>
    <w:p w14:paraId="3131A806">
      <w:pPr>
        <w:pBdr>
          <w:top w:val="none" w:color="auto" w:sz="0" w:space="1"/>
          <w:left w:val="none" w:color="auto" w:sz="0" w:space="4"/>
          <w:bottom w:val="none" w:color="auto" w:sz="0" w:space="1"/>
          <w:right w:val="none" w:color="auto" w:sz="0" w:space="4"/>
        </w:pBdr>
        <w:spacing w:line="400" w:lineRule="exact"/>
        <w:jc w:val="center"/>
        <w:rPr>
          <w:rFonts w:hint="eastAsia" w:ascii="宋体" w:hAnsi="宋体" w:eastAsia="宋体" w:cs="宋体"/>
          <w:b/>
          <w:caps/>
          <w:sz w:val="24"/>
          <w:szCs w:val="24"/>
        </w:rPr>
      </w:pPr>
    </w:p>
    <w:p w14:paraId="2F9EF6CC">
      <w:pPr>
        <w:pBdr>
          <w:top w:val="none" w:color="auto" w:sz="0" w:space="1"/>
          <w:left w:val="none" w:color="auto" w:sz="0" w:space="4"/>
          <w:bottom w:val="none" w:color="auto" w:sz="0" w:space="1"/>
          <w:right w:val="none" w:color="auto" w:sz="0" w:space="4"/>
        </w:pBdr>
        <w:spacing w:line="400" w:lineRule="exact"/>
        <w:rPr>
          <w:rFonts w:hint="eastAsia" w:ascii="宋体" w:hAnsi="宋体" w:eastAsia="宋体" w:cs="宋体"/>
          <w:b/>
          <w:caps/>
          <w:sz w:val="24"/>
          <w:szCs w:val="24"/>
        </w:rPr>
      </w:pPr>
    </w:p>
    <w:p w14:paraId="655B0BEF">
      <w:pPr>
        <w:pStyle w:val="24"/>
        <w:rPr>
          <w:rFonts w:hint="eastAsia" w:ascii="宋体" w:hAnsi="宋体" w:eastAsia="宋体" w:cs="宋体"/>
          <w:sz w:val="24"/>
          <w:szCs w:val="24"/>
        </w:rPr>
      </w:pPr>
    </w:p>
    <w:p w14:paraId="232D2980">
      <w:pPr>
        <w:pStyle w:val="23"/>
        <w:ind w:firstLine="240"/>
        <w:rPr>
          <w:rFonts w:hint="eastAsia" w:ascii="宋体" w:hAnsi="宋体" w:eastAsia="宋体" w:cs="宋体"/>
          <w:color w:val="auto"/>
          <w:sz w:val="24"/>
          <w:szCs w:val="24"/>
        </w:rPr>
      </w:pPr>
    </w:p>
    <w:p w14:paraId="311B8ECC">
      <w:pPr>
        <w:rPr>
          <w:rFonts w:hint="eastAsia" w:ascii="宋体" w:hAnsi="宋体" w:eastAsia="宋体" w:cs="宋体"/>
          <w:sz w:val="24"/>
          <w:szCs w:val="24"/>
        </w:rPr>
      </w:pPr>
    </w:p>
    <w:p w14:paraId="5DCBE573">
      <w:pPr>
        <w:pStyle w:val="24"/>
        <w:rPr>
          <w:rFonts w:hint="eastAsia" w:ascii="宋体" w:hAnsi="宋体" w:eastAsia="宋体" w:cs="宋体"/>
          <w:sz w:val="24"/>
          <w:szCs w:val="24"/>
        </w:rPr>
      </w:pPr>
    </w:p>
    <w:p w14:paraId="30F0E07C">
      <w:pPr>
        <w:pBdr>
          <w:top w:val="none" w:color="auto" w:sz="0" w:space="1"/>
          <w:left w:val="none" w:color="auto" w:sz="0" w:space="4"/>
          <w:bottom w:val="none" w:color="auto" w:sz="0" w:space="1"/>
          <w:right w:val="none" w:color="auto" w:sz="0" w:space="4"/>
        </w:pBdr>
        <w:snapToGrid w:val="0"/>
        <w:spacing w:line="400" w:lineRule="exact"/>
        <w:jc w:val="center"/>
        <w:outlineLvl w:val="2"/>
        <w:rPr>
          <w:rFonts w:hint="eastAsia" w:ascii="宋体" w:hAnsi="宋体" w:eastAsia="宋体" w:cs="宋体"/>
          <w:b/>
          <w:caps/>
          <w:sz w:val="24"/>
          <w:szCs w:val="24"/>
        </w:rPr>
      </w:pPr>
      <w:r>
        <w:rPr>
          <w:rFonts w:hint="eastAsia" w:ascii="宋体" w:hAnsi="宋体" w:eastAsia="宋体" w:cs="宋体"/>
          <w:b/>
          <w:caps/>
          <w:sz w:val="24"/>
          <w:szCs w:val="24"/>
        </w:rPr>
        <w:br w:type="page"/>
      </w:r>
      <w:r>
        <w:rPr>
          <w:rFonts w:hint="eastAsia" w:ascii="宋体" w:hAnsi="宋体" w:eastAsia="宋体" w:cs="宋体"/>
          <w:b/>
          <w:caps/>
          <w:sz w:val="24"/>
          <w:szCs w:val="24"/>
        </w:rPr>
        <w:t>（二）潜在供应商基本情况表</w:t>
      </w:r>
    </w:p>
    <w:p w14:paraId="1DA76A5D">
      <w:pPr>
        <w:pStyle w:val="9"/>
        <w:pBdr>
          <w:top w:val="none" w:color="auto" w:sz="0" w:space="1"/>
          <w:left w:val="none" w:color="auto" w:sz="0" w:space="4"/>
          <w:bottom w:val="none" w:color="auto" w:sz="0" w:space="1"/>
          <w:right w:val="none" w:color="auto" w:sz="0" w:space="4"/>
        </w:pBdr>
        <w:rPr>
          <w:rFonts w:hint="eastAsia" w:ascii="宋体" w:hAnsi="宋体" w:eastAsia="宋体" w:cs="宋体"/>
          <w:color w:val="auto"/>
          <w:sz w:val="24"/>
          <w:szCs w:val="24"/>
        </w:rPr>
      </w:pPr>
    </w:p>
    <w:tbl>
      <w:tblPr>
        <w:tblStyle w:val="25"/>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1"/>
        <w:gridCol w:w="998"/>
        <w:gridCol w:w="1697"/>
        <w:gridCol w:w="1293"/>
        <w:gridCol w:w="3031"/>
      </w:tblGrid>
      <w:tr w14:paraId="3E3D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881" w:type="dxa"/>
            <w:vAlign w:val="center"/>
          </w:tcPr>
          <w:p w14:paraId="0A8A60F3">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jc w:val="center"/>
              <w:rPr>
                <w:rFonts w:hint="eastAsia" w:ascii="宋体" w:hAnsi="宋体" w:eastAsia="宋体" w:cs="宋体"/>
                <w:sz w:val="24"/>
                <w:szCs w:val="24"/>
              </w:rPr>
            </w:pPr>
            <w:r>
              <w:rPr>
                <w:rFonts w:hint="eastAsia" w:ascii="宋体" w:hAnsi="宋体" w:eastAsia="宋体" w:cs="宋体"/>
                <w:sz w:val="24"/>
                <w:szCs w:val="24"/>
              </w:rPr>
              <w:t>潜在供应商名称</w:t>
            </w:r>
          </w:p>
        </w:tc>
        <w:tc>
          <w:tcPr>
            <w:tcW w:w="7019" w:type="dxa"/>
            <w:gridSpan w:val="4"/>
            <w:vAlign w:val="center"/>
          </w:tcPr>
          <w:p w14:paraId="23F47EB0">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rPr>
                <w:rFonts w:hint="eastAsia" w:ascii="宋体" w:hAnsi="宋体" w:eastAsia="宋体" w:cs="宋体"/>
                <w:sz w:val="24"/>
                <w:szCs w:val="24"/>
              </w:rPr>
            </w:pPr>
          </w:p>
        </w:tc>
      </w:tr>
      <w:tr w14:paraId="589A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881" w:type="dxa"/>
            <w:vAlign w:val="center"/>
          </w:tcPr>
          <w:p w14:paraId="2BAE93C4">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jc w:val="center"/>
              <w:rPr>
                <w:rFonts w:hint="eastAsia" w:ascii="宋体" w:hAnsi="宋体" w:eastAsia="宋体" w:cs="宋体"/>
                <w:sz w:val="24"/>
                <w:szCs w:val="24"/>
              </w:rPr>
            </w:pPr>
            <w:r>
              <w:rPr>
                <w:rFonts w:hint="eastAsia" w:ascii="宋体" w:hAnsi="宋体" w:eastAsia="宋体" w:cs="宋体"/>
                <w:sz w:val="24"/>
                <w:szCs w:val="24"/>
              </w:rPr>
              <w:t>注册资金</w:t>
            </w:r>
          </w:p>
        </w:tc>
        <w:tc>
          <w:tcPr>
            <w:tcW w:w="2695" w:type="dxa"/>
            <w:gridSpan w:val="2"/>
            <w:vAlign w:val="center"/>
          </w:tcPr>
          <w:p w14:paraId="07E26329">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rPr>
                <w:rFonts w:hint="eastAsia" w:ascii="宋体" w:hAnsi="宋体" w:eastAsia="宋体" w:cs="宋体"/>
                <w:sz w:val="24"/>
                <w:szCs w:val="24"/>
              </w:rPr>
            </w:pPr>
          </w:p>
        </w:tc>
        <w:tc>
          <w:tcPr>
            <w:tcW w:w="1293" w:type="dxa"/>
            <w:vAlign w:val="center"/>
          </w:tcPr>
          <w:p w14:paraId="024B9489">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jc w:val="center"/>
              <w:rPr>
                <w:rFonts w:hint="eastAsia" w:ascii="宋体" w:hAnsi="宋体" w:eastAsia="宋体" w:cs="宋体"/>
                <w:sz w:val="24"/>
                <w:szCs w:val="24"/>
              </w:rPr>
            </w:pPr>
            <w:r>
              <w:rPr>
                <w:rFonts w:hint="eastAsia" w:ascii="宋体" w:hAnsi="宋体" w:eastAsia="宋体" w:cs="宋体"/>
                <w:sz w:val="24"/>
                <w:szCs w:val="24"/>
              </w:rPr>
              <w:t>成立时间</w:t>
            </w:r>
          </w:p>
        </w:tc>
        <w:tc>
          <w:tcPr>
            <w:tcW w:w="3031" w:type="dxa"/>
            <w:vAlign w:val="center"/>
          </w:tcPr>
          <w:p w14:paraId="58EB5472">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rPr>
                <w:rFonts w:hint="eastAsia" w:ascii="宋体" w:hAnsi="宋体" w:eastAsia="宋体" w:cs="宋体"/>
                <w:sz w:val="24"/>
                <w:szCs w:val="24"/>
              </w:rPr>
            </w:pPr>
          </w:p>
        </w:tc>
      </w:tr>
      <w:tr w14:paraId="4D8B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881" w:type="dxa"/>
            <w:vAlign w:val="center"/>
          </w:tcPr>
          <w:p w14:paraId="59AFD6F3">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jc w:val="center"/>
              <w:rPr>
                <w:rFonts w:hint="eastAsia" w:ascii="宋体" w:hAnsi="宋体" w:eastAsia="宋体" w:cs="宋体"/>
                <w:sz w:val="24"/>
                <w:szCs w:val="24"/>
              </w:rPr>
            </w:pPr>
            <w:r>
              <w:rPr>
                <w:rFonts w:hint="eastAsia" w:ascii="宋体" w:hAnsi="宋体" w:eastAsia="宋体" w:cs="宋体"/>
                <w:sz w:val="24"/>
                <w:szCs w:val="24"/>
              </w:rPr>
              <w:t>注册地址</w:t>
            </w:r>
          </w:p>
        </w:tc>
        <w:tc>
          <w:tcPr>
            <w:tcW w:w="7019" w:type="dxa"/>
            <w:gridSpan w:val="4"/>
            <w:vAlign w:val="center"/>
          </w:tcPr>
          <w:p w14:paraId="08FB0E07">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rPr>
                <w:rFonts w:hint="eastAsia" w:ascii="宋体" w:hAnsi="宋体" w:eastAsia="宋体" w:cs="宋体"/>
                <w:sz w:val="24"/>
                <w:szCs w:val="24"/>
              </w:rPr>
            </w:pPr>
          </w:p>
        </w:tc>
      </w:tr>
      <w:tr w14:paraId="15E5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1" w:type="dxa"/>
            <w:vAlign w:val="center"/>
          </w:tcPr>
          <w:p w14:paraId="7B57A74A">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2695" w:type="dxa"/>
            <w:gridSpan w:val="2"/>
            <w:vAlign w:val="center"/>
          </w:tcPr>
          <w:p w14:paraId="46904DAC">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rPr>
                <w:rFonts w:hint="eastAsia" w:ascii="宋体" w:hAnsi="宋体" w:eastAsia="宋体" w:cs="宋体"/>
                <w:sz w:val="24"/>
                <w:szCs w:val="24"/>
              </w:rPr>
            </w:pPr>
          </w:p>
        </w:tc>
        <w:tc>
          <w:tcPr>
            <w:tcW w:w="1293" w:type="dxa"/>
            <w:vAlign w:val="center"/>
          </w:tcPr>
          <w:p w14:paraId="3E4334EC">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jc w:val="center"/>
              <w:rPr>
                <w:rFonts w:hint="eastAsia" w:ascii="宋体" w:hAnsi="宋体" w:eastAsia="宋体" w:cs="宋体"/>
                <w:sz w:val="24"/>
                <w:szCs w:val="24"/>
              </w:rPr>
            </w:pPr>
            <w:r>
              <w:rPr>
                <w:rFonts w:hint="eastAsia" w:ascii="宋体" w:hAnsi="宋体" w:eastAsia="宋体" w:cs="宋体"/>
                <w:sz w:val="24"/>
                <w:szCs w:val="24"/>
              </w:rPr>
              <w:t>员工总数</w:t>
            </w:r>
          </w:p>
        </w:tc>
        <w:tc>
          <w:tcPr>
            <w:tcW w:w="3031" w:type="dxa"/>
            <w:vAlign w:val="center"/>
          </w:tcPr>
          <w:p w14:paraId="0759A96B">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rPr>
                <w:rFonts w:hint="eastAsia" w:ascii="宋体" w:hAnsi="宋体" w:eastAsia="宋体" w:cs="宋体"/>
                <w:sz w:val="24"/>
                <w:szCs w:val="24"/>
              </w:rPr>
            </w:pPr>
          </w:p>
        </w:tc>
      </w:tr>
      <w:tr w14:paraId="30D0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1" w:type="dxa"/>
            <w:vMerge w:val="restart"/>
            <w:vAlign w:val="center"/>
          </w:tcPr>
          <w:p w14:paraId="1D400C52">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998" w:type="dxa"/>
            <w:vAlign w:val="center"/>
          </w:tcPr>
          <w:p w14:paraId="6CB5867D">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1697" w:type="dxa"/>
            <w:vAlign w:val="center"/>
          </w:tcPr>
          <w:p w14:paraId="13CEF383">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rPr>
                <w:rFonts w:hint="eastAsia" w:ascii="宋体" w:hAnsi="宋体" w:eastAsia="宋体" w:cs="宋体"/>
                <w:sz w:val="24"/>
                <w:szCs w:val="24"/>
              </w:rPr>
            </w:pPr>
          </w:p>
        </w:tc>
        <w:tc>
          <w:tcPr>
            <w:tcW w:w="1293" w:type="dxa"/>
            <w:vAlign w:val="center"/>
          </w:tcPr>
          <w:p w14:paraId="380EF239">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jc w:val="center"/>
              <w:rPr>
                <w:rFonts w:hint="eastAsia" w:ascii="宋体" w:hAnsi="宋体" w:eastAsia="宋体" w:cs="宋体"/>
                <w:sz w:val="24"/>
                <w:szCs w:val="24"/>
              </w:rPr>
            </w:pPr>
            <w:r>
              <w:rPr>
                <w:rFonts w:hint="eastAsia" w:ascii="宋体" w:hAnsi="宋体" w:eastAsia="宋体" w:cs="宋体"/>
                <w:sz w:val="24"/>
                <w:szCs w:val="24"/>
              </w:rPr>
              <w:t>电    话</w:t>
            </w:r>
          </w:p>
        </w:tc>
        <w:tc>
          <w:tcPr>
            <w:tcW w:w="3031" w:type="dxa"/>
            <w:vAlign w:val="center"/>
          </w:tcPr>
          <w:p w14:paraId="77991D30">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rPr>
                <w:rFonts w:hint="eastAsia" w:ascii="宋体" w:hAnsi="宋体" w:eastAsia="宋体" w:cs="宋体"/>
                <w:sz w:val="24"/>
                <w:szCs w:val="24"/>
              </w:rPr>
            </w:pPr>
          </w:p>
        </w:tc>
      </w:tr>
      <w:tr w14:paraId="2A30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1" w:type="dxa"/>
            <w:vMerge w:val="continue"/>
            <w:vAlign w:val="center"/>
          </w:tcPr>
          <w:p w14:paraId="30320FB2">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jc w:val="center"/>
              <w:rPr>
                <w:rFonts w:hint="eastAsia" w:ascii="宋体" w:hAnsi="宋体" w:eastAsia="宋体" w:cs="宋体"/>
                <w:sz w:val="24"/>
                <w:szCs w:val="24"/>
              </w:rPr>
            </w:pPr>
          </w:p>
        </w:tc>
        <w:tc>
          <w:tcPr>
            <w:tcW w:w="998" w:type="dxa"/>
            <w:vAlign w:val="center"/>
          </w:tcPr>
          <w:p w14:paraId="00D95EA5">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jc w:val="center"/>
              <w:rPr>
                <w:rFonts w:hint="eastAsia" w:ascii="宋体" w:hAnsi="宋体" w:eastAsia="宋体" w:cs="宋体"/>
                <w:sz w:val="24"/>
                <w:szCs w:val="24"/>
              </w:rPr>
            </w:pPr>
            <w:r>
              <w:rPr>
                <w:rFonts w:hint="eastAsia" w:ascii="宋体" w:hAnsi="宋体" w:eastAsia="宋体" w:cs="宋体"/>
                <w:sz w:val="24"/>
                <w:szCs w:val="24"/>
              </w:rPr>
              <w:t>网  址</w:t>
            </w:r>
          </w:p>
        </w:tc>
        <w:tc>
          <w:tcPr>
            <w:tcW w:w="1697" w:type="dxa"/>
            <w:vAlign w:val="center"/>
          </w:tcPr>
          <w:p w14:paraId="00773ABF">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rPr>
                <w:rFonts w:hint="eastAsia" w:ascii="宋体" w:hAnsi="宋体" w:eastAsia="宋体" w:cs="宋体"/>
                <w:sz w:val="24"/>
                <w:szCs w:val="24"/>
              </w:rPr>
            </w:pPr>
          </w:p>
        </w:tc>
        <w:tc>
          <w:tcPr>
            <w:tcW w:w="1293" w:type="dxa"/>
            <w:vAlign w:val="center"/>
          </w:tcPr>
          <w:p w14:paraId="76510898">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jc w:val="center"/>
              <w:rPr>
                <w:rFonts w:hint="eastAsia" w:ascii="宋体" w:hAnsi="宋体" w:eastAsia="宋体" w:cs="宋体"/>
                <w:sz w:val="24"/>
                <w:szCs w:val="24"/>
              </w:rPr>
            </w:pPr>
            <w:r>
              <w:rPr>
                <w:rFonts w:hint="eastAsia" w:ascii="宋体" w:hAnsi="宋体" w:eastAsia="宋体" w:cs="宋体"/>
                <w:sz w:val="24"/>
                <w:szCs w:val="24"/>
              </w:rPr>
              <w:t>传    真</w:t>
            </w:r>
          </w:p>
        </w:tc>
        <w:tc>
          <w:tcPr>
            <w:tcW w:w="3031" w:type="dxa"/>
            <w:vAlign w:val="center"/>
          </w:tcPr>
          <w:p w14:paraId="03FEDE6A">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rPr>
                <w:rFonts w:hint="eastAsia" w:ascii="宋体" w:hAnsi="宋体" w:eastAsia="宋体" w:cs="宋体"/>
                <w:sz w:val="24"/>
                <w:szCs w:val="24"/>
              </w:rPr>
            </w:pPr>
          </w:p>
        </w:tc>
      </w:tr>
      <w:tr w14:paraId="2FD3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881" w:type="dxa"/>
            <w:vAlign w:val="center"/>
          </w:tcPr>
          <w:p w14:paraId="58A44375">
            <w:pPr>
              <w:keepNext w:val="0"/>
              <w:keepLines w:val="0"/>
              <w:suppressLineNumbers w:val="0"/>
              <w:pBdr>
                <w:top w:val="none" w:color="auto" w:sz="0" w:space="1"/>
                <w:left w:val="none" w:color="auto" w:sz="0" w:space="4"/>
                <w:bottom w:val="none" w:color="auto" w:sz="0" w:space="1"/>
                <w:right w:val="none" w:color="auto" w:sz="0" w:space="4"/>
              </w:pBdr>
              <w:snapToGrid w:val="0"/>
              <w:spacing w:before="0" w:beforeAutospacing="0" w:after="0" w:afterAutospacing="0" w:line="320" w:lineRule="exact"/>
              <w:ind w:left="0" w:right="0"/>
              <w:jc w:val="center"/>
              <w:rPr>
                <w:rFonts w:hint="eastAsia" w:ascii="宋体" w:hAnsi="宋体" w:eastAsia="宋体" w:cs="宋体"/>
                <w:sz w:val="24"/>
                <w:szCs w:val="24"/>
              </w:rPr>
            </w:pPr>
            <w:r>
              <w:rPr>
                <w:rFonts w:hint="eastAsia" w:ascii="宋体" w:hAnsi="宋体" w:eastAsia="宋体" w:cs="宋体"/>
                <w:sz w:val="24"/>
                <w:szCs w:val="24"/>
              </w:rPr>
              <w:t>企业性质</w:t>
            </w:r>
          </w:p>
        </w:tc>
        <w:tc>
          <w:tcPr>
            <w:tcW w:w="7019" w:type="dxa"/>
            <w:gridSpan w:val="4"/>
            <w:vAlign w:val="center"/>
          </w:tcPr>
          <w:p w14:paraId="7039C44C">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rPr>
                <w:rFonts w:hint="eastAsia" w:ascii="宋体" w:hAnsi="宋体" w:eastAsia="宋体" w:cs="宋体"/>
                <w:sz w:val="24"/>
                <w:szCs w:val="24"/>
              </w:rPr>
            </w:pPr>
          </w:p>
        </w:tc>
      </w:tr>
      <w:tr w14:paraId="47E6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881" w:type="dxa"/>
            <w:vAlign w:val="center"/>
          </w:tcPr>
          <w:p w14:paraId="184D2593">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jc w:val="center"/>
              <w:rPr>
                <w:rFonts w:hint="eastAsia" w:ascii="宋体" w:hAnsi="宋体" w:eastAsia="宋体" w:cs="宋体"/>
                <w:sz w:val="24"/>
                <w:szCs w:val="24"/>
              </w:rPr>
            </w:pPr>
            <w:r>
              <w:rPr>
                <w:rFonts w:hint="eastAsia" w:ascii="宋体" w:hAnsi="宋体" w:eastAsia="宋体" w:cs="宋体"/>
                <w:sz w:val="24"/>
                <w:szCs w:val="24"/>
              </w:rPr>
              <w:t>法定代表人</w:t>
            </w:r>
          </w:p>
        </w:tc>
        <w:tc>
          <w:tcPr>
            <w:tcW w:w="998" w:type="dxa"/>
            <w:vAlign w:val="center"/>
          </w:tcPr>
          <w:p w14:paraId="4499B401">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jc w:val="center"/>
              <w:rPr>
                <w:rFonts w:hint="eastAsia" w:ascii="宋体" w:hAnsi="宋体" w:eastAsia="宋体" w:cs="宋体"/>
                <w:sz w:val="24"/>
                <w:szCs w:val="24"/>
              </w:rPr>
            </w:pPr>
            <w:r>
              <w:rPr>
                <w:rFonts w:hint="eastAsia" w:ascii="宋体" w:hAnsi="宋体" w:eastAsia="宋体" w:cs="宋体"/>
                <w:sz w:val="24"/>
                <w:szCs w:val="24"/>
              </w:rPr>
              <w:t>姓  名</w:t>
            </w:r>
          </w:p>
        </w:tc>
        <w:tc>
          <w:tcPr>
            <w:tcW w:w="1697" w:type="dxa"/>
            <w:vAlign w:val="center"/>
          </w:tcPr>
          <w:p w14:paraId="4569BC1C">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jc w:val="center"/>
              <w:rPr>
                <w:rFonts w:hint="eastAsia" w:ascii="宋体" w:hAnsi="宋体" w:eastAsia="宋体" w:cs="宋体"/>
                <w:sz w:val="24"/>
                <w:szCs w:val="24"/>
              </w:rPr>
            </w:pPr>
          </w:p>
        </w:tc>
        <w:tc>
          <w:tcPr>
            <w:tcW w:w="1293" w:type="dxa"/>
            <w:vAlign w:val="center"/>
          </w:tcPr>
          <w:p w14:paraId="18E6CF08">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jc w:val="center"/>
              <w:rPr>
                <w:rFonts w:hint="eastAsia" w:ascii="宋体" w:hAnsi="宋体" w:eastAsia="宋体" w:cs="宋体"/>
                <w:sz w:val="24"/>
                <w:szCs w:val="24"/>
              </w:rPr>
            </w:pPr>
            <w:r>
              <w:rPr>
                <w:rFonts w:hint="eastAsia" w:ascii="宋体" w:hAnsi="宋体" w:eastAsia="宋体" w:cs="宋体"/>
                <w:sz w:val="24"/>
                <w:szCs w:val="24"/>
              </w:rPr>
              <w:t>电    话</w:t>
            </w:r>
          </w:p>
        </w:tc>
        <w:tc>
          <w:tcPr>
            <w:tcW w:w="3031" w:type="dxa"/>
            <w:vAlign w:val="center"/>
          </w:tcPr>
          <w:p w14:paraId="50484288">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rPr>
                <w:rFonts w:hint="eastAsia" w:ascii="宋体" w:hAnsi="宋体" w:eastAsia="宋体" w:cs="宋体"/>
                <w:sz w:val="24"/>
                <w:szCs w:val="24"/>
              </w:rPr>
            </w:pPr>
          </w:p>
        </w:tc>
      </w:tr>
      <w:tr w14:paraId="6F5D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881" w:type="dxa"/>
            <w:vAlign w:val="center"/>
          </w:tcPr>
          <w:p w14:paraId="2E335353">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jc w:val="center"/>
              <w:rPr>
                <w:rFonts w:hint="eastAsia" w:ascii="宋体" w:hAnsi="宋体" w:eastAsia="宋体" w:cs="宋体"/>
                <w:sz w:val="24"/>
                <w:szCs w:val="24"/>
              </w:rPr>
            </w:pPr>
            <w:r>
              <w:rPr>
                <w:rFonts w:hint="eastAsia" w:ascii="宋体" w:hAnsi="宋体" w:eastAsia="宋体" w:cs="宋体"/>
                <w:sz w:val="24"/>
                <w:szCs w:val="24"/>
              </w:rPr>
              <w:t>经营范围</w:t>
            </w:r>
          </w:p>
        </w:tc>
        <w:tc>
          <w:tcPr>
            <w:tcW w:w="7019" w:type="dxa"/>
            <w:gridSpan w:val="4"/>
            <w:vAlign w:val="center"/>
          </w:tcPr>
          <w:p w14:paraId="33032A88">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rPr>
                <w:rFonts w:hint="eastAsia" w:ascii="宋体" w:hAnsi="宋体" w:eastAsia="宋体" w:cs="宋体"/>
                <w:sz w:val="24"/>
                <w:szCs w:val="24"/>
              </w:rPr>
            </w:pPr>
          </w:p>
        </w:tc>
      </w:tr>
      <w:tr w14:paraId="67C8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881" w:type="dxa"/>
          </w:tcPr>
          <w:p w14:paraId="19009DA0">
            <w:pPr>
              <w:pStyle w:val="58"/>
              <w:keepNext w:val="0"/>
              <w:keepLines w:val="0"/>
              <w:suppressLineNumbers w:val="0"/>
              <w:pBdr>
                <w:top w:val="none" w:color="auto" w:sz="0" w:space="1"/>
                <w:left w:val="none" w:color="auto" w:sz="0" w:space="4"/>
                <w:bottom w:val="none" w:color="auto" w:sz="0" w:space="1"/>
                <w:right w:val="none" w:color="auto" w:sz="0" w:space="4"/>
              </w:pBdr>
              <w:kinsoku w:val="0"/>
              <w:overflowPunct w:val="0"/>
              <w:spacing w:before="107" w:beforeAutospacing="0" w:after="0" w:afterAutospacing="0"/>
              <w:ind w:left="242" w:right="0"/>
              <w:rPr>
                <w:rFonts w:hint="eastAsia" w:ascii="宋体" w:hAnsi="宋体" w:eastAsia="宋体" w:cs="宋体"/>
                <w:sz w:val="24"/>
                <w:szCs w:val="24"/>
              </w:rPr>
            </w:pPr>
            <w:r>
              <w:rPr>
                <w:rFonts w:hint="eastAsia" w:ascii="宋体" w:hAnsi="宋体" w:eastAsia="宋体" w:cs="宋体"/>
                <w:sz w:val="24"/>
                <w:szCs w:val="24"/>
              </w:rPr>
              <w:t>基本账户开户银行</w:t>
            </w:r>
          </w:p>
        </w:tc>
        <w:tc>
          <w:tcPr>
            <w:tcW w:w="7019" w:type="dxa"/>
            <w:gridSpan w:val="4"/>
            <w:vAlign w:val="center"/>
          </w:tcPr>
          <w:p w14:paraId="1CD84931">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rPr>
                <w:rFonts w:hint="eastAsia" w:ascii="宋体" w:hAnsi="宋体" w:eastAsia="宋体" w:cs="宋体"/>
                <w:sz w:val="24"/>
                <w:szCs w:val="24"/>
              </w:rPr>
            </w:pPr>
          </w:p>
        </w:tc>
      </w:tr>
      <w:tr w14:paraId="1701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881" w:type="dxa"/>
          </w:tcPr>
          <w:p w14:paraId="218B45C6">
            <w:pPr>
              <w:pStyle w:val="58"/>
              <w:keepNext w:val="0"/>
              <w:keepLines w:val="0"/>
              <w:suppressLineNumbers w:val="0"/>
              <w:pBdr>
                <w:top w:val="none" w:color="auto" w:sz="0" w:space="1"/>
                <w:left w:val="none" w:color="auto" w:sz="0" w:space="4"/>
                <w:bottom w:val="none" w:color="auto" w:sz="0" w:space="1"/>
                <w:right w:val="none" w:color="auto" w:sz="0" w:space="4"/>
              </w:pBdr>
              <w:kinsoku w:val="0"/>
              <w:overflowPunct w:val="0"/>
              <w:spacing w:before="107" w:beforeAutospacing="0" w:after="0" w:afterAutospacing="0"/>
              <w:ind w:left="242" w:right="0"/>
              <w:rPr>
                <w:rFonts w:hint="eastAsia" w:ascii="宋体" w:hAnsi="宋体" w:eastAsia="宋体" w:cs="宋体"/>
                <w:sz w:val="24"/>
                <w:szCs w:val="24"/>
              </w:rPr>
            </w:pPr>
            <w:r>
              <w:rPr>
                <w:rFonts w:hint="eastAsia" w:ascii="宋体" w:hAnsi="宋体" w:eastAsia="宋体" w:cs="宋体"/>
                <w:sz w:val="24"/>
                <w:szCs w:val="24"/>
              </w:rPr>
              <w:t>基本账户银行账号</w:t>
            </w:r>
          </w:p>
        </w:tc>
        <w:tc>
          <w:tcPr>
            <w:tcW w:w="7019" w:type="dxa"/>
            <w:gridSpan w:val="4"/>
            <w:vAlign w:val="center"/>
          </w:tcPr>
          <w:p w14:paraId="30649FE8">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rPr>
                <w:rFonts w:hint="eastAsia" w:ascii="宋体" w:hAnsi="宋体" w:eastAsia="宋体" w:cs="宋体"/>
                <w:sz w:val="24"/>
                <w:szCs w:val="24"/>
              </w:rPr>
            </w:pPr>
          </w:p>
        </w:tc>
      </w:tr>
      <w:tr w14:paraId="4274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81" w:type="dxa"/>
            <w:vAlign w:val="center"/>
          </w:tcPr>
          <w:p w14:paraId="321B437A">
            <w:pPr>
              <w:pStyle w:val="58"/>
              <w:keepNext w:val="0"/>
              <w:keepLines w:val="0"/>
              <w:suppressLineNumbers w:val="0"/>
              <w:pBdr>
                <w:top w:val="none" w:color="auto" w:sz="0" w:space="1"/>
                <w:left w:val="none" w:color="auto" w:sz="0" w:space="4"/>
                <w:bottom w:val="none" w:color="auto" w:sz="0" w:space="1"/>
                <w:right w:val="none" w:color="auto" w:sz="0" w:space="4"/>
              </w:pBdr>
              <w:kinsoku w:val="0"/>
              <w:overflowPunct w:val="0"/>
              <w:spacing w:before="107" w:beforeAutospacing="0" w:after="0" w:afterAutospacing="0"/>
              <w:ind w:left="136" w:right="0"/>
              <w:rPr>
                <w:rFonts w:hint="eastAsia" w:ascii="宋体" w:hAnsi="宋体" w:eastAsia="宋体" w:cs="宋体"/>
                <w:sz w:val="24"/>
                <w:szCs w:val="24"/>
              </w:rPr>
            </w:pPr>
            <w:r>
              <w:rPr>
                <w:rFonts w:hint="eastAsia" w:ascii="宋体" w:hAnsi="宋体" w:eastAsia="宋体" w:cs="宋体"/>
                <w:sz w:val="24"/>
                <w:szCs w:val="24"/>
              </w:rPr>
              <w:t>潜在供应商关联企业情况（包括但不限于与潜在供应商法定代表人（单位负责人）为同一人或者存在控股、管理关系的不同单位）</w:t>
            </w:r>
          </w:p>
        </w:tc>
        <w:tc>
          <w:tcPr>
            <w:tcW w:w="7019" w:type="dxa"/>
            <w:gridSpan w:val="4"/>
            <w:vAlign w:val="center"/>
          </w:tcPr>
          <w:p w14:paraId="690DFE54">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rPr>
                <w:rFonts w:hint="eastAsia" w:ascii="宋体" w:hAnsi="宋体" w:eastAsia="宋体" w:cs="宋体"/>
                <w:sz w:val="24"/>
                <w:szCs w:val="24"/>
              </w:rPr>
            </w:pPr>
          </w:p>
        </w:tc>
      </w:tr>
      <w:tr w14:paraId="1BA7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81" w:type="dxa"/>
            <w:vAlign w:val="center"/>
          </w:tcPr>
          <w:p w14:paraId="69F1F8C7">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jc w:val="center"/>
              <w:rPr>
                <w:rFonts w:hint="eastAsia" w:ascii="宋体" w:hAnsi="宋体" w:eastAsia="宋体" w:cs="宋体"/>
                <w:sz w:val="24"/>
                <w:szCs w:val="24"/>
              </w:rPr>
            </w:pPr>
            <w:r>
              <w:rPr>
                <w:rFonts w:hint="eastAsia" w:ascii="宋体" w:hAnsi="宋体" w:eastAsia="宋体" w:cs="宋体"/>
                <w:sz w:val="24"/>
                <w:szCs w:val="24"/>
              </w:rPr>
              <w:t>备注</w:t>
            </w:r>
          </w:p>
        </w:tc>
        <w:tc>
          <w:tcPr>
            <w:tcW w:w="7019" w:type="dxa"/>
            <w:gridSpan w:val="4"/>
            <w:vAlign w:val="center"/>
          </w:tcPr>
          <w:p w14:paraId="3982E3F0">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jc w:val="center"/>
              <w:rPr>
                <w:rFonts w:hint="eastAsia" w:ascii="宋体" w:hAnsi="宋体" w:eastAsia="宋体" w:cs="宋体"/>
                <w:bCs/>
                <w:sz w:val="24"/>
                <w:szCs w:val="24"/>
              </w:rPr>
            </w:pPr>
          </w:p>
          <w:p w14:paraId="0D142390">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320" w:lineRule="exact"/>
              <w:ind w:left="0" w:right="0"/>
              <w:rPr>
                <w:rFonts w:hint="eastAsia" w:ascii="宋体" w:hAnsi="宋体" w:eastAsia="宋体" w:cs="宋体"/>
                <w:sz w:val="24"/>
                <w:szCs w:val="24"/>
              </w:rPr>
            </w:pPr>
          </w:p>
        </w:tc>
      </w:tr>
    </w:tbl>
    <w:p w14:paraId="03E85F01">
      <w:pPr>
        <w:pStyle w:val="9"/>
        <w:pBdr>
          <w:top w:val="none" w:color="auto" w:sz="0" w:space="1"/>
          <w:left w:val="none" w:color="auto" w:sz="0" w:space="4"/>
          <w:bottom w:val="none" w:color="auto" w:sz="0" w:space="1"/>
          <w:right w:val="none" w:color="auto" w:sz="0" w:space="4"/>
        </w:pBdr>
        <w:kinsoku w:val="0"/>
        <w:overflowPunct w:val="0"/>
        <w:spacing w:before="43"/>
        <w:ind w:left="900" w:leftChars="200" w:hanging="480" w:hangingChars="200"/>
        <w:rPr>
          <w:rFonts w:hint="eastAsia" w:ascii="宋体" w:hAnsi="宋体" w:eastAsia="宋体" w:cs="宋体"/>
          <w:caps/>
          <w:color w:val="auto"/>
          <w:sz w:val="24"/>
          <w:szCs w:val="24"/>
        </w:rPr>
      </w:pPr>
      <w:r>
        <w:rPr>
          <w:rFonts w:hint="eastAsia" w:ascii="宋体" w:hAnsi="宋体" w:eastAsia="宋体" w:cs="宋体"/>
          <w:caps/>
          <w:color w:val="auto"/>
          <w:sz w:val="24"/>
          <w:szCs w:val="24"/>
        </w:rPr>
        <w:t>注：潜在供应商须随此表附上营业执照、本项目要求相关资料的扫描件（盖单位公章）。</w:t>
      </w:r>
    </w:p>
    <w:p w14:paraId="2B1F5DF4">
      <w:pPr>
        <w:pBdr>
          <w:top w:val="none" w:color="auto" w:sz="0" w:space="1"/>
          <w:left w:val="none" w:color="auto" w:sz="0" w:space="4"/>
          <w:bottom w:val="none" w:color="auto" w:sz="0" w:space="1"/>
          <w:right w:val="none" w:color="auto" w:sz="0" w:space="4"/>
        </w:pBdr>
        <w:spacing w:line="380" w:lineRule="exact"/>
        <w:rPr>
          <w:rFonts w:hint="eastAsia" w:ascii="宋体" w:hAnsi="宋体" w:eastAsia="宋体" w:cs="宋体"/>
          <w:sz w:val="24"/>
          <w:szCs w:val="24"/>
        </w:rPr>
      </w:pPr>
    </w:p>
    <w:p w14:paraId="07FDE71E">
      <w:pPr>
        <w:pBdr>
          <w:top w:val="none" w:color="auto" w:sz="0" w:space="1"/>
          <w:left w:val="none" w:color="auto" w:sz="0" w:space="4"/>
          <w:bottom w:val="none" w:color="auto" w:sz="0" w:space="1"/>
          <w:right w:val="none" w:color="auto" w:sz="0" w:space="4"/>
        </w:pBdr>
        <w:spacing w:line="360" w:lineRule="auto"/>
        <w:jc w:val="right"/>
        <w:rPr>
          <w:rFonts w:hint="eastAsia" w:ascii="宋体" w:hAnsi="宋体" w:eastAsia="宋体" w:cs="宋体"/>
          <w:sz w:val="24"/>
          <w:szCs w:val="24"/>
        </w:rPr>
      </w:pPr>
    </w:p>
    <w:p w14:paraId="22E0C956">
      <w:pPr>
        <w:pBdr>
          <w:top w:val="none" w:color="auto" w:sz="0" w:space="1"/>
          <w:left w:val="none" w:color="auto" w:sz="0" w:space="4"/>
          <w:bottom w:val="none" w:color="auto" w:sz="0" w:space="1"/>
          <w:right w:val="none" w:color="auto" w:sz="0" w:space="4"/>
        </w:pBdr>
        <w:spacing w:line="360" w:lineRule="auto"/>
        <w:jc w:val="right"/>
        <w:rPr>
          <w:rFonts w:hint="eastAsia" w:ascii="宋体" w:hAnsi="宋体" w:eastAsia="宋体" w:cs="宋体"/>
          <w:sz w:val="24"/>
          <w:szCs w:val="24"/>
        </w:rPr>
      </w:pPr>
      <w:r>
        <w:rPr>
          <w:rFonts w:hint="eastAsia" w:ascii="宋体" w:hAnsi="宋体" w:eastAsia="宋体" w:cs="宋体"/>
          <w:sz w:val="24"/>
          <w:szCs w:val="24"/>
        </w:rPr>
        <w:t>潜在供应商：</w:t>
      </w:r>
      <w:r>
        <w:rPr>
          <w:rFonts w:hint="eastAsia" w:ascii="宋体" w:hAnsi="宋体" w:eastAsia="宋体" w:cs="宋体"/>
          <w:sz w:val="24"/>
          <w:szCs w:val="24"/>
          <w:u w:val="single"/>
        </w:rPr>
        <w:t xml:space="preserve">                    （电子签章）</w:t>
      </w:r>
    </w:p>
    <w:p w14:paraId="2659856C">
      <w:pPr>
        <w:pBdr>
          <w:top w:val="none" w:color="auto" w:sz="0" w:space="1"/>
          <w:left w:val="none" w:color="auto" w:sz="0" w:space="4"/>
          <w:bottom w:val="none" w:color="auto" w:sz="0" w:space="1"/>
          <w:right w:val="none" w:color="auto" w:sz="0" w:space="4"/>
        </w:pBdr>
        <w:spacing w:line="360" w:lineRule="auto"/>
        <w:jc w:val="right"/>
        <w:rPr>
          <w:rFonts w:hint="eastAsia" w:ascii="宋体" w:hAnsi="宋体" w:eastAsia="宋体" w:cs="宋体"/>
          <w:caps/>
          <w:sz w:val="24"/>
          <w:szCs w:val="24"/>
          <w:u w:val="single"/>
        </w:rPr>
      </w:pPr>
      <w:r>
        <w:rPr>
          <w:rFonts w:hint="eastAsia" w:ascii="宋体" w:hAnsi="宋体" w:eastAsia="宋体" w:cs="宋体"/>
          <w:caps/>
          <w:sz w:val="24"/>
          <w:szCs w:val="24"/>
        </w:rPr>
        <w:t>法定代表人或其委托代理人：</w:t>
      </w:r>
      <w:r>
        <w:rPr>
          <w:rFonts w:hint="eastAsia" w:ascii="宋体" w:hAnsi="宋体" w:eastAsia="宋体" w:cs="宋体"/>
          <w:caps/>
          <w:sz w:val="24"/>
          <w:szCs w:val="24"/>
          <w:u w:val="single"/>
        </w:rPr>
        <w:t>（</w:t>
      </w:r>
      <w:r>
        <w:rPr>
          <w:rFonts w:hint="eastAsia" w:ascii="宋体" w:hAnsi="宋体" w:eastAsia="宋体" w:cs="宋体"/>
          <w:sz w:val="24"/>
          <w:szCs w:val="24"/>
          <w:u w:val="single"/>
        </w:rPr>
        <w:t>签字或盖章</w:t>
      </w:r>
      <w:r>
        <w:rPr>
          <w:rFonts w:hint="eastAsia" w:ascii="宋体" w:hAnsi="宋体" w:eastAsia="宋体" w:cs="宋体"/>
          <w:caps/>
          <w:sz w:val="24"/>
          <w:szCs w:val="24"/>
          <w:u w:val="single"/>
        </w:rPr>
        <w:t>）</w:t>
      </w:r>
    </w:p>
    <w:p w14:paraId="0424173B">
      <w:pPr>
        <w:pBdr>
          <w:top w:val="none" w:color="auto" w:sz="0" w:space="1"/>
          <w:left w:val="none" w:color="auto" w:sz="0" w:space="4"/>
          <w:bottom w:val="none" w:color="auto" w:sz="0" w:space="1"/>
          <w:right w:val="none" w:color="auto" w:sz="0" w:space="4"/>
        </w:pBdr>
        <w:spacing w:line="600" w:lineRule="exact"/>
        <w:ind w:firstLine="5040" w:firstLineChars="2100"/>
        <w:rPr>
          <w:rFonts w:hint="eastAsia" w:ascii="宋体" w:hAnsi="宋体" w:eastAsia="宋体" w:cs="宋体"/>
          <w:sz w:val="24"/>
          <w:szCs w:val="24"/>
        </w:rPr>
      </w:pPr>
      <w:r>
        <w:rPr>
          <w:rFonts w:hint="eastAsia" w:ascii="宋体" w:hAnsi="宋体" w:eastAsia="宋体" w:cs="宋体"/>
          <w:sz w:val="24"/>
          <w:szCs w:val="24"/>
        </w:rPr>
        <w:t>日     期：     年   月  日</w:t>
      </w:r>
    </w:p>
    <w:p w14:paraId="2850FD8E">
      <w:pPr>
        <w:pBdr>
          <w:top w:val="none" w:color="auto" w:sz="0" w:space="1"/>
          <w:left w:val="none" w:color="auto" w:sz="0" w:space="4"/>
          <w:bottom w:val="none" w:color="auto" w:sz="0" w:space="1"/>
          <w:right w:val="none" w:color="auto" w:sz="0" w:space="4"/>
        </w:pBdr>
        <w:spacing w:line="600" w:lineRule="exact"/>
        <w:ind w:firstLine="5040" w:firstLineChars="2100"/>
        <w:rPr>
          <w:rFonts w:hint="eastAsia" w:ascii="宋体" w:hAnsi="宋体" w:eastAsia="宋体" w:cs="宋体"/>
          <w:sz w:val="24"/>
          <w:szCs w:val="24"/>
        </w:rPr>
      </w:pPr>
    </w:p>
    <w:p w14:paraId="3DA52D41">
      <w:pPr>
        <w:pBdr>
          <w:top w:val="none" w:color="auto" w:sz="0" w:space="1"/>
          <w:bottom w:val="none" w:color="auto" w:sz="0" w:space="1"/>
          <w:right w:val="none" w:color="auto" w:sz="0" w:space="4"/>
        </w:pBdr>
        <w:snapToGrid w:val="0"/>
        <w:spacing w:line="400" w:lineRule="exact"/>
        <w:jc w:val="center"/>
        <w:outlineLvl w:val="2"/>
        <w:rPr>
          <w:rFonts w:hint="eastAsia" w:ascii="宋体" w:hAnsi="宋体" w:eastAsia="宋体" w:cs="宋体"/>
          <w:b/>
          <w:caps/>
          <w:sz w:val="24"/>
          <w:szCs w:val="24"/>
        </w:rPr>
      </w:pPr>
      <w:r>
        <w:rPr>
          <w:rFonts w:hint="eastAsia" w:ascii="宋体" w:hAnsi="宋体" w:eastAsia="宋体" w:cs="宋体"/>
          <w:b/>
          <w:caps/>
          <w:sz w:val="24"/>
          <w:szCs w:val="24"/>
        </w:rPr>
        <w:br w:type="page"/>
      </w:r>
      <w:r>
        <w:rPr>
          <w:rFonts w:hint="eastAsia" w:ascii="宋体" w:hAnsi="宋体" w:eastAsia="宋体" w:cs="宋体"/>
          <w:b/>
          <w:caps/>
          <w:sz w:val="24"/>
          <w:szCs w:val="24"/>
        </w:rPr>
        <w:t>（三）近年财务状况</w:t>
      </w:r>
    </w:p>
    <w:p w14:paraId="256BB802">
      <w:pPr>
        <w:pBdr>
          <w:top w:val="none" w:color="auto" w:sz="0" w:space="1"/>
          <w:bottom w:val="none" w:color="auto" w:sz="0" w:space="1"/>
          <w:right w:val="none" w:color="auto" w:sz="0" w:space="4"/>
        </w:pBd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提供202</w:t>
      </w:r>
      <w:r>
        <w:rPr>
          <w:rFonts w:hint="eastAsia" w:ascii="宋体" w:hAnsi="宋体" w:eastAsia="宋体" w:cs="宋体"/>
          <w:sz w:val="24"/>
          <w:szCs w:val="24"/>
          <w:lang w:val="en-US" w:eastAsia="zh-CN"/>
        </w:rPr>
        <w:t>4</w:t>
      </w:r>
      <w:r>
        <w:rPr>
          <w:rFonts w:hint="eastAsia" w:ascii="宋体" w:hAnsi="宋体" w:eastAsia="宋体" w:cs="宋体"/>
          <w:sz w:val="24"/>
          <w:szCs w:val="24"/>
        </w:rPr>
        <w:t>或202</w:t>
      </w:r>
      <w:r>
        <w:rPr>
          <w:rFonts w:hint="eastAsia" w:ascii="宋体" w:hAnsi="宋体" w:eastAsia="宋体" w:cs="宋体"/>
          <w:sz w:val="24"/>
          <w:szCs w:val="24"/>
          <w:lang w:val="en-US" w:eastAsia="zh-CN"/>
        </w:rPr>
        <w:t>5</w:t>
      </w:r>
      <w:r>
        <w:rPr>
          <w:rFonts w:hint="eastAsia" w:ascii="宋体" w:hAnsi="宋体" w:eastAsia="宋体" w:cs="宋体"/>
          <w:sz w:val="24"/>
          <w:szCs w:val="24"/>
        </w:rPr>
        <w:t>年度的经审计的财务报表，成立不满一年的企业可提供情况说明或成立至今的财务报表。</w:t>
      </w:r>
    </w:p>
    <w:p w14:paraId="2BBBA7A7">
      <w:pPr>
        <w:pBdr>
          <w:top w:val="none" w:color="auto" w:sz="0" w:space="1"/>
          <w:bottom w:val="none" w:color="auto" w:sz="0" w:space="1"/>
          <w:right w:val="none" w:color="auto" w:sz="0" w:space="4"/>
        </w:pBdr>
        <w:spacing w:line="400" w:lineRule="exact"/>
        <w:rPr>
          <w:rFonts w:hint="eastAsia" w:ascii="宋体" w:hAnsi="宋体" w:eastAsia="宋体" w:cs="宋体"/>
          <w:b/>
          <w:caps/>
          <w:sz w:val="24"/>
          <w:szCs w:val="24"/>
        </w:rPr>
      </w:pPr>
    </w:p>
    <w:p w14:paraId="6508CFFD">
      <w:pPr>
        <w:pBdr>
          <w:top w:val="none" w:color="auto" w:sz="0" w:space="1"/>
          <w:bottom w:val="none" w:color="auto" w:sz="0" w:space="1"/>
          <w:right w:val="none" w:color="auto" w:sz="0" w:space="4"/>
        </w:pBdr>
        <w:spacing w:line="400" w:lineRule="exact"/>
        <w:rPr>
          <w:rFonts w:hint="eastAsia" w:ascii="宋体" w:hAnsi="宋体" w:eastAsia="宋体" w:cs="宋体"/>
          <w:b/>
          <w:caps/>
          <w:sz w:val="24"/>
          <w:szCs w:val="24"/>
        </w:rPr>
      </w:pPr>
    </w:p>
    <w:p w14:paraId="6B0CEDE4">
      <w:pPr>
        <w:pBdr>
          <w:top w:val="none" w:color="auto" w:sz="0" w:space="1"/>
          <w:bottom w:val="none" w:color="auto" w:sz="0" w:space="1"/>
          <w:right w:val="none" w:color="auto" w:sz="0" w:space="4"/>
        </w:pBdr>
        <w:spacing w:line="400" w:lineRule="exact"/>
        <w:rPr>
          <w:rFonts w:hint="eastAsia" w:ascii="宋体" w:hAnsi="宋体" w:eastAsia="宋体" w:cs="宋体"/>
          <w:sz w:val="24"/>
          <w:szCs w:val="24"/>
        </w:rPr>
      </w:pPr>
    </w:p>
    <w:p w14:paraId="145AA027">
      <w:pPr>
        <w:pBdr>
          <w:top w:val="none" w:color="auto" w:sz="0" w:space="1"/>
          <w:bottom w:val="none" w:color="auto" w:sz="0" w:space="1"/>
          <w:right w:val="none" w:color="auto" w:sz="0" w:space="4"/>
        </w:pBdr>
        <w:spacing w:line="400" w:lineRule="exact"/>
        <w:rPr>
          <w:rFonts w:hint="eastAsia" w:ascii="宋体" w:hAnsi="宋体" w:eastAsia="宋体" w:cs="宋体"/>
          <w:sz w:val="24"/>
          <w:szCs w:val="24"/>
        </w:rPr>
      </w:pPr>
    </w:p>
    <w:p w14:paraId="31CEB357">
      <w:pPr>
        <w:pBdr>
          <w:top w:val="none" w:color="auto" w:sz="0" w:space="1"/>
          <w:bottom w:val="none" w:color="auto" w:sz="0" w:space="1"/>
          <w:right w:val="none" w:color="auto" w:sz="0" w:space="4"/>
        </w:pBdr>
        <w:spacing w:line="360" w:lineRule="auto"/>
        <w:contextualSpacing/>
        <w:rPr>
          <w:rFonts w:hint="eastAsia" w:ascii="宋体" w:hAnsi="宋体" w:eastAsia="宋体" w:cs="宋体"/>
          <w:b/>
          <w:sz w:val="24"/>
          <w:szCs w:val="24"/>
        </w:rPr>
      </w:pPr>
    </w:p>
    <w:p w14:paraId="0B5C39E9">
      <w:pPr>
        <w:pBdr>
          <w:top w:val="none" w:color="auto" w:sz="0" w:space="1"/>
          <w:bottom w:val="none" w:color="auto" w:sz="0" w:space="1"/>
          <w:right w:val="none" w:color="auto" w:sz="0" w:space="4"/>
        </w:pBdr>
        <w:spacing w:line="360" w:lineRule="auto"/>
        <w:contextualSpacing/>
        <w:rPr>
          <w:rFonts w:hint="eastAsia" w:ascii="宋体" w:hAnsi="宋体" w:eastAsia="宋体" w:cs="宋体"/>
          <w:b/>
          <w:sz w:val="24"/>
          <w:szCs w:val="24"/>
        </w:rPr>
      </w:pPr>
    </w:p>
    <w:p w14:paraId="2D251781">
      <w:pPr>
        <w:pBdr>
          <w:top w:val="none" w:color="auto" w:sz="0" w:space="1"/>
          <w:bottom w:val="none" w:color="auto" w:sz="0" w:space="1"/>
          <w:right w:val="none" w:color="auto" w:sz="0" w:space="4"/>
        </w:pBdr>
        <w:spacing w:line="360" w:lineRule="auto"/>
        <w:contextualSpacing/>
        <w:rPr>
          <w:rFonts w:hint="eastAsia" w:ascii="宋体" w:hAnsi="宋体" w:eastAsia="宋体" w:cs="宋体"/>
          <w:b/>
          <w:sz w:val="24"/>
          <w:szCs w:val="24"/>
        </w:rPr>
      </w:pPr>
    </w:p>
    <w:p w14:paraId="745DEA76">
      <w:pPr>
        <w:pBdr>
          <w:top w:val="none" w:color="auto" w:sz="0" w:space="1"/>
          <w:bottom w:val="none" w:color="auto" w:sz="0" w:space="1"/>
          <w:right w:val="none" w:color="auto" w:sz="0" w:space="4"/>
        </w:pBdr>
        <w:spacing w:line="360" w:lineRule="auto"/>
        <w:contextualSpacing/>
        <w:rPr>
          <w:rFonts w:hint="eastAsia" w:ascii="宋体" w:hAnsi="宋体" w:eastAsia="宋体" w:cs="宋体"/>
          <w:b/>
          <w:sz w:val="24"/>
          <w:szCs w:val="24"/>
        </w:rPr>
      </w:pPr>
    </w:p>
    <w:p w14:paraId="5A62CDC5">
      <w:pPr>
        <w:pBdr>
          <w:top w:val="none" w:color="auto" w:sz="0" w:space="1"/>
          <w:bottom w:val="none" w:color="auto" w:sz="0" w:space="1"/>
          <w:right w:val="none" w:color="auto" w:sz="0" w:space="4"/>
        </w:pBdr>
        <w:spacing w:line="360" w:lineRule="auto"/>
        <w:contextualSpacing/>
        <w:rPr>
          <w:rFonts w:hint="eastAsia" w:ascii="宋体" w:hAnsi="宋体" w:eastAsia="宋体" w:cs="宋体"/>
          <w:b/>
          <w:sz w:val="24"/>
          <w:szCs w:val="24"/>
        </w:rPr>
      </w:pPr>
    </w:p>
    <w:p w14:paraId="4F0036FF">
      <w:pPr>
        <w:numPr>
          <w:ilvl w:val="0"/>
          <w:numId w:val="9"/>
        </w:numPr>
        <w:pBdr>
          <w:top w:val="none" w:color="auto" w:sz="0" w:space="1"/>
          <w:left w:val="none" w:color="auto" w:sz="0" w:space="4"/>
          <w:bottom w:val="none" w:color="auto" w:sz="0" w:space="1"/>
          <w:right w:val="none" w:color="auto" w:sz="0" w:space="4"/>
        </w:pBdr>
        <w:snapToGrid w:val="0"/>
        <w:spacing w:line="400" w:lineRule="exact"/>
        <w:jc w:val="center"/>
        <w:outlineLvl w:val="2"/>
        <w:rPr>
          <w:rFonts w:hint="eastAsia" w:ascii="宋体" w:hAnsi="宋体" w:eastAsia="宋体" w:cs="宋体"/>
          <w:b/>
          <w:caps/>
          <w:sz w:val="24"/>
          <w:szCs w:val="24"/>
        </w:rPr>
      </w:pPr>
      <w:r>
        <w:rPr>
          <w:rFonts w:hint="eastAsia" w:ascii="宋体" w:hAnsi="宋体" w:eastAsia="宋体" w:cs="宋体"/>
          <w:b/>
          <w:caps/>
          <w:sz w:val="24"/>
          <w:szCs w:val="24"/>
        </w:rPr>
        <w:br w:type="page"/>
      </w:r>
      <w:r>
        <w:rPr>
          <w:rFonts w:hint="eastAsia" w:ascii="宋体" w:hAnsi="宋体" w:eastAsia="宋体" w:cs="宋体"/>
          <w:b/>
          <w:caps/>
          <w:sz w:val="24"/>
          <w:szCs w:val="24"/>
        </w:rPr>
        <w:t>没有重大违法记录的书面声明</w:t>
      </w:r>
    </w:p>
    <w:p w14:paraId="2B4C99F9">
      <w:pPr>
        <w:pBdr>
          <w:top w:val="none" w:color="auto" w:sz="0" w:space="1"/>
          <w:left w:val="none" w:color="auto" w:sz="0" w:space="4"/>
          <w:bottom w:val="none" w:color="auto" w:sz="0" w:space="1"/>
          <w:right w:val="none" w:color="auto" w:sz="0" w:space="4"/>
        </w:pBdr>
        <w:jc w:val="center"/>
        <w:rPr>
          <w:rFonts w:hint="eastAsia" w:ascii="宋体" w:hAnsi="宋体" w:eastAsia="宋体" w:cs="宋体"/>
          <w:b/>
          <w:bCs/>
          <w:kern w:val="1"/>
          <w:sz w:val="24"/>
          <w:szCs w:val="24"/>
        </w:rPr>
      </w:pPr>
    </w:p>
    <w:p w14:paraId="449FBB3F">
      <w:pPr>
        <w:pBdr>
          <w:top w:val="none" w:color="auto" w:sz="0" w:space="1"/>
          <w:left w:val="none" w:color="auto" w:sz="0" w:space="4"/>
          <w:bottom w:val="none" w:color="auto" w:sz="0" w:space="1"/>
          <w:right w:val="none" w:color="auto" w:sz="0" w:space="4"/>
        </w:pBdr>
        <w:jc w:val="center"/>
        <w:rPr>
          <w:rFonts w:hint="eastAsia" w:ascii="宋体" w:hAnsi="宋体" w:eastAsia="宋体" w:cs="宋体"/>
          <w:b/>
          <w:bCs/>
          <w:kern w:val="1"/>
          <w:sz w:val="24"/>
          <w:szCs w:val="24"/>
        </w:rPr>
      </w:pPr>
      <w:r>
        <w:rPr>
          <w:rFonts w:hint="eastAsia" w:ascii="宋体" w:hAnsi="宋体" w:eastAsia="宋体" w:cs="宋体"/>
          <w:b/>
          <w:bCs/>
          <w:kern w:val="1"/>
          <w:sz w:val="24"/>
          <w:szCs w:val="24"/>
        </w:rPr>
        <w:t>参加政府采购活动前三年内在经营活动中</w:t>
      </w:r>
    </w:p>
    <w:p w14:paraId="30C70610">
      <w:pPr>
        <w:pBdr>
          <w:top w:val="none" w:color="auto" w:sz="0" w:space="1"/>
          <w:left w:val="none" w:color="auto" w:sz="0" w:space="4"/>
          <w:bottom w:val="none" w:color="auto" w:sz="0" w:space="1"/>
          <w:right w:val="none" w:color="auto" w:sz="0" w:space="4"/>
        </w:pBdr>
        <w:jc w:val="center"/>
        <w:rPr>
          <w:rFonts w:hint="eastAsia" w:ascii="宋体" w:hAnsi="宋体" w:eastAsia="宋体" w:cs="宋体"/>
          <w:b/>
          <w:bCs/>
          <w:kern w:val="1"/>
          <w:sz w:val="24"/>
          <w:szCs w:val="24"/>
        </w:rPr>
      </w:pPr>
      <w:r>
        <w:rPr>
          <w:rFonts w:hint="eastAsia" w:ascii="宋体" w:hAnsi="宋体" w:eastAsia="宋体" w:cs="宋体"/>
          <w:b/>
          <w:bCs/>
          <w:kern w:val="1"/>
          <w:sz w:val="24"/>
          <w:szCs w:val="24"/>
        </w:rPr>
        <w:t>没有重大违法记录的</w:t>
      </w:r>
    </w:p>
    <w:p w14:paraId="3638DCE8">
      <w:pPr>
        <w:pBdr>
          <w:top w:val="none" w:color="auto" w:sz="0" w:space="1"/>
          <w:left w:val="none" w:color="auto" w:sz="0" w:space="4"/>
          <w:bottom w:val="none" w:color="auto" w:sz="0" w:space="1"/>
          <w:right w:val="none" w:color="auto" w:sz="0" w:space="4"/>
        </w:pBdr>
        <w:jc w:val="center"/>
        <w:rPr>
          <w:rFonts w:hint="eastAsia" w:ascii="宋体" w:hAnsi="宋体" w:eastAsia="宋体" w:cs="宋体"/>
          <w:kern w:val="1"/>
          <w:sz w:val="24"/>
          <w:szCs w:val="24"/>
        </w:rPr>
      </w:pPr>
      <w:r>
        <w:rPr>
          <w:rFonts w:hint="eastAsia" w:ascii="宋体" w:hAnsi="宋体" w:eastAsia="宋体" w:cs="宋体"/>
          <w:b/>
          <w:bCs/>
          <w:kern w:val="1"/>
          <w:sz w:val="24"/>
          <w:szCs w:val="24"/>
        </w:rPr>
        <w:t>声明</w:t>
      </w:r>
    </w:p>
    <w:p w14:paraId="04DAFFD4">
      <w:pPr>
        <w:pBdr>
          <w:top w:val="none" w:color="auto" w:sz="0" w:space="1"/>
          <w:left w:val="none" w:color="auto" w:sz="0" w:space="4"/>
          <w:bottom w:val="none" w:color="auto" w:sz="0" w:space="1"/>
          <w:right w:val="none" w:color="auto" w:sz="0" w:space="4"/>
        </w:pBdr>
        <w:ind w:firstLine="422"/>
        <w:rPr>
          <w:rFonts w:hint="eastAsia" w:ascii="宋体" w:hAnsi="宋体" w:eastAsia="宋体" w:cs="宋体"/>
          <w:b/>
          <w:kern w:val="1"/>
          <w:sz w:val="24"/>
          <w:szCs w:val="24"/>
        </w:rPr>
      </w:pPr>
    </w:p>
    <w:p w14:paraId="53885D19">
      <w:pPr>
        <w:pBdr>
          <w:top w:val="none" w:color="auto" w:sz="0" w:space="1"/>
          <w:left w:val="none" w:color="auto" w:sz="0" w:space="4"/>
          <w:bottom w:val="none" w:color="auto" w:sz="0" w:space="1"/>
          <w:right w:val="none" w:color="auto" w:sz="0" w:space="4"/>
        </w:pBdr>
        <w:rPr>
          <w:rFonts w:hint="eastAsia" w:ascii="宋体" w:hAnsi="宋体" w:eastAsia="宋体" w:cs="宋体"/>
          <w:bCs/>
          <w:kern w:val="1"/>
          <w:sz w:val="24"/>
          <w:szCs w:val="24"/>
          <w:u w:val="single"/>
        </w:rPr>
      </w:pPr>
      <w:r>
        <w:rPr>
          <w:rFonts w:hint="eastAsia" w:ascii="宋体" w:hAnsi="宋体" w:eastAsia="宋体" w:cs="宋体"/>
          <w:bCs/>
          <w:kern w:val="1"/>
          <w:sz w:val="24"/>
          <w:szCs w:val="24"/>
        </w:rPr>
        <w:t>致：</w:t>
      </w:r>
      <w:r>
        <w:rPr>
          <w:rFonts w:hint="eastAsia" w:ascii="宋体" w:hAnsi="宋体" w:eastAsia="宋体" w:cs="宋体"/>
          <w:bCs/>
          <w:kern w:val="1"/>
          <w:sz w:val="24"/>
          <w:szCs w:val="24"/>
          <w:u w:val="single"/>
        </w:rPr>
        <w:t xml:space="preserve">                                    （采购人）</w:t>
      </w:r>
    </w:p>
    <w:p w14:paraId="7DB2AFE9">
      <w:pPr>
        <w:pBdr>
          <w:top w:val="none" w:color="auto" w:sz="0" w:space="1"/>
          <w:left w:val="none" w:color="auto" w:sz="0" w:space="4"/>
          <w:bottom w:val="none" w:color="auto" w:sz="0" w:space="1"/>
          <w:right w:val="none" w:color="auto" w:sz="0" w:space="4"/>
        </w:pBdr>
        <w:ind w:firstLine="560"/>
        <w:rPr>
          <w:rFonts w:hint="eastAsia" w:ascii="宋体" w:hAnsi="宋体" w:eastAsia="宋体" w:cs="宋体"/>
          <w:bCs/>
          <w:kern w:val="1"/>
          <w:sz w:val="24"/>
          <w:szCs w:val="24"/>
          <w:u w:val="single"/>
        </w:rPr>
      </w:pPr>
    </w:p>
    <w:p w14:paraId="2DEB04E7">
      <w:pPr>
        <w:pBdr>
          <w:top w:val="none" w:color="auto" w:sz="0" w:space="1"/>
          <w:left w:val="none" w:color="auto" w:sz="0" w:space="4"/>
          <w:bottom w:val="none" w:color="auto" w:sz="0" w:space="1"/>
          <w:right w:val="none" w:color="auto" w:sz="0" w:space="4"/>
        </w:pBdr>
        <w:ind w:firstLine="480" w:firstLineChars="200"/>
        <w:rPr>
          <w:rFonts w:hint="eastAsia" w:ascii="宋体" w:hAnsi="宋体" w:eastAsia="宋体" w:cs="宋体"/>
          <w:bCs/>
          <w:kern w:val="1"/>
          <w:sz w:val="24"/>
          <w:szCs w:val="24"/>
        </w:rPr>
      </w:pPr>
      <w:r>
        <w:rPr>
          <w:rFonts w:hint="eastAsia" w:ascii="宋体" w:hAnsi="宋体" w:eastAsia="宋体" w:cs="宋体"/>
          <w:bCs/>
          <w:kern w:val="1"/>
          <w:sz w:val="24"/>
          <w:szCs w:val="24"/>
        </w:rPr>
        <w:t>本人以</w:t>
      </w:r>
      <w:r>
        <w:rPr>
          <w:rFonts w:hint="eastAsia" w:ascii="宋体" w:hAnsi="宋体" w:eastAsia="宋体" w:cs="宋体"/>
          <w:bCs/>
          <w:kern w:val="1"/>
          <w:sz w:val="24"/>
          <w:szCs w:val="24"/>
          <w:u w:val="single"/>
        </w:rPr>
        <w:t xml:space="preserve">                    （公司名称）</w:t>
      </w:r>
      <w:r>
        <w:rPr>
          <w:rFonts w:hint="eastAsia" w:ascii="宋体" w:hAnsi="宋体" w:eastAsia="宋体" w:cs="宋体"/>
          <w:bCs/>
          <w:kern w:val="1"/>
          <w:sz w:val="24"/>
          <w:szCs w:val="24"/>
        </w:rPr>
        <w:t>法定代表人的资格，郑重承诺：</w:t>
      </w:r>
    </w:p>
    <w:p w14:paraId="5FBB7C33">
      <w:pPr>
        <w:pBdr>
          <w:top w:val="none" w:color="auto" w:sz="0" w:space="1"/>
          <w:left w:val="none" w:color="auto" w:sz="0" w:space="4"/>
          <w:bottom w:val="none" w:color="auto" w:sz="0" w:space="1"/>
          <w:right w:val="none" w:color="auto" w:sz="0" w:space="4"/>
        </w:pBdr>
        <w:ind w:firstLine="480" w:firstLineChars="200"/>
        <w:rPr>
          <w:rFonts w:hint="eastAsia" w:ascii="宋体" w:hAnsi="宋体" w:eastAsia="宋体" w:cs="宋体"/>
          <w:bCs/>
          <w:kern w:val="1"/>
          <w:sz w:val="24"/>
          <w:szCs w:val="24"/>
        </w:rPr>
      </w:pPr>
      <w:r>
        <w:rPr>
          <w:rFonts w:hint="eastAsia" w:ascii="宋体" w:hAnsi="宋体" w:eastAsia="宋体" w:cs="宋体"/>
          <w:bCs/>
          <w:kern w:val="1"/>
          <w:sz w:val="24"/>
          <w:szCs w:val="24"/>
        </w:rPr>
        <w:t>我公司具有履行合同要求的专业技术能力</w:t>
      </w:r>
      <w:r>
        <w:rPr>
          <w:rFonts w:hint="eastAsia" w:ascii="宋体" w:hAnsi="宋体" w:eastAsia="宋体" w:cs="宋体"/>
          <w:bCs/>
          <w:kern w:val="1"/>
          <w:sz w:val="24"/>
          <w:szCs w:val="24"/>
          <w:lang w:eastAsia="zh-CN"/>
        </w:rPr>
        <w:t>，在</w:t>
      </w:r>
      <w:r>
        <w:rPr>
          <w:rFonts w:hint="eastAsia" w:ascii="宋体" w:hAnsi="宋体" w:eastAsia="宋体" w:cs="宋体"/>
          <w:bCs/>
          <w:kern w:val="1"/>
          <w:sz w:val="24"/>
          <w:szCs w:val="24"/>
        </w:rPr>
        <w:t>参加本项目政府采购活动前三年内，在经营活动中无违法、违规的不良记录。若在本次项目的招磋商全过程中，被查实我公司提供的资料及上述承诺不属实，或提供的相关资料不属实或不满足采购文件的要求，则采购人有权取消我公司的磋商及成交资格，且我公司将无条件承担由此给本次磋商活动带来的一切后果（包括经济损失）。</w:t>
      </w:r>
    </w:p>
    <w:p w14:paraId="0A9A05D3">
      <w:pPr>
        <w:pBdr>
          <w:top w:val="none" w:color="auto" w:sz="0" w:space="1"/>
          <w:left w:val="none" w:color="auto" w:sz="0" w:space="4"/>
          <w:bottom w:val="none" w:color="auto" w:sz="0" w:space="1"/>
          <w:right w:val="none" w:color="auto" w:sz="0" w:space="4"/>
        </w:pBdr>
        <w:ind w:firstLine="480" w:firstLineChars="200"/>
        <w:rPr>
          <w:rFonts w:hint="eastAsia" w:ascii="宋体" w:hAnsi="宋体" w:eastAsia="宋体" w:cs="宋体"/>
          <w:bCs/>
          <w:sz w:val="24"/>
          <w:szCs w:val="24"/>
        </w:rPr>
      </w:pPr>
      <w:r>
        <w:rPr>
          <w:rFonts w:hint="eastAsia" w:ascii="宋体" w:hAnsi="宋体" w:eastAsia="宋体" w:cs="宋体"/>
          <w:bCs/>
          <w:kern w:val="1"/>
          <w:sz w:val="24"/>
          <w:szCs w:val="24"/>
        </w:rPr>
        <w:t>特此声明。</w:t>
      </w:r>
    </w:p>
    <w:p w14:paraId="6E4ACDBA">
      <w:pPr>
        <w:pBdr>
          <w:top w:val="none" w:color="auto" w:sz="0" w:space="1"/>
          <w:left w:val="none" w:color="auto" w:sz="0" w:space="4"/>
          <w:bottom w:val="none" w:color="auto" w:sz="0" w:space="1"/>
          <w:right w:val="none" w:color="auto" w:sz="0" w:space="4"/>
        </w:pBdr>
        <w:spacing w:line="348" w:lineRule="auto"/>
        <w:contextualSpacing/>
        <w:rPr>
          <w:rFonts w:hint="eastAsia" w:ascii="宋体" w:hAnsi="宋体" w:eastAsia="宋体" w:cs="宋体"/>
          <w:sz w:val="24"/>
          <w:szCs w:val="24"/>
        </w:rPr>
      </w:pPr>
    </w:p>
    <w:p w14:paraId="28699335">
      <w:pPr>
        <w:pBdr>
          <w:top w:val="none" w:color="auto" w:sz="0" w:space="1"/>
          <w:left w:val="none" w:color="auto" w:sz="0" w:space="4"/>
          <w:bottom w:val="none" w:color="auto" w:sz="0" w:space="1"/>
          <w:right w:val="none" w:color="auto" w:sz="0" w:space="4"/>
        </w:pBdr>
        <w:spacing w:line="348" w:lineRule="auto"/>
        <w:contextualSpacing/>
        <w:rPr>
          <w:rFonts w:hint="eastAsia" w:ascii="宋体" w:hAnsi="宋体" w:eastAsia="宋体" w:cs="宋体"/>
          <w:sz w:val="24"/>
          <w:szCs w:val="24"/>
        </w:rPr>
      </w:pPr>
      <w:r>
        <w:rPr>
          <w:rFonts w:hint="eastAsia" w:ascii="宋体" w:hAnsi="宋体" w:eastAsia="宋体" w:cs="宋体"/>
          <w:sz w:val="24"/>
          <w:szCs w:val="24"/>
        </w:rPr>
        <w:t>潜在供应商：</w:t>
      </w:r>
      <w:r>
        <w:rPr>
          <w:rFonts w:hint="eastAsia" w:ascii="宋体" w:hAnsi="宋体" w:eastAsia="宋体" w:cs="宋体"/>
          <w:sz w:val="24"/>
          <w:szCs w:val="24"/>
          <w:u w:val="single"/>
        </w:rPr>
        <w:t xml:space="preserve">                    （电子签章）</w:t>
      </w:r>
    </w:p>
    <w:p w14:paraId="569DCE5B">
      <w:pPr>
        <w:pBdr>
          <w:top w:val="none" w:color="auto" w:sz="0" w:space="1"/>
          <w:left w:val="none" w:color="auto" w:sz="0" w:space="4"/>
          <w:bottom w:val="none" w:color="auto" w:sz="0" w:space="1"/>
          <w:right w:val="none" w:color="auto" w:sz="0" w:space="4"/>
        </w:pBdr>
        <w:spacing w:line="348" w:lineRule="auto"/>
        <w:contextualSpacing/>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（签字或盖章）</w:t>
      </w:r>
    </w:p>
    <w:p w14:paraId="2E0B817C">
      <w:pPr>
        <w:pBdr>
          <w:top w:val="none" w:color="auto" w:sz="0" w:space="1"/>
          <w:left w:val="none" w:color="auto" w:sz="0" w:space="4"/>
          <w:bottom w:val="none" w:color="auto" w:sz="0" w:space="1"/>
          <w:right w:val="none" w:color="auto" w:sz="0" w:space="4"/>
        </w:pBdr>
        <w:spacing w:line="348" w:lineRule="auto"/>
        <w:contextualSpacing/>
        <w:rPr>
          <w:rFonts w:hint="eastAsia" w:ascii="宋体" w:hAnsi="宋体" w:eastAsia="宋体" w:cs="宋体"/>
          <w:sz w:val="24"/>
          <w:szCs w:val="24"/>
        </w:rPr>
      </w:pPr>
      <w:r>
        <w:rPr>
          <w:rFonts w:hint="eastAsia" w:ascii="宋体" w:hAnsi="宋体" w:eastAsia="宋体" w:cs="宋体"/>
          <w:sz w:val="24"/>
          <w:szCs w:val="24"/>
        </w:rPr>
        <w:t>日     期：     年   月  日</w:t>
      </w:r>
    </w:p>
    <w:p w14:paraId="3E040391">
      <w:pPr>
        <w:pBdr>
          <w:top w:val="none" w:color="auto" w:sz="0" w:space="1"/>
          <w:left w:val="none" w:color="auto" w:sz="0" w:space="4"/>
          <w:bottom w:val="none" w:color="auto" w:sz="0" w:space="1"/>
          <w:right w:val="none" w:color="auto" w:sz="0" w:space="4"/>
        </w:pBdr>
        <w:spacing w:line="348" w:lineRule="auto"/>
        <w:contextualSpacing/>
        <w:rPr>
          <w:rFonts w:hint="eastAsia" w:ascii="宋体" w:hAnsi="宋体" w:eastAsia="宋体" w:cs="宋体"/>
          <w:sz w:val="24"/>
          <w:szCs w:val="24"/>
        </w:rPr>
      </w:pPr>
    </w:p>
    <w:p w14:paraId="3D563E4D">
      <w:pPr>
        <w:pBdr>
          <w:top w:val="none" w:color="auto" w:sz="0" w:space="1"/>
          <w:left w:val="none" w:color="auto" w:sz="0" w:space="4"/>
          <w:bottom w:val="none" w:color="auto" w:sz="0" w:space="1"/>
          <w:right w:val="none" w:color="auto" w:sz="0" w:space="4"/>
        </w:pBdr>
        <w:spacing w:line="348" w:lineRule="auto"/>
        <w:contextualSpacing/>
        <w:rPr>
          <w:rFonts w:hint="eastAsia" w:ascii="宋体" w:hAnsi="宋体" w:eastAsia="宋体" w:cs="宋体"/>
          <w:sz w:val="24"/>
          <w:szCs w:val="24"/>
        </w:rPr>
      </w:pPr>
    </w:p>
    <w:p w14:paraId="628E8B57">
      <w:pPr>
        <w:pBdr>
          <w:top w:val="none" w:color="auto" w:sz="0" w:space="1"/>
          <w:left w:val="none" w:color="auto" w:sz="0" w:space="4"/>
          <w:bottom w:val="none" w:color="auto" w:sz="0" w:space="1"/>
          <w:right w:val="none" w:color="auto" w:sz="0" w:space="4"/>
        </w:pBdr>
        <w:spacing w:line="348" w:lineRule="auto"/>
        <w:contextualSpacing/>
        <w:rPr>
          <w:rFonts w:hint="eastAsia" w:ascii="宋体" w:hAnsi="宋体" w:eastAsia="宋体" w:cs="宋体"/>
          <w:sz w:val="24"/>
          <w:szCs w:val="24"/>
        </w:rPr>
      </w:pPr>
    </w:p>
    <w:p w14:paraId="08221AF8">
      <w:pPr>
        <w:numPr>
          <w:ilvl w:val="0"/>
          <w:numId w:val="9"/>
        </w:numPr>
        <w:pBdr>
          <w:top w:val="none" w:color="auto" w:sz="0" w:space="1"/>
          <w:left w:val="none" w:color="auto" w:sz="0" w:space="4"/>
          <w:bottom w:val="none" w:color="auto" w:sz="0" w:space="1"/>
          <w:right w:val="none" w:color="auto" w:sz="0" w:space="4"/>
        </w:pBdr>
        <w:snapToGrid w:val="0"/>
        <w:spacing w:line="400" w:lineRule="exact"/>
        <w:jc w:val="center"/>
        <w:outlineLvl w:val="2"/>
        <w:rPr>
          <w:rFonts w:hint="eastAsia" w:ascii="宋体" w:hAnsi="宋体" w:eastAsia="宋体" w:cs="宋体"/>
          <w:b/>
          <w:caps/>
          <w:sz w:val="24"/>
          <w:szCs w:val="24"/>
        </w:rPr>
      </w:pPr>
      <w:r>
        <w:rPr>
          <w:rFonts w:hint="eastAsia" w:ascii="宋体" w:hAnsi="宋体" w:eastAsia="宋体" w:cs="宋体"/>
          <w:b/>
          <w:caps/>
          <w:sz w:val="24"/>
          <w:szCs w:val="24"/>
        </w:rPr>
        <w:t>信用信息查询记录</w:t>
      </w:r>
    </w:p>
    <w:p w14:paraId="060D0D47">
      <w:pPr>
        <w:pBdr>
          <w:top w:val="none" w:color="auto" w:sz="0" w:space="1"/>
          <w:left w:val="none" w:color="auto" w:sz="0" w:space="4"/>
          <w:bottom w:val="none" w:color="auto" w:sz="0" w:space="1"/>
          <w:right w:val="none" w:color="auto" w:sz="0" w:space="4"/>
        </w:pBdr>
        <w:spacing w:line="348" w:lineRule="auto"/>
        <w:ind w:firstLine="480"/>
        <w:contextualSpacing/>
        <w:rPr>
          <w:rFonts w:hint="eastAsia" w:ascii="宋体" w:hAnsi="宋体" w:eastAsia="宋体" w:cs="宋体"/>
          <w:sz w:val="24"/>
          <w:szCs w:val="24"/>
        </w:rPr>
      </w:pPr>
      <w:r>
        <w:rPr>
          <w:rFonts w:hint="eastAsia" w:ascii="宋体" w:hAnsi="宋体" w:eastAsia="宋体" w:cs="宋体"/>
          <w:sz w:val="24"/>
          <w:szCs w:val="24"/>
        </w:rPr>
        <w:t xml:space="preserve">磋商申请人信誉良好，在经营活动中未因违法违规行为受到行政处罚或因违法违规行为正在受到行政调查，没有处于投标资格被暂停或取消，投标资格被取消，财产未被接管、冻结、破产等状态，无被禁止市场准入情形。且未被列入“信用中国https://www.creditchina.gov.cn” 失信被执行人名单（开具时间须为本项目招标公告发布之日后），重大税收违法案件当事人名单且在中国政府采购网（www.ccgp.gov.cn）没有政府采购严重违法失信行为记录。                       </w:t>
      </w:r>
    </w:p>
    <w:p w14:paraId="613A4F00">
      <w:pPr>
        <w:pBdr>
          <w:top w:val="none" w:color="auto" w:sz="0" w:space="1"/>
          <w:bottom w:val="none" w:color="auto" w:sz="0" w:space="1"/>
          <w:right w:val="none" w:color="auto" w:sz="0" w:space="4"/>
        </w:pBdr>
        <w:spacing w:line="348" w:lineRule="auto"/>
        <w:ind w:firstLine="480"/>
        <w:contextualSpacing/>
        <w:jc w:val="center"/>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b/>
          <w:caps/>
          <w:sz w:val="24"/>
          <w:szCs w:val="24"/>
          <w:lang w:val="zh-CN"/>
        </w:rPr>
        <w:t>（</w:t>
      </w:r>
      <w:r>
        <w:rPr>
          <w:rFonts w:hint="eastAsia" w:ascii="宋体" w:hAnsi="宋体" w:eastAsia="宋体" w:cs="宋体"/>
          <w:b/>
          <w:caps/>
          <w:sz w:val="24"/>
          <w:szCs w:val="24"/>
        </w:rPr>
        <w:t>六</w:t>
      </w:r>
      <w:r>
        <w:rPr>
          <w:rFonts w:hint="eastAsia" w:ascii="宋体" w:hAnsi="宋体" w:eastAsia="宋体" w:cs="宋体"/>
          <w:b/>
          <w:caps/>
          <w:sz w:val="24"/>
          <w:szCs w:val="24"/>
          <w:lang w:val="zh-CN"/>
        </w:rPr>
        <w:t>）其他资格证明材料</w:t>
      </w:r>
    </w:p>
    <w:p w14:paraId="423F4E2F">
      <w:pPr>
        <w:pBdr>
          <w:top w:val="none" w:color="auto" w:sz="0" w:space="1"/>
          <w:bottom w:val="none" w:color="auto" w:sz="0" w:space="1"/>
          <w:right w:val="none" w:color="auto" w:sz="0"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一、依法缴纳税收和社会保障资金的相关材料（提供202</w:t>
      </w:r>
      <w:r>
        <w:rPr>
          <w:rFonts w:hint="eastAsia" w:ascii="宋体" w:hAnsi="宋体" w:eastAsia="宋体" w:cs="宋体"/>
          <w:sz w:val="24"/>
          <w:szCs w:val="24"/>
          <w:lang w:val="en-US" w:eastAsia="zh-CN"/>
        </w:rPr>
        <w:t>5</w:t>
      </w:r>
      <w:r>
        <w:rPr>
          <w:rFonts w:hint="eastAsia" w:ascii="宋体" w:hAnsi="宋体" w:eastAsia="宋体" w:cs="宋体"/>
          <w:sz w:val="24"/>
          <w:szCs w:val="24"/>
        </w:rPr>
        <w:t>年1月至今任意</w:t>
      </w:r>
      <w:r>
        <w:rPr>
          <w:rFonts w:hint="eastAsia" w:ascii="宋体" w:hAnsi="宋体" w:eastAsia="宋体" w:cs="宋体"/>
          <w:sz w:val="24"/>
          <w:szCs w:val="24"/>
          <w:lang w:eastAsia="zh-CN"/>
        </w:rPr>
        <w:t>一</w:t>
      </w:r>
      <w:r>
        <w:rPr>
          <w:rFonts w:hint="eastAsia" w:ascii="宋体" w:hAnsi="宋体" w:eastAsia="宋体" w:cs="宋体"/>
          <w:sz w:val="24"/>
          <w:szCs w:val="24"/>
        </w:rPr>
        <w:t>个月缴纳税收及社会保障资金的完税凭证；成立不满三个月的申请人提供成立以来的税收和社会保障资金缴纳凭证或相关情况说明；依法免税或不需要缴纳社会保障资金的，提供相关证明文件）。</w:t>
      </w:r>
    </w:p>
    <w:p w14:paraId="2B49AF21">
      <w:pPr>
        <w:pStyle w:val="9"/>
        <w:pBdr>
          <w:top w:val="none" w:color="auto" w:sz="0" w:space="1"/>
          <w:bottom w:val="none" w:color="auto" w:sz="0" w:space="1"/>
          <w:right w:val="none" w:color="auto" w:sz="0" w:space="4"/>
        </w:pBdr>
        <w:ind w:firstLine="480"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二、</w:t>
      </w:r>
      <w:r>
        <w:rPr>
          <w:rFonts w:hint="eastAsia" w:ascii="宋体" w:hAnsi="宋体" w:eastAsia="宋体" w:cs="宋体"/>
          <w:sz w:val="24"/>
          <w:szCs w:val="24"/>
        </w:rPr>
        <w:t>具有履行合同所必需的设备和专业技术能力，提供书面声明，并加盖公章</w:t>
      </w:r>
      <w:r>
        <w:rPr>
          <w:rFonts w:hint="eastAsia" w:ascii="宋体" w:hAnsi="宋体" w:eastAsia="宋体" w:cs="宋体"/>
          <w:color w:val="auto"/>
          <w:sz w:val="24"/>
          <w:szCs w:val="24"/>
        </w:rPr>
        <w:t>，提供书面声明；</w:t>
      </w:r>
    </w:p>
    <w:p w14:paraId="12302667">
      <w:pPr>
        <w:pStyle w:val="9"/>
        <w:pBdr>
          <w:top w:val="none" w:color="auto" w:sz="0" w:space="1"/>
          <w:bottom w:val="none" w:color="auto" w:sz="0" w:space="1"/>
          <w:right w:val="none" w:color="auto" w:sz="0" w:space="4"/>
        </w:pBdr>
        <w:ind w:firstLine="480" w:firstLineChars="200"/>
        <w:rPr>
          <w:rFonts w:hint="eastAsia" w:ascii="宋体" w:hAnsi="宋体" w:eastAsia="宋体" w:cs="宋体"/>
          <w:sz w:val="24"/>
          <w:szCs w:val="24"/>
        </w:rPr>
      </w:pPr>
      <w:r>
        <w:rPr>
          <w:rFonts w:hint="eastAsia" w:ascii="宋体" w:hAnsi="宋体" w:eastAsia="宋体" w:cs="宋体"/>
          <w:b/>
          <w:color w:val="auto"/>
          <w:sz w:val="24"/>
          <w:szCs w:val="24"/>
        </w:rPr>
        <w:t>三、</w:t>
      </w:r>
      <w:r>
        <w:rPr>
          <w:rFonts w:hint="eastAsia" w:ascii="宋体" w:hAnsi="宋体" w:eastAsia="宋体" w:cs="宋体"/>
          <w:sz w:val="24"/>
          <w:szCs w:val="24"/>
        </w:rPr>
        <w:t>潜在供应商认为有必要提供的其他材料。</w:t>
      </w:r>
    </w:p>
    <w:p w14:paraId="50002946">
      <w:pPr>
        <w:pStyle w:val="9"/>
        <w:pBdr>
          <w:top w:val="none" w:color="auto" w:sz="0" w:space="1"/>
          <w:bottom w:val="none" w:color="auto" w:sz="0" w:space="1"/>
          <w:right w:val="none" w:color="auto" w:sz="0" w:space="4"/>
        </w:pBdr>
        <w:rPr>
          <w:rFonts w:hint="eastAsia" w:ascii="宋体" w:hAnsi="宋体" w:eastAsia="宋体" w:cs="宋体"/>
          <w:b/>
          <w:color w:val="auto"/>
          <w:sz w:val="24"/>
          <w:szCs w:val="24"/>
        </w:rPr>
      </w:pPr>
    </w:p>
    <w:p w14:paraId="11125776">
      <w:pPr>
        <w:pBdr>
          <w:top w:val="none" w:color="auto" w:sz="0" w:space="1"/>
          <w:bottom w:val="none" w:color="auto" w:sz="0" w:space="1"/>
          <w:right w:val="none" w:color="auto" w:sz="0" w:space="4"/>
        </w:pBdr>
        <w:snapToGrid w:val="0"/>
        <w:spacing w:line="400" w:lineRule="exact"/>
        <w:jc w:val="center"/>
        <w:outlineLvl w:val="2"/>
        <w:rPr>
          <w:rFonts w:hint="eastAsia" w:ascii="宋体" w:hAnsi="宋体" w:eastAsia="宋体" w:cs="宋体"/>
          <w:b/>
          <w:caps/>
          <w:sz w:val="24"/>
          <w:szCs w:val="24"/>
        </w:rPr>
      </w:pPr>
    </w:p>
    <w:bookmarkEnd w:id="256"/>
    <w:bookmarkEnd w:id="257"/>
    <w:p w14:paraId="3B795E79">
      <w:pPr>
        <w:pStyle w:val="3"/>
        <w:pBdr>
          <w:top w:val="none" w:color="auto" w:sz="0" w:space="1"/>
          <w:left w:val="none" w:color="auto" w:sz="0" w:space="4"/>
          <w:bottom w:val="none" w:color="auto" w:sz="0" w:space="1"/>
          <w:right w:val="none" w:color="auto" w:sz="0" w:space="4"/>
        </w:pBdr>
        <w:spacing w:before="280" w:after="290" w:line="360" w:lineRule="exact"/>
        <w:rPr>
          <w:rFonts w:hint="eastAsia" w:ascii="宋体" w:hAnsi="宋体" w:eastAsia="宋体" w:cs="宋体"/>
          <w:sz w:val="24"/>
          <w:szCs w:val="24"/>
        </w:rPr>
      </w:pPr>
      <w:bookmarkStart w:id="260" w:name="_Toc30956"/>
      <w:bookmarkStart w:id="261" w:name="_Toc30263"/>
      <w:r>
        <w:rPr>
          <w:rFonts w:hint="eastAsia" w:ascii="宋体" w:hAnsi="宋体" w:eastAsia="宋体" w:cs="宋体"/>
          <w:sz w:val="24"/>
          <w:szCs w:val="24"/>
        </w:rPr>
        <w:br w:type="page"/>
      </w:r>
      <w:bookmarkStart w:id="262" w:name="_Toc27712"/>
      <w:bookmarkStart w:id="263" w:name="_Toc30065"/>
      <w:r>
        <w:rPr>
          <w:rFonts w:hint="eastAsia" w:ascii="宋体" w:hAnsi="宋体" w:eastAsia="宋体" w:cs="宋体"/>
          <w:sz w:val="24"/>
          <w:szCs w:val="24"/>
        </w:rPr>
        <w:t>六、</w:t>
      </w:r>
      <w:bookmarkEnd w:id="260"/>
      <w:bookmarkEnd w:id="261"/>
      <w:r>
        <w:rPr>
          <w:rFonts w:hint="eastAsia" w:ascii="宋体" w:hAnsi="宋体" w:eastAsia="宋体" w:cs="宋体"/>
          <w:sz w:val="24"/>
          <w:szCs w:val="24"/>
        </w:rPr>
        <w:t>技术方案</w:t>
      </w:r>
      <w:bookmarkEnd w:id="262"/>
      <w:bookmarkEnd w:id="263"/>
    </w:p>
    <w:p w14:paraId="36297613">
      <w:pPr>
        <w:pBdr>
          <w:top w:val="none" w:color="auto" w:sz="0" w:space="1"/>
          <w:left w:val="none" w:color="auto" w:sz="0" w:space="4"/>
          <w:bottom w:val="none" w:color="auto" w:sz="0" w:space="1"/>
          <w:right w:val="none" w:color="auto" w:sz="0" w:space="4"/>
        </w:pBdr>
        <w:spacing w:line="360" w:lineRule="auto"/>
        <w:ind w:firstLine="480" w:firstLineChars="200"/>
        <w:jc w:val="center"/>
        <w:rPr>
          <w:rFonts w:hint="eastAsia" w:ascii="宋体" w:hAnsi="宋体" w:eastAsia="宋体" w:cs="宋体"/>
          <w:b/>
          <w:bCs/>
          <w:sz w:val="24"/>
          <w:szCs w:val="24"/>
        </w:rPr>
      </w:pPr>
      <w:r>
        <w:rPr>
          <w:rFonts w:hint="eastAsia" w:ascii="宋体" w:hAnsi="宋体" w:eastAsia="宋体" w:cs="宋体"/>
          <w:b/>
          <w:bCs/>
          <w:sz w:val="24"/>
          <w:szCs w:val="24"/>
        </w:rPr>
        <w:t>根据评审办法打分要求进行编写，格式自拟</w:t>
      </w:r>
    </w:p>
    <w:p w14:paraId="1F2A8A9B">
      <w:pPr>
        <w:pBdr>
          <w:top w:val="none" w:color="auto" w:sz="0" w:space="1"/>
          <w:left w:val="none" w:color="auto" w:sz="0" w:space="4"/>
          <w:bottom w:val="none" w:color="auto" w:sz="0" w:space="1"/>
          <w:right w:val="none" w:color="auto" w:sz="0" w:space="4"/>
        </w:pBdr>
        <w:spacing w:line="360" w:lineRule="auto"/>
        <w:ind w:firstLine="480" w:firstLineChars="200"/>
        <w:rPr>
          <w:rFonts w:hint="eastAsia" w:ascii="宋体" w:hAnsi="宋体" w:eastAsia="宋体" w:cs="宋体"/>
          <w:sz w:val="24"/>
          <w:szCs w:val="24"/>
        </w:rPr>
      </w:pPr>
    </w:p>
    <w:p w14:paraId="212483D6">
      <w:pPr>
        <w:pBdr>
          <w:top w:val="none" w:color="auto" w:sz="0" w:space="1"/>
          <w:left w:val="none" w:color="auto" w:sz="0" w:space="4"/>
          <w:bottom w:val="none" w:color="auto" w:sz="0" w:space="1"/>
          <w:right w:val="none" w:color="auto" w:sz="0" w:space="4"/>
        </w:pBdr>
        <w:spacing w:line="360" w:lineRule="auto"/>
        <w:ind w:firstLine="480" w:firstLineChars="200"/>
        <w:rPr>
          <w:rFonts w:hint="eastAsia" w:ascii="宋体" w:hAnsi="宋体" w:eastAsia="宋体" w:cs="宋体"/>
          <w:sz w:val="24"/>
          <w:szCs w:val="24"/>
        </w:rPr>
      </w:pPr>
    </w:p>
    <w:p w14:paraId="6B19CA56">
      <w:pPr>
        <w:pBdr>
          <w:top w:val="none" w:color="auto" w:sz="0" w:space="1"/>
          <w:left w:val="none" w:color="auto" w:sz="0" w:space="4"/>
          <w:bottom w:val="none" w:color="auto" w:sz="0" w:space="1"/>
          <w:right w:val="none" w:color="auto" w:sz="0" w:space="4"/>
        </w:pBdr>
        <w:spacing w:line="360" w:lineRule="auto"/>
        <w:ind w:firstLine="480" w:firstLineChars="200"/>
        <w:rPr>
          <w:rFonts w:hint="eastAsia" w:ascii="宋体" w:hAnsi="宋体" w:eastAsia="宋体" w:cs="宋体"/>
          <w:sz w:val="24"/>
          <w:szCs w:val="24"/>
        </w:rPr>
      </w:pPr>
    </w:p>
    <w:p w14:paraId="3EF9A3D8">
      <w:pPr>
        <w:pBdr>
          <w:top w:val="none" w:color="auto" w:sz="0" w:space="1"/>
          <w:left w:val="none" w:color="auto" w:sz="0" w:space="4"/>
          <w:bottom w:val="none" w:color="auto" w:sz="0" w:space="1"/>
          <w:right w:val="none" w:color="auto" w:sz="0" w:space="4"/>
        </w:pBdr>
        <w:spacing w:line="360" w:lineRule="auto"/>
        <w:ind w:firstLine="480" w:firstLineChars="200"/>
        <w:rPr>
          <w:rFonts w:hint="eastAsia" w:ascii="宋体" w:hAnsi="宋体" w:eastAsia="宋体" w:cs="宋体"/>
          <w:sz w:val="24"/>
          <w:szCs w:val="24"/>
        </w:rPr>
      </w:pPr>
    </w:p>
    <w:p w14:paraId="5FE294E6">
      <w:pPr>
        <w:pBdr>
          <w:top w:val="none" w:color="auto" w:sz="0" w:space="1"/>
          <w:left w:val="none" w:color="auto" w:sz="0" w:space="4"/>
          <w:bottom w:val="none" w:color="auto" w:sz="0" w:space="1"/>
          <w:right w:val="none" w:color="auto" w:sz="0" w:space="4"/>
        </w:pBdr>
        <w:spacing w:line="360" w:lineRule="auto"/>
        <w:ind w:firstLine="480" w:firstLineChars="200"/>
        <w:rPr>
          <w:rFonts w:hint="eastAsia" w:ascii="宋体" w:hAnsi="宋体" w:eastAsia="宋体" w:cs="宋体"/>
          <w:sz w:val="24"/>
          <w:szCs w:val="24"/>
        </w:rPr>
      </w:pPr>
    </w:p>
    <w:p w14:paraId="459D06B3">
      <w:pPr>
        <w:pBdr>
          <w:top w:val="none" w:color="auto" w:sz="0" w:space="1"/>
          <w:left w:val="none" w:color="auto" w:sz="0" w:space="4"/>
          <w:bottom w:val="none" w:color="auto" w:sz="0" w:space="1"/>
          <w:right w:val="none" w:color="auto" w:sz="0" w:space="4"/>
        </w:pBdr>
        <w:spacing w:line="360" w:lineRule="auto"/>
        <w:ind w:firstLine="480" w:firstLineChars="200"/>
        <w:rPr>
          <w:rFonts w:hint="eastAsia" w:ascii="宋体" w:hAnsi="宋体" w:eastAsia="宋体" w:cs="宋体"/>
          <w:sz w:val="24"/>
          <w:szCs w:val="24"/>
        </w:rPr>
      </w:pPr>
    </w:p>
    <w:p w14:paraId="0633A778">
      <w:pPr>
        <w:pBdr>
          <w:top w:val="none" w:color="auto" w:sz="0" w:space="1"/>
          <w:left w:val="none" w:color="auto" w:sz="0" w:space="4"/>
          <w:bottom w:val="none" w:color="auto" w:sz="0" w:space="1"/>
          <w:right w:val="none" w:color="auto" w:sz="0" w:space="4"/>
        </w:pBdr>
        <w:spacing w:line="360" w:lineRule="auto"/>
        <w:rPr>
          <w:rFonts w:hint="eastAsia" w:ascii="宋体" w:hAnsi="宋体" w:eastAsia="宋体" w:cs="宋体"/>
          <w:sz w:val="24"/>
          <w:szCs w:val="24"/>
        </w:rPr>
      </w:pPr>
    </w:p>
    <w:p w14:paraId="1A8EB7D9">
      <w:pPr>
        <w:pBdr>
          <w:top w:val="none" w:color="auto" w:sz="0" w:space="1"/>
          <w:left w:val="none" w:color="auto" w:sz="0" w:space="4"/>
          <w:bottom w:val="none" w:color="auto" w:sz="0" w:space="1"/>
          <w:right w:val="none" w:color="auto" w:sz="0" w:space="4"/>
        </w:pBdr>
        <w:spacing w:line="360" w:lineRule="auto"/>
        <w:jc w:val="center"/>
        <w:rPr>
          <w:rStyle w:val="46"/>
          <w:rFonts w:hint="eastAsia" w:ascii="宋体" w:hAnsi="宋体" w:eastAsia="宋体" w:cs="宋体"/>
          <w:sz w:val="24"/>
          <w:szCs w:val="24"/>
        </w:rPr>
      </w:pPr>
      <w:bookmarkStart w:id="264" w:name="_Toc2512"/>
      <w:r>
        <w:rPr>
          <w:rStyle w:val="46"/>
          <w:rFonts w:hint="eastAsia" w:ascii="宋体" w:hAnsi="宋体" w:eastAsia="宋体" w:cs="宋体"/>
          <w:sz w:val="24"/>
          <w:szCs w:val="24"/>
        </w:rPr>
        <w:br w:type="page"/>
      </w:r>
      <w:bookmarkStart w:id="265" w:name="_Toc27430"/>
      <w:bookmarkStart w:id="266" w:name="_Toc4054"/>
      <w:r>
        <w:rPr>
          <w:rStyle w:val="46"/>
          <w:rFonts w:hint="eastAsia" w:ascii="宋体" w:hAnsi="宋体" w:eastAsia="宋体" w:cs="宋体"/>
          <w:sz w:val="24"/>
          <w:szCs w:val="24"/>
        </w:rPr>
        <w:t>七、拟投入本项目参加本项目主要管理、服务人员一览表</w:t>
      </w:r>
    </w:p>
    <w:bookmarkEnd w:id="264"/>
    <w:bookmarkEnd w:id="265"/>
    <w:bookmarkEnd w:id="266"/>
    <w:p w14:paraId="14566161">
      <w:pPr>
        <w:pBdr>
          <w:top w:val="none" w:color="auto" w:sz="0" w:space="1"/>
          <w:left w:val="none" w:color="auto" w:sz="0" w:space="4"/>
          <w:bottom w:val="none" w:color="auto" w:sz="0" w:space="1"/>
          <w:right w:val="none" w:color="auto" w:sz="0" w:space="4"/>
        </w:pBdr>
        <w:rPr>
          <w:rFonts w:hint="eastAsia" w:ascii="宋体" w:hAnsi="宋体" w:eastAsia="宋体" w:cs="宋体"/>
          <w:bCs/>
          <w:sz w:val="24"/>
          <w:szCs w:val="24"/>
        </w:rPr>
      </w:pPr>
    </w:p>
    <w:tbl>
      <w:tblPr>
        <w:tblStyle w:val="25"/>
        <w:tblW w:w="9889"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468"/>
        <w:gridCol w:w="1058"/>
        <w:gridCol w:w="850"/>
        <w:gridCol w:w="993"/>
        <w:gridCol w:w="850"/>
        <w:gridCol w:w="709"/>
        <w:gridCol w:w="850"/>
        <w:gridCol w:w="851"/>
        <w:gridCol w:w="709"/>
        <w:gridCol w:w="850"/>
        <w:gridCol w:w="851"/>
        <w:gridCol w:w="850"/>
      </w:tblGrid>
      <w:tr w14:paraId="5E0252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468" w:type="dxa"/>
            <w:vMerge w:val="restart"/>
            <w:tcBorders>
              <w:top w:val="single" w:color="auto" w:sz="18" w:space="0"/>
              <w:left w:val="single" w:color="auto" w:sz="18" w:space="0"/>
              <w:bottom w:val="single" w:color="auto" w:sz="6" w:space="0"/>
              <w:right w:val="single" w:color="auto" w:sz="6" w:space="0"/>
            </w:tcBorders>
            <w:vAlign w:val="center"/>
          </w:tcPr>
          <w:p w14:paraId="00CA093E">
            <w:pPr>
              <w:keepNext w:val="0"/>
              <w:keepLines w:val="0"/>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rPr>
              <w:t>序</w:t>
            </w:r>
          </w:p>
          <w:p w14:paraId="4D076F4D">
            <w:pPr>
              <w:keepNext w:val="0"/>
              <w:keepLines w:val="0"/>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rPr>
              <w:t>号</w:t>
            </w:r>
          </w:p>
        </w:tc>
        <w:tc>
          <w:tcPr>
            <w:tcW w:w="1058" w:type="dxa"/>
            <w:vMerge w:val="restart"/>
            <w:tcBorders>
              <w:top w:val="single" w:color="auto" w:sz="18" w:space="0"/>
              <w:left w:val="single" w:color="auto" w:sz="6" w:space="0"/>
              <w:bottom w:val="single" w:color="auto" w:sz="6" w:space="0"/>
              <w:right w:val="single" w:color="auto" w:sz="6" w:space="0"/>
            </w:tcBorders>
            <w:vAlign w:val="center"/>
          </w:tcPr>
          <w:p w14:paraId="14651A20">
            <w:pPr>
              <w:keepNext w:val="0"/>
              <w:keepLines w:val="0"/>
              <w:suppressLineNumbers w:val="0"/>
              <w:spacing w:before="0" w:beforeAutospacing="0" w:after="0" w:afterAutospacing="0"/>
              <w:ind w:left="0" w:leftChars="0" w:right="0" w:firstLine="0" w:firstLineChars="0"/>
              <w:jc w:val="left"/>
              <w:rPr>
                <w:rFonts w:hint="eastAsia" w:ascii="宋体" w:hAnsi="宋体" w:eastAsia="宋体" w:cs="宋体"/>
                <w:sz w:val="24"/>
                <w:szCs w:val="24"/>
              </w:rPr>
            </w:pPr>
            <w:r>
              <w:rPr>
                <w:rFonts w:hint="eastAsia" w:ascii="宋体" w:hAnsi="宋体" w:eastAsia="宋体" w:cs="宋体"/>
                <w:sz w:val="24"/>
                <w:szCs w:val="24"/>
              </w:rPr>
              <w:t>项目</w:t>
            </w:r>
          </w:p>
        </w:tc>
        <w:tc>
          <w:tcPr>
            <w:tcW w:w="850" w:type="dxa"/>
            <w:vMerge w:val="restart"/>
            <w:tcBorders>
              <w:top w:val="single" w:color="auto" w:sz="18" w:space="0"/>
              <w:left w:val="single" w:color="auto" w:sz="6" w:space="0"/>
              <w:bottom w:val="single" w:color="auto" w:sz="6" w:space="0"/>
              <w:right w:val="single" w:color="auto" w:sz="6" w:space="0"/>
            </w:tcBorders>
            <w:vAlign w:val="center"/>
          </w:tcPr>
          <w:p w14:paraId="2CFB54FD">
            <w:pPr>
              <w:keepNext w:val="0"/>
              <w:keepLines w:val="0"/>
              <w:suppressLineNumbers w:val="0"/>
              <w:spacing w:before="0" w:beforeAutospacing="0" w:after="0" w:afterAutospacing="0"/>
              <w:ind w:left="0" w:leftChars="0" w:right="0" w:firstLine="0" w:firstLineChars="0"/>
              <w:jc w:val="left"/>
              <w:rPr>
                <w:rFonts w:hint="eastAsia" w:ascii="宋体" w:hAnsi="宋体" w:eastAsia="宋体" w:cs="宋体"/>
                <w:sz w:val="24"/>
                <w:szCs w:val="24"/>
              </w:rPr>
            </w:pPr>
            <w:r>
              <w:rPr>
                <w:rFonts w:hint="eastAsia" w:ascii="宋体" w:hAnsi="宋体" w:eastAsia="宋体" w:cs="宋体"/>
                <w:sz w:val="24"/>
                <w:szCs w:val="24"/>
              </w:rPr>
              <w:t>姓名</w:t>
            </w:r>
          </w:p>
        </w:tc>
        <w:tc>
          <w:tcPr>
            <w:tcW w:w="993" w:type="dxa"/>
            <w:vMerge w:val="restart"/>
            <w:tcBorders>
              <w:top w:val="single" w:color="auto" w:sz="18" w:space="0"/>
              <w:left w:val="single" w:color="auto" w:sz="6" w:space="0"/>
              <w:bottom w:val="single" w:color="auto" w:sz="6" w:space="0"/>
              <w:right w:val="single" w:color="auto" w:sz="6" w:space="0"/>
            </w:tcBorders>
            <w:vAlign w:val="center"/>
          </w:tcPr>
          <w:p w14:paraId="13CB6EFA">
            <w:pPr>
              <w:keepNext w:val="0"/>
              <w:keepLines w:val="0"/>
              <w:suppressLineNumbers w:val="0"/>
              <w:spacing w:before="0" w:beforeAutospacing="0" w:after="0" w:afterAutospacing="0"/>
              <w:ind w:left="0" w:leftChars="0" w:right="0" w:firstLine="0" w:firstLineChars="0"/>
              <w:jc w:val="left"/>
              <w:rPr>
                <w:rFonts w:hint="eastAsia" w:ascii="宋体" w:hAnsi="宋体" w:eastAsia="宋体" w:cs="宋体"/>
                <w:sz w:val="24"/>
                <w:szCs w:val="24"/>
              </w:rPr>
            </w:pPr>
            <w:r>
              <w:rPr>
                <w:rFonts w:hint="eastAsia" w:ascii="宋体" w:hAnsi="宋体" w:eastAsia="宋体" w:cs="宋体"/>
                <w:sz w:val="24"/>
                <w:szCs w:val="24"/>
              </w:rPr>
              <w:t>身份证号</w:t>
            </w:r>
          </w:p>
        </w:tc>
        <w:tc>
          <w:tcPr>
            <w:tcW w:w="850" w:type="dxa"/>
            <w:vMerge w:val="restart"/>
            <w:tcBorders>
              <w:top w:val="single" w:color="auto" w:sz="18" w:space="0"/>
              <w:left w:val="single" w:color="auto" w:sz="6" w:space="0"/>
              <w:bottom w:val="single" w:color="auto" w:sz="6" w:space="0"/>
              <w:right w:val="single" w:color="auto" w:sz="6" w:space="0"/>
            </w:tcBorders>
            <w:vAlign w:val="center"/>
          </w:tcPr>
          <w:p w14:paraId="06954533">
            <w:pPr>
              <w:keepNext w:val="0"/>
              <w:keepLines w:val="0"/>
              <w:suppressLineNumbers w:val="0"/>
              <w:spacing w:before="0" w:beforeAutospacing="0" w:after="0" w:afterAutospacing="0" w:line="360" w:lineRule="exact"/>
              <w:ind w:left="0" w:leftChars="0" w:right="0" w:firstLine="0" w:firstLineChars="0"/>
              <w:jc w:val="left"/>
              <w:rPr>
                <w:rFonts w:hint="eastAsia" w:ascii="宋体" w:hAnsi="宋体" w:eastAsia="宋体" w:cs="宋体"/>
                <w:sz w:val="24"/>
                <w:szCs w:val="24"/>
              </w:rPr>
            </w:pPr>
            <w:r>
              <w:rPr>
                <w:rFonts w:hint="eastAsia" w:ascii="宋体" w:hAnsi="宋体" w:eastAsia="宋体" w:cs="宋体"/>
                <w:sz w:val="24"/>
                <w:szCs w:val="24"/>
              </w:rPr>
              <w:t>学历</w:t>
            </w:r>
          </w:p>
        </w:tc>
        <w:tc>
          <w:tcPr>
            <w:tcW w:w="709" w:type="dxa"/>
            <w:vMerge w:val="restart"/>
            <w:tcBorders>
              <w:top w:val="single" w:color="auto" w:sz="18" w:space="0"/>
              <w:left w:val="single" w:color="auto" w:sz="6" w:space="0"/>
              <w:bottom w:val="single" w:color="auto" w:sz="6" w:space="0"/>
              <w:right w:val="single" w:color="auto" w:sz="6" w:space="0"/>
            </w:tcBorders>
            <w:vAlign w:val="center"/>
          </w:tcPr>
          <w:p w14:paraId="642A7748">
            <w:pPr>
              <w:keepNext w:val="0"/>
              <w:keepLines w:val="0"/>
              <w:suppressLineNumbers w:val="0"/>
              <w:spacing w:before="0" w:beforeAutospacing="0" w:after="0" w:afterAutospacing="0" w:line="360" w:lineRule="exact"/>
              <w:ind w:left="0" w:leftChars="0" w:right="0" w:firstLine="0" w:firstLineChars="0"/>
              <w:jc w:val="left"/>
              <w:rPr>
                <w:rFonts w:hint="eastAsia" w:ascii="宋体" w:hAnsi="宋体" w:eastAsia="宋体" w:cs="宋体"/>
                <w:sz w:val="24"/>
                <w:szCs w:val="24"/>
              </w:rPr>
            </w:pPr>
            <w:r>
              <w:rPr>
                <w:rFonts w:hint="eastAsia" w:ascii="宋体" w:hAnsi="宋体" w:eastAsia="宋体" w:cs="宋体"/>
                <w:sz w:val="24"/>
                <w:szCs w:val="24"/>
              </w:rPr>
              <w:t>所学专业</w:t>
            </w:r>
          </w:p>
        </w:tc>
        <w:tc>
          <w:tcPr>
            <w:tcW w:w="850" w:type="dxa"/>
            <w:vMerge w:val="restart"/>
            <w:tcBorders>
              <w:top w:val="single" w:color="auto" w:sz="18" w:space="0"/>
              <w:left w:val="single" w:color="auto" w:sz="6" w:space="0"/>
              <w:bottom w:val="single" w:color="auto" w:sz="6" w:space="0"/>
              <w:right w:val="single" w:color="auto" w:sz="6" w:space="0"/>
            </w:tcBorders>
            <w:vAlign w:val="center"/>
          </w:tcPr>
          <w:p w14:paraId="2E89F0A2">
            <w:pPr>
              <w:keepNext w:val="0"/>
              <w:keepLines w:val="0"/>
              <w:suppressLineNumbers w:val="0"/>
              <w:spacing w:before="0" w:beforeAutospacing="0" w:after="0" w:afterAutospacing="0"/>
              <w:ind w:left="0" w:leftChars="0" w:right="0" w:firstLine="0" w:firstLineChars="0"/>
              <w:jc w:val="left"/>
              <w:rPr>
                <w:rFonts w:hint="eastAsia" w:ascii="宋体" w:hAnsi="宋体" w:eastAsia="宋体" w:cs="宋体"/>
                <w:sz w:val="24"/>
                <w:szCs w:val="24"/>
              </w:rPr>
            </w:pPr>
            <w:r>
              <w:rPr>
                <w:rFonts w:hint="eastAsia" w:ascii="宋体" w:hAnsi="宋体" w:eastAsia="宋体" w:cs="宋体"/>
                <w:sz w:val="24"/>
                <w:szCs w:val="24"/>
              </w:rPr>
              <w:t>职务或</w:t>
            </w:r>
          </w:p>
          <w:p w14:paraId="0BA27112">
            <w:pPr>
              <w:keepNext w:val="0"/>
              <w:keepLines w:val="0"/>
              <w:suppressLineNumbers w:val="0"/>
              <w:spacing w:before="0" w:beforeAutospacing="0" w:after="0" w:afterAutospacing="0"/>
              <w:ind w:left="0" w:leftChars="0" w:right="0" w:firstLine="0" w:firstLineChars="0"/>
              <w:jc w:val="left"/>
              <w:rPr>
                <w:rFonts w:hint="eastAsia" w:ascii="宋体" w:hAnsi="宋体" w:eastAsia="宋体" w:cs="宋体"/>
                <w:sz w:val="24"/>
                <w:szCs w:val="24"/>
              </w:rPr>
            </w:pPr>
            <w:r>
              <w:rPr>
                <w:rFonts w:hint="eastAsia" w:ascii="宋体" w:hAnsi="宋体" w:eastAsia="宋体" w:cs="宋体"/>
                <w:sz w:val="24"/>
                <w:szCs w:val="24"/>
              </w:rPr>
              <w:t>职称</w:t>
            </w:r>
          </w:p>
        </w:tc>
        <w:tc>
          <w:tcPr>
            <w:tcW w:w="2410" w:type="dxa"/>
            <w:gridSpan w:val="3"/>
            <w:tcBorders>
              <w:top w:val="single" w:color="auto" w:sz="18" w:space="0"/>
              <w:left w:val="single" w:color="auto" w:sz="6" w:space="0"/>
              <w:bottom w:val="single" w:color="auto" w:sz="6" w:space="0"/>
              <w:right w:val="single" w:color="auto" w:sz="6" w:space="0"/>
            </w:tcBorders>
            <w:vAlign w:val="center"/>
          </w:tcPr>
          <w:p w14:paraId="5CA70253">
            <w:pPr>
              <w:keepNext w:val="0"/>
              <w:keepLines w:val="0"/>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rPr>
              <w:t>资格证书</w:t>
            </w:r>
          </w:p>
        </w:tc>
        <w:tc>
          <w:tcPr>
            <w:tcW w:w="851" w:type="dxa"/>
            <w:vMerge w:val="restart"/>
            <w:tcBorders>
              <w:top w:val="single" w:color="auto" w:sz="18" w:space="0"/>
              <w:left w:val="single" w:color="auto" w:sz="6" w:space="0"/>
              <w:bottom w:val="single" w:color="auto" w:sz="6" w:space="0"/>
              <w:right w:val="single" w:color="auto" w:sz="6" w:space="0"/>
            </w:tcBorders>
            <w:vAlign w:val="center"/>
          </w:tcPr>
          <w:p w14:paraId="2DC28384">
            <w:pPr>
              <w:keepNext w:val="0"/>
              <w:keepLines w:val="0"/>
              <w:suppressLineNumbers w:val="0"/>
              <w:spacing w:before="0" w:beforeAutospacing="0" w:after="0" w:afterAutospacing="0"/>
              <w:ind w:left="0" w:leftChars="0" w:right="0" w:firstLine="0" w:firstLineChars="0"/>
              <w:jc w:val="left"/>
              <w:rPr>
                <w:rFonts w:hint="eastAsia" w:ascii="宋体" w:hAnsi="宋体" w:eastAsia="宋体" w:cs="宋体"/>
                <w:sz w:val="24"/>
                <w:szCs w:val="24"/>
              </w:rPr>
            </w:pPr>
            <w:r>
              <w:rPr>
                <w:rFonts w:hint="eastAsia" w:ascii="宋体" w:hAnsi="宋体" w:eastAsia="宋体" w:cs="宋体"/>
                <w:sz w:val="24"/>
                <w:szCs w:val="24"/>
              </w:rPr>
              <w:t>技能工种及等级</w:t>
            </w:r>
          </w:p>
        </w:tc>
        <w:tc>
          <w:tcPr>
            <w:tcW w:w="850" w:type="dxa"/>
            <w:vMerge w:val="restart"/>
            <w:tcBorders>
              <w:top w:val="single" w:color="auto" w:sz="18" w:space="0"/>
              <w:left w:val="single" w:color="auto" w:sz="6" w:space="0"/>
              <w:bottom w:val="single" w:color="auto" w:sz="6" w:space="0"/>
              <w:right w:val="single" w:color="auto" w:sz="18" w:space="0"/>
            </w:tcBorders>
            <w:vAlign w:val="center"/>
          </w:tcPr>
          <w:p w14:paraId="292040B3">
            <w:pPr>
              <w:keepNext w:val="0"/>
              <w:keepLines w:val="0"/>
              <w:suppressLineNumbers w:val="0"/>
              <w:spacing w:before="0" w:beforeAutospacing="0" w:after="0" w:afterAutospacing="0"/>
              <w:ind w:left="0" w:leftChars="0" w:right="0" w:firstLine="0" w:firstLineChars="0"/>
              <w:jc w:val="left"/>
              <w:rPr>
                <w:rFonts w:hint="eastAsia" w:ascii="宋体" w:hAnsi="宋体" w:eastAsia="宋体" w:cs="宋体"/>
                <w:sz w:val="24"/>
                <w:szCs w:val="24"/>
              </w:rPr>
            </w:pPr>
            <w:r>
              <w:rPr>
                <w:rFonts w:hint="eastAsia" w:ascii="宋体" w:hAnsi="宋体" w:eastAsia="宋体" w:cs="宋体"/>
                <w:sz w:val="24"/>
                <w:szCs w:val="24"/>
              </w:rPr>
              <w:t>从事本工作时间</w:t>
            </w:r>
          </w:p>
        </w:tc>
      </w:tr>
      <w:tr w14:paraId="65FF9C4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468" w:type="dxa"/>
            <w:vMerge w:val="continue"/>
            <w:tcBorders>
              <w:top w:val="single" w:color="auto" w:sz="6" w:space="0"/>
              <w:left w:val="single" w:color="auto" w:sz="18" w:space="0"/>
              <w:bottom w:val="single" w:color="auto" w:sz="6" w:space="0"/>
              <w:right w:val="single" w:color="auto" w:sz="6" w:space="0"/>
            </w:tcBorders>
            <w:vAlign w:val="center"/>
          </w:tcPr>
          <w:p w14:paraId="0D091B5C">
            <w:pPr>
              <w:keepNext w:val="0"/>
              <w:keepLines w:val="0"/>
              <w:suppressLineNumbers w:val="0"/>
              <w:spacing w:before="0" w:beforeAutospacing="0" w:after="0" w:afterAutospacing="0"/>
              <w:ind w:left="0" w:right="0"/>
              <w:jc w:val="left"/>
              <w:rPr>
                <w:rFonts w:hint="eastAsia" w:ascii="宋体" w:hAnsi="宋体" w:eastAsia="宋体" w:cs="宋体"/>
                <w:sz w:val="24"/>
                <w:szCs w:val="24"/>
              </w:rPr>
            </w:pPr>
          </w:p>
        </w:tc>
        <w:tc>
          <w:tcPr>
            <w:tcW w:w="1058" w:type="dxa"/>
            <w:vMerge w:val="continue"/>
            <w:tcBorders>
              <w:top w:val="single" w:color="auto" w:sz="6" w:space="0"/>
              <w:left w:val="single" w:color="auto" w:sz="6" w:space="0"/>
              <w:bottom w:val="single" w:color="auto" w:sz="6" w:space="0"/>
              <w:right w:val="single" w:color="auto" w:sz="6" w:space="0"/>
            </w:tcBorders>
            <w:vAlign w:val="center"/>
          </w:tcPr>
          <w:p w14:paraId="63D26E5A">
            <w:pPr>
              <w:keepNext w:val="0"/>
              <w:keepLines w:val="0"/>
              <w:suppressLineNumbers w:val="0"/>
              <w:spacing w:before="0" w:beforeAutospacing="0" w:after="0" w:afterAutospacing="0"/>
              <w:ind w:left="0" w:right="0"/>
              <w:jc w:val="left"/>
              <w:rPr>
                <w:rFonts w:hint="eastAsia" w:ascii="宋体" w:hAnsi="宋体" w:eastAsia="宋体" w:cs="宋体"/>
                <w:sz w:val="24"/>
                <w:szCs w:val="24"/>
              </w:rPr>
            </w:pPr>
          </w:p>
        </w:tc>
        <w:tc>
          <w:tcPr>
            <w:tcW w:w="850" w:type="dxa"/>
            <w:vMerge w:val="continue"/>
            <w:tcBorders>
              <w:top w:val="single" w:color="auto" w:sz="6" w:space="0"/>
              <w:left w:val="single" w:color="auto" w:sz="6" w:space="0"/>
              <w:bottom w:val="single" w:color="auto" w:sz="6" w:space="0"/>
              <w:right w:val="single" w:color="auto" w:sz="6" w:space="0"/>
            </w:tcBorders>
            <w:vAlign w:val="center"/>
          </w:tcPr>
          <w:p w14:paraId="6B2FA4EA">
            <w:pPr>
              <w:keepNext w:val="0"/>
              <w:keepLines w:val="0"/>
              <w:suppressLineNumbers w:val="0"/>
              <w:spacing w:before="0" w:beforeAutospacing="0" w:after="0" w:afterAutospacing="0"/>
              <w:ind w:left="0" w:right="0"/>
              <w:jc w:val="left"/>
              <w:rPr>
                <w:rFonts w:hint="eastAsia" w:ascii="宋体" w:hAnsi="宋体" w:eastAsia="宋体" w:cs="宋体"/>
                <w:sz w:val="24"/>
                <w:szCs w:val="24"/>
              </w:rPr>
            </w:pPr>
          </w:p>
        </w:tc>
        <w:tc>
          <w:tcPr>
            <w:tcW w:w="993" w:type="dxa"/>
            <w:vMerge w:val="continue"/>
            <w:tcBorders>
              <w:top w:val="single" w:color="auto" w:sz="6" w:space="0"/>
              <w:left w:val="single" w:color="auto" w:sz="6" w:space="0"/>
              <w:bottom w:val="single" w:color="auto" w:sz="6" w:space="0"/>
              <w:right w:val="single" w:color="auto" w:sz="6" w:space="0"/>
            </w:tcBorders>
            <w:vAlign w:val="center"/>
          </w:tcPr>
          <w:p w14:paraId="40B40239">
            <w:pPr>
              <w:keepNext w:val="0"/>
              <w:keepLines w:val="0"/>
              <w:suppressLineNumbers w:val="0"/>
              <w:spacing w:before="0" w:beforeAutospacing="0" w:after="0" w:afterAutospacing="0"/>
              <w:ind w:left="0" w:right="0"/>
              <w:jc w:val="left"/>
              <w:rPr>
                <w:rFonts w:hint="eastAsia" w:ascii="宋体" w:hAnsi="宋体" w:eastAsia="宋体" w:cs="宋体"/>
                <w:sz w:val="24"/>
                <w:szCs w:val="24"/>
              </w:rPr>
            </w:pPr>
          </w:p>
        </w:tc>
        <w:tc>
          <w:tcPr>
            <w:tcW w:w="850" w:type="dxa"/>
            <w:vMerge w:val="continue"/>
            <w:tcBorders>
              <w:top w:val="single" w:color="auto" w:sz="6" w:space="0"/>
              <w:left w:val="single" w:color="auto" w:sz="6" w:space="0"/>
              <w:bottom w:val="single" w:color="auto" w:sz="6" w:space="0"/>
              <w:right w:val="single" w:color="auto" w:sz="6" w:space="0"/>
            </w:tcBorders>
            <w:vAlign w:val="center"/>
          </w:tcPr>
          <w:p w14:paraId="07A8EA95">
            <w:pPr>
              <w:keepNext w:val="0"/>
              <w:keepLines w:val="0"/>
              <w:suppressLineNumbers w:val="0"/>
              <w:spacing w:before="0" w:beforeAutospacing="0" w:after="0" w:afterAutospacing="0"/>
              <w:ind w:left="0" w:right="0"/>
              <w:jc w:val="left"/>
              <w:rPr>
                <w:rFonts w:hint="eastAsia" w:ascii="宋体" w:hAnsi="宋体" w:eastAsia="宋体" w:cs="宋体"/>
                <w:sz w:val="24"/>
                <w:szCs w:val="24"/>
              </w:rPr>
            </w:pPr>
          </w:p>
        </w:tc>
        <w:tc>
          <w:tcPr>
            <w:tcW w:w="709" w:type="dxa"/>
            <w:vMerge w:val="continue"/>
            <w:tcBorders>
              <w:top w:val="single" w:color="auto" w:sz="6" w:space="0"/>
              <w:left w:val="single" w:color="auto" w:sz="6" w:space="0"/>
              <w:bottom w:val="single" w:color="auto" w:sz="6" w:space="0"/>
              <w:right w:val="single" w:color="auto" w:sz="6" w:space="0"/>
            </w:tcBorders>
            <w:vAlign w:val="center"/>
          </w:tcPr>
          <w:p w14:paraId="5C3C5834">
            <w:pPr>
              <w:keepNext w:val="0"/>
              <w:keepLines w:val="0"/>
              <w:suppressLineNumbers w:val="0"/>
              <w:spacing w:before="0" w:beforeAutospacing="0" w:after="0" w:afterAutospacing="0"/>
              <w:ind w:left="0" w:right="0"/>
              <w:jc w:val="left"/>
              <w:rPr>
                <w:rFonts w:hint="eastAsia" w:ascii="宋体" w:hAnsi="宋体" w:eastAsia="宋体" w:cs="宋体"/>
                <w:sz w:val="24"/>
                <w:szCs w:val="24"/>
              </w:rPr>
            </w:pPr>
          </w:p>
        </w:tc>
        <w:tc>
          <w:tcPr>
            <w:tcW w:w="850" w:type="dxa"/>
            <w:vMerge w:val="continue"/>
            <w:tcBorders>
              <w:top w:val="single" w:color="auto" w:sz="6" w:space="0"/>
              <w:left w:val="single" w:color="auto" w:sz="6" w:space="0"/>
              <w:bottom w:val="single" w:color="auto" w:sz="6" w:space="0"/>
              <w:right w:val="single" w:color="auto" w:sz="6" w:space="0"/>
            </w:tcBorders>
            <w:vAlign w:val="center"/>
          </w:tcPr>
          <w:p w14:paraId="768667B9">
            <w:pPr>
              <w:keepNext w:val="0"/>
              <w:keepLines w:val="0"/>
              <w:suppressLineNumbers w:val="0"/>
              <w:spacing w:before="0" w:beforeAutospacing="0" w:after="0" w:afterAutospacing="0"/>
              <w:ind w:left="0" w:right="0"/>
              <w:jc w:val="left"/>
              <w:rPr>
                <w:rFonts w:hint="eastAsia" w:ascii="宋体" w:hAnsi="宋体" w:eastAsia="宋体" w:cs="宋体"/>
                <w:sz w:val="24"/>
                <w:szCs w:val="24"/>
              </w:rPr>
            </w:pPr>
          </w:p>
        </w:tc>
        <w:tc>
          <w:tcPr>
            <w:tcW w:w="851" w:type="dxa"/>
            <w:tcBorders>
              <w:top w:val="single" w:color="auto" w:sz="6" w:space="0"/>
              <w:left w:val="single" w:color="auto" w:sz="6" w:space="0"/>
              <w:bottom w:val="single" w:color="auto" w:sz="6" w:space="0"/>
              <w:right w:val="single" w:color="auto" w:sz="6" w:space="0"/>
            </w:tcBorders>
            <w:vAlign w:val="center"/>
          </w:tcPr>
          <w:p w14:paraId="702FA707">
            <w:pPr>
              <w:keepNext w:val="0"/>
              <w:keepLines w:val="0"/>
              <w:suppressLineNumbers w:val="0"/>
              <w:spacing w:before="0" w:beforeAutospacing="0" w:after="0" w:afterAutospacing="0"/>
              <w:ind w:left="0" w:leftChars="0" w:right="0" w:firstLine="0" w:firstLineChars="0"/>
              <w:jc w:val="left"/>
              <w:rPr>
                <w:rFonts w:hint="eastAsia" w:ascii="宋体" w:hAnsi="宋体" w:eastAsia="宋体" w:cs="宋体"/>
                <w:sz w:val="24"/>
                <w:szCs w:val="24"/>
              </w:rPr>
            </w:pPr>
            <w:r>
              <w:rPr>
                <w:rFonts w:hint="eastAsia" w:ascii="宋体" w:hAnsi="宋体" w:eastAsia="宋体" w:cs="宋体"/>
                <w:sz w:val="24"/>
                <w:szCs w:val="24"/>
              </w:rPr>
              <w:t>持何种资格证书</w:t>
            </w:r>
          </w:p>
        </w:tc>
        <w:tc>
          <w:tcPr>
            <w:tcW w:w="709" w:type="dxa"/>
            <w:tcBorders>
              <w:top w:val="single" w:color="auto" w:sz="6" w:space="0"/>
              <w:left w:val="single" w:color="auto" w:sz="6" w:space="0"/>
              <w:bottom w:val="single" w:color="auto" w:sz="6" w:space="0"/>
              <w:right w:val="single" w:color="auto" w:sz="6" w:space="0"/>
            </w:tcBorders>
            <w:vAlign w:val="center"/>
          </w:tcPr>
          <w:p w14:paraId="6ED54524">
            <w:pPr>
              <w:keepNext w:val="0"/>
              <w:keepLines w:val="0"/>
              <w:suppressLineNumbers w:val="0"/>
              <w:spacing w:before="0" w:beforeAutospacing="0" w:after="0" w:afterAutospacing="0"/>
              <w:ind w:left="0" w:leftChars="0" w:right="0" w:firstLine="0" w:firstLineChars="0"/>
              <w:jc w:val="left"/>
              <w:rPr>
                <w:rFonts w:hint="eastAsia" w:ascii="宋体" w:hAnsi="宋体" w:eastAsia="宋体" w:cs="宋体"/>
                <w:sz w:val="24"/>
                <w:szCs w:val="24"/>
              </w:rPr>
            </w:pPr>
            <w:r>
              <w:rPr>
                <w:rFonts w:hint="eastAsia" w:ascii="宋体" w:hAnsi="宋体" w:eastAsia="宋体" w:cs="宋体"/>
                <w:sz w:val="24"/>
                <w:szCs w:val="24"/>
              </w:rPr>
              <w:t>发证单位</w:t>
            </w:r>
          </w:p>
        </w:tc>
        <w:tc>
          <w:tcPr>
            <w:tcW w:w="850" w:type="dxa"/>
            <w:tcBorders>
              <w:top w:val="single" w:color="auto" w:sz="6" w:space="0"/>
              <w:left w:val="single" w:color="auto" w:sz="6" w:space="0"/>
              <w:bottom w:val="single" w:color="auto" w:sz="6" w:space="0"/>
              <w:right w:val="single" w:color="auto" w:sz="6" w:space="0"/>
            </w:tcBorders>
            <w:vAlign w:val="center"/>
          </w:tcPr>
          <w:p w14:paraId="74BD378F">
            <w:pPr>
              <w:keepNext w:val="0"/>
              <w:keepLines w:val="0"/>
              <w:suppressLineNumbers w:val="0"/>
              <w:spacing w:before="0" w:beforeAutospacing="0" w:after="0" w:afterAutospacing="0"/>
              <w:ind w:left="0" w:leftChars="0" w:right="0" w:firstLine="0" w:firstLineChars="0"/>
              <w:jc w:val="left"/>
              <w:rPr>
                <w:rFonts w:hint="eastAsia" w:ascii="宋体" w:hAnsi="宋体" w:eastAsia="宋体" w:cs="宋体"/>
                <w:sz w:val="24"/>
                <w:szCs w:val="24"/>
              </w:rPr>
            </w:pPr>
            <w:r>
              <w:rPr>
                <w:rFonts w:hint="eastAsia" w:ascii="宋体" w:hAnsi="宋体" w:eastAsia="宋体" w:cs="宋体"/>
                <w:sz w:val="24"/>
                <w:szCs w:val="24"/>
              </w:rPr>
              <w:t>发证时间</w:t>
            </w:r>
          </w:p>
        </w:tc>
        <w:tc>
          <w:tcPr>
            <w:tcW w:w="851" w:type="dxa"/>
            <w:vMerge w:val="continue"/>
            <w:tcBorders>
              <w:top w:val="single" w:color="auto" w:sz="6" w:space="0"/>
              <w:left w:val="single" w:color="auto" w:sz="6" w:space="0"/>
              <w:bottom w:val="single" w:color="auto" w:sz="6" w:space="0"/>
              <w:right w:val="single" w:color="auto" w:sz="6" w:space="0"/>
            </w:tcBorders>
            <w:vAlign w:val="center"/>
          </w:tcPr>
          <w:p w14:paraId="1B308CD2">
            <w:pPr>
              <w:keepNext w:val="0"/>
              <w:keepLines w:val="0"/>
              <w:suppressLineNumbers w:val="0"/>
              <w:spacing w:before="0" w:beforeAutospacing="0" w:after="0" w:afterAutospacing="0"/>
              <w:ind w:left="0" w:right="0"/>
              <w:jc w:val="left"/>
              <w:rPr>
                <w:rFonts w:hint="eastAsia" w:ascii="宋体" w:hAnsi="宋体" w:eastAsia="宋体" w:cs="宋体"/>
                <w:sz w:val="24"/>
                <w:szCs w:val="24"/>
              </w:rPr>
            </w:pPr>
          </w:p>
        </w:tc>
        <w:tc>
          <w:tcPr>
            <w:tcW w:w="850" w:type="dxa"/>
            <w:vMerge w:val="continue"/>
            <w:tcBorders>
              <w:top w:val="single" w:color="auto" w:sz="6" w:space="0"/>
              <w:left w:val="single" w:color="auto" w:sz="6" w:space="0"/>
              <w:bottom w:val="single" w:color="auto" w:sz="6" w:space="0"/>
              <w:right w:val="single" w:color="auto" w:sz="18" w:space="0"/>
            </w:tcBorders>
            <w:vAlign w:val="center"/>
          </w:tcPr>
          <w:p w14:paraId="1533EB12">
            <w:pPr>
              <w:keepNext w:val="0"/>
              <w:keepLines w:val="0"/>
              <w:suppressLineNumbers w:val="0"/>
              <w:spacing w:before="0" w:beforeAutospacing="0" w:after="0" w:afterAutospacing="0"/>
              <w:ind w:left="0" w:right="0"/>
              <w:jc w:val="left"/>
              <w:rPr>
                <w:rFonts w:hint="eastAsia" w:ascii="宋体" w:hAnsi="宋体" w:eastAsia="宋体" w:cs="宋体"/>
                <w:sz w:val="24"/>
                <w:szCs w:val="24"/>
              </w:rPr>
            </w:pPr>
          </w:p>
        </w:tc>
      </w:tr>
      <w:tr w14:paraId="0E0F854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468" w:type="dxa"/>
            <w:tcBorders>
              <w:top w:val="single" w:color="auto" w:sz="6" w:space="0"/>
              <w:left w:val="single" w:color="auto" w:sz="18" w:space="0"/>
              <w:bottom w:val="single" w:color="auto" w:sz="6" w:space="0"/>
              <w:right w:val="single" w:color="auto" w:sz="6" w:space="0"/>
            </w:tcBorders>
          </w:tcPr>
          <w:p w14:paraId="64C7E5AA">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1058" w:type="dxa"/>
            <w:vMerge w:val="restart"/>
            <w:tcBorders>
              <w:top w:val="single" w:color="auto" w:sz="6" w:space="0"/>
              <w:left w:val="single" w:color="auto" w:sz="6" w:space="0"/>
              <w:bottom w:val="single" w:color="auto" w:sz="6" w:space="0"/>
              <w:right w:val="single" w:color="auto" w:sz="6" w:space="0"/>
            </w:tcBorders>
            <w:vAlign w:val="center"/>
          </w:tcPr>
          <w:p w14:paraId="6654BCD8">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管理人员</w:t>
            </w:r>
          </w:p>
        </w:tc>
        <w:tc>
          <w:tcPr>
            <w:tcW w:w="850" w:type="dxa"/>
            <w:tcBorders>
              <w:top w:val="single" w:color="auto" w:sz="6" w:space="0"/>
              <w:left w:val="single" w:color="auto" w:sz="6" w:space="0"/>
              <w:bottom w:val="single" w:color="auto" w:sz="6" w:space="0"/>
              <w:right w:val="single" w:color="auto" w:sz="6" w:space="0"/>
            </w:tcBorders>
          </w:tcPr>
          <w:p w14:paraId="6EDA48A5">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993" w:type="dxa"/>
            <w:tcBorders>
              <w:top w:val="single" w:color="auto" w:sz="6" w:space="0"/>
              <w:left w:val="single" w:color="auto" w:sz="6" w:space="0"/>
              <w:bottom w:val="single" w:color="auto" w:sz="6" w:space="0"/>
              <w:right w:val="single" w:color="auto" w:sz="6" w:space="0"/>
            </w:tcBorders>
          </w:tcPr>
          <w:p w14:paraId="45EB31D8">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314A2966">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709" w:type="dxa"/>
            <w:tcBorders>
              <w:top w:val="single" w:color="auto" w:sz="6" w:space="0"/>
              <w:left w:val="single" w:color="auto" w:sz="6" w:space="0"/>
              <w:bottom w:val="single" w:color="auto" w:sz="6" w:space="0"/>
              <w:right w:val="single" w:color="auto" w:sz="6" w:space="0"/>
            </w:tcBorders>
          </w:tcPr>
          <w:p w14:paraId="1BB68840">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7C851F79">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1" w:type="dxa"/>
            <w:tcBorders>
              <w:top w:val="single" w:color="auto" w:sz="6" w:space="0"/>
              <w:left w:val="single" w:color="auto" w:sz="6" w:space="0"/>
              <w:bottom w:val="single" w:color="auto" w:sz="6" w:space="0"/>
              <w:right w:val="single" w:color="auto" w:sz="6" w:space="0"/>
            </w:tcBorders>
          </w:tcPr>
          <w:p w14:paraId="68AFA878">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709" w:type="dxa"/>
            <w:tcBorders>
              <w:top w:val="single" w:color="auto" w:sz="6" w:space="0"/>
              <w:left w:val="single" w:color="auto" w:sz="6" w:space="0"/>
              <w:bottom w:val="single" w:color="auto" w:sz="6" w:space="0"/>
              <w:right w:val="single" w:color="auto" w:sz="6" w:space="0"/>
            </w:tcBorders>
          </w:tcPr>
          <w:p w14:paraId="7939A64E">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780159F1">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1" w:type="dxa"/>
            <w:tcBorders>
              <w:top w:val="single" w:color="auto" w:sz="6" w:space="0"/>
              <w:left w:val="single" w:color="auto" w:sz="6" w:space="0"/>
              <w:bottom w:val="single" w:color="auto" w:sz="6" w:space="0"/>
              <w:right w:val="single" w:color="auto" w:sz="6" w:space="0"/>
            </w:tcBorders>
          </w:tcPr>
          <w:p w14:paraId="77E7F2EB">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18" w:space="0"/>
            </w:tcBorders>
          </w:tcPr>
          <w:p w14:paraId="0EDB0A49">
            <w:pPr>
              <w:keepNext w:val="0"/>
              <w:keepLines w:val="0"/>
              <w:suppressLineNumbers w:val="0"/>
              <w:spacing w:before="0" w:beforeAutospacing="0" w:after="0" w:afterAutospacing="0"/>
              <w:ind w:left="0" w:right="0"/>
              <w:rPr>
                <w:rFonts w:hint="eastAsia" w:ascii="宋体" w:hAnsi="宋体" w:eastAsia="宋体" w:cs="宋体"/>
                <w:sz w:val="24"/>
                <w:szCs w:val="24"/>
              </w:rPr>
            </w:pPr>
          </w:p>
        </w:tc>
      </w:tr>
      <w:tr w14:paraId="0C51DCF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468" w:type="dxa"/>
            <w:tcBorders>
              <w:top w:val="single" w:color="auto" w:sz="6" w:space="0"/>
              <w:left w:val="single" w:color="auto" w:sz="18" w:space="0"/>
              <w:bottom w:val="single" w:color="auto" w:sz="6" w:space="0"/>
              <w:right w:val="single" w:color="auto" w:sz="6" w:space="0"/>
            </w:tcBorders>
          </w:tcPr>
          <w:p w14:paraId="628D5542">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1058" w:type="dxa"/>
            <w:vMerge w:val="continue"/>
            <w:tcBorders>
              <w:top w:val="single" w:color="auto" w:sz="6" w:space="0"/>
              <w:left w:val="single" w:color="auto" w:sz="6" w:space="0"/>
              <w:bottom w:val="single" w:color="auto" w:sz="6" w:space="0"/>
              <w:right w:val="single" w:color="auto" w:sz="6" w:space="0"/>
            </w:tcBorders>
            <w:vAlign w:val="center"/>
          </w:tcPr>
          <w:p w14:paraId="2275488A">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36884385">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993" w:type="dxa"/>
            <w:tcBorders>
              <w:top w:val="single" w:color="auto" w:sz="6" w:space="0"/>
              <w:left w:val="single" w:color="auto" w:sz="6" w:space="0"/>
              <w:bottom w:val="single" w:color="auto" w:sz="6" w:space="0"/>
              <w:right w:val="single" w:color="auto" w:sz="6" w:space="0"/>
            </w:tcBorders>
          </w:tcPr>
          <w:p w14:paraId="58E87789">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518D5637">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709" w:type="dxa"/>
            <w:tcBorders>
              <w:top w:val="single" w:color="auto" w:sz="6" w:space="0"/>
              <w:left w:val="single" w:color="auto" w:sz="6" w:space="0"/>
              <w:bottom w:val="single" w:color="auto" w:sz="6" w:space="0"/>
              <w:right w:val="single" w:color="auto" w:sz="6" w:space="0"/>
            </w:tcBorders>
          </w:tcPr>
          <w:p w14:paraId="2C1A98B4">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3F69971E">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1" w:type="dxa"/>
            <w:tcBorders>
              <w:top w:val="single" w:color="auto" w:sz="6" w:space="0"/>
              <w:left w:val="single" w:color="auto" w:sz="6" w:space="0"/>
              <w:bottom w:val="single" w:color="auto" w:sz="6" w:space="0"/>
              <w:right w:val="single" w:color="auto" w:sz="6" w:space="0"/>
            </w:tcBorders>
          </w:tcPr>
          <w:p w14:paraId="146453FA">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709" w:type="dxa"/>
            <w:tcBorders>
              <w:top w:val="single" w:color="auto" w:sz="6" w:space="0"/>
              <w:left w:val="single" w:color="auto" w:sz="6" w:space="0"/>
              <w:bottom w:val="single" w:color="auto" w:sz="6" w:space="0"/>
              <w:right w:val="single" w:color="auto" w:sz="6" w:space="0"/>
            </w:tcBorders>
          </w:tcPr>
          <w:p w14:paraId="18FD9BEE">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10134DE9">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1" w:type="dxa"/>
            <w:tcBorders>
              <w:top w:val="single" w:color="auto" w:sz="6" w:space="0"/>
              <w:left w:val="single" w:color="auto" w:sz="6" w:space="0"/>
              <w:bottom w:val="single" w:color="auto" w:sz="6" w:space="0"/>
              <w:right w:val="single" w:color="auto" w:sz="6" w:space="0"/>
            </w:tcBorders>
          </w:tcPr>
          <w:p w14:paraId="4DBC8612">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18" w:space="0"/>
            </w:tcBorders>
          </w:tcPr>
          <w:p w14:paraId="5562F3BF">
            <w:pPr>
              <w:keepNext w:val="0"/>
              <w:keepLines w:val="0"/>
              <w:suppressLineNumbers w:val="0"/>
              <w:spacing w:before="0" w:beforeAutospacing="0" w:after="0" w:afterAutospacing="0"/>
              <w:ind w:left="0" w:right="0"/>
              <w:rPr>
                <w:rFonts w:hint="eastAsia" w:ascii="宋体" w:hAnsi="宋体" w:eastAsia="宋体" w:cs="宋体"/>
                <w:sz w:val="24"/>
                <w:szCs w:val="24"/>
              </w:rPr>
            </w:pPr>
          </w:p>
        </w:tc>
      </w:tr>
      <w:tr w14:paraId="120003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468" w:type="dxa"/>
            <w:tcBorders>
              <w:top w:val="single" w:color="auto" w:sz="6" w:space="0"/>
              <w:left w:val="single" w:color="auto" w:sz="18" w:space="0"/>
              <w:bottom w:val="single" w:color="auto" w:sz="6" w:space="0"/>
              <w:right w:val="single" w:color="auto" w:sz="6" w:space="0"/>
            </w:tcBorders>
          </w:tcPr>
          <w:p w14:paraId="4A2E307A">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1058" w:type="dxa"/>
            <w:vMerge w:val="continue"/>
            <w:tcBorders>
              <w:top w:val="single" w:color="auto" w:sz="6" w:space="0"/>
              <w:left w:val="single" w:color="auto" w:sz="6" w:space="0"/>
              <w:bottom w:val="single" w:color="auto" w:sz="6" w:space="0"/>
              <w:right w:val="single" w:color="auto" w:sz="6" w:space="0"/>
            </w:tcBorders>
            <w:vAlign w:val="center"/>
          </w:tcPr>
          <w:p w14:paraId="4259379E">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3A1D02EC">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993" w:type="dxa"/>
            <w:tcBorders>
              <w:top w:val="single" w:color="auto" w:sz="6" w:space="0"/>
              <w:left w:val="single" w:color="auto" w:sz="6" w:space="0"/>
              <w:bottom w:val="single" w:color="auto" w:sz="6" w:space="0"/>
              <w:right w:val="single" w:color="auto" w:sz="6" w:space="0"/>
            </w:tcBorders>
          </w:tcPr>
          <w:p w14:paraId="54736959">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66371153">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709" w:type="dxa"/>
            <w:tcBorders>
              <w:top w:val="single" w:color="auto" w:sz="6" w:space="0"/>
              <w:left w:val="single" w:color="auto" w:sz="6" w:space="0"/>
              <w:bottom w:val="single" w:color="auto" w:sz="6" w:space="0"/>
              <w:right w:val="single" w:color="auto" w:sz="6" w:space="0"/>
            </w:tcBorders>
          </w:tcPr>
          <w:p w14:paraId="14D8CB55">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0B5A1478">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1" w:type="dxa"/>
            <w:tcBorders>
              <w:top w:val="single" w:color="auto" w:sz="6" w:space="0"/>
              <w:left w:val="single" w:color="auto" w:sz="6" w:space="0"/>
              <w:bottom w:val="single" w:color="auto" w:sz="6" w:space="0"/>
              <w:right w:val="single" w:color="auto" w:sz="6" w:space="0"/>
            </w:tcBorders>
          </w:tcPr>
          <w:p w14:paraId="5EFE42A3">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709" w:type="dxa"/>
            <w:tcBorders>
              <w:top w:val="single" w:color="auto" w:sz="6" w:space="0"/>
              <w:left w:val="single" w:color="auto" w:sz="6" w:space="0"/>
              <w:bottom w:val="single" w:color="auto" w:sz="6" w:space="0"/>
              <w:right w:val="single" w:color="auto" w:sz="6" w:space="0"/>
            </w:tcBorders>
          </w:tcPr>
          <w:p w14:paraId="4CD3ADB4">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274188AE">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1" w:type="dxa"/>
            <w:tcBorders>
              <w:top w:val="single" w:color="auto" w:sz="6" w:space="0"/>
              <w:left w:val="single" w:color="auto" w:sz="6" w:space="0"/>
              <w:bottom w:val="single" w:color="auto" w:sz="6" w:space="0"/>
              <w:right w:val="single" w:color="auto" w:sz="6" w:space="0"/>
            </w:tcBorders>
          </w:tcPr>
          <w:p w14:paraId="7A4DEF69">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18" w:space="0"/>
            </w:tcBorders>
          </w:tcPr>
          <w:p w14:paraId="7F17BB0A">
            <w:pPr>
              <w:keepNext w:val="0"/>
              <w:keepLines w:val="0"/>
              <w:suppressLineNumbers w:val="0"/>
              <w:spacing w:before="0" w:beforeAutospacing="0" w:after="0" w:afterAutospacing="0"/>
              <w:ind w:left="0" w:right="0"/>
              <w:rPr>
                <w:rFonts w:hint="eastAsia" w:ascii="宋体" w:hAnsi="宋体" w:eastAsia="宋体" w:cs="宋体"/>
                <w:sz w:val="24"/>
                <w:szCs w:val="24"/>
              </w:rPr>
            </w:pPr>
          </w:p>
        </w:tc>
      </w:tr>
      <w:tr w14:paraId="17E2069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468" w:type="dxa"/>
            <w:tcBorders>
              <w:top w:val="single" w:color="auto" w:sz="6" w:space="0"/>
              <w:left w:val="single" w:color="auto" w:sz="18" w:space="0"/>
              <w:bottom w:val="single" w:color="auto" w:sz="6" w:space="0"/>
              <w:right w:val="single" w:color="auto" w:sz="6" w:space="0"/>
            </w:tcBorders>
          </w:tcPr>
          <w:p w14:paraId="465EF18B">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1058" w:type="dxa"/>
            <w:vMerge w:val="continue"/>
            <w:tcBorders>
              <w:top w:val="single" w:color="auto" w:sz="6" w:space="0"/>
              <w:left w:val="single" w:color="auto" w:sz="6" w:space="0"/>
              <w:bottom w:val="single" w:color="auto" w:sz="6" w:space="0"/>
              <w:right w:val="single" w:color="auto" w:sz="6" w:space="0"/>
            </w:tcBorders>
            <w:vAlign w:val="center"/>
          </w:tcPr>
          <w:p w14:paraId="31CF93FD">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301C6630">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993" w:type="dxa"/>
            <w:tcBorders>
              <w:top w:val="single" w:color="auto" w:sz="6" w:space="0"/>
              <w:left w:val="single" w:color="auto" w:sz="6" w:space="0"/>
              <w:bottom w:val="single" w:color="auto" w:sz="6" w:space="0"/>
              <w:right w:val="single" w:color="auto" w:sz="6" w:space="0"/>
            </w:tcBorders>
          </w:tcPr>
          <w:p w14:paraId="49D67FCE">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543BF0E1">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709" w:type="dxa"/>
            <w:tcBorders>
              <w:top w:val="single" w:color="auto" w:sz="6" w:space="0"/>
              <w:left w:val="single" w:color="auto" w:sz="6" w:space="0"/>
              <w:bottom w:val="single" w:color="auto" w:sz="6" w:space="0"/>
              <w:right w:val="single" w:color="auto" w:sz="6" w:space="0"/>
            </w:tcBorders>
          </w:tcPr>
          <w:p w14:paraId="402498DF">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28046281">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1" w:type="dxa"/>
            <w:tcBorders>
              <w:top w:val="single" w:color="auto" w:sz="6" w:space="0"/>
              <w:left w:val="single" w:color="auto" w:sz="6" w:space="0"/>
              <w:bottom w:val="single" w:color="auto" w:sz="6" w:space="0"/>
              <w:right w:val="single" w:color="auto" w:sz="6" w:space="0"/>
            </w:tcBorders>
          </w:tcPr>
          <w:p w14:paraId="74CF5420">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709" w:type="dxa"/>
            <w:tcBorders>
              <w:top w:val="single" w:color="auto" w:sz="6" w:space="0"/>
              <w:left w:val="single" w:color="auto" w:sz="6" w:space="0"/>
              <w:bottom w:val="single" w:color="auto" w:sz="6" w:space="0"/>
              <w:right w:val="single" w:color="auto" w:sz="6" w:space="0"/>
            </w:tcBorders>
          </w:tcPr>
          <w:p w14:paraId="0F251D2A">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0D860B79">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1" w:type="dxa"/>
            <w:tcBorders>
              <w:top w:val="single" w:color="auto" w:sz="6" w:space="0"/>
              <w:left w:val="single" w:color="auto" w:sz="6" w:space="0"/>
              <w:bottom w:val="single" w:color="auto" w:sz="6" w:space="0"/>
              <w:right w:val="single" w:color="auto" w:sz="6" w:space="0"/>
            </w:tcBorders>
          </w:tcPr>
          <w:p w14:paraId="28C2FB41">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18" w:space="0"/>
            </w:tcBorders>
          </w:tcPr>
          <w:p w14:paraId="0DBBC2A0">
            <w:pPr>
              <w:keepNext w:val="0"/>
              <w:keepLines w:val="0"/>
              <w:suppressLineNumbers w:val="0"/>
              <w:spacing w:before="0" w:beforeAutospacing="0" w:after="0" w:afterAutospacing="0"/>
              <w:ind w:left="0" w:right="0"/>
              <w:rPr>
                <w:rFonts w:hint="eastAsia" w:ascii="宋体" w:hAnsi="宋体" w:eastAsia="宋体" w:cs="宋体"/>
                <w:sz w:val="24"/>
                <w:szCs w:val="24"/>
              </w:rPr>
            </w:pPr>
          </w:p>
        </w:tc>
      </w:tr>
      <w:tr w14:paraId="34EB893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468" w:type="dxa"/>
            <w:tcBorders>
              <w:top w:val="single" w:color="auto" w:sz="6" w:space="0"/>
              <w:left w:val="single" w:color="auto" w:sz="18" w:space="0"/>
              <w:bottom w:val="single" w:color="auto" w:sz="6" w:space="0"/>
              <w:right w:val="single" w:color="auto" w:sz="6" w:space="0"/>
            </w:tcBorders>
          </w:tcPr>
          <w:p w14:paraId="3B320AE0">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1058" w:type="dxa"/>
            <w:vMerge w:val="restart"/>
            <w:tcBorders>
              <w:top w:val="single" w:color="auto" w:sz="6" w:space="0"/>
              <w:left w:val="single" w:color="auto" w:sz="6" w:space="0"/>
              <w:bottom w:val="single" w:color="auto" w:sz="6" w:space="0"/>
              <w:right w:val="single" w:color="auto" w:sz="6" w:space="0"/>
            </w:tcBorders>
            <w:vAlign w:val="center"/>
          </w:tcPr>
          <w:p w14:paraId="53073780">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服务人员</w:t>
            </w:r>
          </w:p>
        </w:tc>
        <w:tc>
          <w:tcPr>
            <w:tcW w:w="850" w:type="dxa"/>
            <w:tcBorders>
              <w:top w:val="single" w:color="auto" w:sz="6" w:space="0"/>
              <w:left w:val="single" w:color="auto" w:sz="6" w:space="0"/>
              <w:bottom w:val="single" w:color="auto" w:sz="6" w:space="0"/>
              <w:right w:val="single" w:color="auto" w:sz="6" w:space="0"/>
            </w:tcBorders>
          </w:tcPr>
          <w:p w14:paraId="428A7CF5">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993" w:type="dxa"/>
            <w:tcBorders>
              <w:top w:val="single" w:color="auto" w:sz="6" w:space="0"/>
              <w:left w:val="single" w:color="auto" w:sz="6" w:space="0"/>
              <w:bottom w:val="single" w:color="auto" w:sz="6" w:space="0"/>
              <w:right w:val="single" w:color="auto" w:sz="6" w:space="0"/>
            </w:tcBorders>
          </w:tcPr>
          <w:p w14:paraId="0E0B9F6D">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60AD0670">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709" w:type="dxa"/>
            <w:tcBorders>
              <w:top w:val="single" w:color="auto" w:sz="6" w:space="0"/>
              <w:left w:val="single" w:color="auto" w:sz="6" w:space="0"/>
              <w:bottom w:val="single" w:color="auto" w:sz="6" w:space="0"/>
              <w:right w:val="single" w:color="auto" w:sz="6" w:space="0"/>
            </w:tcBorders>
          </w:tcPr>
          <w:p w14:paraId="170A8FC8">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3870A727">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1" w:type="dxa"/>
            <w:tcBorders>
              <w:top w:val="single" w:color="auto" w:sz="6" w:space="0"/>
              <w:left w:val="single" w:color="auto" w:sz="6" w:space="0"/>
              <w:bottom w:val="single" w:color="auto" w:sz="6" w:space="0"/>
              <w:right w:val="single" w:color="auto" w:sz="6" w:space="0"/>
            </w:tcBorders>
          </w:tcPr>
          <w:p w14:paraId="73F10452">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709" w:type="dxa"/>
            <w:tcBorders>
              <w:top w:val="single" w:color="auto" w:sz="6" w:space="0"/>
              <w:left w:val="single" w:color="auto" w:sz="6" w:space="0"/>
              <w:bottom w:val="single" w:color="auto" w:sz="6" w:space="0"/>
              <w:right w:val="single" w:color="auto" w:sz="6" w:space="0"/>
            </w:tcBorders>
          </w:tcPr>
          <w:p w14:paraId="2CB5B384">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307082C7">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1" w:type="dxa"/>
            <w:tcBorders>
              <w:top w:val="single" w:color="auto" w:sz="6" w:space="0"/>
              <w:left w:val="single" w:color="auto" w:sz="6" w:space="0"/>
              <w:bottom w:val="single" w:color="auto" w:sz="6" w:space="0"/>
              <w:right w:val="single" w:color="auto" w:sz="6" w:space="0"/>
            </w:tcBorders>
          </w:tcPr>
          <w:p w14:paraId="7B573888">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18" w:space="0"/>
            </w:tcBorders>
          </w:tcPr>
          <w:p w14:paraId="22940722">
            <w:pPr>
              <w:keepNext w:val="0"/>
              <w:keepLines w:val="0"/>
              <w:suppressLineNumbers w:val="0"/>
              <w:spacing w:before="0" w:beforeAutospacing="0" w:after="0" w:afterAutospacing="0"/>
              <w:ind w:left="0" w:right="0"/>
              <w:rPr>
                <w:rFonts w:hint="eastAsia" w:ascii="宋体" w:hAnsi="宋体" w:eastAsia="宋体" w:cs="宋体"/>
                <w:sz w:val="24"/>
                <w:szCs w:val="24"/>
              </w:rPr>
            </w:pPr>
          </w:p>
        </w:tc>
      </w:tr>
      <w:tr w14:paraId="7E2559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468" w:type="dxa"/>
            <w:tcBorders>
              <w:top w:val="single" w:color="auto" w:sz="6" w:space="0"/>
              <w:left w:val="single" w:color="auto" w:sz="18" w:space="0"/>
              <w:bottom w:val="single" w:color="auto" w:sz="6" w:space="0"/>
              <w:right w:val="single" w:color="auto" w:sz="6" w:space="0"/>
            </w:tcBorders>
          </w:tcPr>
          <w:p w14:paraId="2C2A1FEE">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1058" w:type="dxa"/>
            <w:vMerge w:val="continue"/>
            <w:tcBorders>
              <w:top w:val="single" w:color="auto" w:sz="6" w:space="0"/>
              <w:left w:val="single" w:color="auto" w:sz="6" w:space="0"/>
              <w:bottom w:val="single" w:color="auto" w:sz="6" w:space="0"/>
              <w:right w:val="single" w:color="auto" w:sz="6" w:space="0"/>
            </w:tcBorders>
            <w:vAlign w:val="center"/>
          </w:tcPr>
          <w:p w14:paraId="69EEA1AA">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59EB86DF">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993" w:type="dxa"/>
            <w:tcBorders>
              <w:top w:val="single" w:color="auto" w:sz="6" w:space="0"/>
              <w:left w:val="single" w:color="auto" w:sz="6" w:space="0"/>
              <w:bottom w:val="single" w:color="auto" w:sz="6" w:space="0"/>
              <w:right w:val="single" w:color="auto" w:sz="6" w:space="0"/>
            </w:tcBorders>
          </w:tcPr>
          <w:p w14:paraId="596A68B1">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14E78C19">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709" w:type="dxa"/>
            <w:tcBorders>
              <w:top w:val="single" w:color="auto" w:sz="6" w:space="0"/>
              <w:left w:val="single" w:color="auto" w:sz="6" w:space="0"/>
              <w:bottom w:val="single" w:color="auto" w:sz="6" w:space="0"/>
              <w:right w:val="single" w:color="auto" w:sz="6" w:space="0"/>
            </w:tcBorders>
          </w:tcPr>
          <w:p w14:paraId="0AE56188">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1DBA9761">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1" w:type="dxa"/>
            <w:tcBorders>
              <w:top w:val="single" w:color="auto" w:sz="6" w:space="0"/>
              <w:left w:val="single" w:color="auto" w:sz="6" w:space="0"/>
              <w:bottom w:val="single" w:color="auto" w:sz="6" w:space="0"/>
              <w:right w:val="single" w:color="auto" w:sz="6" w:space="0"/>
            </w:tcBorders>
          </w:tcPr>
          <w:p w14:paraId="3DE5B8DE">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709" w:type="dxa"/>
            <w:tcBorders>
              <w:top w:val="single" w:color="auto" w:sz="6" w:space="0"/>
              <w:left w:val="single" w:color="auto" w:sz="6" w:space="0"/>
              <w:bottom w:val="single" w:color="auto" w:sz="6" w:space="0"/>
              <w:right w:val="single" w:color="auto" w:sz="6" w:space="0"/>
            </w:tcBorders>
          </w:tcPr>
          <w:p w14:paraId="6FCFA8B3">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1A01FF4C">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1" w:type="dxa"/>
            <w:tcBorders>
              <w:top w:val="single" w:color="auto" w:sz="6" w:space="0"/>
              <w:left w:val="single" w:color="auto" w:sz="6" w:space="0"/>
              <w:bottom w:val="single" w:color="auto" w:sz="6" w:space="0"/>
              <w:right w:val="single" w:color="auto" w:sz="6" w:space="0"/>
            </w:tcBorders>
          </w:tcPr>
          <w:p w14:paraId="4FF5ABB5">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18" w:space="0"/>
            </w:tcBorders>
          </w:tcPr>
          <w:p w14:paraId="723DE00B">
            <w:pPr>
              <w:keepNext w:val="0"/>
              <w:keepLines w:val="0"/>
              <w:suppressLineNumbers w:val="0"/>
              <w:spacing w:before="0" w:beforeAutospacing="0" w:after="0" w:afterAutospacing="0"/>
              <w:ind w:left="0" w:right="0"/>
              <w:rPr>
                <w:rFonts w:hint="eastAsia" w:ascii="宋体" w:hAnsi="宋体" w:eastAsia="宋体" w:cs="宋体"/>
                <w:sz w:val="24"/>
                <w:szCs w:val="24"/>
              </w:rPr>
            </w:pPr>
          </w:p>
        </w:tc>
      </w:tr>
      <w:tr w14:paraId="28B6E85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468" w:type="dxa"/>
            <w:tcBorders>
              <w:top w:val="single" w:color="auto" w:sz="6" w:space="0"/>
              <w:left w:val="single" w:color="auto" w:sz="18" w:space="0"/>
              <w:bottom w:val="single" w:color="auto" w:sz="6" w:space="0"/>
              <w:right w:val="single" w:color="auto" w:sz="6" w:space="0"/>
            </w:tcBorders>
          </w:tcPr>
          <w:p w14:paraId="71F463F1">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1058" w:type="dxa"/>
            <w:vMerge w:val="continue"/>
            <w:tcBorders>
              <w:top w:val="single" w:color="auto" w:sz="6" w:space="0"/>
              <w:left w:val="single" w:color="auto" w:sz="6" w:space="0"/>
              <w:bottom w:val="single" w:color="auto" w:sz="6" w:space="0"/>
              <w:right w:val="single" w:color="auto" w:sz="6" w:space="0"/>
            </w:tcBorders>
            <w:vAlign w:val="center"/>
          </w:tcPr>
          <w:p w14:paraId="02D42144">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32E6D754">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993" w:type="dxa"/>
            <w:tcBorders>
              <w:top w:val="single" w:color="auto" w:sz="6" w:space="0"/>
              <w:left w:val="single" w:color="auto" w:sz="6" w:space="0"/>
              <w:bottom w:val="single" w:color="auto" w:sz="6" w:space="0"/>
              <w:right w:val="single" w:color="auto" w:sz="6" w:space="0"/>
            </w:tcBorders>
          </w:tcPr>
          <w:p w14:paraId="0791D492">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3CF045C1">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709" w:type="dxa"/>
            <w:tcBorders>
              <w:top w:val="single" w:color="auto" w:sz="6" w:space="0"/>
              <w:left w:val="single" w:color="auto" w:sz="6" w:space="0"/>
              <w:bottom w:val="single" w:color="auto" w:sz="6" w:space="0"/>
              <w:right w:val="single" w:color="auto" w:sz="6" w:space="0"/>
            </w:tcBorders>
          </w:tcPr>
          <w:p w14:paraId="7D800F70">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619251A6">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1" w:type="dxa"/>
            <w:tcBorders>
              <w:top w:val="single" w:color="auto" w:sz="6" w:space="0"/>
              <w:left w:val="single" w:color="auto" w:sz="6" w:space="0"/>
              <w:bottom w:val="single" w:color="auto" w:sz="6" w:space="0"/>
              <w:right w:val="single" w:color="auto" w:sz="6" w:space="0"/>
            </w:tcBorders>
          </w:tcPr>
          <w:p w14:paraId="5778E757">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709" w:type="dxa"/>
            <w:tcBorders>
              <w:top w:val="single" w:color="auto" w:sz="6" w:space="0"/>
              <w:left w:val="single" w:color="auto" w:sz="6" w:space="0"/>
              <w:bottom w:val="single" w:color="auto" w:sz="6" w:space="0"/>
              <w:right w:val="single" w:color="auto" w:sz="6" w:space="0"/>
            </w:tcBorders>
          </w:tcPr>
          <w:p w14:paraId="55BAA7D4">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48AF32A3">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1" w:type="dxa"/>
            <w:tcBorders>
              <w:top w:val="single" w:color="auto" w:sz="6" w:space="0"/>
              <w:left w:val="single" w:color="auto" w:sz="6" w:space="0"/>
              <w:bottom w:val="single" w:color="auto" w:sz="6" w:space="0"/>
              <w:right w:val="single" w:color="auto" w:sz="6" w:space="0"/>
            </w:tcBorders>
          </w:tcPr>
          <w:p w14:paraId="59FB8711">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18" w:space="0"/>
            </w:tcBorders>
          </w:tcPr>
          <w:p w14:paraId="2894413C">
            <w:pPr>
              <w:keepNext w:val="0"/>
              <w:keepLines w:val="0"/>
              <w:suppressLineNumbers w:val="0"/>
              <w:spacing w:before="0" w:beforeAutospacing="0" w:after="0" w:afterAutospacing="0"/>
              <w:ind w:left="0" w:right="0"/>
              <w:rPr>
                <w:rFonts w:hint="eastAsia" w:ascii="宋体" w:hAnsi="宋体" w:eastAsia="宋体" w:cs="宋体"/>
                <w:sz w:val="24"/>
                <w:szCs w:val="24"/>
              </w:rPr>
            </w:pPr>
          </w:p>
        </w:tc>
      </w:tr>
      <w:tr w14:paraId="58C2D8D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468" w:type="dxa"/>
            <w:tcBorders>
              <w:top w:val="single" w:color="auto" w:sz="6" w:space="0"/>
              <w:left w:val="single" w:color="auto" w:sz="18" w:space="0"/>
              <w:bottom w:val="single" w:color="auto" w:sz="6" w:space="0"/>
              <w:right w:val="single" w:color="auto" w:sz="6" w:space="0"/>
            </w:tcBorders>
          </w:tcPr>
          <w:p w14:paraId="3F51996D">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1058" w:type="dxa"/>
            <w:vMerge w:val="continue"/>
            <w:tcBorders>
              <w:top w:val="single" w:color="auto" w:sz="6" w:space="0"/>
              <w:left w:val="single" w:color="auto" w:sz="6" w:space="0"/>
              <w:bottom w:val="single" w:color="auto" w:sz="6" w:space="0"/>
              <w:right w:val="single" w:color="auto" w:sz="6" w:space="0"/>
            </w:tcBorders>
            <w:vAlign w:val="center"/>
          </w:tcPr>
          <w:p w14:paraId="5B9D906D">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54C0FE55">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993" w:type="dxa"/>
            <w:tcBorders>
              <w:top w:val="single" w:color="auto" w:sz="6" w:space="0"/>
              <w:left w:val="single" w:color="auto" w:sz="6" w:space="0"/>
              <w:bottom w:val="single" w:color="auto" w:sz="6" w:space="0"/>
              <w:right w:val="single" w:color="auto" w:sz="6" w:space="0"/>
            </w:tcBorders>
          </w:tcPr>
          <w:p w14:paraId="47C2A509">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1D01934C">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709" w:type="dxa"/>
            <w:tcBorders>
              <w:top w:val="single" w:color="auto" w:sz="6" w:space="0"/>
              <w:left w:val="single" w:color="auto" w:sz="6" w:space="0"/>
              <w:bottom w:val="single" w:color="auto" w:sz="6" w:space="0"/>
              <w:right w:val="single" w:color="auto" w:sz="6" w:space="0"/>
            </w:tcBorders>
          </w:tcPr>
          <w:p w14:paraId="783CEB53">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5C25F0FC">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1" w:type="dxa"/>
            <w:tcBorders>
              <w:top w:val="single" w:color="auto" w:sz="6" w:space="0"/>
              <w:left w:val="single" w:color="auto" w:sz="6" w:space="0"/>
              <w:bottom w:val="single" w:color="auto" w:sz="6" w:space="0"/>
              <w:right w:val="single" w:color="auto" w:sz="6" w:space="0"/>
            </w:tcBorders>
          </w:tcPr>
          <w:p w14:paraId="48048021">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709" w:type="dxa"/>
            <w:tcBorders>
              <w:top w:val="single" w:color="auto" w:sz="6" w:space="0"/>
              <w:left w:val="single" w:color="auto" w:sz="6" w:space="0"/>
              <w:bottom w:val="single" w:color="auto" w:sz="6" w:space="0"/>
              <w:right w:val="single" w:color="auto" w:sz="6" w:space="0"/>
            </w:tcBorders>
          </w:tcPr>
          <w:p w14:paraId="7F373F01">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1A6F6967">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1" w:type="dxa"/>
            <w:tcBorders>
              <w:top w:val="single" w:color="auto" w:sz="6" w:space="0"/>
              <w:left w:val="single" w:color="auto" w:sz="6" w:space="0"/>
              <w:bottom w:val="single" w:color="auto" w:sz="6" w:space="0"/>
              <w:right w:val="single" w:color="auto" w:sz="6" w:space="0"/>
            </w:tcBorders>
          </w:tcPr>
          <w:p w14:paraId="34D1970A">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18" w:space="0"/>
            </w:tcBorders>
          </w:tcPr>
          <w:p w14:paraId="726558E8">
            <w:pPr>
              <w:keepNext w:val="0"/>
              <w:keepLines w:val="0"/>
              <w:suppressLineNumbers w:val="0"/>
              <w:spacing w:before="0" w:beforeAutospacing="0" w:after="0" w:afterAutospacing="0"/>
              <w:ind w:left="0" w:right="0"/>
              <w:rPr>
                <w:rFonts w:hint="eastAsia" w:ascii="宋体" w:hAnsi="宋体" w:eastAsia="宋体" w:cs="宋体"/>
                <w:sz w:val="24"/>
                <w:szCs w:val="24"/>
              </w:rPr>
            </w:pPr>
          </w:p>
        </w:tc>
      </w:tr>
      <w:tr w14:paraId="0845033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468" w:type="dxa"/>
            <w:tcBorders>
              <w:top w:val="single" w:color="auto" w:sz="6" w:space="0"/>
              <w:left w:val="single" w:color="auto" w:sz="18" w:space="0"/>
              <w:bottom w:val="single" w:color="auto" w:sz="6" w:space="0"/>
              <w:right w:val="single" w:color="auto" w:sz="6" w:space="0"/>
            </w:tcBorders>
          </w:tcPr>
          <w:p w14:paraId="006A0D8A">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1058" w:type="dxa"/>
            <w:vMerge w:val="continue"/>
            <w:tcBorders>
              <w:top w:val="single" w:color="auto" w:sz="6" w:space="0"/>
              <w:left w:val="single" w:color="auto" w:sz="6" w:space="0"/>
              <w:bottom w:val="single" w:color="auto" w:sz="6" w:space="0"/>
              <w:right w:val="single" w:color="auto" w:sz="6" w:space="0"/>
            </w:tcBorders>
            <w:vAlign w:val="center"/>
          </w:tcPr>
          <w:p w14:paraId="1BC740B8">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3C557FBA">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993" w:type="dxa"/>
            <w:tcBorders>
              <w:top w:val="single" w:color="auto" w:sz="6" w:space="0"/>
              <w:left w:val="single" w:color="auto" w:sz="6" w:space="0"/>
              <w:bottom w:val="single" w:color="auto" w:sz="6" w:space="0"/>
              <w:right w:val="single" w:color="auto" w:sz="6" w:space="0"/>
            </w:tcBorders>
          </w:tcPr>
          <w:p w14:paraId="159058EB">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2B1DD0DC">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709" w:type="dxa"/>
            <w:tcBorders>
              <w:top w:val="single" w:color="auto" w:sz="6" w:space="0"/>
              <w:left w:val="single" w:color="auto" w:sz="6" w:space="0"/>
              <w:bottom w:val="single" w:color="auto" w:sz="6" w:space="0"/>
              <w:right w:val="single" w:color="auto" w:sz="6" w:space="0"/>
            </w:tcBorders>
          </w:tcPr>
          <w:p w14:paraId="697B22F0">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1A2A2380">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1" w:type="dxa"/>
            <w:tcBorders>
              <w:top w:val="single" w:color="auto" w:sz="6" w:space="0"/>
              <w:left w:val="single" w:color="auto" w:sz="6" w:space="0"/>
              <w:bottom w:val="single" w:color="auto" w:sz="6" w:space="0"/>
              <w:right w:val="single" w:color="auto" w:sz="6" w:space="0"/>
            </w:tcBorders>
          </w:tcPr>
          <w:p w14:paraId="3102A6D2">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709" w:type="dxa"/>
            <w:tcBorders>
              <w:top w:val="single" w:color="auto" w:sz="6" w:space="0"/>
              <w:left w:val="single" w:color="auto" w:sz="6" w:space="0"/>
              <w:bottom w:val="single" w:color="auto" w:sz="6" w:space="0"/>
              <w:right w:val="single" w:color="auto" w:sz="6" w:space="0"/>
            </w:tcBorders>
          </w:tcPr>
          <w:p w14:paraId="58635846">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6A1DDD7D">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1" w:type="dxa"/>
            <w:tcBorders>
              <w:top w:val="single" w:color="auto" w:sz="6" w:space="0"/>
              <w:left w:val="single" w:color="auto" w:sz="6" w:space="0"/>
              <w:bottom w:val="single" w:color="auto" w:sz="6" w:space="0"/>
              <w:right w:val="single" w:color="auto" w:sz="6" w:space="0"/>
            </w:tcBorders>
          </w:tcPr>
          <w:p w14:paraId="59AAABFA">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18" w:space="0"/>
            </w:tcBorders>
          </w:tcPr>
          <w:p w14:paraId="11DA3BED">
            <w:pPr>
              <w:keepNext w:val="0"/>
              <w:keepLines w:val="0"/>
              <w:suppressLineNumbers w:val="0"/>
              <w:spacing w:before="0" w:beforeAutospacing="0" w:after="0" w:afterAutospacing="0"/>
              <w:ind w:left="0" w:right="0"/>
              <w:rPr>
                <w:rFonts w:hint="eastAsia" w:ascii="宋体" w:hAnsi="宋体" w:eastAsia="宋体" w:cs="宋体"/>
                <w:sz w:val="24"/>
                <w:szCs w:val="24"/>
              </w:rPr>
            </w:pPr>
          </w:p>
        </w:tc>
      </w:tr>
      <w:tr w14:paraId="6BBCF3E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468" w:type="dxa"/>
            <w:tcBorders>
              <w:top w:val="single" w:color="auto" w:sz="6" w:space="0"/>
              <w:left w:val="single" w:color="auto" w:sz="18" w:space="0"/>
              <w:bottom w:val="single" w:color="auto" w:sz="6" w:space="0"/>
              <w:right w:val="single" w:color="auto" w:sz="6" w:space="0"/>
            </w:tcBorders>
          </w:tcPr>
          <w:p w14:paraId="461FCF3C">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1058" w:type="dxa"/>
            <w:vMerge w:val="restart"/>
            <w:tcBorders>
              <w:top w:val="single" w:color="auto" w:sz="6" w:space="0"/>
              <w:left w:val="single" w:color="auto" w:sz="6" w:space="0"/>
              <w:bottom w:val="single" w:color="auto" w:sz="6" w:space="0"/>
              <w:right w:val="single" w:color="auto" w:sz="6" w:space="0"/>
            </w:tcBorders>
            <w:vAlign w:val="center"/>
          </w:tcPr>
          <w:p w14:paraId="1C8D6A85">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其他人员</w:t>
            </w:r>
          </w:p>
        </w:tc>
        <w:tc>
          <w:tcPr>
            <w:tcW w:w="850" w:type="dxa"/>
            <w:tcBorders>
              <w:top w:val="single" w:color="auto" w:sz="6" w:space="0"/>
              <w:left w:val="single" w:color="auto" w:sz="6" w:space="0"/>
              <w:bottom w:val="single" w:color="auto" w:sz="6" w:space="0"/>
              <w:right w:val="single" w:color="auto" w:sz="6" w:space="0"/>
            </w:tcBorders>
          </w:tcPr>
          <w:p w14:paraId="0CF15AAE">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993" w:type="dxa"/>
            <w:tcBorders>
              <w:top w:val="single" w:color="auto" w:sz="6" w:space="0"/>
              <w:left w:val="single" w:color="auto" w:sz="6" w:space="0"/>
              <w:bottom w:val="single" w:color="auto" w:sz="6" w:space="0"/>
              <w:right w:val="single" w:color="auto" w:sz="6" w:space="0"/>
            </w:tcBorders>
          </w:tcPr>
          <w:p w14:paraId="4BF6692B">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1D2BB454">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709" w:type="dxa"/>
            <w:tcBorders>
              <w:top w:val="single" w:color="auto" w:sz="6" w:space="0"/>
              <w:left w:val="single" w:color="auto" w:sz="6" w:space="0"/>
              <w:bottom w:val="single" w:color="auto" w:sz="6" w:space="0"/>
              <w:right w:val="single" w:color="auto" w:sz="6" w:space="0"/>
            </w:tcBorders>
          </w:tcPr>
          <w:p w14:paraId="54368B49">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534F5F70">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1" w:type="dxa"/>
            <w:tcBorders>
              <w:top w:val="single" w:color="auto" w:sz="6" w:space="0"/>
              <w:left w:val="single" w:color="auto" w:sz="6" w:space="0"/>
              <w:bottom w:val="single" w:color="auto" w:sz="6" w:space="0"/>
              <w:right w:val="single" w:color="auto" w:sz="6" w:space="0"/>
            </w:tcBorders>
          </w:tcPr>
          <w:p w14:paraId="58102E20">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709" w:type="dxa"/>
            <w:tcBorders>
              <w:top w:val="single" w:color="auto" w:sz="6" w:space="0"/>
              <w:left w:val="single" w:color="auto" w:sz="6" w:space="0"/>
              <w:bottom w:val="single" w:color="auto" w:sz="6" w:space="0"/>
              <w:right w:val="single" w:color="auto" w:sz="6" w:space="0"/>
            </w:tcBorders>
          </w:tcPr>
          <w:p w14:paraId="3E91D6CB">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0EC31333">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1" w:type="dxa"/>
            <w:tcBorders>
              <w:top w:val="single" w:color="auto" w:sz="6" w:space="0"/>
              <w:left w:val="single" w:color="auto" w:sz="6" w:space="0"/>
              <w:bottom w:val="single" w:color="auto" w:sz="6" w:space="0"/>
              <w:right w:val="single" w:color="auto" w:sz="6" w:space="0"/>
            </w:tcBorders>
          </w:tcPr>
          <w:p w14:paraId="65BCA8AE">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18" w:space="0"/>
            </w:tcBorders>
          </w:tcPr>
          <w:p w14:paraId="31D01237">
            <w:pPr>
              <w:keepNext w:val="0"/>
              <w:keepLines w:val="0"/>
              <w:suppressLineNumbers w:val="0"/>
              <w:spacing w:before="0" w:beforeAutospacing="0" w:after="0" w:afterAutospacing="0"/>
              <w:ind w:left="0" w:right="0"/>
              <w:rPr>
                <w:rFonts w:hint="eastAsia" w:ascii="宋体" w:hAnsi="宋体" w:eastAsia="宋体" w:cs="宋体"/>
                <w:sz w:val="24"/>
                <w:szCs w:val="24"/>
              </w:rPr>
            </w:pPr>
          </w:p>
        </w:tc>
      </w:tr>
      <w:tr w14:paraId="4B963AA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468" w:type="dxa"/>
            <w:tcBorders>
              <w:top w:val="single" w:color="auto" w:sz="6" w:space="0"/>
              <w:left w:val="single" w:color="auto" w:sz="18" w:space="0"/>
              <w:bottom w:val="single" w:color="auto" w:sz="6" w:space="0"/>
              <w:right w:val="single" w:color="auto" w:sz="6" w:space="0"/>
            </w:tcBorders>
          </w:tcPr>
          <w:p w14:paraId="3DBA627B">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1058" w:type="dxa"/>
            <w:vMerge w:val="continue"/>
            <w:tcBorders>
              <w:top w:val="single" w:color="auto" w:sz="6" w:space="0"/>
              <w:left w:val="single" w:color="auto" w:sz="6" w:space="0"/>
              <w:bottom w:val="single" w:color="auto" w:sz="6" w:space="0"/>
              <w:right w:val="single" w:color="auto" w:sz="6" w:space="0"/>
            </w:tcBorders>
          </w:tcPr>
          <w:p w14:paraId="3535070C">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2B0FE645">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993" w:type="dxa"/>
            <w:tcBorders>
              <w:top w:val="single" w:color="auto" w:sz="6" w:space="0"/>
              <w:left w:val="single" w:color="auto" w:sz="6" w:space="0"/>
              <w:bottom w:val="single" w:color="auto" w:sz="6" w:space="0"/>
              <w:right w:val="single" w:color="auto" w:sz="6" w:space="0"/>
            </w:tcBorders>
          </w:tcPr>
          <w:p w14:paraId="7EA219B1">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64FFE790">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709" w:type="dxa"/>
            <w:tcBorders>
              <w:top w:val="single" w:color="auto" w:sz="6" w:space="0"/>
              <w:left w:val="single" w:color="auto" w:sz="6" w:space="0"/>
              <w:bottom w:val="single" w:color="auto" w:sz="6" w:space="0"/>
              <w:right w:val="single" w:color="auto" w:sz="6" w:space="0"/>
            </w:tcBorders>
          </w:tcPr>
          <w:p w14:paraId="643D30BF">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7183588C">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1" w:type="dxa"/>
            <w:tcBorders>
              <w:top w:val="single" w:color="auto" w:sz="6" w:space="0"/>
              <w:left w:val="single" w:color="auto" w:sz="6" w:space="0"/>
              <w:bottom w:val="single" w:color="auto" w:sz="6" w:space="0"/>
              <w:right w:val="single" w:color="auto" w:sz="6" w:space="0"/>
            </w:tcBorders>
          </w:tcPr>
          <w:p w14:paraId="4397282B">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709" w:type="dxa"/>
            <w:tcBorders>
              <w:top w:val="single" w:color="auto" w:sz="6" w:space="0"/>
              <w:left w:val="single" w:color="auto" w:sz="6" w:space="0"/>
              <w:bottom w:val="single" w:color="auto" w:sz="6" w:space="0"/>
              <w:right w:val="single" w:color="auto" w:sz="6" w:space="0"/>
            </w:tcBorders>
          </w:tcPr>
          <w:p w14:paraId="5F8E43AD">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6" w:space="0"/>
            </w:tcBorders>
          </w:tcPr>
          <w:p w14:paraId="3161FE57">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1" w:type="dxa"/>
            <w:tcBorders>
              <w:top w:val="single" w:color="auto" w:sz="6" w:space="0"/>
              <w:left w:val="single" w:color="auto" w:sz="6" w:space="0"/>
              <w:bottom w:val="single" w:color="auto" w:sz="6" w:space="0"/>
              <w:right w:val="single" w:color="auto" w:sz="6" w:space="0"/>
            </w:tcBorders>
          </w:tcPr>
          <w:p w14:paraId="5C893CBB">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6" w:space="0"/>
              <w:right w:val="single" w:color="auto" w:sz="18" w:space="0"/>
            </w:tcBorders>
          </w:tcPr>
          <w:p w14:paraId="2A8B4200">
            <w:pPr>
              <w:keepNext w:val="0"/>
              <w:keepLines w:val="0"/>
              <w:suppressLineNumbers w:val="0"/>
              <w:spacing w:before="0" w:beforeAutospacing="0" w:after="0" w:afterAutospacing="0"/>
              <w:ind w:left="0" w:right="0"/>
              <w:rPr>
                <w:rFonts w:hint="eastAsia" w:ascii="宋体" w:hAnsi="宋体" w:eastAsia="宋体" w:cs="宋体"/>
                <w:sz w:val="24"/>
                <w:szCs w:val="24"/>
              </w:rPr>
            </w:pPr>
          </w:p>
        </w:tc>
      </w:tr>
      <w:tr w14:paraId="7D78935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468" w:type="dxa"/>
            <w:tcBorders>
              <w:top w:val="single" w:color="auto" w:sz="6" w:space="0"/>
              <w:left w:val="single" w:color="auto" w:sz="18" w:space="0"/>
              <w:bottom w:val="single" w:color="auto" w:sz="18" w:space="0"/>
              <w:right w:val="single" w:color="auto" w:sz="6" w:space="0"/>
            </w:tcBorders>
          </w:tcPr>
          <w:p w14:paraId="2D85AEBA">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1058" w:type="dxa"/>
            <w:vMerge w:val="continue"/>
            <w:tcBorders>
              <w:top w:val="single" w:color="auto" w:sz="6" w:space="0"/>
              <w:left w:val="single" w:color="auto" w:sz="6" w:space="0"/>
              <w:bottom w:val="single" w:color="auto" w:sz="18" w:space="0"/>
              <w:right w:val="single" w:color="auto" w:sz="6" w:space="0"/>
            </w:tcBorders>
          </w:tcPr>
          <w:p w14:paraId="36A9F3C2">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18" w:space="0"/>
              <w:right w:val="single" w:color="auto" w:sz="6" w:space="0"/>
            </w:tcBorders>
          </w:tcPr>
          <w:p w14:paraId="1ECDB901">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993" w:type="dxa"/>
            <w:tcBorders>
              <w:top w:val="single" w:color="auto" w:sz="6" w:space="0"/>
              <w:left w:val="single" w:color="auto" w:sz="6" w:space="0"/>
              <w:bottom w:val="single" w:color="auto" w:sz="18" w:space="0"/>
              <w:right w:val="single" w:color="auto" w:sz="6" w:space="0"/>
            </w:tcBorders>
          </w:tcPr>
          <w:p w14:paraId="62986428">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18" w:space="0"/>
              <w:right w:val="single" w:color="auto" w:sz="6" w:space="0"/>
            </w:tcBorders>
          </w:tcPr>
          <w:p w14:paraId="6BFFD0FA">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709" w:type="dxa"/>
            <w:tcBorders>
              <w:top w:val="single" w:color="auto" w:sz="6" w:space="0"/>
              <w:left w:val="single" w:color="auto" w:sz="6" w:space="0"/>
              <w:bottom w:val="single" w:color="auto" w:sz="18" w:space="0"/>
              <w:right w:val="single" w:color="auto" w:sz="6" w:space="0"/>
            </w:tcBorders>
          </w:tcPr>
          <w:p w14:paraId="60EC1215">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18" w:space="0"/>
              <w:right w:val="single" w:color="auto" w:sz="6" w:space="0"/>
            </w:tcBorders>
          </w:tcPr>
          <w:p w14:paraId="57826494">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1" w:type="dxa"/>
            <w:tcBorders>
              <w:top w:val="single" w:color="auto" w:sz="6" w:space="0"/>
              <w:left w:val="single" w:color="auto" w:sz="6" w:space="0"/>
              <w:bottom w:val="single" w:color="auto" w:sz="18" w:space="0"/>
              <w:right w:val="single" w:color="auto" w:sz="6" w:space="0"/>
            </w:tcBorders>
          </w:tcPr>
          <w:p w14:paraId="35E133C1">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709" w:type="dxa"/>
            <w:tcBorders>
              <w:top w:val="single" w:color="auto" w:sz="6" w:space="0"/>
              <w:left w:val="single" w:color="auto" w:sz="6" w:space="0"/>
              <w:bottom w:val="single" w:color="auto" w:sz="18" w:space="0"/>
              <w:right w:val="single" w:color="auto" w:sz="6" w:space="0"/>
            </w:tcBorders>
          </w:tcPr>
          <w:p w14:paraId="5704C479">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18" w:space="0"/>
              <w:right w:val="single" w:color="auto" w:sz="6" w:space="0"/>
            </w:tcBorders>
          </w:tcPr>
          <w:p w14:paraId="19EC1D04">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1" w:type="dxa"/>
            <w:tcBorders>
              <w:top w:val="single" w:color="auto" w:sz="6" w:space="0"/>
              <w:left w:val="single" w:color="auto" w:sz="6" w:space="0"/>
              <w:bottom w:val="single" w:color="auto" w:sz="18" w:space="0"/>
              <w:right w:val="single" w:color="auto" w:sz="6" w:space="0"/>
            </w:tcBorders>
          </w:tcPr>
          <w:p w14:paraId="52B61E32">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850" w:type="dxa"/>
            <w:tcBorders>
              <w:top w:val="single" w:color="auto" w:sz="6" w:space="0"/>
              <w:left w:val="single" w:color="auto" w:sz="6" w:space="0"/>
              <w:bottom w:val="single" w:color="auto" w:sz="18" w:space="0"/>
              <w:right w:val="single" w:color="auto" w:sz="18" w:space="0"/>
            </w:tcBorders>
          </w:tcPr>
          <w:p w14:paraId="75C6C151">
            <w:pPr>
              <w:keepNext w:val="0"/>
              <w:keepLines w:val="0"/>
              <w:suppressLineNumbers w:val="0"/>
              <w:spacing w:before="0" w:beforeAutospacing="0" w:after="0" w:afterAutospacing="0"/>
              <w:ind w:left="0" w:right="0"/>
              <w:rPr>
                <w:rFonts w:hint="eastAsia" w:ascii="宋体" w:hAnsi="宋体" w:eastAsia="宋体" w:cs="宋体"/>
                <w:sz w:val="24"/>
                <w:szCs w:val="24"/>
              </w:rPr>
            </w:pPr>
          </w:p>
        </w:tc>
      </w:tr>
    </w:tbl>
    <w:p w14:paraId="68CC25AA">
      <w:pPr>
        <w:spacing w:line="360" w:lineRule="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 xml:space="preserve"> 如表格栏目不足可按此表格格式自行划表填写。</w:t>
      </w:r>
    </w:p>
    <w:p w14:paraId="26713030">
      <w:pPr>
        <w:numPr>
          <w:ilvl w:val="0"/>
          <w:numId w:val="10"/>
        </w:numPr>
        <w:spacing w:line="36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服务人员如有技术证书或职称证书或上岗证，须附复印件于磋商响应文件中。</w:t>
      </w:r>
    </w:p>
    <w:p w14:paraId="767F1889">
      <w:pPr>
        <w:pStyle w:val="24"/>
        <w:ind w:firstLine="0"/>
        <w:rPr>
          <w:rFonts w:hint="eastAsia" w:ascii="宋体" w:hAnsi="宋体" w:eastAsia="宋体" w:cs="宋体"/>
          <w:sz w:val="24"/>
          <w:szCs w:val="24"/>
        </w:rPr>
      </w:pPr>
    </w:p>
    <w:p w14:paraId="610021C1">
      <w:pPr>
        <w:pStyle w:val="23"/>
        <w:ind w:firstLine="240"/>
        <w:rPr>
          <w:rFonts w:hint="eastAsia" w:ascii="宋体" w:hAnsi="宋体" w:eastAsia="宋体" w:cs="宋体"/>
          <w:color w:val="auto"/>
          <w:sz w:val="24"/>
          <w:szCs w:val="24"/>
        </w:rPr>
      </w:pPr>
    </w:p>
    <w:p w14:paraId="51BC99AB">
      <w:pPr>
        <w:rPr>
          <w:rFonts w:hint="eastAsia" w:ascii="宋体" w:hAnsi="宋体" w:eastAsia="宋体" w:cs="宋体"/>
          <w:sz w:val="24"/>
          <w:szCs w:val="24"/>
        </w:rPr>
      </w:pPr>
    </w:p>
    <w:p w14:paraId="51ABEEE1">
      <w:pPr>
        <w:pStyle w:val="9"/>
        <w:pBdr>
          <w:top w:val="none" w:color="auto" w:sz="0" w:space="1"/>
          <w:left w:val="none" w:color="auto" w:sz="0" w:space="4"/>
          <w:bottom w:val="none" w:color="auto" w:sz="0" w:space="1"/>
          <w:right w:val="none" w:color="auto" w:sz="0" w:space="4"/>
        </w:pBdr>
        <w:rPr>
          <w:rFonts w:hint="eastAsia" w:ascii="宋体" w:hAnsi="宋体" w:eastAsia="宋体" w:cs="宋体"/>
          <w:color w:val="auto"/>
          <w:sz w:val="24"/>
          <w:szCs w:val="24"/>
        </w:rPr>
      </w:pPr>
      <w:r>
        <w:rPr>
          <w:rFonts w:hint="eastAsia" w:ascii="宋体" w:hAnsi="宋体" w:eastAsia="宋体" w:cs="宋体"/>
          <w:color w:val="auto"/>
          <w:sz w:val="24"/>
          <w:szCs w:val="24"/>
        </w:rPr>
        <w:t>潜在供应商：</w:t>
      </w:r>
      <w:r>
        <w:rPr>
          <w:rFonts w:hint="eastAsia" w:ascii="宋体" w:hAnsi="宋体" w:eastAsia="宋体" w:cs="宋体"/>
          <w:color w:val="auto"/>
          <w:sz w:val="24"/>
          <w:szCs w:val="24"/>
          <w:u w:val="single"/>
        </w:rPr>
        <w:t xml:space="preserve">                    （电子签章）</w:t>
      </w:r>
    </w:p>
    <w:p w14:paraId="0DA5D155">
      <w:pPr>
        <w:pStyle w:val="9"/>
        <w:pBdr>
          <w:top w:val="none" w:color="auto" w:sz="0" w:space="1"/>
          <w:left w:val="none" w:color="auto" w:sz="0" w:space="4"/>
          <w:bottom w:val="none" w:color="auto" w:sz="0" w:space="1"/>
          <w:right w:val="none" w:color="auto" w:sz="0" w:space="4"/>
        </w:pBdr>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（签字或盖章）</w:t>
      </w:r>
    </w:p>
    <w:p w14:paraId="21234560">
      <w:pPr>
        <w:pStyle w:val="9"/>
        <w:pBdr>
          <w:top w:val="none" w:color="auto" w:sz="0" w:space="1"/>
          <w:left w:val="none" w:color="auto" w:sz="0" w:space="4"/>
          <w:bottom w:val="none" w:color="auto" w:sz="0" w:space="1"/>
          <w:right w:val="none" w:color="auto" w:sz="0" w:space="4"/>
        </w:pBdr>
        <w:rPr>
          <w:rFonts w:hint="eastAsia" w:ascii="宋体" w:hAnsi="宋体" w:eastAsia="宋体" w:cs="宋体"/>
          <w:color w:val="auto"/>
          <w:sz w:val="24"/>
          <w:szCs w:val="24"/>
        </w:rPr>
      </w:pPr>
      <w:r>
        <w:rPr>
          <w:rFonts w:hint="eastAsia" w:ascii="宋体" w:hAnsi="宋体" w:eastAsia="宋体" w:cs="宋体"/>
          <w:color w:val="auto"/>
          <w:sz w:val="24"/>
          <w:szCs w:val="24"/>
        </w:rPr>
        <w:t>日     期：     年   月  日</w:t>
      </w:r>
    </w:p>
    <w:p w14:paraId="19B32604">
      <w:pPr>
        <w:pBdr>
          <w:top w:val="none" w:color="auto" w:sz="0" w:space="1"/>
          <w:left w:val="none" w:color="auto" w:sz="0" w:space="4"/>
          <w:bottom w:val="none" w:color="auto" w:sz="0" w:space="1"/>
          <w:right w:val="none" w:color="auto" w:sz="0" w:space="4"/>
        </w:pBdr>
        <w:spacing w:line="460" w:lineRule="exact"/>
        <w:jc w:val="center"/>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八、承担的项目情况表</w:t>
      </w:r>
    </w:p>
    <w:p w14:paraId="1034775C">
      <w:pPr>
        <w:pBdr>
          <w:top w:val="none" w:color="auto" w:sz="0" w:space="1"/>
          <w:left w:val="none" w:color="auto" w:sz="0" w:space="4"/>
          <w:bottom w:val="none" w:color="auto" w:sz="0" w:space="1"/>
          <w:right w:val="none" w:color="auto" w:sz="0" w:space="4"/>
        </w:pBdr>
        <w:spacing w:line="460" w:lineRule="exact"/>
        <w:rPr>
          <w:rFonts w:hint="eastAsia" w:ascii="宋体" w:hAnsi="宋体" w:eastAsia="宋体" w:cs="宋体"/>
          <w:bCs/>
          <w:sz w:val="24"/>
          <w:szCs w:val="24"/>
        </w:rPr>
      </w:pPr>
      <w:r>
        <w:rPr>
          <w:rFonts w:hint="eastAsia" w:ascii="宋体" w:hAnsi="宋体" w:eastAsia="宋体" w:cs="宋体"/>
          <w:bCs/>
          <w:sz w:val="24"/>
          <w:szCs w:val="24"/>
        </w:rPr>
        <w:t>项目名称：                                              项目编号：</w:t>
      </w:r>
    </w:p>
    <w:tbl>
      <w:tblPr>
        <w:tblStyle w:val="25"/>
        <w:tblW w:w="96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516"/>
        <w:gridCol w:w="2868"/>
        <w:gridCol w:w="1669"/>
      </w:tblGrid>
      <w:tr w14:paraId="0A63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9" w:type="dxa"/>
            <w:tcBorders>
              <w:top w:val="single" w:color="auto" w:sz="4" w:space="0"/>
              <w:left w:val="single" w:color="auto" w:sz="4" w:space="0"/>
              <w:bottom w:val="single" w:color="auto" w:sz="4" w:space="0"/>
              <w:right w:val="single" w:color="auto" w:sz="4" w:space="0"/>
            </w:tcBorders>
            <w:vAlign w:val="center"/>
          </w:tcPr>
          <w:p w14:paraId="5E0105B1">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4516" w:type="dxa"/>
            <w:tcBorders>
              <w:top w:val="single" w:color="auto" w:sz="4" w:space="0"/>
              <w:left w:val="single" w:color="auto" w:sz="4" w:space="0"/>
              <w:bottom w:val="single" w:color="auto" w:sz="4" w:space="0"/>
              <w:right w:val="single" w:color="auto" w:sz="4" w:space="0"/>
            </w:tcBorders>
            <w:vAlign w:val="center"/>
          </w:tcPr>
          <w:p w14:paraId="6A0CF35C">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2868" w:type="dxa"/>
            <w:tcBorders>
              <w:top w:val="single" w:color="auto" w:sz="4" w:space="0"/>
              <w:left w:val="single" w:color="auto" w:sz="4" w:space="0"/>
              <w:bottom w:val="single" w:color="auto" w:sz="4" w:space="0"/>
              <w:right w:val="single" w:color="auto" w:sz="4" w:space="0"/>
            </w:tcBorders>
            <w:vAlign w:val="center"/>
          </w:tcPr>
          <w:p w14:paraId="69BBA1D7">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采购人名称</w:t>
            </w:r>
          </w:p>
        </w:tc>
        <w:tc>
          <w:tcPr>
            <w:tcW w:w="1669" w:type="dxa"/>
            <w:tcBorders>
              <w:top w:val="single" w:color="auto" w:sz="4" w:space="0"/>
              <w:left w:val="single" w:color="auto" w:sz="4" w:space="0"/>
              <w:bottom w:val="single" w:color="auto" w:sz="4" w:space="0"/>
              <w:right w:val="single" w:color="auto" w:sz="4" w:space="0"/>
            </w:tcBorders>
            <w:vAlign w:val="center"/>
          </w:tcPr>
          <w:p w14:paraId="07F9E9B8">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lang w:eastAsia="zh-CN"/>
              </w:rPr>
              <w:t>其他</w:t>
            </w:r>
            <w:r>
              <w:rPr>
                <w:rFonts w:hint="eastAsia" w:ascii="宋体" w:hAnsi="宋体" w:eastAsia="宋体" w:cs="宋体"/>
                <w:sz w:val="24"/>
                <w:szCs w:val="24"/>
              </w:rPr>
              <w:t>说明</w:t>
            </w:r>
          </w:p>
        </w:tc>
      </w:tr>
      <w:tr w14:paraId="133D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9" w:type="dxa"/>
            <w:tcBorders>
              <w:top w:val="single" w:color="auto" w:sz="4" w:space="0"/>
              <w:left w:val="single" w:color="auto" w:sz="4" w:space="0"/>
              <w:bottom w:val="single" w:color="auto" w:sz="4" w:space="0"/>
              <w:right w:val="single" w:color="auto" w:sz="4" w:space="0"/>
            </w:tcBorders>
            <w:vAlign w:val="center"/>
          </w:tcPr>
          <w:p w14:paraId="724DA045">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4516" w:type="dxa"/>
            <w:tcBorders>
              <w:top w:val="single" w:color="auto" w:sz="4" w:space="0"/>
              <w:left w:val="single" w:color="auto" w:sz="4" w:space="0"/>
              <w:bottom w:val="single" w:color="auto" w:sz="4" w:space="0"/>
              <w:right w:val="single" w:color="auto" w:sz="4" w:space="0"/>
            </w:tcBorders>
            <w:vAlign w:val="center"/>
          </w:tcPr>
          <w:p w14:paraId="49AA86F3">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868" w:type="dxa"/>
            <w:tcBorders>
              <w:top w:val="single" w:color="auto" w:sz="4" w:space="0"/>
              <w:left w:val="single" w:color="auto" w:sz="4" w:space="0"/>
              <w:bottom w:val="single" w:color="auto" w:sz="4" w:space="0"/>
              <w:right w:val="single" w:color="auto" w:sz="4" w:space="0"/>
            </w:tcBorders>
            <w:vAlign w:val="center"/>
          </w:tcPr>
          <w:p w14:paraId="4C76AC12">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1669" w:type="dxa"/>
            <w:tcBorders>
              <w:top w:val="single" w:color="auto" w:sz="4" w:space="0"/>
              <w:left w:val="single" w:color="auto" w:sz="4" w:space="0"/>
              <w:bottom w:val="single" w:color="auto" w:sz="4" w:space="0"/>
              <w:right w:val="single" w:color="auto" w:sz="4" w:space="0"/>
            </w:tcBorders>
            <w:vAlign w:val="center"/>
          </w:tcPr>
          <w:p w14:paraId="6EFD2BA1">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14:paraId="5AA7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9" w:type="dxa"/>
            <w:tcBorders>
              <w:top w:val="single" w:color="auto" w:sz="4" w:space="0"/>
              <w:left w:val="single" w:color="auto" w:sz="4" w:space="0"/>
              <w:bottom w:val="single" w:color="auto" w:sz="4" w:space="0"/>
              <w:right w:val="single" w:color="auto" w:sz="4" w:space="0"/>
            </w:tcBorders>
            <w:vAlign w:val="center"/>
          </w:tcPr>
          <w:p w14:paraId="6A07E15F">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2</w:t>
            </w:r>
          </w:p>
        </w:tc>
        <w:tc>
          <w:tcPr>
            <w:tcW w:w="4516" w:type="dxa"/>
            <w:tcBorders>
              <w:top w:val="single" w:color="auto" w:sz="4" w:space="0"/>
              <w:left w:val="single" w:color="auto" w:sz="4" w:space="0"/>
              <w:bottom w:val="single" w:color="auto" w:sz="4" w:space="0"/>
              <w:right w:val="single" w:color="auto" w:sz="4" w:space="0"/>
            </w:tcBorders>
            <w:vAlign w:val="center"/>
          </w:tcPr>
          <w:p w14:paraId="4906B7E6">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868" w:type="dxa"/>
            <w:tcBorders>
              <w:top w:val="single" w:color="auto" w:sz="4" w:space="0"/>
              <w:left w:val="single" w:color="auto" w:sz="4" w:space="0"/>
              <w:bottom w:val="single" w:color="auto" w:sz="4" w:space="0"/>
              <w:right w:val="single" w:color="auto" w:sz="4" w:space="0"/>
            </w:tcBorders>
            <w:vAlign w:val="center"/>
          </w:tcPr>
          <w:p w14:paraId="46D2835C">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1669" w:type="dxa"/>
            <w:tcBorders>
              <w:top w:val="single" w:color="auto" w:sz="4" w:space="0"/>
              <w:left w:val="single" w:color="auto" w:sz="4" w:space="0"/>
              <w:bottom w:val="single" w:color="auto" w:sz="4" w:space="0"/>
              <w:right w:val="single" w:color="auto" w:sz="4" w:space="0"/>
            </w:tcBorders>
            <w:vAlign w:val="center"/>
          </w:tcPr>
          <w:p w14:paraId="5B57DC23">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14:paraId="059B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9" w:type="dxa"/>
            <w:tcBorders>
              <w:top w:val="single" w:color="auto" w:sz="4" w:space="0"/>
              <w:left w:val="single" w:color="auto" w:sz="4" w:space="0"/>
              <w:bottom w:val="single" w:color="auto" w:sz="4" w:space="0"/>
              <w:right w:val="single" w:color="auto" w:sz="4" w:space="0"/>
            </w:tcBorders>
            <w:vAlign w:val="center"/>
          </w:tcPr>
          <w:p w14:paraId="68447A60">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3</w:t>
            </w:r>
          </w:p>
        </w:tc>
        <w:tc>
          <w:tcPr>
            <w:tcW w:w="4516" w:type="dxa"/>
            <w:tcBorders>
              <w:top w:val="single" w:color="auto" w:sz="4" w:space="0"/>
              <w:left w:val="single" w:color="auto" w:sz="4" w:space="0"/>
              <w:bottom w:val="single" w:color="auto" w:sz="4" w:space="0"/>
              <w:right w:val="single" w:color="auto" w:sz="4" w:space="0"/>
            </w:tcBorders>
            <w:vAlign w:val="center"/>
          </w:tcPr>
          <w:p w14:paraId="01F861DA">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868" w:type="dxa"/>
            <w:tcBorders>
              <w:top w:val="single" w:color="auto" w:sz="4" w:space="0"/>
              <w:left w:val="single" w:color="auto" w:sz="4" w:space="0"/>
              <w:bottom w:val="single" w:color="auto" w:sz="4" w:space="0"/>
              <w:right w:val="single" w:color="auto" w:sz="4" w:space="0"/>
            </w:tcBorders>
            <w:vAlign w:val="center"/>
          </w:tcPr>
          <w:p w14:paraId="1A9067E7">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1669" w:type="dxa"/>
            <w:tcBorders>
              <w:top w:val="single" w:color="auto" w:sz="4" w:space="0"/>
              <w:left w:val="single" w:color="auto" w:sz="4" w:space="0"/>
              <w:bottom w:val="single" w:color="auto" w:sz="4" w:space="0"/>
              <w:right w:val="single" w:color="auto" w:sz="4" w:space="0"/>
            </w:tcBorders>
            <w:vAlign w:val="center"/>
          </w:tcPr>
          <w:p w14:paraId="7F180731">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14:paraId="34F6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9" w:type="dxa"/>
            <w:tcBorders>
              <w:top w:val="single" w:color="auto" w:sz="4" w:space="0"/>
              <w:left w:val="single" w:color="auto" w:sz="4" w:space="0"/>
              <w:bottom w:val="single" w:color="auto" w:sz="4" w:space="0"/>
              <w:right w:val="single" w:color="auto" w:sz="4" w:space="0"/>
            </w:tcBorders>
            <w:vAlign w:val="center"/>
          </w:tcPr>
          <w:p w14:paraId="05F9F6D6">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4</w:t>
            </w:r>
          </w:p>
        </w:tc>
        <w:tc>
          <w:tcPr>
            <w:tcW w:w="4516" w:type="dxa"/>
            <w:tcBorders>
              <w:top w:val="single" w:color="auto" w:sz="4" w:space="0"/>
              <w:left w:val="single" w:color="auto" w:sz="4" w:space="0"/>
              <w:bottom w:val="single" w:color="auto" w:sz="4" w:space="0"/>
              <w:right w:val="single" w:color="auto" w:sz="4" w:space="0"/>
            </w:tcBorders>
            <w:vAlign w:val="center"/>
          </w:tcPr>
          <w:p w14:paraId="7833C067">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868" w:type="dxa"/>
            <w:tcBorders>
              <w:top w:val="single" w:color="auto" w:sz="4" w:space="0"/>
              <w:left w:val="single" w:color="auto" w:sz="4" w:space="0"/>
              <w:bottom w:val="single" w:color="auto" w:sz="4" w:space="0"/>
              <w:right w:val="single" w:color="auto" w:sz="4" w:space="0"/>
            </w:tcBorders>
            <w:vAlign w:val="center"/>
          </w:tcPr>
          <w:p w14:paraId="1F5D49F0">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1669" w:type="dxa"/>
            <w:tcBorders>
              <w:top w:val="single" w:color="auto" w:sz="4" w:space="0"/>
              <w:left w:val="single" w:color="auto" w:sz="4" w:space="0"/>
              <w:bottom w:val="single" w:color="auto" w:sz="4" w:space="0"/>
              <w:right w:val="single" w:color="auto" w:sz="4" w:space="0"/>
            </w:tcBorders>
            <w:vAlign w:val="center"/>
          </w:tcPr>
          <w:p w14:paraId="4DBA5D9C">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14:paraId="619B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9" w:type="dxa"/>
            <w:tcBorders>
              <w:top w:val="single" w:color="auto" w:sz="4" w:space="0"/>
              <w:left w:val="single" w:color="auto" w:sz="4" w:space="0"/>
              <w:bottom w:val="single" w:color="auto" w:sz="4" w:space="0"/>
              <w:right w:val="single" w:color="auto" w:sz="4" w:space="0"/>
            </w:tcBorders>
            <w:vAlign w:val="center"/>
          </w:tcPr>
          <w:p w14:paraId="30EC74E9">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5</w:t>
            </w:r>
          </w:p>
        </w:tc>
        <w:tc>
          <w:tcPr>
            <w:tcW w:w="4516" w:type="dxa"/>
            <w:tcBorders>
              <w:top w:val="single" w:color="auto" w:sz="4" w:space="0"/>
              <w:left w:val="single" w:color="auto" w:sz="4" w:space="0"/>
              <w:bottom w:val="single" w:color="auto" w:sz="4" w:space="0"/>
              <w:right w:val="single" w:color="auto" w:sz="4" w:space="0"/>
            </w:tcBorders>
            <w:vAlign w:val="center"/>
          </w:tcPr>
          <w:p w14:paraId="6A3E9859">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868" w:type="dxa"/>
            <w:tcBorders>
              <w:top w:val="single" w:color="auto" w:sz="4" w:space="0"/>
              <w:left w:val="single" w:color="auto" w:sz="4" w:space="0"/>
              <w:bottom w:val="single" w:color="auto" w:sz="4" w:space="0"/>
              <w:right w:val="single" w:color="auto" w:sz="4" w:space="0"/>
            </w:tcBorders>
            <w:vAlign w:val="center"/>
          </w:tcPr>
          <w:p w14:paraId="581C5833">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1669" w:type="dxa"/>
            <w:tcBorders>
              <w:top w:val="single" w:color="auto" w:sz="4" w:space="0"/>
              <w:left w:val="single" w:color="auto" w:sz="4" w:space="0"/>
              <w:bottom w:val="single" w:color="auto" w:sz="4" w:space="0"/>
              <w:right w:val="single" w:color="auto" w:sz="4" w:space="0"/>
            </w:tcBorders>
            <w:vAlign w:val="center"/>
          </w:tcPr>
          <w:p w14:paraId="6A30056C">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14:paraId="42E9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9" w:type="dxa"/>
            <w:tcBorders>
              <w:top w:val="single" w:color="auto" w:sz="4" w:space="0"/>
              <w:left w:val="single" w:color="auto" w:sz="4" w:space="0"/>
              <w:bottom w:val="single" w:color="auto" w:sz="4" w:space="0"/>
              <w:right w:val="single" w:color="auto" w:sz="4" w:space="0"/>
            </w:tcBorders>
            <w:vAlign w:val="center"/>
          </w:tcPr>
          <w:p w14:paraId="5E0E663F">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6</w:t>
            </w:r>
          </w:p>
        </w:tc>
        <w:tc>
          <w:tcPr>
            <w:tcW w:w="4516" w:type="dxa"/>
            <w:tcBorders>
              <w:top w:val="single" w:color="auto" w:sz="4" w:space="0"/>
              <w:left w:val="single" w:color="auto" w:sz="4" w:space="0"/>
              <w:bottom w:val="single" w:color="auto" w:sz="4" w:space="0"/>
              <w:right w:val="single" w:color="auto" w:sz="4" w:space="0"/>
            </w:tcBorders>
            <w:vAlign w:val="center"/>
          </w:tcPr>
          <w:p w14:paraId="170E1FC8">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868" w:type="dxa"/>
            <w:tcBorders>
              <w:top w:val="single" w:color="auto" w:sz="4" w:space="0"/>
              <w:left w:val="single" w:color="auto" w:sz="4" w:space="0"/>
              <w:bottom w:val="single" w:color="auto" w:sz="4" w:space="0"/>
              <w:right w:val="single" w:color="auto" w:sz="4" w:space="0"/>
            </w:tcBorders>
            <w:vAlign w:val="center"/>
          </w:tcPr>
          <w:p w14:paraId="1337B47C">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1669" w:type="dxa"/>
            <w:tcBorders>
              <w:top w:val="single" w:color="auto" w:sz="4" w:space="0"/>
              <w:left w:val="single" w:color="auto" w:sz="4" w:space="0"/>
              <w:bottom w:val="single" w:color="auto" w:sz="4" w:space="0"/>
              <w:right w:val="single" w:color="auto" w:sz="4" w:space="0"/>
            </w:tcBorders>
            <w:vAlign w:val="center"/>
          </w:tcPr>
          <w:p w14:paraId="6BE91E42">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14:paraId="434D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9" w:type="dxa"/>
            <w:tcBorders>
              <w:top w:val="single" w:color="auto" w:sz="4" w:space="0"/>
              <w:left w:val="single" w:color="auto" w:sz="4" w:space="0"/>
              <w:bottom w:val="single" w:color="auto" w:sz="4" w:space="0"/>
              <w:right w:val="single" w:color="auto" w:sz="4" w:space="0"/>
            </w:tcBorders>
            <w:vAlign w:val="center"/>
          </w:tcPr>
          <w:p w14:paraId="3E69D844">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7</w:t>
            </w:r>
          </w:p>
        </w:tc>
        <w:tc>
          <w:tcPr>
            <w:tcW w:w="4516" w:type="dxa"/>
            <w:tcBorders>
              <w:top w:val="single" w:color="auto" w:sz="4" w:space="0"/>
              <w:left w:val="single" w:color="auto" w:sz="4" w:space="0"/>
              <w:bottom w:val="single" w:color="auto" w:sz="4" w:space="0"/>
              <w:right w:val="single" w:color="auto" w:sz="4" w:space="0"/>
            </w:tcBorders>
            <w:vAlign w:val="center"/>
          </w:tcPr>
          <w:p w14:paraId="28645096">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868" w:type="dxa"/>
            <w:tcBorders>
              <w:top w:val="single" w:color="auto" w:sz="4" w:space="0"/>
              <w:left w:val="single" w:color="auto" w:sz="4" w:space="0"/>
              <w:bottom w:val="single" w:color="auto" w:sz="4" w:space="0"/>
              <w:right w:val="single" w:color="auto" w:sz="4" w:space="0"/>
            </w:tcBorders>
            <w:vAlign w:val="center"/>
          </w:tcPr>
          <w:p w14:paraId="07E22BBB">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1669" w:type="dxa"/>
            <w:tcBorders>
              <w:top w:val="single" w:color="auto" w:sz="4" w:space="0"/>
              <w:left w:val="single" w:color="auto" w:sz="4" w:space="0"/>
              <w:bottom w:val="single" w:color="auto" w:sz="4" w:space="0"/>
              <w:right w:val="single" w:color="auto" w:sz="4" w:space="0"/>
            </w:tcBorders>
            <w:vAlign w:val="center"/>
          </w:tcPr>
          <w:p w14:paraId="0530D308">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14:paraId="1168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9" w:type="dxa"/>
            <w:tcBorders>
              <w:top w:val="single" w:color="auto" w:sz="4" w:space="0"/>
              <w:left w:val="single" w:color="auto" w:sz="4" w:space="0"/>
              <w:bottom w:val="single" w:color="auto" w:sz="4" w:space="0"/>
              <w:right w:val="single" w:color="auto" w:sz="4" w:space="0"/>
            </w:tcBorders>
            <w:vAlign w:val="center"/>
          </w:tcPr>
          <w:p w14:paraId="0801EB79">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w:t>
            </w:r>
          </w:p>
        </w:tc>
        <w:tc>
          <w:tcPr>
            <w:tcW w:w="4516" w:type="dxa"/>
            <w:tcBorders>
              <w:top w:val="single" w:color="auto" w:sz="4" w:space="0"/>
              <w:left w:val="single" w:color="auto" w:sz="4" w:space="0"/>
              <w:bottom w:val="single" w:color="auto" w:sz="4" w:space="0"/>
              <w:right w:val="single" w:color="auto" w:sz="4" w:space="0"/>
            </w:tcBorders>
            <w:vAlign w:val="center"/>
          </w:tcPr>
          <w:p w14:paraId="3EBB0F19">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868" w:type="dxa"/>
            <w:tcBorders>
              <w:top w:val="single" w:color="auto" w:sz="4" w:space="0"/>
              <w:left w:val="single" w:color="auto" w:sz="4" w:space="0"/>
              <w:bottom w:val="single" w:color="auto" w:sz="4" w:space="0"/>
              <w:right w:val="single" w:color="auto" w:sz="4" w:space="0"/>
            </w:tcBorders>
            <w:vAlign w:val="center"/>
          </w:tcPr>
          <w:p w14:paraId="2DCA26A9">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1669" w:type="dxa"/>
            <w:tcBorders>
              <w:top w:val="single" w:color="auto" w:sz="4" w:space="0"/>
              <w:left w:val="single" w:color="auto" w:sz="4" w:space="0"/>
              <w:bottom w:val="single" w:color="auto" w:sz="4" w:space="0"/>
              <w:right w:val="single" w:color="auto" w:sz="4" w:space="0"/>
            </w:tcBorders>
            <w:vAlign w:val="center"/>
          </w:tcPr>
          <w:p w14:paraId="6943CF62">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bl>
    <w:p w14:paraId="47B8914C">
      <w:pPr>
        <w:pBdr>
          <w:top w:val="none" w:color="auto" w:sz="0" w:space="1"/>
          <w:left w:val="none" w:color="auto" w:sz="0" w:space="4"/>
          <w:bottom w:val="none" w:color="auto" w:sz="0" w:space="1"/>
          <w:right w:val="none" w:color="auto" w:sz="0" w:space="4"/>
        </w:pBdr>
        <w:spacing w:line="460" w:lineRule="exact"/>
        <w:ind w:left="763" w:leftChars="200" w:hanging="343" w:hangingChars="143"/>
        <w:rPr>
          <w:rFonts w:hint="eastAsia" w:ascii="宋体" w:hAnsi="宋体" w:eastAsia="宋体" w:cs="宋体"/>
          <w:sz w:val="24"/>
          <w:szCs w:val="24"/>
        </w:rPr>
      </w:pPr>
      <w:r>
        <w:rPr>
          <w:rFonts w:hint="eastAsia" w:ascii="宋体" w:hAnsi="宋体" w:eastAsia="宋体" w:cs="宋体"/>
          <w:bCs/>
          <w:sz w:val="24"/>
          <w:szCs w:val="24"/>
        </w:rPr>
        <w:t>注：</w:t>
      </w:r>
      <w:r>
        <w:rPr>
          <w:rFonts w:hint="eastAsia" w:ascii="宋体" w:hAnsi="宋体" w:eastAsia="宋体" w:cs="宋体"/>
          <w:sz w:val="24"/>
          <w:szCs w:val="24"/>
        </w:rPr>
        <w:t>1、请提供成交通知书（成交通知书）或合同证明材料的复印件，加盖潜在供应商单</w:t>
      </w:r>
    </w:p>
    <w:p w14:paraId="09095786">
      <w:pPr>
        <w:pBdr>
          <w:top w:val="none" w:color="auto" w:sz="0" w:space="1"/>
          <w:left w:val="none" w:color="auto" w:sz="0" w:space="4"/>
          <w:bottom w:val="none" w:color="auto" w:sz="0" w:space="1"/>
          <w:right w:val="none" w:color="auto" w:sz="0" w:space="4"/>
        </w:pBdr>
        <w:spacing w:line="460" w:lineRule="exact"/>
        <w:rPr>
          <w:rFonts w:hint="eastAsia" w:ascii="宋体" w:hAnsi="宋体" w:eastAsia="宋体" w:cs="宋体"/>
          <w:sz w:val="24"/>
          <w:szCs w:val="24"/>
        </w:rPr>
      </w:pPr>
      <w:r>
        <w:rPr>
          <w:rFonts w:hint="eastAsia" w:ascii="宋体" w:hAnsi="宋体" w:eastAsia="宋体" w:cs="宋体"/>
          <w:sz w:val="24"/>
          <w:szCs w:val="24"/>
        </w:rPr>
        <w:t>位公章。</w:t>
      </w:r>
    </w:p>
    <w:p w14:paraId="5F23CE8D">
      <w:pPr>
        <w:pStyle w:val="9"/>
        <w:pBdr>
          <w:top w:val="none" w:color="auto" w:sz="0" w:space="1"/>
          <w:left w:val="none" w:color="auto" w:sz="0" w:space="4"/>
          <w:bottom w:val="none" w:color="auto" w:sz="0" w:space="1"/>
          <w:right w:val="none" w:color="auto" w:sz="0" w:space="4"/>
        </w:pBd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潜在供应商可按此表格式复制。</w:t>
      </w:r>
    </w:p>
    <w:p w14:paraId="3B46E73F">
      <w:pPr>
        <w:pBdr>
          <w:top w:val="none" w:color="auto" w:sz="0" w:space="1"/>
          <w:left w:val="none" w:color="auto" w:sz="0" w:space="4"/>
          <w:bottom w:val="none" w:color="auto" w:sz="0" w:space="1"/>
          <w:right w:val="none" w:color="auto" w:sz="0" w:space="4"/>
        </w:pBdr>
        <w:spacing w:line="360" w:lineRule="auto"/>
        <w:jc w:val="center"/>
        <w:rPr>
          <w:rStyle w:val="46"/>
          <w:rFonts w:hint="eastAsia" w:ascii="宋体" w:hAnsi="宋体" w:eastAsia="宋体" w:cs="宋体"/>
          <w:sz w:val="24"/>
          <w:szCs w:val="24"/>
        </w:rPr>
      </w:pPr>
    </w:p>
    <w:p w14:paraId="4C77E19C">
      <w:pPr>
        <w:pStyle w:val="9"/>
        <w:pBdr>
          <w:top w:val="none" w:color="auto" w:sz="0" w:space="1"/>
          <w:left w:val="none" w:color="auto" w:sz="0" w:space="4"/>
          <w:bottom w:val="none" w:color="auto" w:sz="0" w:space="1"/>
          <w:right w:val="none" w:color="auto" w:sz="0" w:space="4"/>
        </w:pBdr>
        <w:rPr>
          <w:rFonts w:hint="eastAsia" w:ascii="宋体" w:hAnsi="宋体" w:eastAsia="宋体" w:cs="宋体"/>
          <w:color w:val="auto"/>
          <w:sz w:val="24"/>
          <w:szCs w:val="24"/>
        </w:rPr>
      </w:pPr>
      <w:r>
        <w:rPr>
          <w:rFonts w:hint="eastAsia" w:ascii="宋体" w:hAnsi="宋体" w:eastAsia="宋体" w:cs="宋体"/>
          <w:color w:val="auto"/>
          <w:sz w:val="24"/>
          <w:szCs w:val="24"/>
        </w:rPr>
        <w:t>潜在供应商：</w:t>
      </w:r>
      <w:r>
        <w:rPr>
          <w:rFonts w:hint="eastAsia" w:ascii="宋体" w:hAnsi="宋体" w:eastAsia="宋体" w:cs="宋体"/>
          <w:color w:val="auto"/>
          <w:sz w:val="24"/>
          <w:szCs w:val="24"/>
          <w:u w:val="single"/>
        </w:rPr>
        <w:t xml:space="preserve">                    （电子签章）</w:t>
      </w:r>
    </w:p>
    <w:p w14:paraId="24F2BDEA">
      <w:pPr>
        <w:pStyle w:val="9"/>
        <w:pBdr>
          <w:top w:val="none" w:color="auto" w:sz="0" w:space="1"/>
          <w:left w:val="none" w:color="auto" w:sz="0" w:space="4"/>
          <w:bottom w:val="none" w:color="auto" w:sz="0" w:space="1"/>
          <w:right w:val="none" w:color="auto" w:sz="0" w:space="4"/>
        </w:pBdr>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（签字或盖章）</w:t>
      </w:r>
    </w:p>
    <w:p w14:paraId="2B7A5B5C">
      <w:pPr>
        <w:pStyle w:val="9"/>
        <w:pBdr>
          <w:top w:val="none" w:color="auto" w:sz="0" w:space="1"/>
          <w:left w:val="none" w:color="auto" w:sz="0" w:space="4"/>
          <w:bottom w:val="none" w:color="auto" w:sz="0" w:space="1"/>
          <w:right w:val="none" w:color="auto" w:sz="0" w:space="4"/>
        </w:pBdr>
        <w:rPr>
          <w:rFonts w:hint="eastAsia" w:ascii="宋体" w:hAnsi="宋体" w:eastAsia="宋体" w:cs="宋体"/>
          <w:color w:val="auto"/>
          <w:sz w:val="24"/>
          <w:szCs w:val="24"/>
        </w:rPr>
      </w:pPr>
      <w:r>
        <w:rPr>
          <w:rFonts w:hint="eastAsia" w:ascii="宋体" w:hAnsi="宋体" w:eastAsia="宋体" w:cs="宋体"/>
          <w:color w:val="auto"/>
          <w:sz w:val="24"/>
          <w:szCs w:val="24"/>
        </w:rPr>
        <w:t>日     期：     年    月   日</w:t>
      </w:r>
    </w:p>
    <w:p w14:paraId="09CA5A11">
      <w:pPr>
        <w:pStyle w:val="9"/>
        <w:pBdr>
          <w:top w:val="none" w:color="auto" w:sz="0" w:space="1"/>
          <w:left w:val="none" w:color="auto" w:sz="0" w:space="4"/>
          <w:bottom w:val="none" w:color="auto" w:sz="0" w:space="1"/>
          <w:right w:val="none" w:color="auto" w:sz="0" w:space="4"/>
        </w:pBdr>
        <w:rPr>
          <w:rFonts w:hint="eastAsia" w:ascii="宋体" w:hAnsi="宋体" w:eastAsia="宋体" w:cs="宋体"/>
          <w:color w:val="auto"/>
          <w:sz w:val="24"/>
          <w:szCs w:val="24"/>
        </w:rPr>
      </w:pPr>
      <w:r>
        <w:rPr>
          <w:rStyle w:val="46"/>
          <w:rFonts w:hint="eastAsia" w:ascii="宋体" w:hAnsi="宋体" w:eastAsia="宋体" w:cs="宋体"/>
          <w:sz w:val="24"/>
          <w:szCs w:val="24"/>
        </w:rPr>
        <w:br w:type="page"/>
      </w:r>
    </w:p>
    <w:p w14:paraId="446E4B9D">
      <w:pPr>
        <w:pStyle w:val="9"/>
        <w:pBdr>
          <w:top w:val="none" w:color="auto" w:sz="0" w:space="1"/>
          <w:left w:val="none" w:color="auto" w:sz="0" w:space="4"/>
          <w:bottom w:val="none" w:color="auto" w:sz="0" w:space="1"/>
          <w:right w:val="none" w:color="auto" w:sz="0" w:space="4"/>
        </w:pBdr>
        <w:jc w:val="center"/>
        <w:rPr>
          <w:rStyle w:val="46"/>
          <w:rFonts w:hint="eastAsia" w:ascii="宋体" w:hAnsi="宋体" w:eastAsia="宋体" w:cs="宋体"/>
          <w:color w:val="auto"/>
          <w:sz w:val="24"/>
          <w:szCs w:val="24"/>
        </w:rPr>
      </w:pPr>
      <w:bookmarkStart w:id="267" w:name="_Toc12776"/>
      <w:bookmarkStart w:id="268" w:name="_Toc20791"/>
      <w:bookmarkStart w:id="269" w:name="_Toc13913"/>
      <w:r>
        <w:rPr>
          <w:rStyle w:val="46"/>
          <w:rFonts w:hint="eastAsia" w:ascii="宋体" w:hAnsi="宋体" w:eastAsia="宋体" w:cs="宋体"/>
          <w:color w:val="auto"/>
          <w:sz w:val="24"/>
          <w:szCs w:val="24"/>
          <w:lang w:eastAsia="zh-CN"/>
        </w:rPr>
        <w:t>九</w:t>
      </w:r>
      <w:r>
        <w:rPr>
          <w:rStyle w:val="46"/>
          <w:rFonts w:hint="eastAsia" w:ascii="宋体" w:hAnsi="宋体" w:eastAsia="宋体" w:cs="宋体"/>
          <w:color w:val="auto"/>
          <w:sz w:val="24"/>
          <w:szCs w:val="24"/>
        </w:rPr>
        <w:t>、中小企业声明函（潜在供应商为中小企业时适用）</w:t>
      </w:r>
    </w:p>
    <w:bookmarkEnd w:id="267"/>
    <w:bookmarkEnd w:id="268"/>
    <w:bookmarkEnd w:id="269"/>
    <w:p w14:paraId="5A82172F">
      <w:pPr>
        <w:pBdr>
          <w:top w:val="none" w:color="auto" w:sz="0" w:space="1"/>
          <w:left w:val="none" w:color="auto" w:sz="0" w:space="4"/>
          <w:bottom w:val="none" w:color="auto" w:sz="0" w:space="1"/>
          <w:right w:val="none" w:color="auto" w:sz="0" w:space="4"/>
        </w:pBdr>
        <w:rPr>
          <w:rStyle w:val="46"/>
          <w:rFonts w:hint="eastAsia" w:ascii="宋体" w:hAnsi="宋体" w:eastAsia="宋体" w:cs="宋体"/>
          <w:sz w:val="24"/>
          <w:szCs w:val="24"/>
        </w:rPr>
      </w:pPr>
    </w:p>
    <w:p w14:paraId="4E9216C8">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bidi="ar"/>
        </w:rPr>
        <w:t>本公司（联合体）郑重声明，根据《政府采购促进中小企业发展管理办法》（财库﹝2020﹞46 号）的规定，本公司（联合体）参加</w:t>
      </w:r>
      <w:r>
        <w:rPr>
          <w:rFonts w:hint="eastAsia" w:ascii="宋体" w:hAnsi="宋体" w:eastAsia="宋体" w:cs="宋体"/>
          <w:kern w:val="0"/>
          <w:sz w:val="24"/>
          <w:szCs w:val="24"/>
          <w:u w:val="single"/>
          <w:lang w:bidi="ar"/>
        </w:rPr>
        <w:t xml:space="preserve">   </w:t>
      </w:r>
      <w:r>
        <w:rPr>
          <w:rFonts w:hint="eastAsia" w:ascii="宋体" w:hAnsi="宋体" w:eastAsia="宋体" w:cs="宋体"/>
          <w:i/>
          <w:iCs/>
          <w:kern w:val="0"/>
          <w:sz w:val="24"/>
          <w:szCs w:val="24"/>
          <w:u w:val="single"/>
          <w:shd w:val="clear" w:color="FFFFFF" w:fill="D9D9D9"/>
          <w:lang w:bidi="ar"/>
        </w:rPr>
        <w:t>（单位名称）</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lang w:bidi="ar"/>
        </w:rPr>
        <w:t>的</w:t>
      </w:r>
      <w:r>
        <w:rPr>
          <w:rFonts w:hint="eastAsia" w:ascii="宋体" w:hAnsi="宋体" w:eastAsia="宋体" w:cs="宋体"/>
          <w:kern w:val="0"/>
          <w:sz w:val="24"/>
          <w:szCs w:val="24"/>
          <w:u w:val="single"/>
          <w:lang w:bidi="ar"/>
        </w:rPr>
        <w:t xml:space="preserve">   </w:t>
      </w:r>
      <w:r>
        <w:rPr>
          <w:rFonts w:hint="eastAsia" w:ascii="宋体" w:hAnsi="宋体" w:eastAsia="宋体" w:cs="宋体"/>
          <w:i/>
          <w:iCs/>
          <w:kern w:val="0"/>
          <w:sz w:val="24"/>
          <w:szCs w:val="24"/>
          <w:u w:val="single"/>
          <w:shd w:val="clear" w:color="FFFFFF" w:fill="D9D9D9"/>
          <w:lang w:bidi="ar"/>
        </w:rPr>
        <w:t xml:space="preserve">（项目名称） </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lang w:bidi="ar"/>
        </w:rPr>
        <w:t>采购活动，服务全部由符合政策要求的中小企业承接。相关企业（含联合体中的中小企业、签订分包意向协议的中小企业）的具体情况如下：</w:t>
      </w:r>
    </w:p>
    <w:p w14:paraId="0F71442C">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bidi="ar"/>
        </w:rPr>
        <w:t>1.</w:t>
      </w:r>
      <w:r>
        <w:rPr>
          <w:rFonts w:hint="eastAsia" w:ascii="宋体" w:hAnsi="宋体" w:eastAsia="宋体" w:cs="宋体"/>
          <w:kern w:val="0"/>
          <w:sz w:val="24"/>
          <w:szCs w:val="24"/>
          <w:u w:val="single"/>
          <w:lang w:bidi="ar"/>
        </w:rPr>
        <w:t xml:space="preserve"> </w:t>
      </w:r>
      <w:r>
        <w:rPr>
          <w:rFonts w:hint="eastAsia" w:ascii="宋体" w:hAnsi="宋体" w:eastAsia="宋体" w:cs="宋体"/>
          <w:i/>
          <w:iCs/>
          <w:kern w:val="0"/>
          <w:sz w:val="24"/>
          <w:szCs w:val="24"/>
          <w:u w:val="single"/>
          <w:shd w:val="clear" w:color="FFFFFF" w:fill="D9D9D9"/>
          <w:lang w:bidi="ar"/>
        </w:rPr>
        <w:t>（标的名称）</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lang w:bidi="ar"/>
        </w:rPr>
        <w:t>，属于</w:t>
      </w:r>
      <w:r>
        <w:rPr>
          <w:rFonts w:hint="eastAsia" w:ascii="宋体" w:hAnsi="宋体" w:eastAsia="宋体" w:cs="宋体"/>
          <w:b/>
          <w:iCs/>
          <w:kern w:val="0"/>
          <w:sz w:val="24"/>
          <w:szCs w:val="24"/>
          <w:u w:val="single"/>
          <w:shd w:val="clear" w:color="FFFFFF" w:fill="D9D9D9"/>
          <w:lang w:bidi="ar"/>
        </w:rPr>
        <w:t>物业管理</w:t>
      </w:r>
      <w:r>
        <w:rPr>
          <w:rFonts w:hint="eastAsia" w:ascii="宋体" w:hAnsi="宋体" w:eastAsia="宋体" w:cs="宋体"/>
          <w:i/>
          <w:iCs/>
          <w:kern w:val="0"/>
          <w:sz w:val="24"/>
          <w:szCs w:val="24"/>
          <w:u w:val="single"/>
          <w:shd w:val="clear" w:color="FFFFFF" w:fill="D9D9D9"/>
          <w:lang w:bidi="ar"/>
        </w:rPr>
        <w:t>（采购文件中明确的所属行业）</w:t>
      </w:r>
      <w:r>
        <w:rPr>
          <w:rFonts w:hint="eastAsia" w:ascii="宋体" w:hAnsi="宋体" w:eastAsia="宋体" w:cs="宋体"/>
          <w:kern w:val="0"/>
          <w:sz w:val="24"/>
          <w:szCs w:val="24"/>
          <w:lang w:bidi="ar"/>
        </w:rPr>
        <w:t>；承接企业为</w:t>
      </w:r>
      <w:r>
        <w:rPr>
          <w:rFonts w:hint="eastAsia" w:ascii="宋体" w:hAnsi="宋体" w:eastAsia="宋体" w:cs="宋体"/>
          <w:kern w:val="0"/>
          <w:sz w:val="24"/>
          <w:szCs w:val="24"/>
          <w:u w:val="single"/>
          <w:lang w:bidi="ar"/>
        </w:rPr>
        <w:t xml:space="preserve">   </w:t>
      </w:r>
      <w:r>
        <w:rPr>
          <w:rFonts w:hint="eastAsia" w:ascii="宋体" w:hAnsi="宋体" w:eastAsia="宋体" w:cs="宋体"/>
          <w:i/>
          <w:iCs/>
          <w:kern w:val="0"/>
          <w:sz w:val="24"/>
          <w:szCs w:val="24"/>
          <w:u w:val="single"/>
          <w:shd w:val="clear" w:color="FFFFFF" w:fill="D9D9D9"/>
          <w:lang w:bidi="ar"/>
        </w:rPr>
        <w:t xml:space="preserve">（企业名称）  </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lang w:bidi="ar"/>
        </w:rPr>
        <w:t>，从业人员</w:t>
      </w:r>
      <w:r>
        <w:rPr>
          <w:rFonts w:hint="eastAsia" w:ascii="宋体" w:hAnsi="宋体" w:eastAsia="宋体" w:cs="宋体"/>
          <w:kern w:val="0"/>
          <w:sz w:val="24"/>
          <w:szCs w:val="24"/>
          <w:u w:val="single"/>
          <w:shd w:val="clear" w:color="FFFFFF" w:fill="D9D9D9"/>
          <w:lang w:bidi="ar"/>
        </w:rPr>
        <w:t xml:space="preserve">   </w:t>
      </w:r>
      <w:r>
        <w:rPr>
          <w:rFonts w:hint="eastAsia" w:ascii="宋体" w:hAnsi="宋体" w:eastAsia="宋体" w:cs="宋体"/>
          <w:kern w:val="0"/>
          <w:sz w:val="24"/>
          <w:szCs w:val="24"/>
          <w:lang w:bidi="ar"/>
        </w:rPr>
        <w:t>人，营业收入为</w:t>
      </w:r>
      <w:r>
        <w:rPr>
          <w:rFonts w:hint="eastAsia" w:ascii="宋体" w:hAnsi="宋体" w:eastAsia="宋体" w:cs="宋体"/>
          <w:kern w:val="0"/>
          <w:sz w:val="24"/>
          <w:szCs w:val="24"/>
          <w:u w:val="single"/>
          <w:shd w:val="clear" w:color="FFFFFF" w:fill="D9D9D9"/>
          <w:lang w:bidi="ar"/>
        </w:rPr>
        <w:t xml:space="preserve">   </w:t>
      </w:r>
      <w:r>
        <w:rPr>
          <w:rFonts w:hint="eastAsia" w:ascii="宋体" w:hAnsi="宋体" w:eastAsia="宋体" w:cs="宋体"/>
          <w:kern w:val="0"/>
          <w:sz w:val="24"/>
          <w:szCs w:val="24"/>
          <w:lang w:bidi="ar"/>
        </w:rPr>
        <w:t>万元，资产总额为</w:t>
      </w:r>
      <w:r>
        <w:rPr>
          <w:rFonts w:hint="eastAsia" w:ascii="宋体" w:hAnsi="宋体" w:eastAsia="宋体" w:cs="宋体"/>
          <w:kern w:val="0"/>
          <w:sz w:val="24"/>
          <w:szCs w:val="24"/>
          <w:u w:val="single"/>
          <w:shd w:val="clear" w:color="FFFFFF" w:fill="D9D9D9"/>
          <w:lang w:bidi="ar"/>
        </w:rPr>
        <w:t xml:space="preserve">   </w:t>
      </w:r>
      <w:r>
        <w:rPr>
          <w:rFonts w:hint="eastAsia" w:ascii="宋体" w:hAnsi="宋体" w:eastAsia="宋体" w:cs="宋体"/>
          <w:kern w:val="0"/>
          <w:sz w:val="24"/>
          <w:szCs w:val="24"/>
          <w:lang w:bidi="ar"/>
        </w:rPr>
        <w:t>万元，属于</w:t>
      </w:r>
      <w:r>
        <w:rPr>
          <w:rFonts w:hint="eastAsia" w:ascii="宋体" w:hAnsi="宋体" w:eastAsia="宋体" w:cs="宋体"/>
          <w:i/>
          <w:iCs/>
          <w:kern w:val="0"/>
          <w:sz w:val="24"/>
          <w:szCs w:val="24"/>
          <w:u w:val="single"/>
          <w:shd w:val="clear" w:color="FFFFFF" w:fill="D9D9D9"/>
          <w:lang w:bidi="ar"/>
        </w:rPr>
        <w:t>（中型企业、小型企业、微型企业）</w:t>
      </w:r>
      <w:r>
        <w:rPr>
          <w:rFonts w:hint="eastAsia" w:ascii="宋体" w:hAnsi="宋体" w:eastAsia="宋体" w:cs="宋体"/>
          <w:kern w:val="0"/>
          <w:sz w:val="24"/>
          <w:szCs w:val="24"/>
          <w:lang w:bidi="ar"/>
        </w:rPr>
        <w:t>；</w:t>
      </w:r>
    </w:p>
    <w:p w14:paraId="328A6015">
      <w:pPr>
        <w:widowControl/>
        <w:spacing w:line="360" w:lineRule="auto"/>
        <w:ind w:firstLine="480" w:firstLineChars="200"/>
        <w:jc w:val="left"/>
        <w:rPr>
          <w:rFonts w:hint="eastAsia" w:ascii="宋体" w:hAnsi="宋体" w:eastAsia="宋体" w:cs="宋体"/>
          <w:kern w:val="0"/>
          <w:sz w:val="24"/>
          <w:szCs w:val="24"/>
          <w:lang w:bidi="ar"/>
        </w:rPr>
      </w:pPr>
      <w:r>
        <w:rPr>
          <w:rFonts w:hint="eastAsia" w:ascii="宋体" w:hAnsi="宋体" w:eastAsia="宋体" w:cs="宋体"/>
          <w:kern w:val="0"/>
          <w:sz w:val="24"/>
          <w:szCs w:val="24"/>
          <w:lang w:bidi="ar"/>
        </w:rPr>
        <w:t>2</w:t>
      </w:r>
      <w:r>
        <w:rPr>
          <w:rFonts w:hint="eastAsia" w:ascii="宋体" w:hAnsi="宋体" w:eastAsia="宋体" w:cs="宋体"/>
          <w:kern w:val="0"/>
          <w:sz w:val="24"/>
          <w:szCs w:val="24"/>
          <w:u w:val="single"/>
          <w:lang w:bidi="ar"/>
        </w:rPr>
        <w:t xml:space="preserve">. </w:t>
      </w:r>
      <w:r>
        <w:rPr>
          <w:rFonts w:hint="eastAsia" w:ascii="宋体" w:hAnsi="宋体" w:eastAsia="宋体" w:cs="宋体"/>
          <w:i/>
          <w:iCs/>
          <w:kern w:val="0"/>
          <w:sz w:val="24"/>
          <w:szCs w:val="24"/>
          <w:u w:val="single"/>
          <w:shd w:val="clear" w:color="FFFFFF" w:fill="D9D9D9"/>
          <w:lang w:bidi="ar"/>
        </w:rPr>
        <w:t>（标的名称）</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lang w:bidi="ar"/>
        </w:rPr>
        <w:t>，属于</w:t>
      </w:r>
      <w:r>
        <w:rPr>
          <w:rFonts w:hint="eastAsia" w:ascii="宋体" w:hAnsi="宋体" w:eastAsia="宋体" w:cs="宋体"/>
          <w:b/>
          <w:iCs/>
          <w:kern w:val="0"/>
          <w:sz w:val="24"/>
          <w:szCs w:val="24"/>
          <w:u w:val="single"/>
          <w:shd w:val="clear" w:color="FFFFFF" w:fill="D9D9D9"/>
          <w:lang w:bidi="ar"/>
        </w:rPr>
        <w:t>物业管理</w:t>
      </w:r>
      <w:r>
        <w:rPr>
          <w:rFonts w:hint="eastAsia" w:ascii="宋体" w:hAnsi="宋体" w:eastAsia="宋体" w:cs="宋体"/>
          <w:i/>
          <w:iCs/>
          <w:kern w:val="0"/>
          <w:sz w:val="24"/>
          <w:szCs w:val="24"/>
          <w:u w:val="single"/>
          <w:shd w:val="clear" w:color="FFFFFF" w:fill="D9D9D9"/>
          <w:lang w:bidi="ar"/>
        </w:rPr>
        <w:t>（采购文件中明确的所属行业）</w:t>
      </w:r>
      <w:r>
        <w:rPr>
          <w:rFonts w:hint="eastAsia" w:ascii="宋体" w:hAnsi="宋体" w:eastAsia="宋体" w:cs="宋体"/>
          <w:kern w:val="0"/>
          <w:sz w:val="24"/>
          <w:szCs w:val="24"/>
          <w:lang w:bidi="ar"/>
        </w:rPr>
        <w:t>；承接企业为</w:t>
      </w:r>
      <w:r>
        <w:rPr>
          <w:rFonts w:hint="eastAsia" w:ascii="宋体" w:hAnsi="宋体" w:eastAsia="宋体" w:cs="宋体"/>
          <w:i/>
          <w:iCs/>
          <w:kern w:val="0"/>
          <w:sz w:val="24"/>
          <w:szCs w:val="24"/>
          <w:u w:val="single"/>
          <w:shd w:val="clear" w:color="FFFFFF" w:fill="D9D9D9"/>
          <w:lang w:bidi="ar"/>
        </w:rPr>
        <w:t>（企业名称）</w:t>
      </w:r>
      <w:r>
        <w:rPr>
          <w:rFonts w:hint="eastAsia" w:ascii="宋体" w:hAnsi="宋体" w:eastAsia="宋体" w:cs="宋体"/>
          <w:kern w:val="0"/>
          <w:sz w:val="24"/>
          <w:szCs w:val="24"/>
          <w:lang w:bidi="ar"/>
        </w:rPr>
        <w:t>，从业人员</w:t>
      </w:r>
      <w:r>
        <w:rPr>
          <w:rFonts w:hint="eastAsia" w:ascii="宋体" w:hAnsi="宋体" w:eastAsia="宋体" w:cs="宋体"/>
          <w:kern w:val="0"/>
          <w:sz w:val="24"/>
          <w:szCs w:val="24"/>
          <w:u w:val="single"/>
          <w:shd w:val="clear" w:color="FFFFFF" w:fill="D9D9D9"/>
          <w:lang w:bidi="ar"/>
        </w:rPr>
        <w:t xml:space="preserve">   </w:t>
      </w:r>
      <w:r>
        <w:rPr>
          <w:rFonts w:hint="eastAsia" w:ascii="宋体" w:hAnsi="宋体" w:eastAsia="宋体" w:cs="宋体"/>
          <w:kern w:val="0"/>
          <w:sz w:val="24"/>
          <w:szCs w:val="24"/>
          <w:lang w:bidi="ar"/>
        </w:rPr>
        <w:t>人，营业收入为</w:t>
      </w:r>
      <w:r>
        <w:rPr>
          <w:rFonts w:hint="eastAsia" w:ascii="宋体" w:hAnsi="宋体" w:eastAsia="宋体" w:cs="宋体"/>
          <w:kern w:val="0"/>
          <w:sz w:val="24"/>
          <w:szCs w:val="24"/>
          <w:u w:val="single"/>
          <w:shd w:val="clear" w:color="FFFFFF" w:fill="D9D9D9"/>
          <w:lang w:bidi="ar"/>
        </w:rPr>
        <w:t xml:space="preserve">   </w:t>
      </w:r>
      <w:r>
        <w:rPr>
          <w:rFonts w:hint="eastAsia" w:ascii="宋体" w:hAnsi="宋体" w:eastAsia="宋体" w:cs="宋体"/>
          <w:kern w:val="0"/>
          <w:sz w:val="24"/>
          <w:szCs w:val="24"/>
          <w:lang w:bidi="ar"/>
        </w:rPr>
        <w:t>万元，资产总额为</w:t>
      </w:r>
      <w:r>
        <w:rPr>
          <w:rFonts w:hint="eastAsia" w:ascii="宋体" w:hAnsi="宋体" w:eastAsia="宋体" w:cs="宋体"/>
          <w:kern w:val="0"/>
          <w:sz w:val="24"/>
          <w:szCs w:val="24"/>
          <w:u w:val="single"/>
          <w:shd w:val="clear" w:color="FFFFFF" w:fill="D9D9D9"/>
          <w:lang w:bidi="ar"/>
        </w:rPr>
        <w:t xml:space="preserve">   </w:t>
      </w:r>
      <w:r>
        <w:rPr>
          <w:rFonts w:hint="eastAsia" w:ascii="宋体" w:hAnsi="宋体" w:eastAsia="宋体" w:cs="宋体"/>
          <w:kern w:val="0"/>
          <w:sz w:val="24"/>
          <w:szCs w:val="24"/>
          <w:lang w:bidi="ar"/>
        </w:rPr>
        <w:t>万元，属于</w:t>
      </w:r>
      <w:r>
        <w:rPr>
          <w:rFonts w:hint="eastAsia" w:ascii="宋体" w:hAnsi="宋体" w:eastAsia="宋体" w:cs="宋体"/>
          <w:i/>
          <w:iCs/>
          <w:kern w:val="0"/>
          <w:sz w:val="24"/>
          <w:szCs w:val="24"/>
          <w:u w:val="single"/>
          <w:shd w:val="clear" w:color="FFFFFF" w:fill="D9D9D9"/>
          <w:lang w:bidi="ar"/>
        </w:rPr>
        <w:t>（中型企业、小型企业、微型企业）</w:t>
      </w:r>
      <w:r>
        <w:rPr>
          <w:rFonts w:hint="eastAsia" w:ascii="宋体" w:hAnsi="宋体" w:eastAsia="宋体" w:cs="宋体"/>
          <w:kern w:val="0"/>
          <w:sz w:val="24"/>
          <w:szCs w:val="24"/>
          <w:lang w:bidi="ar"/>
        </w:rPr>
        <w:t>；</w:t>
      </w:r>
    </w:p>
    <w:p w14:paraId="1D97BB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p>
    <w:p w14:paraId="1D54C77F">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bidi="ar"/>
        </w:rPr>
        <w:t>以上企业，不属于大企业的分支机构，不存在控股股东为大企业的情形，也不存在与大企业的负责人为同一人的情形。</w:t>
      </w:r>
    </w:p>
    <w:p w14:paraId="6EC75C0D">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bidi="ar"/>
        </w:rPr>
        <w:t>本企业对上述声明内容的真实性负责。如有虚假，将依法承担相应责任。</w:t>
      </w:r>
    </w:p>
    <w:p w14:paraId="6CFAE0A9">
      <w:pPr>
        <w:pStyle w:val="9"/>
        <w:pBdr>
          <w:top w:val="none" w:color="auto" w:sz="0" w:space="1"/>
          <w:left w:val="none" w:color="auto" w:sz="0" w:space="4"/>
          <w:bottom w:val="none" w:color="auto" w:sz="0" w:space="1"/>
          <w:right w:val="none" w:color="auto" w:sz="0" w:space="4"/>
        </w:pBdr>
        <w:rPr>
          <w:rFonts w:hint="eastAsia" w:ascii="宋体" w:hAnsi="宋体" w:eastAsia="宋体" w:cs="宋体"/>
          <w:b/>
          <w:color w:val="auto"/>
          <w:kern w:val="0"/>
          <w:sz w:val="24"/>
          <w:szCs w:val="24"/>
          <w:lang w:bidi="ar"/>
        </w:rPr>
      </w:pPr>
    </w:p>
    <w:p w14:paraId="334B2B6D">
      <w:pPr>
        <w:pStyle w:val="9"/>
        <w:pBdr>
          <w:top w:val="none" w:color="auto" w:sz="0" w:space="1"/>
          <w:left w:val="none" w:color="auto" w:sz="0" w:space="4"/>
          <w:bottom w:val="none" w:color="auto" w:sz="0" w:space="1"/>
          <w:right w:val="none" w:color="auto" w:sz="0" w:space="4"/>
        </w:pBdr>
        <w:rPr>
          <w:rFonts w:hint="eastAsia" w:ascii="宋体" w:hAnsi="宋体" w:eastAsia="宋体" w:cs="宋体"/>
          <w:b/>
          <w:color w:val="auto"/>
          <w:kern w:val="0"/>
          <w:sz w:val="24"/>
          <w:szCs w:val="24"/>
          <w:lang w:bidi="ar"/>
        </w:rPr>
      </w:pPr>
      <w:r>
        <w:rPr>
          <w:rFonts w:hint="eastAsia" w:ascii="宋体" w:hAnsi="宋体" w:eastAsia="宋体" w:cs="宋体"/>
          <w:b/>
          <w:color w:val="auto"/>
          <w:kern w:val="0"/>
          <w:sz w:val="24"/>
          <w:szCs w:val="24"/>
          <w:lang w:bidi="ar"/>
        </w:rPr>
        <w:t>说明：从业人员、营业收入、资产总额填报上一年度数据，无上一年度数据的新成立企业可不填报。</w:t>
      </w:r>
    </w:p>
    <w:p w14:paraId="4F77714F">
      <w:pPr>
        <w:pStyle w:val="60"/>
        <w:spacing w:before="156" w:after="156"/>
        <w:rPr>
          <w:rFonts w:hint="eastAsia" w:ascii="宋体" w:hAnsi="宋体" w:eastAsia="宋体" w:cs="宋体"/>
          <w:sz w:val="24"/>
          <w:szCs w:val="24"/>
          <w:lang w:bidi="ar"/>
        </w:rPr>
      </w:pPr>
    </w:p>
    <w:p w14:paraId="514EF4A7">
      <w:pPr>
        <w:pStyle w:val="9"/>
        <w:pBdr>
          <w:top w:val="none" w:color="auto" w:sz="0" w:space="1"/>
          <w:left w:val="none" w:color="auto" w:sz="0" w:space="4"/>
          <w:bottom w:val="none" w:color="auto" w:sz="0" w:space="1"/>
          <w:right w:val="none" w:color="auto" w:sz="0" w:space="4"/>
        </w:pBdr>
        <w:rPr>
          <w:rFonts w:hint="eastAsia" w:ascii="宋体" w:hAnsi="宋体" w:eastAsia="宋体" w:cs="宋体"/>
          <w:color w:val="auto"/>
          <w:sz w:val="24"/>
          <w:szCs w:val="24"/>
        </w:rPr>
      </w:pPr>
      <w:r>
        <w:rPr>
          <w:rFonts w:hint="eastAsia" w:ascii="宋体" w:hAnsi="宋体" w:eastAsia="宋体" w:cs="宋体"/>
          <w:color w:val="auto"/>
          <w:sz w:val="24"/>
          <w:szCs w:val="24"/>
        </w:rPr>
        <w:t>潜在供应商：</w:t>
      </w:r>
      <w:r>
        <w:rPr>
          <w:rFonts w:hint="eastAsia" w:ascii="宋体" w:hAnsi="宋体" w:eastAsia="宋体" w:cs="宋体"/>
          <w:color w:val="auto"/>
          <w:sz w:val="24"/>
          <w:szCs w:val="24"/>
          <w:u w:val="single"/>
        </w:rPr>
        <w:t xml:space="preserve">                    （电子签章）</w:t>
      </w:r>
    </w:p>
    <w:p w14:paraId="28900186">
      <w:pPr>
        <w:pStyle w:val="9"/>
        <w:pBdr>
          <w:top w:val="none" w:color="auto" w:sz="0" w:space="1"/>
          <w:left w:val="none" w:color="auto" w:sz="0" w:space="4"/>
          <w:bottom w:val="none" w:color="auto" w:sz="0" w:space="1"/>
          <w:right w:val="none" w:color="auto" w:sz="0" w:space="4"/>
        </w:pBdr>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（签字或盖章）</w:t>
      </w:r>
    </w:p>
    <w:p w14:paraId="3420A028">
      <w:pPr>
        <w:pStyle w:val="9"/>
        <w:pBdr>
          <w:top w:val="none" w:color="auto" w:sz="0" w:space="1"/>
          <w:left w:val="none" w:color="auto" w:sz="0" w:space="4"/>
          <w:bottom w:val="none" w:color="auto" w:sz="0" w:space="1"/>
          <w:right w:val="none" w:color="auto" w:sz="0" w:space="4"/>
        </w:pBdr>
        <w:rPr>
          <w:rFonts w:hint="eastAsia" w:ascii="宋体" w:hAnsi="宋体" w:eastAsia="宋体" w:cs="宋体"/>
          <w:color w:val="auto"/>
          <w:sz w:val="24"/>
          <w:szCs w:val="24"/>
        </w:rPr>
      </w:pPr>
      <w:r>
        <w:rPr>
          <w:rFonts w:hint="eastAsia" w:ascii="宋体" w:hAnsi="宋体" w:eastAsia="宋体" w:cs="宋体"/>
          <w:color w:val="auto"/>
          <w:sz w:val="24"/>
          <w:szCs w:val="24"/>
        </w:rPr>
        <w:t>日     期：     年   月  日</w:t>
      </w:r>
    </w:p>
    <w:p w14:paraId="65289DDE">
      <w:pPr>
        <w:pStyle w:val="9"/>
        <w:pBdr>
          <w:top w:val="none" w:color="auto" w:sz="0" w:space="1"/>
          <w:left w:val="none" w:color="auto" w:sz="0" w:space="4"/>
          <w:bottom w:val="none" w:color="auto" w:sz="0" w:space="1"/>
          <w:right w:val="none" w:color="auto" w:sz="0" w:space="4"/>
        </w:pBdr>
        <w:rPr>
          <w:rFonts w:hint="eastAsia" w:ascii="宋体" w:hAnsi="宋体" w:eastAsia="宋体" w:cs="宋体"/>
          <w:color w:val="auto"/>
          <w:sz w:val="24"/>
          <w:szCs w:val="24"/>
        </w:rPr>
      </w:pPr>
    </w:p>
    <w:p w14:paraId="01137449">
      <w:pPr>
        <w:pStyle w:val="9"/>
        <w:pBdr>
          <w:top w:val="none" w:color="auto" w:sz="0" w:space="1"/>
          <w:left w:val="none" w:color="auto" w:sz="0" w:space="4"/>
          <w:bottom w:val="none" w:color="auto" w:sz="0" w:space="1"/>
          <w:right w:val="none" w:color="auto" w:sz="0" w:space="4"/>
        </w:pBdr>
        <w:jc w:val="center"/>
        <w:rPr>
          <w:rStyle w:val="46"/>
          <w:rFonts w:hint="eastAsia" w:ascii="宋体" w:hAnsi="宋体" w:eastAsia="宋体" w:cs="宋体"/>
          <w:color w:val="auto"/>
          <w:sz w:val="24"/>
          <w:szCs w:val="24"/>
        </w:rPr>
      </w:pPr>
      <w:r>
        <w:rPr>
          <w:rFonts w:hint="eastAsia" w:ascii="宋体" w:hAnsi="宋体" w:eastAsia="宋体" w:cs="宋体"/>
          <w:color w:val="auto"/>
          <w:sz w:val="24"/>
          <w:szCs w:val="24"/>
        </w:rPr>
        <w:br w:type="page"/>
      </w:r>
      <w:bookmarkStart w:id="270" w:name="_Toc13712"/>
      <w:bookmarkStart w:id="271" w:name="_Toc3388"/>
      <w:bookmarkStart w:id="272" w:name="_Toc9095"/>
      <w:r>
        <w:rPr>
          <w:rStyle w:val="46"/>
          <w:rFonts w:hint="eastAsia" w:ascii="宋体" w:hAnsi="宋体" w:eastAsia="宋体" w:cs="宋体"/>
          <w:color w:val="auto"/>
          <w:sz w:val="24"/>
          <w:szCs w:val="24"/>
        </w:rPr>
        <w:t>十、残疾人福利性单位声明函（潜在供应商为残疾人福利性单位时适用）</w:t>
      </w:r>
    </w:p>
    <w:bookmarkEnd w:id="270"/>
    <w:bookmarkEnd w:id="271"/>
    <w:bookmarkEnd w:id="272"/>
    <w:p w14:paraId="3C61858F">
      <w:pPr>
        <w:pBdr>
          <w:top w:val="none" w:color="auto" w:sz="0" w:space="1"/>
          <w:left w:val="none" w:color="auto" w:sz="0" w:space="4"/>
          <w:bottom w:val="none" w:color="auto" w:sz="0" w:space="1"/>
          <w:right w:val="none" w:color="auto" w:sz="0" w:space="4"/>
        </w:pBdr>
        <w:rPr>
          <w:rStyle w:val="46"/>
          <w:rFonts w:hint="eastAsia" w:ascii="宋体" w:hAnsi="宋体" w:eastAsia="宋体" w:cs="宋体"/>
          <w:sz w:val="24"/>
          <w:szCs w:val="24"/>
        </w:rPr>
      </w:pPr>
    </w:p>
    <w:p w14:paraId="76C8ADED">
      <w:pPr>
        <w:pBdr>
          <w:top w:val="none" w:color="auto" w:sz="0" w:space="1"/>
          <w:left w:val="none" w:color="auto" w:sz="0" w:space="4"/>
          <w:bottom w:val="none" w:color="auto" w:sz="0" w:space="1"/>
          <w:right w:val="none" w:color="auto" w:sz="0"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本公司郑重声明，根据《财政部民政部中国残疾人联合会关于促进残疾人就业政府采购政策的通知》（财库〔2017〕141号）的规定，本单位为符合条件的残疾人福利性单位，且本单位参加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u w:val="single"/>
        </w:rPr>
        <w:t xml:space="preserve">              </w:t>
      </w:r>
      <w:r>
        <w:rPr>
          <w:rFonts w:hint="eastAsia" w:ascii="宋体" w:hAnsi="宋体" w:eastAsia="宋体" w:cs="宋体"/>
          <w:sz w:val="24"/>
          <w:szCs w:val="24"/>
        </w:rPr>
        <w:t>单位的</w:t>
      </w:r>
      <w:r>
        <w:rPr>
          <w:rFonts w:hint="eastAsia" w:ascii="宋体" w:hAnsi="宋体" w:eastAsia="宋体" w:cs="宋体"/>
          <w:sz w:val="24"/>
          <w:szCs w:val="24"/>
          <w:u w:val="single"/>
        </w:rPr>
        <w:t xml:space="preserve">             </w:t>
      </w:r>
      <w:r>
        <w:rPr>
          <w:rFonts w:hint="eastAsia" w:ascii="宋体" w:hAnsi="宋体" w:eastAsia="宋体" w:cs="宋体"/>
          <w:sz w:val="24"/>
          <w:szCs w:val="24"/>
        </w:rPr>
        <w:t>项目（采购编号：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）项目采购活动提供本单位制造的货物（由本单位承担工程/提供服务），或者提供其他残疾人福利性单位制造的货物（不包括使用非残疾人福利性单位注册商标的货物）。 </w:t>
      </w:r>
    </w:p>
    <w:p w14:paraId="65CADE9A">
      <w:pPr>
        <w:pBdr>
          <w:top w:val="none" w:color="auto" w:sz="0" w:space="1"/>
          <w:left w:val="none" w:color="auto" w:sz="0" w:space="4"/>
          <w:bottom w:val="none" w:color="auto" w:sz="0" w:space="1"/>
          <w:right w:val="none" w:color="auto" w:sz="0"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4126A5A6">
      <w:pPr>
        <w:pBdr>
          <w:top w:val="none" w:color="auto" w:sz="0" w:space="1"/>
          <w:left w:val="none" w:color="auto" w:sz="0" w:space="4"/>
          <w:bottom w:val="none" w:color="auto" w:sz="0" w:space="1"/>
          <w:right w:val="none" w:color="auto" w:sz="0" w:space="4"/>
        </w:pBd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注：需提供相关证明资料。</w:t>
      </w:r>
    </w:p>
    <w:p w14:paraId="007FFC3C">
      <w:pPr>
        <w:pStyle w:val="9"/>
        <w:pBdr>
          <w:top w:val="none" w:color="auto" w:sz="0" w:space="1"/>
          <w:left w:val="none" w:color="auto" w:sz="0" w:space="4"/>
          <w:bottom w:val="none" w:color="auto" w:sz="0" w:space="1"/>
          <w:right w:val="none" w:color="auto" w:sz="0" w:space="4"/>
        </w:pBdr>
        <w:rPr>
          <w:rFonts w:hint="eastAsia" w:ascii="宋体" w:hAnsi="宋体" w:eastAsia="宋体" w:cs="宋体"/>
          <w:color w:val="auto"/>
          <w:sz w:val="24"/>
          <w:szCs w:val="24"/>
        </w:rPr>
      </w:pPr>
    </w:p>
    <w:p w14:paraId="334E0064">
      <w:pPr>
        <w:pStyle w:val="60"/>
        <w:spacing w:before="156" w:after="156"/>
        <w:rPr>
          <w:rFonts w:hint="eastAsia" w:ascii="宋体" w:hAnsi="宋体" w:eastAsia="宋体" w:cs="宋体"/>
          <w:sz w:val="24"/>
          <w:szCs w:val="24"/>
        </w:rPr>
      </w:pPr>
    </w:p>
    <w:p w14:paraId="3E1963C4">
      <w:pPr>
        <w:pStyle w:val="9"/>
        <w:pBdr>
          <w:top w:val="none" w:color="auto" w:sz="0" w:space="1"/>
          <w:left w:val="none" w:color="auto" w:sz="0" w:space="4"/>
          <w:bottom w:val="none" w:color="auto" w:sz="0" w:space="1"/>
          <w:right w:val="none" w:color="auto" w:sz="0" w:space="4"/>
        </w:pBdr>
        <w:rPr>
          <w:rFonts w:hint="eastAsia" w:ascii="宋体" w:hAnsi="宋体" w:eastAsia="宋体" w:cs="宋体"/>
          <w:color w:val="auto"/>
          <w:sz w:val="24"/>
          <w:szCs w:val="24"/>
        </w:rPr>
      </w:pPr>
    </w:p>
    <w:p w14:paraId="2DA7BE7C">
      <w:pPr>
        <w:pStyle w:val="9"/>
        <w:pBdr>
          <w:top w:val="none" w:color="auto" w:sz="0" w:space="1"/>
          <w:left w:val="none" w:color="auto" w:sz="0" w:space="4"/>
          <w:bottom w:val="none" w:color="auto" w:sz="0" w:space="1"/>
          <w:right w:val="none" w:color="auto" w:sz="0" w:space="4"/>
        </w:pBd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潜在供应商：</w:t>
      </w:r>
      <w:r>
        <w:rPr>
          <w:rFonts w:hint="eastAsia" w:ascii="宋体" w:hAnsi="宋体" w:eastAsia="宋体" w:cs="宋体"/>
          <w:color w:val="auto"/>
          <w:sz w:val="24"/>
          <w:szCs w:val="24"/>
          <w:u w:val="single"/>
        </w:rPr>
        <w:t xml:space="preserve">                    （电子签章）</w:t>
      </w:r>
    </w:p>
    <w:p w14:paraId="3197929A">
      <w:pPr>
        <w:pStyle w:val="9"/>
        <w:pBdr>
          <w:top w:val="none" w:color="auto" w:sz="0" w:space="1"/>
          <w:left w:val="none" w:color="auto" w:sz="0" w:space="4"/>
          <w:bottom w:val="none" w:color="auto" w:sz="0" w:space="1"/>
          <w:right w:val="none" w:color="auto" w:sz="0" w:space="4"/>
        </w:pBdr>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（签字或盖章）</w:t>
      </w:r>
    </w:p>
    <w:p w14:paraId="6F5D5D72">
      <w:pPr>
        <w:pStyle w:val="9"/>
        <w:pBdr>
          <w:top w:val="none" w:color="auto" w:sz="0" w:space="1"/>
          <w:left w:val="none" w:color="auto" w:sz="0" w:space="4"/>
          <w:bottom w:val="none" w:color="auto" w:sz="0" w:space="1"/>
          <w:right w:val="none" w:color="auto" w:sz="0" w:space="4"/>
        </w:pBd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     期：     年   月  日</w:t>
      </w:r>
    </w:p>
    <w:bookmarkEnd w:id="258"/>
    <w:bookmarkEnd w:id="259"/>
    <w:p w14:paraId="543E3945">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caps/>
          <w:sz w:val="24"/>
          <w:szCs w:val="24"/>
        </w:rPr>
      </w:pPr>
      <w:bookmarkStart w:id="273" w:name="_Toc654"/>
      <w:bookmarkStart w:id="274" w:name="_Toc22943"/>
    </w:p>
    <w:p w14:paraId="05CAF923">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caps/>
          <w:sz w:val="24"/>
          <w:szCs w:val="24"/>
        </w:rPr>
      </w:pPr>
    </w:p>
    <w:p w14:paraId="23E015AB">
      <w:pPr>
        <w:numPr>
          <w:ilvl w:val="1"/>
          <w:numId w:val="0"/>
        </w:numPr>
        <w:tabs>
          <w:tab w:val="left" w:pos="750"/>
        </w:tabs>
        <w:spacing w:line="360" w:lineRule="exact"/>
        <w:ind w:firstLine="480" w:firstLineChars="200"/>
        <w:rPr>
          <w:rFonts w:hint="eastAsia" w:ascii="宋体" w:hAnsi="宋体" w:eastAsia="宋体" w:cs="宋体"/>
          <w:sz w:val="24"/>
          <w:szCs w:val="24"/>
        </w:rPr>
      </w:pPr>
      <w:r>
        <w:rPr>
          <w:rFonts w:hint="eastAsia" w:ascii="宋体" w:hAnsi="宋体" w:eastAsia="宋体" w:cs="宋体"/>
          <w:b/>
          <w:sz w:val="24"/>
          <w:szCs w:val="24"/>
        </w:rPr>
        <w:t>注：</w:t>
      </w:r>
      <w:r>
        <w:rPr>
          <w:rFonts w:hint="eastAsia" w:ascii="宋体" w:hAnsi="宋体" w:eastAsia="宋体" w:cs="宋体"/>
          <w:b/>
          <w:bCs/>
          <w:sz w:val="24"/>
          <w:szCs w:val="24"/>
        </w:rPr>
        <w:t>符合条件的残疾人福利性单位在参加政府采购活动时，应当按《三部门联合发布关于促进残疾人就业政府采购政策的通知》（财库</w:t>
      </w:r>
      <w:r>
        <w:rPr>
          <w:rFonts w:hint="eastAsia" w:ascii="宋体" w:hAnsi="宋体" w:eastAsia="宋体" w:cs="宋体"/>
          <w:b/>
          <w:bCs/>
          <w:sz w:val="24"/>
          <w:szCs w:val="24"/>
          <w:lang w:eastAsia="zh-CN"/>
        </w:rPr>
        <w:t>〔2017〕</w:t>
      </w:r>
      <w:r>
        <w:rPr>
          <w:rFonts w:hint="eastAsia" w:ascii="宋体" w:hAnsi="宋体" w:eastAsia="宋体" w:cs="宋体"/>
          <w:b/>
          <w:bCs/>
          <w:sz w:val="24"/>
          <w:szCs w:val="24"/>
        </w:rPr>
        <w:t>141号）提供规定的《残疾人福利性单位声明函》，并对声明的真实性负责。如潜在供应商不属于残疾人福利性单位，则不需要提供该内容。</w:t>
      </w:r>
    </w:p>
    <w:p w14:paraId="0CBCDE89">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caps/>
          <w:sz w:val="24"/>
          <w:szCs w:val="24"/>
        </w:rPr>
      </w:pPr>
    </w:p>
    <w:p w14:paraId="38507DDA">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caps/>
          <w:sz w:val="24"/>
          <w:szCs w:val="24"/>
        </w:rPr>
      </w:pPr>
    </w:p>
    <w:p w14:paraId="2E9C033E">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caps/>
          <w:sz w:val="24"/>
          <w:szCs w:val="24"/>
        </w:rPr>
      </w:pPr>
    </w:p>
    <w:p w14:paraId="083BA826">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caps/>
          <w:sz w:val="24"/>
          <w:szCs w:val="24"/>
        </w:rPr>
      </w:pPr>
    </w:p>
    <w:p w14:paraId="75FC279A">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caps/>
          <w:sz w:val="24"/>
          <w:szCs w:val="24"/>
        </w:rPr>
      </w:pPr>
    </w:p>
    <w:p w14:paraId="1B40AE24">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caps/>
          <w:sz w:val="24"/>
          <w:szCs w:val="24"/>
        </w:rPr>
      </w:pPr>
    </w:p>
    <w:p w14:paraId="785A96B3">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caps/>
          <w:sz w:val="24"/>
          <w:szCs w:val="24"/>
        </w:rPr>
      </w:pPr>
    </w:p>
    <w:p w14:paraId="5E552102">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caps/>
          <w:sz w:val="24"/>
          <w:szCs w:val="24"/>
        </w:rPr>
      </w:pPr>
    </w:p>
    <w:p w14:paraId="6BC9AC54">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caps/>
          <w:sz w:val="24"/>
          <w:szCs w:val="24"/>
        </w:rPr>
      </w:pPr>
    </w:p>
    <w:p w14:paraId="68DEB932">
      <w:pPr>
        <w:pStyle w:val="3"/>
        <w:pBdr>
          <w:top w:val="none" w:color="auto" w:sz="0" w:space="1"/>
          <w:left w:val="none" w:color="auto" w:sz="0" w:space="4"/>
          <w:bottom w:val="none" w:color="auto" w:sz="0" w:space="1"/>
          <w:right w:val="none" w:color="auto" w:sz="0" w:space="4"/>
        </w:pBdr>
        <w:spacing w:line="480" w:lineRule="auto"/>
        <w:rPr>
          <w:rFonts w:hint="eastAsia" w:ascii="宋体" w:hAnsi="宋体" w:eastAsia="宋体" w:cs="宋体"/>
          <w:sz w:val="24"/>
          <w:szCs w:val="24"/>
        </w:rPr>
      </w:pPr>
      <w:bookmarkStart w:id="275" w:name="_Toc6689"/>
      <w:bookmarkStart w:id="276" w:name="_Toc6507"/>
      <w:bookmarkStart w:id="277" w:name="_Toc26313"/>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、潜在供应商认为应提交的其他资料</w:t>
      </w:r>
      <w:bookmarkEnd w:id="275"/>
      <w:bookmarkEnd w:id="276"/>
      <w:bookmarkEnd w:id="277"/>
    </w:p>
    <w:p w14:paraId="4DDC3F34">
      <w:pPr>
        <w:pBdr>
          <w:top w:val="none" w:color="auto" w:sz="0" w:space="1"/>
          <w:left w:val="none" w:color="auto" w:sz="0" w:space="4"/>
          <w:bottom w:val="none" w:color="auto" w:sz="0" w:space="1"/>
          <w:right w:val="none" w:color="auto" w:sz="0" w:space="4"/>
        </w:pBdr>
        <w:spacing w:line="360" w:lineRule="auto"/>
        <w:ind w:firstLine="1440" w:firstLineChars="600"/>
        <w:rPr>
          <w:rFonts w:hint="eastAsia" w:ascii="宋体" w:hAnsi="宋体" w:eastAsia="宋体" w:cs="宋体"/>
          <w:sz w:val="24"/>
          <w:szCs w:val="24"/>
        </w:rPr>
      </w:pPr>
      <w:r>
        <w:rPr>
          <w:rFonts w:hint="eastAsia" w:ascii="宋体" w:hAnsi="宋体" w:eastAsia="宋体" w:cs="宋体"/>
          <w:sz w:val="24"/>
          <w:szCs w:val="24"/>
        </w:rPr>
        <w:t xml:space="preserve">  </w:t>
      </w:r>
    </w:p>
    <w:p w14:paraId="07021CC8">
      <w:pPr>
        <w:rPr>
          <w:rFonts w:hint="eastAsia" w:ascii="宋体" w:hAnsi="宋体" w:eastAsia="宋体" w:cs="宋体"/>
          <w:b/>
          <w:caps/>
          <w:sz w:val="24"/>
          <w:szCs w:val="24"/>
        </w:rPr>
      </w:pPr>
      <w:r>
        <w:rPr>
          <w:rFonts w:hint="eastAsia" w:ascii="宋体" w:hAnsi="宋体" w:eastAsia="宋体" w:cs="宋体"/>
          <w:sz w:val="24"/>
          <w:szCs w:val="24"/>
        </w:rPr>
        <w:t>（1）竞争性磋商文件中所</w:t>
      </w:r>
      <w:r>
        <w:rPr>
          <w:rFonts w:hint="eastAsia" w:ascii="宋体" w:hAnsi="宋体" w:eastAsia="宋体" w:cs="宋体"/>
          <w:sz w:val="24"/>
          <w:szCs w:val="24"/>
          <w:lang w:eastAsia="zh-CN"/>
        </w:rPr>
        <w:t>涉及的相关</w:t>
      </w:r>
      <w:r>
        <w:rPr>
          <w:rFonts w:hint="eastAsia" w:ascii="宋体" w:hAnsi="宋体" w:eastAsia="宋体" w:cs="宋体"/>
          <w:sz w:val="24"/>
          <w:szCs w:val="24"/>
        </w:rPr>
        <w:t>资料及证明文件（格式中未体现的）或潜在供应商认为必须提供的其他相关资料。</w:t>
      </w:r>
      <w:r>
        <w:rPr>
          <w:rFonts w:hint="eastAsia" w:ascii="宋体" w:hAnsi="宋体" w:eastAsia="宋体" w:cs="宋体"/>
          <w:b/>
          <w:caps/>
          <w:sz w:val="24"/>
          <w:szCs w:val="24"/>
        </w:rPr>
        <w:br w:type="page"/>
      </w:r>
    </w:p>
    <w:p w14:paraId="19159DA4">
      <w:pPr>
        <w:pBdr>
          <w:top w:val="none" w:color="auto" w:sz="0" w:space="1"/>
          <w:left w:val="none" w:color="auto" w:sz="0" w:space="4"/>
          <w:bottom w:val="none" w:color="auto" w:sz="0" w:space="1"/>
          <w:right w:val="none" w:color="auto" w:sz="0" w:space="4"/>
        </w:pBdr>
        <w:spacing w:line="360" w:lineRule="auto"/>
        <w:jc w:val="center"/>
        <w:rPr>
          <w:rFonts w:hint="eastAsia" w:ascii="宋体" w:hAnsi="宋体" w:eastAsia="宋体" w:cs="宋体"/>
          <w:b/>
          <w:caps/>
          <w:sz w:val="24"/>
          <w:szCs w:val="24"/>
        </w:rPr>
      </w:pPr>
      <w:r>
        <w:rPr>
          <w:rFonts w:hint="eastAsia" w:ascii="宋体" w:hAnsi="宋体" w:eastAsia="宋体" w:cs="宋体"/>
          <w:b/>
          <w:caps/>
          <w:sz w:val="24"/>
          <w:szCs w:val="24"/>
        </w:rPr>
        <w:t>最终磋商报价一览表</w:t>
      </w:r>
    </w:p>
    <w:p w14:paraId="6635EC03">
      <w:pPr>
        <w:pBdr>
          <w:top w:val="none" w:color="auto" w:sz="0" w:space="1"/>
          <w:left w:val="none" w:color="auto" w:sz="0" w:space="4"/>
          <w:bottom w:val="none" w:color="auto" w:sz="0" w:space="1"/>
          <w:right w:val="none" w:color="auto" w:sz="0" w:space="4"/>
        </w:pBdr>
        <w:spacing w:line="240" w:lineRule="exact"/>
        <w:ind w:right="-244"/>
        <w:rPr>
          <w:rFonts w:hint="eastAsia" w:ascii="宋体" w:hAnsi="宋体" w:eastAsia="宋体" w:cs="宋体"/>
          <w:sz w:val="24"/>
          <w:szCs w:val="24"/>
        </w:rPr>
      </w:pPr>
      <w:r>
        <w:rPr>
          <w:rFonts w:hint="eastAsia" w:ascii="宋体" w:hAnsi="宋体" w:eastAsia="宋体" w:cs="宋体"/>
          <w:sz w:val="24"/>
          <w:szCs w:val="24"/>
        </w:rPr>
        <w:t>项目名称：</w:t>
      </w:r>
    </w:p>
    <w:p w14:paraId="64620F3B">
      <w:pPr>
        <w:pBdr>
          <w:top w:val="none" w:color="auto" w:sz="0" w:space="1"/>
          <w:left w:val="none" w:color="auto" w:sz="0" w:space="4"/>
          <w:bottom w:val="none" w:color="auto" w:sz="0" w:space="1"/>
          <w:right w:val="none" w:color="auto" w:sz="0" w:space="4"/>
        </w:pBdr>
        <w:rPr>
          <w:rFonts w:hint="eastAsia" w:ascii="宋体" w:hAnsi="宋体" w:eastAsia="宋体" w:cs="宋体"/>
          <w:kern w:val="0"/>
          <w:sz w:val="24"/>
          <w:szCs w:val="24"/>
        </w:rPr>
      </w:pPr>
      <w:r>
        <w:rPr>
          <w:rFonts w:hint="eastAsia" w:ascii="宋体" w:hAnsi="宋体" w:eastAsia="宋体" w:cs="宋体"/>
          <w:sz w:val="24"/>
          <w:szCs w:val="24"/>
        </w:rPr>
        <w:t>项目编号：</w:t>
      </w:r>
    </w:p>
    <w:tbl>
      <w:tblPr>
        <w:tblStyle w:val="25"/>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0"/>
        <w:gridCol w:w="7329"/>
      </w:tblGrid>
      <w:tr w14:paraId="4531A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2310" w:type="dxa"/>
            <w:vAlign w:val="center"/>
          </w:tcPr>
          <w:p w14:paraId="26A817C7">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潜在供应商名称</w:t>
            </w:r>
          </w:p>
        </w:tc>
        <w:tc>
          <w:tcPr>
            <w:tcW w:w="7329" w:type="dxa"/>
            <w:vAlign w:val="center"/>
          </w:tcPr>
          <w:p w14:paraId="6250ADD5">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0"/>
              <w:jc w:val="center"/>
              <w:rPr>
                <w:rFonts w:hint="eastAsia" w:ascii="宋体" w:hAnsi="宋体" w:eastAsia="宋体" w:cs="宋体"/>
                <w:sz w:val="24"/>
                <w:szCs w:val="24"/>
              </w:rPr>
            </w:pPr>
          </w:p>
        </w:tc>
      </w:tr>
      <w:tr w14:paraId="2512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2310" w:type="dxa"/>
            <w:vMerge w:val="restart"/>
            <w:vAlign w:val="center"/>
          </w:tcPr>
          <w:p w14:paraId="54B20083">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磋商总报价</w:t>
            </w:r>
          </w:p>
        </w:tc>
        <w:tc>
          <w:tcPr>
            <w:tcW w:w="7329" w:type="dxa"/>
            <w:vAlign w:val="center"/>
          </w:tcPr>
          <w:p w14:paraId="3AE8A063">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小写：</w:t>
            </w:r>
          </w:p>
        </w:tc>
      </w:tr>
      <w:tr w14:paraId="5D54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2310" w:type="dxa"/>
            <w:vMerge w:val="continue"/>
            <w:vAlign w:val="center"/>
          </w:tcPr>
          <w:p w14:paraId="76379E43">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0"/>
              <w:jc w:val="center"/>
              <w:rPr>
                <w:rFonts w:hint="eastAsia" w:ascii="宋体" w:hAnsi="宋体" w:eastAsia="宋体" w:cs="宋体"/>
                <w:kern w:val="0"/>
                <w:sz w:val="24"/>
                <w:szCs w:val="24"/>
              </w:rPr>
            </w:pPr>
          </w:p>
        </w:tc>
        <w:tc>
          <w:tcPr>
            <w:tcW w:w="7329" w:type="dxa"/>
            <w:vAlign w:val="center"/>
          </w:tcPr>
          <w:p w14:paraId="0EC8F87F">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rPr>
              <w:t>大写：</w:t>
            </w:r>
          </w:p>
        </w:tc>
      </w:tr>
      <w:tr w14:paraId="638D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10" w:type="dxa"/>
            <w:vAlign w:val="center"/>
          </w:tcPr>
          <w:p w14:paraId="09400A43">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rPr>
              <w:t>合同履行期限</w:t>
            </w:r>
          </w:p>
        </w:tc>
        <w:tc>
          <w:tcPr>
            <w:tcW w:w="7329" w:type="dxa"/>
            <w:vAlign w:val="center"/>
          </w:tcPr>
          <w:p w14:paraId="671DB980">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0"/>
              <w:rPr>
                <w:rFonts w:hint="eastAsia" w:ascii="宋体" w:hAnsi="宋体" w:eastAsia="宋体" w:cs="宋体"/>
                <w:sz w:val="24"/>
                <w:szCs w:val="24"/>
              </w:rPr>
            </w:pPr>
          </w:p>
        </w:tc>
      </w:tr>
      <w:tr w14:paraId="31BE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10" w:type="dxa"/>
            <w:vAlign w:val="center"/>
          </w:tcPr>
          <w:p w14:paraId="0B2BDCEB">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服务地点</w:t>
            </w:r>
          </w:p>
        </w:tc>
        <w:tc>
          <w:tcPr>
            <w:tcW w:w="7329" w:type="dxa"/>
            <w:vAlign w:val="center"/>
          </w:tcPr>
          <w:p w14:paraId="72176D35">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0"/>
              <w:rPr>
                <w:rFonts w:hint="eastAsia" w:ascii="宋体" w:hAnsi="宋体" w:eastAsia="宋体" w:cs="宋体"/>
                <w:sz w:val="24"/>
                <w:szCs w:val="24"/>
              </w:rPr>
            </w:pPr>
          </w:p>
        </w:tc>
      </w:tr>
      <w:tr w14:paraId="31DB3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10" w:type="dxa"/>
            <w:vAlign w:val="center"/>
          </w:tcPr>
          <w:p w14:paraId="34FC7FE5">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服务质量承诺</w:t>
            </w:r>
          </w:p>
        </w:tc>
        <w:tc>
          <w:tcPr>
            <w:tcW w:w="7329" w:type="dxa"/>
            <w:vAlign w:val="center"/>
          </w:tcPr>
          <w:p w14:paraId="6668FF21">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0"/>
              <w:rPr>
                <w:rFonts w:hint="eastAsia" w:ascii="宋体" w:hAnsi="宋体" w:eastAsia="宋体" w:cs="宋体"/>
                <w:sz w:val="24"/>
                <w:szCs w:val="24"/>
              </w:rPr>
            </w:pPr>
          </w:p>
        </w:tc>
      </w:tr>
      <w:tr w14:paraId="5359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310" w:type="dxa"/>
            <w:vAlign w:val="center"/>
          </w:tcPr>
          <w:p w14:paraId="239A7947">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0"/>
              <w:jc w:val="center"/>
              <w:rPr>
                <w:rFonts w:hint="eastAsia" w:ascii="宋体" w:hAnsi="宋体" w:eastAsia="宋体" w:cs="宋体"/>
                <w:bCs/>
                <w:kern w:val="0"/>
                <w:sz w:val="24"/>
                <w:szCs w:val="24"/>
              </w:rPr>
            </w:pPr>
            <w:r>
              <w:rPr>
                <w:rFonts w:hint="eastAsia" w:ascii="宋体" w:hAnsi="宋体" w:eastAsia="宋体" w:cs="宋体"/>
                <w:bCs/>
                <w:kern w:val="0"/>
                <w:sz w:val="24"/>
                <w:szCs w:val="24"/>
              </w:rPr>
              <w:t>备注</w:t>
            </w:r>
          </w:p>
        </w:tc>
        <w:tc>
          <w:tcPr>
            <w:tcW w:w="7329" w:type="dxa"/>
            <w:vAlign w:val="center"/>
          </w:tcPr>
          <w:p w14:paraId="324EF6F5">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0"/>
              <w:rPr>
                <w:rFonts w:hint="eastAsia" w:ascii="宋体" w:hAnsi="宋体" w:eastAsia="宋体" w:cs="宋体"/>
                <w:sz w:val="24"/>
                <w:szCs w:val="24"/>
              </w:rPr>
            </w:pPr>
          </w:p>
        </w:tc>
      </w:tr>
      <w:tr w14:paraId="59A5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exact"/>
        </w:trPr>
        <w:tc>
          <w:tcPr>
            <w:tcW w:w="9639" w:type="dxa"/>
            <w:gridSpan w:val="2"/>
            <w:vAlign w:val="center"/>
          </w:tcPr>
          <w:p w14:paraId="3F131CC0">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0"/>
              <w:rPr>
                <w:rFonts w:hint="eastAsia" w:ascii="宋体" w:hAnsi="宋体" w:eastAsia="宋体" w:cs="宋体"/>
                <w:sz w:val="24"/>
                <w:szCs w:val="24"/>
              </w:rPr>
            </w:pPr>
            <w:r>
              <w:rPr>
                <w:rFonts w:hint="eastAsia" w:ascii="宋体" w:hAnsi="宋体" w:eastAsia="宋体" w:cs="宋体"/>
                <w:sz w:val="24"/>
                <w:szCs w:val="24"/>
              </w:rPr>
              <w:t>潜在供应商名称（电子签章）：</w:t>
            </w:r>
          </w:p>
        </w:tc>
      </w:tr>
      <w:tr w14:paraId="5C4A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exact"/>
        </w:trPr>
        <w:tc>
          <w:tcPr>
            <w:tcW w:w="9639" w:type="dxa"/>
            <w:gridSpan w:val="2"/>
            <w:vAlign w:val="bottom"/>
          </w:tcPr>
          <w:p w14:paraId="5BA90458">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480"/>
              <w:rPr>
                <w:rFonts w:hint="eastAsia" w:ascii="宋体" w:hAnsi="宋体" w:eastAsia="宋体" w:cs="宋体"/>
                <w:sz w:val="24"/>
                <w:szCs w:val="24"/>
              </w:rPr>
            </w:pPr>
            <w:r>
              <w:rPr>
                <w:rFonts w:hint="eastAsia" w:ascii="宋体" w:hAnsi="宋体" w:eastAsia="宋体" w:cs="宋体"/>
                <w:sz w:val="24"/>
                <w:szCs w:val="24"/>
              </w:rPr>
              <w:t>法定代表人或被授权人（签字或盖章）：</w:t>
            </w:r>
          </w:p>
          <w:p w14:paraId="6E092255">
            <w:pPr>
              <w:keepNext w:val="0"/>
              <w:keepLines w:val="0"/>
              <w:suppressLineNumbers w:val="0"/>
              <w:pBdr>
                <w:top w:val="none" w:color="auto" w:sz="0" w:space="1"/>
                <w:left w:val="none" w:color="auto" w:sz="0" w:space="4"/>
                <w:bottom w:val="none" w:color="auto" w:sz="0" w:space="1"/>
                <w:right w:val="none" w:color="auto" w:sz="0" w:space="4"/>
              </w:pBdr>
              <w:spacing w:before="120" w:beforeAutospacing="0" w:after="120" w:afterAutospacing="0" w:line="240" w:lineRule="atLeast"/>
              <w:ind w:left="0" w:right="0"/>
              <w:jc w:val="right"/>
              <w:rPr>
                <w:rFonts w:hint="eastAsia" w:ascii="宋体" w:hAnsi="宋体" w:eastAsia="宋体" w:cs="宋体"/>
                <w:sz w:val="24"/>
                <w:szCs w:val="24"/>
              </w:rPr>
            </w:pPr>
            <w:r>
              <w:rPr>
                <w:rFonts w:hint="eastAsia" w:ascii="宋体" w:hAnsi="宋体" w:eastAsia="宋体" w:cs="宋体"/>
                <w:sz w:val="24"/>
                <w:szCs w:val="24"/>
              </w:rPr>
              <w:t>日期：    年    月    日</w:t>
            </w:r>
          </w:p>
        </w:tc>
      </w:tr>
    </w:tbl>
    <w:p w14:paraId="5D16D7BC">
      <w:pPr>
        <w:pStyle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6D6CD1B7">
      <w:pPr>
        <w:rPr>
          <w:rFonts w:hint="eastAsia" w:ascii="宋体" w:hAnsi="宋体" w:eastAsia="宋体" w:cs="宋体"/>
          <w:b/>
          <w:bCs/>
          <w:sz w:val="24"/>
          <w:szCs w:val="24"/>
        </w:rPr>
      </w:pPr>
      <w:r>
        <w:rPr>
          <w:rFonts w:hint="eastAsia" w:ascii="宋体" w:hAnsi="宋体" w:eastAsia="宋体" w:cs="宋体"/>
          <w:b/>
          <w:bCs/>
          <w:sz w:val="24"/>
          <w:szCs w:val="24"/>
        </w:rPr>
        <w:t>注：1、磋商报价方式：以总价的方式进行报价，按“潜在供应商须知前附表”要求执行；</w:t>
      </w:r>
    </w:p>
    <w:p w14:paraId="4CCBD6BA">
      <w:pPr>
        <w:pStyle w:val="9"/>
        <w:rPr>
          <w:rFonts w:hint="eastAsia" w:ascii="宋体" w:hAnsi="宋体" w:eastAsia="宋体" w:cs="宋体"/>
          <w:color w:val="auto"/>
          <w:sz w:val="24"/>
          <w:szCs w:val="24"/>
        </w:rPr>
      </w:pPr>
      <w:r>
        <w:rPr>
          <w:rFonts w:hint="eastAsia" w:ascii="宋体" w:hAnsi="宋体" w:eastAsia="宋体" w:cs="宋体"/>
          <w:b/>
          <w:color w:val="auto"/>
          <w:sz w:val="24"/>
          <w:szCs w:val="24"/>
          <w:lang w:eastAsia="zh-CN"/>
        </w:rPr>
        <w:t>2.</w:t>
      </w:r>
      <w:r>
        <w:rPr>
          <w:rFonts w:hint="eastAsia" w:ascii="宋体" w:hAnsi="宋体" w:eastAsia="宋体" w:cs="宋体"/>
          <w:b/>
          <w:color w:val="auto"/>
          <w:sz w:val="24"/>
          <w:szCs w:val="24"/>
        </w:rPr>
        <w:t>最终报价由法定代表人或其委托代理人在磋商现场直接填报。磋商报价高于采购控制价时，为废标。</w:t>
      </w:r>
    </w:p>
    <w:p w14:paraId="419EC044">
      <w:pPr>
        <w:pBdr>
          <w:top w:val="none" w:color="auto" w:sz="0" w:space="1"/>
          <w:left w:val="none" w:color="auto" w:sz="0" w:space="4"/>
          <w:bottom w:val="none" w:color="auto" w:sz="0" w:space="1"/>
          <w:right w:val="none" w:color="auto" w:sz="0" w:space="4"/>
        </w:pBd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br w:type="page"/>
      </w:r>
      <w:bookmarkEnd w:id="273"/>
      <w:bookmarkEnd w:id="274"/>
    </w:p>
    <w:p w14:paraId="1330C017">
      <w:pPr>
        <w:pStyle w:val="15"/>
        <w:ind w:left="0" w:leftChars="0" w:firstLine="480" w:firstLineChars="200"/>
        <w:rPr>
          <w:rFonts w:hint="eastAsia" w:ascii="宋体" w:hAnsi="宋体" w:eastAsia="宋体" w:cs="宋体"/>
          <w:b/>
          <w:color w:val="auto"/>
          <w:kern w:val="0"/>
          <w:sz w:val="24"/>
          <w:szCs w:val="24"/>
        </w:rPr>
        <w:sectPr>
          <w:footerReference r:id="rId17" w:type="first"/>
          <w:headerReference r:id="rId15" w:type="default"/>
          <w:footerReference r:id="rId16" w:type="default"/>
          <w:pgSz w:w="11907" w:h="16840"/>
          <w:pgMar w:top="1440" w:right="1100" w:bottom="1440" w:left="1083" w:header="737" w:footer="737" w:gutter="0"/>
          <w:pgNumType w:fmt="decimal"/>
          <w:cols w:space="720" w:num="1"/>
          <w:titlePg/>
          <w:docGrid w:type="linesAndChars" w:linePitch="312" w:charSpace="0"/>
        </w:sectPr>
      </w:pPr>
    </w:p>
    <w:p w14:paraId="7065740E">
      <w:pPr>
        <w:pStyle w:val="2"/>
        <w:bidi w:val="0"/>
        <w:rPr>
          <w:rFonts w:hint="eastAsia" w:ascii="宋体" w:hAnsi="宋体" w:eastAsia="宋体" w:cs="宋体"/>
          <w:color w:val="auto"/>
          <w:sz w:val="24"/>
          <w:szCs w:val="24"/>
          <w:lang w:eastAsia="zh-CN"/>
        </w:rPr>
      </w:pPr>
      <w:bookmarkStart w:id="278" w:name="_Toc26737"/>
      <w:r>
        <w:rPr>
          <w:rFonts w:hint="eastAsia" w:ascii="宋体" w:hAnsi="宋体" w:eastAsia="宋体" w:cs="宋体"/>
          <w:color w:val="auto"/>
          <w:sz w:val="24"/>
          <w:szCs w:val="24"/>
          <w:lang w:val="en-US" w:eastAsia="zh-CN"/>
        </w:rPr>
        <w:t>第</w:t>
      </w:r>
      <w:r>
        <w:rPr>
          <w:rFonts w:hint="eastAsia" w:ascii="宋体" w:hAnsi="宋体" w:eastAsia="宋体" w:cs="宋体"/>
          <w:color w:val="auto"/>
          <w:sz w:val="24"/>
          <w:szCs w:val="24"/>
        </w:rPr>
        <w:t xml:space="preserve">五章 </w:t>
      </w:r>
      <w:bookmarkStart w:id="279" w:name="_Toc23598"/>
      <w:r>
        <w:rPr>
          <w:rFonts w:hint="eastAsia" w:ascii="宋体" w:hAnsi="宋体" w:eastAsia="宋体" w:cs="宋体"/>
          <w:color w:val="auto"/>
          <w:sz w:val="24"/>
          <w:szCs w:val="24"/>
        </w:rPr>
        <w:t>合同条款及格式</w:t>
      </w:r>
      <w:bookmarkEnd w:id="279"/>
      <w:r>
        <w:rPr>
          <w:rFonts w:hint="eastAsia" w:ascii="宋体" w:hAnsi="宋体" w:eastAsia="宋体" w:cs="宋体"/>
          <w:color w:val="auto"/>
          <w:sz w:val="24"/>
          <w:szCs w:val="24"/>
          <w:lang w:eastAsia="zh-CN"/>
        </w:rPr>
        <w:t>（参考）</w:t>
      </w:r>
      <w:bookmarkEnd w:id="278"/>
    </w:p>
    <w:p w14:paraId="1568496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由招标人与中标人共同商议后自行拟定</w:t>
      </w:r>
    </w:p>
    <w:p w14:paraId="2AC686A2">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4EBD8ED2">
      <w:pPr>
        <w:pStyle w:val="2"/>
        <w:rPr>
          <w:rFonts w:hint="eastAsia" w:ascii="宋体" w:hAnsi="宋体" w:eastAsia="宋体" w:cs="宋体"/>
          <w:b w:val="0"/>
          <w:color w:val="auto"/>
          <w:sz w:val="24"/>
          <w:szCs w:val="24"/>
          <w:lang w:val="en-US" w:eastAsia="zh-CN"/>
        </w:rPr>
      </w:pPr>
      <w:bookmarkStart w:id="280" w:name="_Toc32188"/>
      <w:r>
        <w:rPr>
          <w:rFonts w:hint="eastAsia" w:ascii="宋体" w:hAnsi="宋体" w:eastAsia="宋体" w:cs="宋体"/>
          <w:color w:val="auto"/>
          <w:sz w:val="24"/>
          <w:szCs w:val="24"/>
        </w:rPr>
        <w:t xml:space="preserve">第六章   </w:t>
      </w:r>
      <w:r>
        <w:rPr>
          <w:rFonts w:hint="eastAsia" w:ascii="宋体" w:hAnsi="宋体" w:eastAsia="宋体" w:cs="宋体"/>
          <w:color w:val="auto"/>
          <w:sz w:val="24"/>
          <w:szCs w:val="24"/>
          <w:lang w:eastAsia="zh-CN"/>
        </w:rPr>
        <w:t>采购需求</w:t>
      </w:r>
      <w:bookmarkEnd w:id="280"/>
    </w:p>
    <w:p w14:paraId="5116B8A9">
      <w:pPr>
        <w:ind w:firstLine="480" w:firstLineChars="200"/>
        <w:rPr>
          <w:rFonts w:hint="eastAsia" w:ascii="宋体" w:hAnsi="宋体" w:eastAsia="宋体" w:cs="宋体"/>
          <w:sz w:val="24"/>
          <w:szCs w:val="24"/>
        </w:rPr>
      </w:pPr>
    </w:p>
    <w:p w14:paraId="01BD654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为了加强学校安全防范，规范安全管理，学校拟通过政府采购</w:t>
      </w:r>
      <w:r>
        <w:rPr>
          <w:rFonts w:hint="eastAsia" w:ascii="宋体" w:hAnsi="宋体" w:eastAsia="宋体" w:cs="宋体"/>
          <w:sz w:val="24"/>
          <w:szCs w:val="24"/>
          <w:lang w:val="en-US" w:eastAsia="zh-CN"/>
        </w:rPr>
        <w:t>保安</w:t>
      </w:r>
      <w:r>
        <w:rPr>
          <w:rFonts w:hint="eastAsia" w:ascii="宋体" w:hAnsi="宋体" w:eastAsia="宋体" w:cs="宋体"/>
          <w:sz w:val="24"/>
          <w:szCs w:val="24"/>
        </w:rPr>
        <w:t>服务方式，配备一支专业化的保安队伍，加强我校的安全防范工作。</w:t>
      </w:r>
    </w:p>
    <w:p w14:paraId="0306D348">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一.项目概况</w:t>
      </w:r>
    </w:p>
    <w:p w14:paraId="548AACF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1.1项目名称:</w:t>
      </w:r>
      <w:r>
        <w:rPr>
          <w:rFonts w:hint="eastAsia" w:ascii="宋体" w:hAnsi="宋体" w:cs="宋体"/>
          <w:sz w:val="24"/>
          <w:szCs w:val="24"/>
          <w:lang w:eastAsia="zh-CN"/>
        </w:rPr>
        <w:t>蒙自市文澜中心学校采购保安服务（三次）</w:t>
      </w:r>
      <w:r>
        <w:rPr>
          <w:rFonts w:hint="eastAsia" w:ascii="宋体" w:hAnsi="宋体" w:eastAsia="宋体" w:cs="宋体"/>
          <w:sz w:val="24"/>
          <w:szCs w:val="24"/>
        </w:rPr>
        <w:t>。</w:t>
      </w:r>
    </w:p>
    <w:p w14:paraId="6C0B4D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1.2采购内容:本项目确定一家保安公司投入学校安全防范服务，做好学校的安保服务工作。</w:t>
      </w:r>
    </w:p>
    <w:p w14:paraId="7FD64A2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1.3项目预算金额:1年共计人民币</w:t>
      </w:r>
      <w:r>
        <w:rPr>
          <w:rFonts w:hint="eastAsia" w:ascii="宋体" w:hAnsi="宋体" w:eastAsia="宋体" w:cs="宋体"/>
          <w:sz w:val="24"/>
          <w:szCs w:val="24"/>
          <w:u w:val="single"/>
          <w:lang w:val="en-US" w:eastAsia="zh-CN"/>
        </w:rPr>
        <w:t>叁拾贰万肆仟元整</w:t>
      </w:r>
      <w:r>
        <w:rPr>
          <w:rFonts w:hint="eastAsia" w:ascii="宋体" w:hAnsi="宋体" w:eastAsia="宋体" w:cs="宋体"/>
          <w:sz w:val="24"/>
          <w:szCs w:val="24"/>
        </w:rPr>
        <w:t>（</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324000</w:t>
      </w:r>
      <w:r>
        <w:rPr>
          <w:rFonts w:hint="eastAsia" w:ascii="宋体" w:hAnsi="宋体" w:eastAsia="宋体" w:cs="宋体"/>
          <w:sz w:val="24"/>
          <w:szCs w:val="24"/>
          <w:u w:val="single"/>
        </w:rPr>
        <w:t>.00元整</w:t>
      </w:r>
      <w:r>
        <w:rPr>
          <w:rFonts w:hint="eastAsia" w:ascii="宋体" w:hAnsi="宋体" w:eastAsia="宋体" w:cs="宋体"/>
          <w:sz w:val="24"/>
          <w:szCs w:val="24"/>
        </w:rPr>
        <w:t>）。</w:t>
      </w:r>
    </w:p>
    <w:p w14:paraId="4C623E5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1.4服务周期:自签订合同起服务期限1年。</w:t>
      </w:r>
    </w:p>
    <w:p w14:paraId="4658F7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1.5付款方式</w:t>
      </w:r>
      <w:r>
        <w:rPr>
          <w:rFonts w:hint="eastAsia" w:ascii="宋体" w:hAnsi="宋体" w:eastAsia="宋体" w:cs="宋体"/>
          <w:sz w:val="24"/>
          <w:szCs w:val="24"/>
          <w:highlight w:val="none"/>
        </w:rPr>
        <w:t>：按月付款（每月一付）。</w:t>
      </w:r>
    </w:p>
    <w:p w14:paraId="4626FA9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1.6服务要求：</w:t>
      </w:r>
    </w:p>
    <w:p w14:paraId="1D4240B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1.6.1安保人员要求:初中文化以上，退伍军人优先，性别男，民族不限，年龄18-55岁之间，男性身高160以上，并提供保安证，需执证上岗，安保人员有政审合格及无犯罪记录或证明等。</w:t>
      </w:r>
    </w:p>
    <w:p w14:paraId="54BC635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1.6.2</w:t>
      </w:r>
      <w:r>
        <w:rPr>
          <w:rFonts w:hint="eastAsia" w:ascii="宋体" w:hAnsi="宋体" w:eastAsia="宋体" w:cs="宋体"/>
          <w:sz w:val="24"/>
          <w:szCs w:val="24"/>
        </w:rPr>
        <w:t>保安公司</w:t>
      </w:r>
      <w:r>
        <w:rPr>
          <w:rFonts w:hint="eastAsia" w:ascii="宋体" w:hAnsi="宋体" w:eastAsia="宋体" w:cs="宋体"/>
          <w:sz w:val="24"/>
          <w:szCs w:val="24"/>
          <w:lang w:val="en-US" w:eastAsia="zh-CN"/>
        </w:rPr>
        <w:t>派驻学校安保人员</w:t>
      </w:r>
      <w:r>
        <w:rPr>
          <w:rFonts w:hint="eastAsia" w:ascii="宋体" w:hAnsi="宋体" w:eastAsia="宋体" w:cs="宋体"/>
          <w:sz w:val="24"/>
          <w:szCs w:val="24"/>
        </w:rPr>
        <w:t>要求：</w:t>
      </w:r>
      <w:r>
        <w:rPr>
          <w:rFonts w:hint="eastAsia" w:ascii="宋体" w:hAnsi="宋体" w:eastAsia="宋体" w:cs="宋体"/>
          <w:sz w:val="24"/>
          <w:szCs w:val="24"/>
          <w:highlight w:val="none"/>
          <w:lang w:val="en-US" w:eastAsia="zh-CN"/>
        </w:rPr>
        <w:t>进驻</w:t>
      </w:r>
      <w:r>
        <w:rPr>
          <w:rFonts w:hint="eastAsia" w:ascii="宋体" w:hAnsi="宋体" w:eastAsia="宋体" w:cs="宋体"/>
          <w:sz w:val="24"/>
          <w:szCs w:val="24"/>
          <w:highlight w:val="none"/>
        </w:rPr>
        <w:t>学校</w:t>
      </w:r>
      <w:r>
        <w:rPr>
          <w:rFonts w:hint="eastAsia" w:ascii="宋体" w:hAnsi="宋体" w:eastAsia="宋体" w:cs="宋体"/>
          <w:sz w:val="24"/>
          <w:szCs w:val="24"/>
          <w:highlight w:val="none"/>
          <w:lang w:val="en-US" w:eastAsia="zh-CN"/>
        </w:rPr>
        <w:t>前对</w:t>
      </w:r>
      <w:r>
        <w:rPr>
          <w:rFonts w:hint="eastAsia" w:ascii="宋体" w:hAnsi="宋体" w:eastAsia="宋体" w:cs="宋体"/>
          <w:sz w:val="24"/>
          <w:szCs w:val="24"/>
          <w:highlight w:val="none"/>
        </w:rPr>
        <w:t>保安</w:t>
      </w:r>
      <w:r>
        <w:rPr>
          <w:rFonts w:hint="eastAsia" w:ascii="宋体" w:hAnsi="宋体" w:eastAsia="宋体" w:cs="宋体"/>
          <w:sz w:val="24"/>
          <w:szCs w:val="24"/>
          <w:highlight w:val="none"/>
          <w:lang w:val="en-US" w:eastAsia="zh-CN"/>
        </w:rPr>
        <w:t>人员</w:t>
      </w:r>
      <w:r>
        <w:rPr>
          <w:rFonts w:hint="eastAsia" w:ascii="宋体" w:hAnsi="宋体" w:eastAsia="宋体" w:cs="宋体"/>
          <w:sz w:val="24"/>
          <w:szCs w:val="24"/>
          <w:highlight w:val="none"/>
        </w:rPr>
        <w:t>进行培训，培训符合学校要求后留用，不符合</w:t>
      </w:r>
      <w:r>
        <w:rPr>
          <w:rFonts w:hint="eastAsia" w:ascii="宋体" w:hAnsi="宋体" w:eastAsia="宋体" w:cs="宋体"/>
          <w:sz w:val="24"/>
          <w:szCs w:val="24"/>
          <w:highlight w:val="none"/>
          <w:lang w:val="en-US" w:eastAsia="zh-CN"/>
        </w:rPr>
        <w:t>要求保安</w:t>
      </w:r>
      <w:r>
        <w:rPr>
          <w:rFonts w:hint="eastAsia" w:ascii="宋体" w:hAnsi="宋体" w:eastAsia="宋体" w:cs="宋体"/>
          <w:sz w:val="24"/>
          <w:szCs w:val="24"/>
          <w:highlight w:val="none"/>
        </w:rPr>
        <w:t>人员，由安保公司</w:t>
      </w:r>
      <w:r>
        <w:rPr>
          <w:rFonts w:hint="eastAsia" w:ascii="宋体" w:hAnsi="宋体" w:eastAsia="宋体" w:cs="宋体"/>
          <w:sz w:val="24"/>
          <w:szCs w:val="24"/>
          <w:highlight w:val="none"/>
          <w:lang w:val="en-US" w:eastAsia="zh-CN"/>
        </w:rPr>
        <w:t>及时</w:t>
      </w:r>
      <w:r>
        <w:rPr>
          <w:rFonts w:hint="eastAsia" w:ascii="宋体" w:hAnsi="宋体" w:eastAsia="宋体" w:cs="宋体"/>
          <w:sz w:val="24"/>
          <w:szCs w:val="24"/>
          <w:highlight w:val="none"/>
        </w:rPr>
        <w:t>调整</w:t>
      </w:r>
      <w:r>
        <w:rPr>
          <w:rFonts w:hint="eastAsia" w:ascii="宋体" w:hAnsi="宋体" w:eastAsia="宋体" w:cs="宋体"/>
          <w:sz w:val="24"/>
          <w:szCs w:val="24"/>
          <w:highlight w:val="none"/>
          <w:lang w:eastAsia="zh-CN"/>
        </w:rPr>
        <w:t>。</w:t>
      </w:r>
    </w:p>
    <w:p w14:paraId="0C0F9AD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1.6.3采购人根据采购项目提出的特殊要求：①供应商在红河州具有能独立实施本项目的常驻机构，若供应商为红河州以外的企业，中标后须在红河州有办事机构（提供证明材料）；且法人代表或负责人持有职业资格证书。②</w:t>
      </w:r>
      <w:r>
        <w:rPr>
          <w:rFonts w:hint="eastAsia" w:ascii="宋体" w:hAnsi="宋体" w:eastAsia="宋体" w:cs="宋体"/>
          <w:bCs/>
          <w:sz w:val="24"/>
          <w:szCs w:val="24"/>
        </w:rPr>
        <w:t>安保形象：</w:t>
      </w:r>
      <w:r>
        <w:rPr>
          <w:rFonts w:hint="eastAsia" w:ascii="宋体" w:hAnsi="宋体" w:eastAsia="宋体" w:cs="宋体"/>
          <w:sz w:val="24"/>
          <w:szCs w:val="24"/>
        </w:rPr>
        <w:t>统一配发保安制式服装，遇学校特殊情况（如学校大型活动或领导来校检查）需配合学校完成工作任务的，保安公司无条件抽调保安力量给予支持，并保证维护学校面貌的前提下配备武装带、白手套等来提升学校的整体形象。</w:t>
      </w:r>
    </w:p>
    <w:p w14:paraId="7F2E934C">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二.学校岗位要求</w:t>
      </w:r>
    </w:p>
    <w:p w14:paraId="61C8975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2.1对所有外来访校人员进行第一印象判断，问清所有外来访校人员意图，严禁社会闲杂人员、推销商品人员、危险人员等进入校园。</w:t>
      </w:r>
    </w:p>
    <w:p w14:paraId="14348F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2.2认真核实进入学校的外来不明身份人员的相关证件及有无易燃易爆、管制刀具等危险物品等带入学校。</w:t>
      </w:r>
    </w:p>
    <w:p w14:paraId="3FC6336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t>2.3</w:t>
      </w:r>
      <w:r>
        <w:rPr>
          <w:rFonts w:hint="eastAsia" w:ascii="宋体" w:hAnsi="宋体" w:eastAsia="宋体" w:cs="宋体"/>
          <w:sz w:val="24"/>
          <w:szCs w:val="24"/>
        </w:rPr>
        <w:t>对所有外来访校人员问清情况并核实证件，无危险物品后，做好登记方可入校。对拒不出示证件或不能证明其身份的外来人员，要坚决拒绝其进入学校并做好解释工作。</w:t>
      </w:r>
    </w:p>
    <w:p w14:paraId="65A19AA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2.4对所有外来访校人员到校情况做好登记，防止意外情况发生，并督促填写好离校登记。</w:t>
      </w:r>
    </w:p>
    <w:p w14:paraId="5E05F9A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原则上不允许学生上课期间外出，学生确实因特殊情况需出校门时，门卫应认真查验由学校或班主任开具并签字的出校(出门条)手续，并予以核实(并进行登记)后方可离校。同时，门卫应将学生出校手续(出门条)存档备案。</w:t>
      </w:r>
    </w:p>
    <w:p w14:paraId="4071C1F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2.6高度戒备教学活动期间、周末、节假日时段人员出入校门情况。 </w:t>
      </w:r>
    </w:p>
    <w:p w14:paraId="265E93E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2.7学校在正常教育教学工作期间，对外来的车辆进入校办事需由车主打通学校相关人员电话，经门卫接通电话核实后，做好登记方可入校，并指挥车辆停放。</w:t>
      </w:r>
    </w:p>
    <w:p w14:paraId="25E3C85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2.8</w:t>
      </w:r>
      <w:r>
        <w:rPr>
          <w:rFonts w:hint="eastAsia" w:ascii="宋体" w:hAnsi="宋体" w:eastAsia="宋体" w:cs="宋体"/>
          <w:sz w:val="24"/>
          <w:szCs w:val="24"/>
          <w:lang w:val="en-US" w:eastAsia="zh-CN"/>
        </w:rPr>
        <w:t>指挥教师、接送学生家长</w:t>
      </w:r>
      <w:r>
        <w:rPr>
          <w:rFonts w:hint="eastAsia" w:ascii="宋体" w:hAnsi="宋体" w:eastAsia="宋体" w:cs="宋体"/>
          <w:sz w:val="24"/>
          <w:szCs w:val="24"/>
        </w:rPr>
        <w:t>车辆(非机动车)</w:t>
      </w:r>
      <w:r>
        <w:rPr>
          <w:rFonts w:hint="eastAsia" w:ascii="宋体" w:hAnsi="宋体" w:eastAsia="宋体" w:cs="宋体"/>
          <w:sz w:val="24"/>
          <w:szCs w:val="24"/>
          <w:lang w:val="en-US" w:eastAsia="zh-CN"/>
        </w:rPr>
        <w:t>有序停放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确保</w:t>
      </w:r>
      <w:r>
        <w:rPr>
          <w:rFonts w:hint="eastAsia" w:ascii="宋体" w:hAnsi="宋体" w:eastAsia="宋体" w:cs="宋体"/>
          <w:sz w:val="24"/>
          <w:szCs w:val="24"/>
        </w:rPr>
        <w:t>校内</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校门口</w:t>
      </w:r>
      <w:r>
        <w:rPr>
          <w:rFonts w:hint="eastAsia" w:ascii="宋体" w:hAnsi="宋体" w:eastAsia="宋体" w:cs="宋体"/>
          <w:sz w:val="24"/>
          <w:szCs w:val="24"/>
        </w:rPr>
        <w:t>停放确保有序，不得影响师生正常的学习</w:t>
      </w:r>
      <w:r>
        <w:rPr>
          <w:rFonts w:hint="eastAsia" w:ascii="宋体" w:hAnsi="宋体" w:eastAsia="宋体" w:cs="宋体"/>
          <w:sz w:val="24"/>
          <w:szCs w:val="24"/>
          <w:lang w:val="en-US" w:eastAsia="zh-CN"/>
        </w:rPr>
        <w:t>和出入</w:t>
      </w:r>
      <w:r>
        <w:rPr>
          <w:rFonts w:hint="eastAsia" w:ascii="宋体" w:hAnsi="宋体" w:eastAsia="宋体" w:cs="宋体"/>
          <w:sz w:val="24"/>
          <w:szCs w:val="24"/>
        </w:rPr>
        <w:t>。</w:t>
      </w:r>
    </w:p>
    <w:p w14:paraId="0507D32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2.9对进入学校的外来人员携带的物品进行询问、查验，严禁易燃易爆、剧毒、管制刀具等危险物品进入校园。学校因教学需要的化学实验药品等，必须由学校相关人员带入并登记。</w:t>
      </w:r>
    </w:p>
    <w:p w14:paraId="2A766EE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2.10对带出学校的可疑物品进行询问、查验，涉及带出学校财物须请示学校领导同意方可放行。</w:t>
      </w:r>
    </w:p>
    <w:p w14:paraId="6D4A65C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2.11对来访人员须电话确认后，登记方可放行。学生家长须在下课后及放学时间段才可登记进入(特殊情况除外)。</w:t>
      </w:r>
    </w:p>
    <w:p w14:paraId="6A4CADC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2.12大门岗保安</w:t>
      </w:r>
      <w:r>
        <w:rPr>
          <w:rFonts w:hint="eastAsia" w:ascii="宋体" w:hAnsi="宋体" w:eastAsia="宋体" w:cs="宋体"/>
          <w:sz w:val="24"/>
          <w:szCs w:val="24"/>
          <w:lang w:val="en-US" w:eastAsia="zh-CN"/>
        </w:rPr>
        <w:t>人</w:t>
      </w:r>
      <w:r>
        <w:rPr>
          <w:rFonts w:hint="eastAsia" w:ascii="宋体" w:hAnsi="宋体" w:eastAsia="宋体" w:cs="宋体"/>
          <w:sz w:val="24"/>
          <w:szCs w:val="24"/>
        </w:rPr>
        <w:t>员必须穿戴防刺服，持防卫器械站岗，上课和放学期间须在场指挥交通和车辆停放，关门时间由队长根据学生出入数量决定。</w:t>
      </w:r>
    </w:p>
    <w:p w14:paraId="45EA10D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2.13交接岗位工作时，认真填写交接班记录。</w:t>
      </w:r>
    </w:p>
    <w:p w14:paraId="673F65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2.14服从校领导的工作安排，</w:t>
      </w:r>
      <w:r>
        <w:rPr>
          <w:rFonts w:hint="eastAsia" w:ascii="宋体" w:hAnsi="宋体" w:eastAsia="宋体" w:cs="宋体"/>
          <w:sz w:val="24"/>
          <w:szCs w:val="24"/>
          <w:lang w:val="en-US" w:eastAsia="zh-CN"/>
        </w:rPr>
        <w:t>配合完成</w:t>
      </w:r>
      <w:r>
        <w:rPr>
          <w:rFonts w:hint="eastAsia" w:ascii="宋体" w:hAnsi="宋体" w:eastAsia="宋体" w:cs="宋体"/>
          <w:sz w:val="24"/>
          <w:szCs w:val="24"/>
        </w:rPr>
        <w:t>上级管理部门及学校交办</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整改</w:t>
      </w:r>
      <w:r>
        <w:rPr>
          <w:rFonts w:hint="eastAsia" w:ascii="宋体" w:hAnsi="宋体" w:eastAsia="宋体" w:cs="宋体"/>
          <w:sz w:val="24"/>
          <w:szCs w:val="24"/>
        </w:rPr>
        <w:t>的其它工作</w:t>
      </w:r>
      <w:r>
        <w:rPr>
          <w:rFonts w:hint="eastAsia" w:ascii="宋体" w:hAnsi="宋体" w:eastAsia="宋体" w:cs="宋体"/>
          <w:sz w:val="24"/>
          <w:szCs w:val="24"/>
          <w:lang w:val="en-US" w:eastAsia="zh-CN"/>
        </w:rPr>
        <w:t>事项</w:t>
      </w:r>
      <w:r>
        <w:rPr>
          <w:rFonts w:hint="eastAsia" w:ascii="宋体" w:hAnsi="宋体" w:eastAsia="宋体" w:cs="宋体"/>
          <w:sz w:val="24"/>
          <w:szCs w:val="24"/>
        </w:rPr>
        <w:t>。</w:t>
      </w:r>
    </w:p>
    <w:p w14:paraId="02DA82A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yellow"/>
          <w:lang w:eastAsia="zh-CN"/>
        </w:rPr>
      </w:pPr>
      <w:r>
        <w:rPr>
          <w:rFonts w:hint="eastAsia" w:ascii="宋体" w:hAnsi="宋体" w:eastAsia="宋体" w:cs="宋体"/>
          <w:sz w:val="24"/>
          <w:szCs w:val="24"/>
        </w:rPr>
        <w:t>2.15负责值守区域学校大门口及自己办公区域的卫生保洁工作</w:t>
      </w:r>
      <w:r>
        <w:rPr>
          <w:rFonts w:hint="eastAsia" w:ascii="宋体" w:hAnsi="宋体" w:eastAsia="宋体" w:cs="宋体"/>
          <w:sz w:val="24"/>
          <w:szCs w:val="24"/>
          <w:lang w:eastAsia="zh-CN"/>
        </w:rPr>
        <w:t>。</w:t>
      </w:r>
    </w:p>
    <w:p w14:paraId="053B55D7">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三.学校巡逻岗位要求</w:t>
      </w:r>
    </w:p>
    <w:p w14:paraId="0F1010A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w:t>
      </w:r>
      <w:r>
        <w:rPr>
          <w:rFonts w:hint="eastAsia" w:ascii="宋体" w:hAnsi="宋体" w:eastAsia="宋体" w:cs="宋体"/>
          <w:sz w:val="24"/>
          <w:szCs w:val="24"/>
          <w:lang w:val="en-US" w:eastAsia="zh-CN"/>
        </w:rPr>
        <w:t>做好</w:t>
      </w:r>
      <w:r>
        <w:rPr>
          <w:rFonts w:hint="eastAsia" w:ascii="宋体" w:hAnsi="宋体" w:eastAsia="宋体" w:cs="宋体"/>
          <w:sz w:val="24"/>
          <w:szCs w:val="24"/>
        </w:rPr>
        <w:t>校园巡查，并及时</w:t>
      </w:r>
      <w:r>
        <w:rPr>
          <w:rFonts w:hint="eastAsia" w:ascii="宋体" w:hAnsi="宋体" w:eastAsia="宋体" w:cs="宋体"/>
          <w:sz w:val="24"/>
          <w:szCs w:val="24"/>
          <w:lang w:val="en-US" w:eastAsia="zh-CN"/>
        </w:rPr>
        <w:t>填写</w:t>
      </w:r>
      <w:r>
        <w:rPr>
          <w:rFonts w:hint="eastAsia" w:ascii="宋体" w:hAnsi="宋体" w:eastAsia="宋体" w:cs="宋体"/>
          <w:sz w:val="24"/>
          <w:szCs w:val="24"/>
        </w:rPr>
        <w:t>巡逻记录，按规定时间段到指定区域位置做好巡查记录。</w:t>
      </w:r>
    </w:p>
    <w:p w14:paraId="4D3463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3.2要求不定时对</w:t>
      </w:r>
      <w:r>
        <w:rPr>
          <w:rFonts w:hint="eastAsia" w:ascii="宋体" w:hAnsi="宋体" w:eastAsia="宋体" w:cs="宋体"/>
          <w:sz w:val="24"/>
          <w:szCs w:val="24"/>
          <w:lang w:val="en-US" w:eastAsia="zh-CN"/>
        </w:rPr>
        <w:t>校园及周边</w:t>
      </w:r>
      <w:r>
        <w:rPr>
          <w:rFonts w:hint="eastAsia" w:ascii="宋体" w:hAnsi="宋体" w:eastAsia="宋体" w:cs="宋体"/>
          <w:sz w:val="24"/>
          <w:szCs w:val="24"/>
        </w:rPr>
        <w:t>区域进行巡逻，发现可疑人员、异常情况</w:t>
      </w:r>
      <w:r>
        <w:rPr>
          <w:rFonts w:hint="eastAsia" w:ascii="宋体" w:hAnsi="宋体" w:eastAsia="宋体" w:cs="宋体"/>
          <w:sz w:val="24"/>
          <w:szCs w:val="24"/>
          <w:lang w:eastAsia="zh-CN"/>
        </w:rPr>
        <w:t>、</w:t>
      </w:r>
      <w:r>
        <w:rPr>
          <w:rFonts w:hint="eastAsia" w:ascii="宋体" w:hAnsi="宋体" w:eastAsia="宋体" w:cs="宋体"/>
          <w:sz w:val="24"/>
          <w:szCs w:val="24"/>
        </w:rPr>
        <w:t>恶劣天气</w:t>
      </w:r>
      <w:r>
        <w:rPr>
          <w:rFonts w:hint="eastAsia" w:ascii="宋体" w:hAnsi="宋体" w:eastAsia="宋体" w:cs="宋体"/>
          <w:sz w:val="24"/>
          <w:szCs w:val="24"/>
          <w:lang w:val="en-US" w:eastAsia="zh-CN"/>
        </w:rPr>
        <w:t>造成的安全隐患</w:t>
      </w:r>
      <w:r>
        <w:rPr>
          <w:rFonts w:hint="eastAsia" w:ascii="宋体" w:hAnsi="宋体" w:eastAsia="宋体" w:cs="宋体"/>
          <w:sz w:val="24"/>
          <w:szCs w:val="24"/>
        </w:rPr>
        <w:t>要及时</w:t>
      </w:r>
      <w:r>
        <w:rPr>
          <w:rFonts w:hint="eastAsia" w:ascii="宋体" w:hAnsi="宋体" w:eastAsia="宋体" w:cs="宋体"/>
          <w:sz w:val="24"/>
          <w:szCs w:val="24"/>
          <w:lang w:val="en-US" w:eastAsia="zh-CN"/>
        </w:rPr>
        <w:t>上报或处理</w:t>
      </w:r>
      <w:r>
        <w:rPr>
          <w:rFonts w:hint="eastAsia" w:ascii="宋体" w:hAnsi="宋体" w:eastAsia="宋体" w:cs="宋体"/>
          <w:sz w:val="24"/>
          <w:szCs w:val="24"/>
        </w:rPr>
        <w:t>。</w:t>
      </w:r>
    </w:p>
    <w:p w14:paraId="1289966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3.3对学校综合办公楼、教学楼、学生宿舍、食堂、计算机房、配电房等重点部位要重点巡查。</w:t>
      </w:r>
    </w:p>
    <w:p w14:paraId="3CCFD31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3.4加强课间巡逻，制止人员喧哗、打架等影响正常教育教学秩序的行为，防范破坏公物、破坏花草树木等不良行为。</w:t>
      </w:r>
    </w:p>
    <w:p w14:paraId="6530809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3.5加强放学后巡逻工作，不得让学生在校逗留。</w:t>
      </w:r>
    </w:p>
    <w:p w14:paraId="45490C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3.6加强夜间巡逻工作，确保校内师生的人身和财产安全不受损失。</w:t>
      </w:r>
    </w:p>
    <w:p w14:paraId="3F6CFB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3.7学校保安在学生上、放学时段必须坚守岗位，及时排除校门口发放小广告人员、车辆堵塞障碍物以及接送学生家长拥挤校门现象等，有效疏通学生进出校门。必要时要迅速联系交通部门对校门口交通实行管制，全力保护学生出校路上的交通安全。</w:t>
      </w:r>
    </w:p>
    <w:p w14:paraId="1F89607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3.8学校保安应对在值班过程中出现的紧急情况予以适当处置。对于校园内打架斗殴、寻衅滋事、聚众闹事等紧急情况，应采取必要的妥善处置措施，防止事态的进一步扩大，并及时报告学校领导或报警。对于偷盗、抢劫、行凶等违法行为要立即报警并设法制止，同时做好现场保护工作。</w:t>
      </w:r>
    </w:p>
    <w:p w14:paraId="4D72010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3.9保安</w:t>
      </w:r>
      <w:r>
        <w:rPr>
          <w:rFonts w:hint="eastAsia" w:ascii="宋体" w:hAnsi="宋体" w:eastAsia="宋体" w:cs="宋体"/>
          <w:sz w:val="24"/>
          <w:szCs w:val="24"/>
          <w:highlight w:val="none"/>
          <w:lang w:val="en-US" w:eastAsia="zh-CN"/>
        </w:rPr>
        <w:t>公司应</w:t>
      </w:r>
      <w:r>
        <w:rPr>
          <w:rFonts w:hint="eastAsia" w:ascii="宋体" w:hAnsi="宋体" w:eastAsia="宋体" w:cs="宋体"/>
          <w:sz w:val="24"/>
          <w:szCs w:val="24"/>
          <w:highlight w:val="none"/>
        </w:rPr>
        <w:t>不定时对每个岗位进行查岗，避免出现睡岗、脱岗等问题，并做好检查记录。</w:t>
      </w:r>
    </w:p>
    <w:p w14:paraId="056DEEBB">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四.保安人员岗位职责</w:t>
      </w:r>
    </w:p>
    <w:p w14:paraId="474B4AA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4.1固定岗职责：</w:t>
      </w:r>
    </w:p>
    <w:p w14:paraId="79CD638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4.1.1各门岗认真履行门卫制度，做好进出人员及车辆的询问登记、车辆疏通工作，对车辆、物品、人员出入的控制把关。对不出示出入牌或拒绝出示出入牌的身份不明人员及车辆不得离开守护区域。</w:t>
      </w:r>
    </w:p>
    <w:p w14:paraId="2FE1F81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4.1.2对出去车辆所携带的物资进行检查、核查，禁止任何人员私自将危险物品和违禁物品带入；疏导出入车辆，清理门卫责任区内的无关人员及车辆，保证进出车辆畅通出入有序无阻；对出入人员、车辆应严格检查防止将危险物品带入守护区域。</w:t>
      </w:r>
    </w:p>
    <w:p w14:paraId="1BC8F35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4.1.3对携带物品进出的人和车辆，重点检查是否带有违禁物品。无手续和拒绝检查的应移交当地相关管理部门处理（备注：保安发现可疑人员时不得搜身，应及时报告上级领导；情况紧急应及时报警）。</w:t>
      </w:r>
    </w:p>
    <w:p w14:paraId="2AF42CD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4.1.4对于领导事先通知出入的免检对象，应根据通知的车号和其它免检标志放行；疏导出入车辆和行人，保证畅通有序。</w:t>
      </w:r>
    </w:p>
    <w:p w14:paraId="73D8108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4.1.5固定岗，应在上学、放学时段实行站立服务。</w:t>
      </w:r>
    </w:p>
    <w:p w14:paraId="6ED0C90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4.1.6安保人员需服从学校安工作管理及临时活动安保工作的调控。</w:t>
      </w:r>
    </w:p>
    <w:p w14:paraId="55F5DF2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4.1.7安保人员需做好学校大门附近环境卫生的保洁工作，协助学校绿化修剪、浇水等工作。</w:t>
      </w:r>
    </w:p>
    <w:p w14:paraId="3B931ED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4.2巡逻岗职责：</w:t>
      </w:r>
    </w:p>
    <w:p w14:paraId="6428ED5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4.2.1负责整个守护区域安全防范巡逻，注意对守护责任区域内的巡逻检查，并做好防火、防盗、防治安破坏的工作，维护守护责任区域的保卫目标安全及治安秩序，检查发现和防范安全方面的漏洞，制止各种灾害事故的发生；平息巡逻中发现的意外事件。</w:t>
      </w:r>
    </w:p>
    <w:p w14:paraId="3DE81C0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4.2.2上班不得会客超过十分钟，且不能离开工作岗位。</w:t>
      </w:r>
    </w:p>
    <w:p w14:paraId="786A6F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4.2.3上班时间必须穿工作服，不得酒后上岗。</w:t>
      </w:r>
    </w:p>
    <w:p w14:paraId="53A9736C">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4.2.4上班时间不得谈论他人是非，校园内一切事宜不得作为茶余饭后的闲聊，应当具备保安员的思想与觉悟，做好保密工作</w:t>
      </w:r>
      <w:r>
        <w:rPr>
          <w:rFonts w:hint="eastAsia" w:ascii="宋体" w:hAnsi="宋体" w:eastAsia="宋体" w:cs="宋体"/>
          <w:sz w:val="24"/>
          <w:szCs w:val="24"/>
          <w:lang w:eastAsia="zh-CN"/>
        </w:rPr>
        <w:t>。</w:t>
      </w:r>
    </w:p>
    <w:p w14:paraId="1171FF07">
      <w:pPr>
        <w:keepNext w:val="0"/>
        <w:keepLines w:val="0"/>
        <w:pageBreakBefore w:val="0"/>
        <w:widowControl w:val="0"/>
        <w:kinsoku/>
        <w:wordWrap/>
        <w:overflowPunct/>
        <w:topLinePunct w:val="0"/>
        <w:autoSpaceDE/>
        <w:autoSpaceDN/>
        <w:bidi w:val="0"/>
        <w:adjustRightInd/>
        <w:snapToGrid/>
        <w:spacing w:line="5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五、防范重点</w:t>
      </w:r>
    </w:p>
    <w:p w14:paraId="7A1A4C55">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5.1学校情况特殊，防范重点是：白天维护守护区域正常秩序，对外来人员、车辆盘查登记等，夜间防火、防盗、防破坏、防治安事故等。</w:t>
      </w:r>
    </w:p>
    <w:p w14:paraId="6A79A94D">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①防火：守护区域内属于重点防火环境，②防盗：为保障守护区域内的安全，保安员会加强管理，加强巡逻，提高警惕,避免被盗案件发生。③防破坏：学校是封闭式管理，校园内巡逻是重中之重，保安员巡逻时主要检查守护区域内设施、设备和每个死角，发现有破坏行为的立即制止，对可疑人员进入值守区域内，保安员跟踪观察，让犯罪份子无可乘之机。④防治安事件：如发生有人在守护区域内打架、闹事，保安员将进行劝阻制止，必要时调集人员赶到现场支援，防止事态扩大，并保护好现场。</w:t>
      </w:r>
    </w:p>
    <w:p w14:paraId="077D2F0B">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六、保安队伍组织机构</w:t>
      </w:r>
    </w:p>
    <w:p w14:paraId="3B9CB82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bCs/>
          <w:sz w:val="24"/>
          <w:szCs w:val="24"/>
        </w:rPr>
        <w:t>我校</w:t>
      </w:r>
      <w:r>
        <w:rPr>
          <w:rFonts w:hint="eastAsia" w:ascii="宋体" w:hAnsi="宋体" w:eastAsia="宋体" w:cs="宋体"/>
          <w:sz w:val="24"/>
          <w:szCs w:val="24"/>
        </w:rPr>
        <w:t>的实际情况，需有一支优秀的保安服务队伍，公司派驻保安人员</w:t>
      </w:r>
      <w:r>
        <w:rPr>
          <w:rFonts w:hint="eastAsia" w:ascii="宋体" w:hAnsi="宋体" w:eastAsia="宋体" w:cs="宋体"/>
          <w:sz w:val="24"/>
          <w:szCs w:val="24"/>
          <w:lang w:val="en-US" w:eastAsia="zh-CN"/>
        </w:rPr>
        <w:t>9</w:t>
      </w:r>
      <w:r>
        <w:rPr>
          <w:rFonts w:hint="eastAsia" w:ascii="宋体" w:hAnsi="宋体" w:eastAsia="宋体" w:cs="宋体"/>
          <w:sz w:val="24"/>
          <w:szCs w:val="24"/>
        </w:rPr>
        <w:t>人，</w:t>
      </w:r>
      <w:r>
        <w:rPr>
          <w:rFonts w:hint="eastAsia" w:ascii="宋体" w:hAnsi="宋体" w:eastAsia="宋体" w:cs="宋体"/>
          <w:bCs/>
          <w:sz w:val="24"/>
          <w:szCs w:val="24"/>
        </w:rPr>
        <w:t>派驻保安人员可根据中心学校实际需要按需设岗（调配），在早中晚上下学时间段确保</w:t>
      </w:r>
      <w:r>
        <w:rPr>
          <w:rFonts w:hint="eastAsia" w:ascii="宋体" w:hAnsi="宋体" w:eastAsia="宋体" w:cs="宋体"/>
          <w:sz w:val="24"/>
          <w:szCs w:val="24"/>
        </w:rPr>
        <w:t>在岗。并穿戴好防护用具、持器械值岗。</w:t>
      </w:r>
    </w:p>
    <w:p w14:paraId="4A45068C">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公司需做好对日常工作管理，征询、监督、检查、指导</w:t>
      </w:r>
      <w:r>
        <w:rPr>
          <w:rFonts w:hint="eastAsia" w:ascii="宋体" w:hAnsi="宋体" w:eastAsia="宋体" w:cs="宋体"/>
          <w:sz w:val="24"/>
          <w:szCs w:val="24"/>
          <w:lang w:eastAsia="zh-CN"/>
        </w:rPr>
        <w:t>、</w:t>
      </w:r>
      <w:r>
        <w:rPr>
          <w:rFonts w:hint="eastAsia" w:ascii="宋体" w:hAnsi="宋体" w:eastAsia="宋体" w:cs="宋体"/>
          <w:sz w:val="24"/>
          <w:szCs w:val="24"/>
        </w:rPr>
        <w:t>制度保障</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确保</w:t>
      </w:r>
      <w:r>
        <w:rPr>
          <w:rFonts w:hint="eastAsia" w:ascii="宋体" w:hAnsi="宋体" w:eastAsia="宋体" w:cs="宋体"/>
          <w:sz w:val="24"/>
          <w:szCs w:val="24"/>
        </w:rPr>
        <w:t>守护区域正常的秩序。</w:t>
      </w:r>
    </w:p>
    <w:p w14:paraId="31EFF271">
      <w:pPr>
        <w:keepNext w:val="0"/>
        <w:keepLines w:val="0"/>
        <w:pageBreakBefore w:val="0"/>
        <w:widowControl w:val="0"/>
        <w:kinsoku/>
        <w:wordWrap/>
        <w:overflowPunct/>
        <w:topLinePunct w:val="0"/>
        <w:autoSpaceDE/>
        <w:autoSpaceDN/>
        <w:bidi w:val="0"/>
        <w:adjustRightInd/>
        <w:snapToGrid/>
        <w:spacing w:line="58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七、备勤、装备配置</w:t>
      </w:r>
    </w:p>
    <w:p w14:paraId="001D9138">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1、保安人员装备配备计划表</w:t>
      </w:r>
    </w:p>
    <w:tbl>
      <w:tblPr>
        <w:tblStyle w:val="25"/>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1"/>
        <w:gridCol w:w="2236"/>
        <w:gridCol w:w="1334"/>
        <w:gridCol w:w="2809"/>
      </w:tblGrid>
      <w:tr w14:paraId="2F31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481" w:type="dxa"/>
            <w:vAlign w:val="center"/>
          </w:tcPr>
          <w:p w14:paraId="3CCBED52">
            <w:pPr>
              <w:keepNext w:val="0"/>
              <w:keepLines w:val="0"/>
              <w:suppressLineNumbers w:val="0"/>
              <w:spacing w:before="0" w:beforeAutospacing="0" w:after="0" w:afterAutospacing="0" w:line="440" w:lineRule="exact"/>
              <w:ind w:left="0" w:right="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目录</w:t>
            </w:r>
          </w:p>
        </w:tc>
        <w:tc>
          <w:tcPr>
            <w:tcW w:w="2236" w:type="dxa"/>
            <w:vAlign w:val="center"/>
          </w:tcPr>
          <w:p w14:paraId="1A1ECC18">
            <w:pPr>
              <w:keepNext w:val="0"/>
              <w:keepLines w:val="0"/>
              <w:suppressLineNumbers w:val="0"/>
              <w:spacing w:before="0" w:beforeAutospacing="0" w:after="0" w:afterAutospacing="0" w:line="440" w:lineRule="exact"/>
              <w:ind w:left="0" w:right="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数量</w:t>
            </w:r>
          </w:p>
        </w:tc>
        <w:tc>
          <w:tcPr>
            <w:tcW w:w="1334" w:type="dxa"/>
            <w:vAlign w:val="center"/>
          </w:tcPr>
          <w:p w14:paraId="1168A8E9">
            <w:pPr>
              <w:keepNext w:val="0"/>
              <w:keepLines w:val="0"/>
              <w:suppressLineNumbers w:val="0"/>
              <w:spacing w:before="0" w:beforeAutospacing="0" w:after="0" w:afterAutospacing="0" w:line="440" w:lineRule="exact"/>
              <w:ind w:left="0" w:right="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提供方</w:t>
            </w:r>
          </w:p>
        </w:tc>
        <w:tc>
          <w:tcPr>
            <w:tcW w:w="2809" w:type="dxa"/>
            <w:vAlign w:val="center"/>
          </w:tcPr>
          <w:p w14:paraId="1A117CF7">
            <w:pPr>
              <w:keepNext w:val="0"/>
              <w:keepLines w:val="0"/>
              <w:suppressLineNumbers w:val="0"/>
              <w:spacing w:before="0" w:beforeAutospacing="0" w:after="0" w:afterAutospacing="0" w:line="440" w:lineRule="exact"/>
              <w:ind w:left="0" w:right="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备注</w:t>
            </w:r>
          </w:p>
        </w:tc>
      </w:tr>
      <w:tr w14:paraId="51B9B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3481" w:type="dxa"/>
            <w:vAlign w:val="center"/>
          </w:tcPr>
          <w:p w14:paraId="3F29673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工作记录本</w:t>
            </w:r>
          </w:p>
        </w:tc>
        <w:tc>
          <w:tcPr>
            <w:tcW w:w="2236" w:type="dxa"/>
            <w:vAlign w:val="center"/>
          </w:tcPr>
          <w:p w14:paraId="0C64D65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1334" w:type="dxa"/>
            <w:vAlign w:val="center"/>
          </w:tcPr>
          <w:p w14:paraId="5055E7E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乙方</w:t>
            </w:r>
          </w:p>
        </w:tc>
        <w:tc>
          <w:tcPr>
            <w:tcW w:w="2809" w:type="dxa"/>
            <w:vAlign w:val="center"/>
          </w:tcPr>
          <w:p w14:paraId="7B6200B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每所</w:t>
            </w:r>
            <w:r>
              <w:rPr>
                <w:rFonts w:hint="eastAsia" w:ascii="宋体" w:hAnsi="宋体" w:eastAsia="宋体" w:cs="宋体"/>
                <w:color w:val="000000"/>
                <w:sz w:val="24"/>
                <w:szCs w:val="24"/>
                <w:lang w:val="en-US" w:eastAsia="zh-CN"/>
              </w:rPr>
              <w:t>校园</w:t>
            </w:r>
            <w:r>
              <w:rPr>
                <w:rFonts w:hint="eastAsia" w:ascii="宋体" w:hAnsi="宋体" w:eastAsia="宋体" w:cs="宋体"/>
                <w:color w:val="000000"/>
                <w:sz w:val="24"/>
                <w:szCs w:val="24"/>
              </w:rPr>
              <w:t>配备一本，用完再更换</w:t>
            </w:r>
          </w:p>
        </w:tc>
      </w:tr>
      <w:tr w14:paraId="3BE0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481" w:type="dxa"/>
            <w:vAlign w:val="center"/>
          </w:tcPr>
          <w:p w14:paraId="3D490BA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新式保安服</w:t>
            </w:r>
          </w:p>
        </w:tc>
        <w:tc>
          <w:tcPr>
            <w:tcW w:w="2236" w:type="dxa"/>
            <w:vAlign w:val="center"/>
          </w:tcPr>
          <w:p w14:paraId="4F42550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套</w:t>
            </w:r>
          </w:p>
        </w:tc>
        <w:tc>
          <w:tcPr>
            <w:tcW w:w="1334" w:type="dxa"/>
            <w:vAlign w:val="center"/>
          </w:tcPr>
          <w:p w14:paraId="022411F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乙方</w:t>
            </w:r>
          </w:p>
        </w:tc>
        <w:tc>
          <w:tcPr>
            <w:tcW w:w="2809" w:type="dxa"/>
            <w:vAlign w:val="center"/>
          </w:tcPr>
          <w:p w14:paraId="767CA39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按保安人数配备</w:t>
            </w:r>
          </w:p>
        </w:tc>
      </w:tr>
      <w:tr w14:paraId="2013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481" w:type="dxa"/>
            <w:vAlign w:val="center"/>
          </w:tcPr>
          <w:p w14:paraId="496AFDF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布式帽</w:t>
            </w:r>
          </w:p>
        </w:tc>
        <w:tc>
          <w:tcPr>
            <w:tcW w:w="2236" w:type="dxa"/>
            <w:vAlign w:val="center"/>
          </w:tcPr>
          <w:p w14:paraId="56FF6B6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顶</w:t>
            </w:r>
          </w:p>
        </w:tc>
        <w:tc>
          <w:tcPr>
            <w:tcW w:w="1334" w:type="dxa"/>
            <w:vAlign w:val="center"/>
          </w:tcPr>
          <w:p w14:paraId="6438E44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乙方</w:t>
            </w:r>
          </w:p>
        </w:tc>
        <w:tc>
          <w:tcPr>
            <w:tcW w:w="2809" w:type="dxa"/>
            <w:vAlign w:val="center"/>
          </w:tcPr>
          <w:p w14:paraId="2212605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按保安人数配备</w:t>
            </w:r>
          </w:p>
        </w:tc>
      </w:tr>
      <w:tr w14:paraId="1969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481" w:type="dxa"/>
            <w:vAlign w:val="center"/>
          </w:tcPr>
          <w:p w14:paraId="381AEEB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衬衫</w:t>
            </w:r>
          </w:p>
        </w:tc>
        <w:tc>
          <w:tcPr>
            <w:tcW w:w="2236" w:type="dxa"/>
            <w:vAlign w:val="center"/>
          </w:tcPr>
          <w:p w14:paraId="7715D26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件</w:t>
            </w:r>
          </w:p>
        </w:tc>
        <w:tc>
          <w:tcPr>
            <w:tcW w:w="1334" w:type="dxa"/>
            <w:vAlign w:val="center"/>
          </w:tcPr>
          <w:p w14:paraId="1C9A22C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乙方</w:t>
            </w:r>
          </w:p>
        </w:tc>
        <w:tc>
          <w:tcPr>
            <w:tcW w:w="2809" w:type="dxa"/>
            <w:vAlign w:val="center"/>
          </w:tcPr>
          <w:p w14:paraId="1C3F37D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按保安人数配备</w:t>
            </w:r>
          </w:p>
        </w:tc>
      </w:tr>
      <w:tr w14:paraId="0EA81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481" w:type="dxa"/>
            <w:vAlign w:val="center"/>
          </w:tcPr>
          <w:p w14:paraId="587FDF6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肩章</w:t>
            </w:r>
          </w:p>
        </w:tc>
        <w:tc>
          <w:tcPr>
            <w:tcW w:w="2236" w:type="dxa"/>
            <w:vAlign w:val="center"/>
          </w:tcPr>
          <w:p w14:paraId="18354BB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副</w:t>
            </w:r>
          </w:p>
        </w:tc>
        <w:tc>
          <w:tcPr>
            <w:tcW w:w="1334" w:type="dxa"/>
            <w:vAlign w:val="center"/>
          </w:tcPr>
          <w:p w14:paraId="3B65682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乙方</w:t>
            </w:r>
          </w:p>
        </w:tc>
        <w:tc>
          <w:tcPr>
            <w:tcW w:w="2809" w:type="dxa"/>
            <w:vAlign w:val="center"/>
          </w:tcPr>
          <w:p w14:paraId="018B9905">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按保安人数配备</w:t>
            </w:r>
          </w:p>
        </w:tc>
      </w:tr>
      <w:tr w14:paraId="0783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481" w:type="dxa"/>
            <w:tcBorders>
              <w:top w:val="single" w:color="auto" w:sz="4" w:space="0"/>
              <w:left w:val="single" w:color="auto" w:sz="4" w:space="0"/>
              <w:bottom w:val="single" w:color="auto" w:sz="4" w:space="0"/>
              <w:right w:val="single" w:color="auto" w:sz="4" w:space="0"/>
            </w:tcBorders>
            <w:vAlign w:val="center"/>
          </w:tcPr>
          <w:p w14:paraId="54123FA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强光手电</w:t>
            </w:r>
          </w:p>
        </w:tc>
        <w:tc>
          <w:tcPr>
            <w:tcW w:w="2236" w:type="dxa"/>
            <w:tcBorders>
              <w:top w:val="single" w:color="auto" w:sz="4" w:space="0"/>
              <w:left w:val="single" w:color="auto" w:sz="4" w:space="0"/>
              <w:bottom w:val="single" w:color="auto" w:sz="4" w:space="0"/>
              <w:right w:val="single" w:color="auto" w:sz="4" w:space="0"/>
            </w:tcBorders>
            <w:vAlign w:val="center"/>
          </w:tcPr>
          <w:p w14:paraId="7B0C22B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支</w:t>
            </w:r>
          </w:p>
        </w:tc>
        <w:tc>
          <w:tcPr>
            <w:tcW w:w="1334" w:type="dxa"/>
            <w:tcBorders>
              <w:top w:val="single" w:color="auto" w:sz="4" w:space="0"/>
              <w:left w:val="single" w:color="auto" w:sz="4" w:space="0"/>
              <w:bottom w:val="single" w:color="auto" w:sz="4" w:space="0"/>
              <w:right w:val="single" w:color="auto" w:sz="4" w:space="0"/>
            </w:tcBorders>
            <w:vAlign w:val="center"/>
          </w:tcPr>
          <w:p w14:paraId="6B4243B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乙方</w:t>
            </w:r>
          </w:p>
        </w:tc>
        <w:tc>
          <w:tcPr>
            <w:tcW w:w="2809" w:type="dxa"/>
            <w:tcBorders>
              <w:top w:val="single" w:color="auto" w:sz="4" w:space="0"/>
              <w:left w:val="single" w:color="auto" w:sz="4" w:space="0"/>
              <w:bottom w:val="single" w:color="auto" w:sz="4" w:space="0"/>
              <w:right w:val="single" w:color="auto" w:sz="4" w:space="0"/>
            </w:tcBorders>
            <w:vAlign w:val="center"/>
          </w:tcPr>
          <w:p w14:paraId="49A217B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按岗位配备</w:t>
            </w:r>
          </w:p>
        </w:tc>
      </w:tr>
      <w:tr w14:paraId="1C62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481" w:type="dxa"/>
            <w:tcBorders>
              <w:top w:val="single" w:color="auto" w:sz="4" w:space="0"/>
              <w:left w:val="single" w:color="auto" w:sz="4" w:space="0"/>
              <w:bottom w:val="single" w:color="auto" w:sz="4" w:space="0"/>
              <w:right w:val="single" w:color="auto" w:sz="4" w:space="0"/>
            </w:tcBorders>
            <w:vAlign w:val="center"/>
          </w:tcPr>
          <w:p w14:paraId="3B78EDA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头盔</w:t>
            </w:r>
          </w:p>
        </w:tc>
        <w:tc>
          <w:tcPr>
            <w:tcW w:w="2236" w:type="dxa"/>
            <w:tcBorders>
              <w:top w:val="single" w:color="auto" w:sz="4" w:space="0"/>
              <w:left w:val="single" w:color="auto" w:sz="4" w:space="0"/>
              <w:bottom w:val="single" w:color="auto" w:sz="4" w:space="0"/>
              <w:right w:val="single" w:color="auto" w:sz="4" w:space="0"/>
            </w:tcBorders>
            <w:vAlign w:val="center"/>
          </w:tcPr>
          <w:p w14:paraId="3F56203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顶</w:t>
            </w:r>
          </w:p>
        </w:tc>
        <w:tc>
          <w:tcPr>
            <w:tcW w:w="1334" w:type="dxa"/>
            <w:tcBorders>
              <w:top w:val="single" w:color="auto" w:sz="4" w:space="0"/>
              <w:left w:val="single" w:color="auto" w:sz="4" w:space="0"/>
              <w:bottom w:val="single" w:color="auto" w:sz="4" w:space="0"/>
              <w:right w:val="single" w:color="auto" w:sz="4" w:space="0"/>
            </w:tcBorders>
            <w:vAlign w:val="center"/>
          </w:tcPr>
          <w:p w14:paraId="097A0ED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乙方</w:t>
            </w:r>
          </w:p>
        </w:tc>
        <w:tc>
          <w:tcPr>
            <w:tcW w:w="2809" w:type="dxa"/>
            <w:tcBorders>
              <w:top w:val="single" w:color="auto" w:sz="4" w:space="0"/>
              <w:left w:val="single" w:color="auto" w:sz="4" w:space="0"/>
              <w:bottom w:val="single" w:color="auto" w:sz="4" w:space="0"/>
              <w:right w:val="single" w:color="auto" w:sz="4" w:space="0"/>
            </w:tcBorders>
            <w:vAlign w:val="center"/>
          </w:tcPr>
          <w:p w14:paraId="7CDEC18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按岗位配备</w:t>
            </w:r>
          </w:p>
        </w:tc>
      </w:tr>
      <w:tr w14:paraId="7531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481" w:type="dxa"/>
            <w:tcBorders>
              <w:top w:val="single" w:color="auto" w:sz="4" w:space="0"/>
              <w:left w:val="single" w:color="auto" w:sz="4" w:space="0"/>
              <w:bottom w:val="single" w:color="auto" w:sz="4" w:space="0"/>
              <w:right w:val="single" w:color="auto" w:sz="4" w:space="0"/>
            </w:tcBorders>
            <w:vAlign w:val="center"/>
          </w:tcPr>
          <w:p w14:paraId="58D85CC0">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防割手套</w:t>
            </w:r>
          </w:p>
        </w:tc>
        <w:tc>
          <w:tcPr>
            <w:tcW w:w="2236" w:type="dxa"/>
            <w:tcBorders>
              <w:top w:val="single" w:color="auto" w:sz="4" w:space="0"/>
              <w:left w:val="single" w:color="auto" w:sz="4" w:space="0"/>
              <w:bottom w:val="single" w:color="auto" w:sz="4" w:space="0"/>
              <w:right w:val="single" w:color="auto" w:sz="4" w:space="0"/>
            </w:tcBorders>
            <w:vAlign w:val="center"/>
          </w:tcPr>
          <w:p w14:paraId="07D08C2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双</w:t>
            </w:r>
          </w:p>
        </w:tc>
        <w:tc>
          <w:tcPr>
            <w:tcW w:w="1334" w:type="dxa"/>
            <w:tcBorders>
              <w:top w:val="single" w:color="auto" w:sz="4" w:space="0"/>
              <w:left w:val="single" w:color="auto" w:sz="4" w:space="0"/>
              <w:bottom w:val="single" w:color="auto" w:sz="4" w:space="0"/>
              <w:right w:val="single" w:color="auto" w:sz="4" w:space="0"/>
            </w:tcBorders>
            <w:vAlign w:val="center"/>
          </w:tcPr>
          <w:p w14:paraId="3FBCBB2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乙方</w:t>
            </w:r>
          </w:p>
        </w:tc>
        <w:tc>
          <w:tcPr>
            <w:tcW w:w="2809" w:type="dxa"/>
            <w:tcBorders>
              <w:top w:val="single" w:color="auto" w:sz="4" w:space="0"/>
              <w:left w:val="single" w:color="auto" w:sz="4" w:space="0"/>
              <w:bottom w:val="single" w:color="auto" w:sz="4" w:space="0"/>
              <w:right w:val="single" w:color="auto" w:sz="4" w:space="0"/>
            </w:tcBorders>
            <w:vAlign w:val="center"/>
          </w:tcPr>
          <w:p w14:paraId="31955E6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按岗位配备</w:t>
            </w:r>
          </w:p>
        </w:tc>
      </w:tr>
      <w:tr w14:paraId="1B4F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481" w:type="dxa"/>
            <w:tcBorders>
              <w:top w:val="single" w:color="auto" w:sz="4" w:space="0"/>
              <w:left w:val="single" w:color="auto" w:sz="4" w:space="0"/>
              <w:bottom w:val="single" w:color="auto" w:sz="4" w:space="0"/>
              <w:right w:val="single" w:color="auto" w:sz="4" w:space="0"/>
            </w:tcBorders>
            <w:vAlign w:val="center"/>
          </w:tcPr>
          <w:p w14:paraId="3D85529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齐眉棍</w:t>
            </w:r>
          </w:p>
        </w:tc>
        <w:tc>
          <w:tcPr>
            <w:tcW w:w="2236" w:type="dxa"/>
            <w:tcBorders>
              <w:top w:val="single" w:color="auto" w:sz="4" w:space="0"/>
              <w:left w:val="single" w:color="auto" w:sz="4" w:space="0"/>
              <w:bottom w:val="single" w:color="auto" w:sz="4" w:space="0"/>
              <w:right w:val="single" w:color="auto" w:sz="4" w:space="0"/>
            </w:tcBorders>
            <w:vAlign w:val="center"/>
          </w:tcPr>
          <w:p w14:paraId="4BD0175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1334" w:type="dxa"/>
            <w:tcBorders>
              <w:top w:val="single" w:color="auto" w:sz="4" w:space="0"/>
              <w:left w:val="single" w:color="auto" w:sz="4" w:space="0"/>
              <w:bottom w:val="single" w:color="auto" w:sz="4" w:space="0"/>
              <w:right w:val="single" w:color="auto" w:sz="4" w:space="0"/>
            </w:tcBorders>
            <w:vAlign w:val="center"/>
          </w:tcPr>
          <w:p w14:paraId="50BBE4B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乙方</w:t>
            </w:r>
          </w:p>
        </w:tc>
        <w:tc>
          <w:tcPr>
            <w:tcW w:w="2809" w:type="dxa"/>
            <w:tcBorders>
              <w:top w:val="single" w:color="auto" w:sz="4" w:space="0"/>
              <w:left w:val="single" w:color="auto" w:sz="4" w:space="0"/>
              <w:bottom w:val="single" w:color="auto" w:sz="4" w:space="0"/>
              <w:right w:val="single" w:color="auto" w:sz="4" w:space="0"/>
            </w:tcBorders>
            <w:vAlign w:val="center"/>
          </w:tcPr>
          <w:p w14:paraId="54EECA4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按岗位配备</w:t>
            </w:r>
          </w:p>
        </w:tc>
      </w:tr>
      <w:tr w14:paraId="1AA26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481" w:type="dxa"/>
            <w:tcBorders>
              <w:top w:val="single" w:color="auto" w:sz="4" w:space="0"/>
              <w:left w:val="single" w:color="auto" w:sz="4" w:space="0"/>
              <w:bottom w:val="single" w:color="auto" w:sz="4" w:space="0"/>
              <w:right w:val="single" w:color="auto" w:sz="4" w:space="0"/>
            </w:tcBorders>
            <w:vAlign w:val="center"/>
          </w:tcPr>
          <w:p w14:paraId="3D6AAFEF">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防刺服</w:t>
            </w:r>
          </w:p>
        </w:tc>
        <w:tc>
          <w:tcPr>
            <w:tcW w:w="2236" w:type="dxa"/>
            <w:tcBorders>
              <w:top w:val="single" w:color="auto" w:sz="4" w:space="0"/>
              <w:left w:val="single" w:color="auto" w:sz="4" w:space="0"/>
              <w:bottom w:val="single" w:color="auto" w:sz="4" w:space="0"/>
              <w:right w:val="single" w:color="auto" w:sz="4" w:space="0"/>
            </w:tcBorders>
            <w:vAlign w:val="center"/>
          </w:tcPr>
          <w:p w14:paraId="5328AB8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件</w:t>
            </w:r>
          </w:p>
        </w:tc>
        <w:tc>
          <w:tcPr>
            <w:tcW w:w="1334" w:type="dxa"/>
            <w:tcBorders>
              <w:top w:val="single" w:color="auto" w:sz="4" w:space="0"/>
              <w:left w:val="single" w:color="auto" w:sz="4" w:space="0"/>
              <w:bottom w:val="single" w:color="auto" w:sz="4" w:space="0"/>
              <w:right w:val="single" w:color="auto" w:sz="4" w:space="0"/>
            </w:tcBorders>
            <w:vAlign w:val="center"/>
          </w:tcPr>
          <w:p w14:paraId="2F173BC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乙方</w:t>
            </w:r>
          </w:p>
        </w:tc>
        <w:tc>
          <w:tcPr>
            <w:tcW w:w="2809" w:type="dxa"/>
            <w:tcBorders>
              <w:top w:val="single" w:color="auto" w:sz="4" w:space="0"/>
              <w:left w:val="single" w:color="auto" w:sz="4" w:space="0"/>
              <w:bottom w:val="single" w:color="auto" w:sz="4" w:space="0"/>
              <w:right w:val="single" w:color="auto" w:sz="4" w:space="0"/>
            </w:tcBorders>
            <w:vAlign w:val="center"/>
          </w:tcPr>
          <w:p w14:paraId="11255E0D">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按岗位配备</w:t>
            </w:r>
          </w:p>
        </w:tc>
      </w:tr>
      <w:tr w14:paraId="5276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481" w:type="dxa"/>
            <w:tcBorders>
              <w:top w:val="single" w:color="auto" w:sz="4" w:space="0"/>
              <w:left w:val="single" w:color="auto" w:sz="4" w:space="0"/>
              <w:bottom w:val="single" w:color="auto" w:sz="4" w:space="0"/>
              <w:right w:val="single" w:color="auto" w:sz="4" w:space="0"/>
            </w:tcBorders>
            <w:vAlign w:val="center"/>
          </w:tcPr>
          <w:p w14:paraId="5B67F05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防暴盾牌</w:t>
            </w:r>
          </w:p>
        </w:tc>
        <w:tc>
          <w:tcPr>
            <w:tcW w:w="2236" w:type="dxa"/>
            <w:tcBorders>
              <w:top w:val="single" w:color="auto" w:sz="4" w:space="0"/>
              <w:left w:val="single" w:color="auto" w:sz="4" w:space="0"/>
              <w:bottom w:val="single" w:color="auto" w:sz="4" w:space="0"/>
              <w:right w:val="single" w:color="auto" w:sz="4" w:space="0"/>
            </w:tcBorders>
            <w:vAlign w:val="center"/>
          </w:tcPr>
          <w:p w14:paraId="2F3515EB">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面</w:t>
            </w:r>
          </w:p>
        </w:tc>
        <w:tc>
          <w:tcPr>
            <w:tcW w:w="1334" w:type="dxa"/>
            <w:tcBorders>
              <w:top w:val="single" w:color="auto" w:sz="4" w:space="0"/>
              <w:left w:val="single" w:color="auto" w:sz="4" w:space="0"/>
              <w:bottom w:val="single" w:color="auto" w:sz="4" w:space="0"/>
              <w:right w:val="single" w:color="auto" w:sz="4" w:space="0"/>
            </w:tcBorders>
            <w:vAlign w:val="center"/>
          </w:tcPr>
          <w:p w14:paraId="46A1D3C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乙方</w:t>
            </w:r>
          </w:p>
        </w:tc>
        <w:tc>
          <w:tcPr>
            <w:tcW w:w="2809" w:type="dxa"/>
            <w:tcBorders>
              <w:top w:val="single" w:color="auto" w:sz="4" w:space="0"/>
              <w:left w:val="single" w:color="auto" w:sz="4" w:space="0"/>
              <w:bottom w:val="single" w:color="auto" w:sz="4" w:space="0"/>
              <w:right w:val="single" w:color="auto" w:sz="4" w:space="0"/>
            </w:tcBorders>
            <w:vAlign w:val="center"/>
          </w:tcPr>
          <w:p w14:paraId="57EF9243">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按岗位配备</w:t>
            </w:r>
          </w:p>
        </w:tc>
      </w:tr>
      <w:tr w14:paraId="0BC0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481" w:type="dxa"/>
            <w:tcBorders>
              <w:top w:val="single" w:color="auto" w:sz="4" w:space="0"/>
              <w:left w:val="single" w:color="auto" w:sz="4" w:space="0"/>
              <w:bottom w:val="single" w:color="auto" w:sz="4" w:space="0"/>
              <w:right w:val="single" w:color="auto" w:sz="4" w:space="0"/>
            </w:tcBorders>
            <w:vAlign w:val="center"/>
          </w:tcPr>
          <w:p w14:paraId="587A0E86">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腰叉</w:t>
            </w:r>
          </w:p>
        </w:tc>
        <w:tc>
          <w:tcPr>
            <w:tcW w:w="2236" w:type="dxa"/>
            <w:tcBorders>
              <w:top w:val="single" w:color="auto" w:sz="4" w:space="0"/>
              <w:left w:val="single" w:color="auto" w:sz="4" w:space="0"/>
              <w:bottom w:val="single" w:color="auto" w:sz="4" w:space="0"/>
              <w:right w:val="single" w:color="auto" w:sz="4" w:space="0"/>
            </w:tcBorders>
            <w:vAlign w:val="center"/>
          </w:tcPr>
          <w:p w14:paraId="2684EEB2">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根</w:t>
            </w:r>
          </w:p>
        </w:tc>
        <w:tc>
          <w:tcPr>
            <w:tcW w:w="1334" w:type="dxa"/>
            <w:tcBorders>
              <w:top w:val="single" w:color="auto" w:sz="4" w:space="0"/>
              <w:left w:val="single" w:color="auto" w:sz="4" w:space="0"/>
              <w:bottom w:val="single" w:color="auto" w:sz="4" w:space="0"/>
              <w:right w:val="single" w:color="auto" w:sz="4" w:space="0"/>
            </w:tcBorders>
            <w:vAlign w:val="center"/>
          </w:tcPr>
          <w:p w14:paraId="4A266DAC">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乙方</w:t>
            </w:r>
          </w:p>
        </w:tc>
        <w:tc>
          <w:tcPr>
            <w:tcW w:w="2809" w:type="dxa"/>
            <w:tcBorders>
              <w:top w:val="single" w:color="auto" w:sz="4" w:space="0"/>
              <w:left w:val="single" w:color="auto" w:sz="4" w:space="0"/>
              <w:bottom w:val="single" w:color="auto" w:sz="4" w:space="0"/>
              <w:right w:val="single" w:color="auto" w:sz="4" w:space="0"/>
            </w:tcBorders>
            <w:vAlign w:val="center"/>
          </w:tcPr>
          <w:p w14:paraId="3631A2B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按岗位配备</w:t>
            </w:r>
          </w:p>
        </w:tc>
      </w:tr>
      <w:tr w14:paraId="6CC3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481" w:type="dxa"/>
            <w:tcBorders>
              <w:top w:val="single" w:color="auto" w:sz="4" w:space="0"/>
              <w:left w:val="single" w:color="auto" w:sz="4" w:space="0"/>
              <w:bottom w:val="single" w:color="auto" w:sz="4" w:space="0"/>
              <w:right w:val="single" w:color="auto" w:sz="4" w:space="0"/>
            </w:tcBorders>
            <w:vAlign w:val="center"/>
          </w:tcPr>
          <w:p w14:paraId="6B3A49AA">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喷雾剂</w:t>
            </w:r>
          </w:p>
        </w:tc>
        <w:tc>
          <w:tcPr>
            <w:tcW w:w="2236" w:type="dxa"/>
            <w:tcBorders>
              <w:top w:val="single" w:color="auto" w:sz="4" w:space="0"/>
              <w:left w:val="single" w:color="auto" w:sz="4" w:space="0"/>
              <w:bottom w:val="single" w:color="auto" w:sz="4" w:space="0"/>
              <w:right w:val="single" w:color="auto" w:sz="4" w:space="0"/>
            </w:tcBorders>
            <w:vAlign w:val="center"/>
          </w:tcPr>
          <w:p w14:paraId="179F8571">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瓶</w:t>
            </w:r>
          </w:p>
        </w:tc>
        <w:tc>
          <w:tcPr>
            <w:tcW w:w="1334" w:type="dxa"/>
            <w:tcBorders>
              <w:top w:val="single" w:color="auto" w:sz="4" w:space="0"/>
              <w:left w:val="single" w:color="auto" w:sz="4" w:space="0"/>
              <w:bottom w:val="single" w:color="auto" w:sz="4" w:space="0"/>
              <w:right w:val="single" w:color="auto" w:sz="4" w:space="0"/>
            </w:tcBorders>
            <w:vAlign w:val="center"/>
          </w:tcPr>
          <w:p w14:paraId="5D3B969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乙方</w:t>
            </w:r>
          </w:p>
        </w:tc>
        <w:tc>
          <w:tcPr>
            <w:tcW w:w="2809" w:type="dxa"/>
            <w:tcBorders>
              <w:top w:val="single" w:color="auto" w:sz="4" w:space="0"/>
              <w:left w:val="single" w:color="auto" w:sz="4" w:space="0"/>
              <w:bottom w:val="single" w:color="auto" w:sz="4" w:space="0"/>
              <w:right w:val="single" w:color="auto" w:sz="4" w:space="0"/>
            </w:tcBorders>
            <w:vAlign w:val="center"/>
          </w:tcPr>
          <w:p w14:paraId="1525C63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按岗位配备</w:t>
            </w:r>
          </w:p>
        </w:tc>
      </w:tr>
      <w:tr w14:paraId="4670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60" w:type="dxa"/>
            <w:gridSpan w:val="4"/>
            <w:tcBorders>
              <w:top w:val="single" w:color="auto" w:sz="4" w:space="0"/>
              <w:left w:val="single" w:color="auto" w:sz="4" w:space="0"/>
              <w:bottom w:val="single" w:color="auto" w:sz="4" w:space="0"/>
              <w:right w:val="single" w:color="auto" w:sz="4" w:space="0"/>
            </w:tcBorders>
            <w:vAlign w:val="center"/>
          </w:tcPr>
          <w:p w14:paraId="3BCE7A0A">
            <w:pPr>
              <w:keepNext w:val="0"/>
              <w:keepLines w:val="0"/>
              <w:suppressLineNumbers w:val="0"/>
              <w:spacing w:before="0" w:beforeAutospacing="0" w:after="0" w:afterAutospacing="0" w:line="440" w:lineRule="exact"/>
              <w:ind w:left="0" w:right="0"/>
              <w:jc w:val="left"/>
              <w:rPr>
                <w:rFonts w:hint="eastAsia" w:ascii="宋体" w:hAnsi="宋体" w:eastAsia="宋体" w:cs="宋体"/>
                <w:color w:val="000000"/>
                <w:sz w:val="24"/>
                <w:szCs w:val="24"/>
              </w:rPr>
            </w:pPr>
            <w:r>
              <w:rPr>
                <w:rFonts w:hint="eastAsia" w:ascii="宋体" w:hAnsi="宋体" w:eastAsia="宋体" w:cs="宋体"/>
                <w:color w:val="000000"/>
                <w:sz w:val="24"/>
                <w:szCs w:val="24"/>
              </w:rPr>
              <w:t>注：以上配备装备由乙方提供，所有权归乙方单位所有，如上级公安部门要求或甲方需要另行配备其他装备器材，由甲乙双方再协商配备。</w:t>
            </w:r>
          </w:p>
        </w:tc>
      </w:tr>
    </w:tbl>
    <w:p w14:paraId="4C1C36AA">
      <w:pPr>
        <w:tabs>
          <w:tab w:val="left" w:pos="420"/>
        </w:tabs>
        <w:ind w:firstLine="3120" w:firstLineChars="1300"/>
        <w:rPr>
          <w:rFonts w:hint="eastAsia" w:ascii="宋体" w:hAnsi="宋体" w:eastAsia="宋体" w:cs="宋体"/>
          <w:sz w:val="24"/>
          <w:szCs w:val="24"/>
        </w:rPr>
      </w:pPr>
    </w:p>
    <w:p w14:paraId="24F859F8">
      <w:pPr>
        <w:tabs>
          <w:tab w:val="left" w:pos="420"/>
        </w:tabs>
        <w:ind w:firstLine="3840" w:firstLineChars="1600"/>
        <w:rPr>
          <w:rFonts w:hint="eastAsia" w:ascii="宋体" w:hAnsi="宋体" w:eastAsia="宋体" w:cs="宋体"/>
          <w:sz w:val="24"/>
          <w:szCs w:val="24"/>
        </w:rPr>
      </w:pPr>
      <w:r>
        <w:rPr>
          <w:rFonts w:hint="eastAsia" w:ascii="宋体" w:hAnsi="宋体" w:eastAsia="宋体" w:cs="宋体"/>
          <w:sz w:val="24"/>
          <w:szCs w:val="24"/>
        </w:rPr>
        <w:t>蒙自市文澜中心学校</w:t>
      </w:r>
    </w:p>
    <w:p w14:paraId="6FB00C33">
      <w:pPr>
        <w:tabs>
          <w:tab w:val="left" w:pos="420"/>
        </w:tabs>
        <w:ind w:left="15" w:leftChars="7" w:firstLine="4060" w:firstLineChars="1692"/>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年5月</w:t>
      </w:r>
      <w:r>
        <w:rPr>
          <w:rFonts w:hint="eastAsia" w:ascii="宋体" w:hAnsi="宋体" w:eastAsia="宋体" w:cs="宋体"/>
          <w:sz w:val="24"/>
          <w:szCs w:val="24"/>
          <w:lang w:val="en-US" w:eastAsia="zh-CN"/>
        </w:rPr>
        <w:t>9</w:t>
      </w:r>
      <w:r>
        <w:rPr>
          <w:rFonts w:hint="eastAsia" w:ascii="宋体" w:hAnsi="宋体" w:eastAsia="宋体" w:cs="宋体"/>
          <w:sz w:val="24"/>
          <w:szCs w:val="24"/>
        </w:rPr>
        <w:t>日</w:t>
      </w:r>
    </w:p>
    <w:p w14:paraId="2065B69C">
      <w:pPr>
        <w:ind w:firstLine="420"/>
        <w:rPr>
          <w:rFonts w:hint="eastAsia" w:ascii="宋体" w:hAnsi="宋体" w:eastAsia="宋体" w:cs="宋体"/>
          <w:color w:val="auto"/>
          <w:sz w:val="24"/>
          <w:szCs w:val="24"/>
        </w:rPr>
      </w:pPr>
    </w:p>
    <w:p w14:paraId="11C0B991">
      <w:pPr>
        <w:ind w:firstLine="420"/>
        <w:rPr>
          <w:rFonts w:hint="eastAsia" w:ascii="宋体" w:hAnsi="宋体" w:eastAsia="宋体" w:cs="宋体"/>
          <w:color w:val="auto"/>
          <w:sz w:val="24"/>
          <w:szCs w:val="24"/>
        </w:rPr>
      </w:pPr>
    </w:p>
    <w:p w14:paraId="338D052C">
      <w:pPr>
        <w:ind w:firstLine="420"/>
        <w:rPr>
          <w:rFonts w:hint="eastAsia" w:ascii="宋体" w:hAnsi="宋体" w:eastAsia="宋体" w:cs="宋体"/>
          <w:color w:val="auto"/>
          <w:sz w:val="24"/>
          <w:szCs w:val="24"/>
        </w:rPr>
      </w:pPr>
    </w:p>
    <w:p w14:paraId="443A0613">
      <w:pPr>
        <w:ind w:firstLine="420"/>
        <w:rPr>
          <w:rFonts w:hint="eastAsia" w:ascii="宋体" w:hAnsi="宋体" w:eastAsia="宋体" w:cs="宋体"/>
          <w:color w:val="auto"/>
          <w:sz w:val="24"/>
          <w:szCs w:val="24"/>
        </w:rPr>
      </w:pPr>
    </w:p>
    <w:p w14:paraId="1F663701">
      <w:pPr>
        <w:ind w:firstLine="420"/>
        <w:rPr>
          <w:rFonts w:hint="eastAsia" w:ascii="宋体" w:hAnsi="宋体" w:eastAsia="宋体" w:cs="宋体"/>
          <w:color w:val="auto"/>
          <w:sz w:val="24"/>
          <w:szCs w:val="24"/>
        </w:rPr>
      </w:pPr>
    </w:p>
    <w:p w14:paraId="39AD0A86">
      <w:pPr>
        <w:ind w:firstLine="420"/>
        <w:rPr>
          <w:rFonts w:hint="eastAsia" w:ascii="宋体" w:hAnsi="宋体" w:eastAsia="宋体" w:cs="宋体"/>
          <w:color w:val="auto"/>
          <w:sz w:val="24"/>
          <w:szCs w:val="24"/>
        </w:rPr>
      </w:pPr>
    </w:p>
    <w:p w14:paraId="1137393E">
      <w:pPr>
        <w:ind w:firstLine="420"/>
        <w:rPr>
          <w:rFonts w:hint="eastAsia" w:ascii="宋体" w:hAnsi="宋体" w:eastAsia="宋体" w:cs="宋体"/>
          <w:color w:val="auto"/>
          <w:sz w:val="24"/>
          <w:szCs w:val="24"/>
        </w:rPr>
      </w:pPr>
    </w:p>
    <w:p w14:paraId="302A92D1">
      <w:pPr>
        <w:autoSpaceDE w:val="0"/>
        <w:autoSpaceDN w:val="0"/>
        <w:spacing w:line="380" w:lineRule="exact"/>
        <w:ind w:firstLine="0" w:firstLineChars="0"/>
        <w:rPr>
          <w:rFonts w:hint="eastAsia" w:ascii="宋体" w:hAnsi="宋体" w:eastAsia="宋体" w:cs="宋体"/>
          <w:color w:val="auto"/>
          <w:kern w:val="0"/>
          <w:sz w:val="24"/>
          <w:szCs w:val="24"/>
        </w:rPr>
      </w:pPr>
    </w:p>
    <w:sectPr>
      <w:footerReference r:id="rId19" w:type="first"/>
      <w:footerReference r:id="rId18" w:type="default"/>
      <w:pgSz w:w="11850" w:h="16783"/>
      <w:pgMar w:top="1440" w:right="1469" w:bottom="1440" w:left="1797" w:header="851" w:footer="992" w:gutter="0"/>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Sans Serif">
    <w:altName w:val="Arial"/>
    <w:panose1 w:val="020B0500000000000000"/>
    <w:charset w:val="00"/>
    <w:family w:val="swiss"/>
    <w:pitch w:val="default"/>
    <w:sig w:usb0="00000000" w:usb1="00000000" w:usb2="00000000" w:usb3="00000000" w:csb0="00000001" w:csb1="00000000"/>
  </w:font>
  <w:font w:name="MingLiU">
    <w:panose1 w:val="02020509000000000000"/>
    <w:charset w:val="88"/>
    <w:family w:val="modern"/>
    <w:pitch w:val="default"/>
    <w:sig w:usb0="A00002FF" w:usb1="28CFFCFA" w:usb2="00000016" w:usb3="00000000" w:csb0="00100001"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A84C6">
    <w:pPr>
      <w:pStyle w:val="16"/>
      <w:tabs>
        <w:tab w:val="left" w:pos="6660"/>
      </w:tabs>
      <w:ind w:right="360" w:firstLine="0" w:firstLineChars="0"/>
      <w:rPr>
        <w:rFonts w:eastAsia="Times New Roman"/>
      </w:rPr>
    </w:pPr>
    <w:r>
      <w:rPr>
        <w:rFonts w:hint="eastAsia"/>
      </w:rPr>
      <w:t xml:space="preserve">云南瑞玛克建设工程招标代理有限公司   </w:t>
    </w:r>
    <w:r>
      <w:rPr>
        <w:rFonts w:hint="eastAsia" w:ascii="华文新魏" w:eastAsia="华文新魏"/>
        <w:i/>
        <w:iCs/>
        <w:sz w:val="21"/>
      </w:rPr>
      <w:t xml:space="preserve">  </w:t>
    </w:r>
    <w:r>
      <w:rPr>
        <w:rFonts w:hint="eastAsia"/>
      </w:rPr>
      <w:t xml:space="preserve">                        </w:t>
    </w:r>
    <w:r>
      <w:rPr>
        <w:rFonts w:hint="eastAsia"/>
        <w:szCs w:val="18"/>
        <w:lang w:eastAsia="zh-CN"/>
      </w:rPr>
      <w:t>金平县</w:t>
    </w:r>
    <w:r>
      <w:rPr>
        <w:rFonts w:hint="eastAsia"/>
        <w:szCs w:val="18"/>
      </w:rPr>
      <w:t>文萃路243号红翔小区1-1</w:t>
    </w:r>
  </w:p>
  <w:p w14:paraId="39022C9A">
    <w:pPr>
      <w:pStyle w:val="16"/>
      <w:wordWrap w:val="0"/>
      <w:ind w:firstLine="360"/>
      <w:jc w:val="right"/>
      <w:rPr>
        <w:rFonts w:eastAsia="Times New Roman"/>
        <w:sz w:val="15"/>
      </w:rPr>
    </w:pPr>
    <w:r>
      <w:rPr>
        <w:rFonts w:hint="eastAsia"/>
      </w:rPr>
      <w:drawing>
        <wp:anchor distT="0" distB="0" distL="114300" distR="114300" simplePos="0" relativeHeight="251659264" behindDoc="0" locked="0" layoutInCell="1" allowOverlap="1">
          <wp:simplePos x="0" y="0"/>
          <wp:positionH relativeFrom="column">
            <wp:posOffset>2171700</wp:posOffset>
          </wp:positionH>
          <wp:positionV relativeFrom="paragraph">
            <wp:posOffset>-195580</wp:posOffset>
          </wp:positionV>
          <wp:extent cx="304800" cy="228600"/>
          <wp:effectExtent l="0" t="0" r="0" b="0"/>
          <wp:wrapSquare wrapText="right"/>
          <wp:docPr id="1" name="图片 2" descr="D:\qq\Users\529955951\Image\JO@UVV5`@0QG4X26ZXIC~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D:\qq\Users\529955951\Image\JO@UVV5`@0QG4X26ZXIC~RS.jpg"/>
                  <pic:cNvPicPr>
                    <a:picLocks noChangeAspect="1"/>
                  </pic:cNvPicPr>
                </pic:nvPicPr>
                <pic:blipFill>
                  <a:blip r:embed="rId1" r:link="rId2"/>
                  <a:stretch>
                    <a:fillRect/>
                  </a:stretch>
                </pic:blipFill>
                <pic:spPr>
                  <a:xfrm>
                    <a:off x="0" y="0"/>
                    <a:ext cx="304800" cy="228600"/>
                  </a:xfrm>
                  <a:prstGeom prst="rect">
                    <a:avLst/>
                  </a:prstGeom>
                  <a:noFill/>
                  <a:ln w="9525">
                    <a:noFill/>
                  </a:ln>
                </pic:spPr>
              </pic:pic>
            </a:graphicData>
          </a:graphic>
        </wp:anchor>
      </w:drawing>
    </w:r>
    <w:r>
      <w:rPr>
        <w:rStyle w:val="2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A8E06">
    <w:pPr>
      <w:pStyle w:val="16"/>
      <w:tabs>
        <w:tab w:val="left" w:pos="6660"/>
      </w:tabs>
      <w:ind w:right="360" w:firstLine="0" w:firstLineChars="0"/>
      <w:rPr>
        <w:rFonts w:eastAsia="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0101547">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F+3eIBAAC6AwAADgAAAGRycy9lMm9Eb2MueG1srVPNjtMwEL4j8Q7W&#10;3GnSSmVLVHcFqhYhrQBpdx/AdZzGkv9ku03KA8AbcOLCnefqc+zYSbpoueyBSzL2zHwz3zfj9XWv&#10;FTkKH6Q1FOazEogw3NbS7Ck83N+8WQEJkZmaKWsEhZMIcL15/WrduUosbGtVLTxBEBOqzlFoY3RV&#10;UQTeCs3CzDph0NlYr1nEo98XtWcdomtVLMrybdFZXztvuQgBb7eDE0ZE/xJA2zSSi63lBy1MHFC9&#10;UCwipdBKF2CTu20aweOXpgkiEkUBmcb8xSJo79K32KxZtffMtZKPLbCXtPCMk2bSYNEL1JZFRg5e&#10;/gOlJfc22CbOuNXFQCQrgizm5TNt7lrmROaCUgd3ET38P1j++fjVE1lTuAJimMaBn3/+OP/6c/79&#10;ncyXSZ/OhQrD7hwGxv6D7XFrpvuAl4l233id/kiIoB/VPV3UFX0kPCWtFqtViS6OvumA+MVTuvMh&#10;fhRWk2RQ8Di+rCo73oY4hE4hqZqxN1KpPEJlSEfh3XKxzAkXD4IrgzUSiaHZZMV+14/MdrY+ITF8&#10;EFiwtf4bkA7XgYLB7QeiPhlUO23OZPjJ2E0GMxwTKUQgB+flvs1blhoM7v0hYpO591R4qDb2gyPN&#10;7Mf1Szvz9zlHPT25zS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EDF+3eIBAAC6AwAADgAA&#10;AAAAAAABACAAAAAeAQAAZHJzL2Uyb0RvYy54bWxQSwUGAAAAAAYABgBZAQAAcgUAAAAA&#10;">
              <v:fill on="f" focussize="0,0"/>
              <v:stroke on="f"/>
              <v:imagedata o:title=""/>
              <o:lock v:ext="edit" aspectratio="f"/>
              <v:textbox inset="0mm,0mm,0mm,0mm" style="mso-fit-shape-to-text:t;">
                <w:txbxContent>
                  <w:p w14:paraId="60101547">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szCs w:val="18"/>
      </w:rPr>
      <w:t xml:space="preserve"> </w:t>
    </w:r>
  </w:p>
  <w:p w14:paraId="154635AF">
    <w:pPr>
      <w:pStyle w:val="16"/>
      <w:wordWrap w:val="0"/>
      <w:ind w:firstLine="360"/>
      <w:jc w:val="right"/>
      <w:rPr>
        <w:rFonts w:eastAsia="Times New Roman"/>
        <w:sz w:val="15"/>
      </w:rPr>
    </w:pPr>
    <w:r>
      <w:rPr>
        <w:rStyle w:val="28"/>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BFCB0">
    <w:pPr>
      <w:pStyle w:val="16"/>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B9F65">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79B9F65">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40</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B63D1">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5282F">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F2AE">
    <w:pPr>
      <w:pStyle w:val="16"/>
      <w:tabs>
        <w:tab w:val="left" w:pos="6660"/>
      </w:tabs>
      <w:ind w:right="360" w:firstLine="0" w:firstLineChars="0"/>
      <w:rPr>
        <w:rFonts w:eastAsia="Times New Roman"/>
      </w:rPr>
    </w:pPr>
    <w:r>
      <w:rPr>
        <w:rFonts w:hint="eastAsia"/>
        <w:szCs w:val="18"/>
      </w:rPr>
      <w:t xml:space="preserve"> </w:t>
    </w:r>
  </w:p>
  <w:p w14:paraId="1A7D0723">
    <w:pPr>
      <w:pStyle w:val="16"/>
      <w:wordWrap w:val="0"/>
      <w:ind w:firstLine="360"/>
      <w:jc w:val="right"/>
      <w:rPr>
        <w:rFonts w:eastAsia="Times New Roman"/>
        <w:sz w:val="15"/>
      </w:rPr>
    </w:pPr>
    <w:r>
      <w:rPr>
        <w:rStyle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2F697">
    <w:pPr>
      <w:pStyle w:val="16"/>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36B94">
    <w:pPr>
      <w:pStyle w:val="16"/>
      <w:tabs>
        <w:tab w:val="left" w:pos="6660"/>
      </w:tabs>
      <w:ind w:right="360" w:firstLine="0" w:firstLineChars="0"/>
      <w:rPr>
        <w:rFonts w:eastAsia="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E0EAE2D">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gnD0uEBAAC6AwAADgAAAGRycy9lMm9Eb2MueG1srVPBjtMwEL0j8Q+W&#10;7zRppKIS1V2BqkVICJAWPsB1nMaS7bFst0n5APgDTly48139DsZO0kW7lz3sJRl7Zt7MezPe3AxG&#10;k5P0QYFldLkoKZFWQKPsgdFvX29frSkJkduGa7CS0bMM9Gb78sWmd7WsoAPdSE8QxIa6d4x2Mbq6&#10;KILopOFhAU5adLbgDY949Iei8bxHdKOLqixfFz34xnkQMgS83Y1OOiH6pwBC2yohdyCORto4onqp&#10;eURKoVMu0G3utm2liJ/bNshINKPINOYvFkF7n77FdsPrg+euU2JqgT+lhQecDFcWi16hdjxycvTq&#10;EZRRwkOANi4EmGIkkhVBFsvygTZ3HXcyc0Gpg7uKHp4PVnw6ffFENYxWlFhucOCXXz8vv/9e/vwg&#10;y1XSp3ehxrA7h4FxeAcDbs18H/Ay0R5ab9IfCRH0o7rnq7pyiESkpHW1XpfoEuibD4hf3Kc7H+J7&#10;CYYkg1GP48uq8tPHEMfQOSRVs3CrtM4j1Jb0jL5ZVauccPUguLZYI5EYm01WHPbDxGwPzRmJ4YPA&#10;gh3475T0uA6MWtx+SvQHi2qnzZkNPxv72eBWYCKjkZKj8+rQ5S1LDQb39hixydx7KjxWm/rBkWb2&#10;0/qlnfn/nKPun9z2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CCcPS4QEAALoDAAAOAAAA&#10;AAAAAAEAIAAAAB4BAABkcnMvZTJvRG9jLnhtbFBLBQYAAAAABgAGAFkBAABxBQAAAAA=&#10;">
              <v:fill on="f" focussize="0,0"/>
              <v:stroke on="f"/>
              <v:imagedata o:title=""/>
              <o:lock v:ext="edit" aspectratio="f"/>
              <v:textbox inset="0mm,0mm,0mm,0mm" style="mso-fit-shape-to-text:t;">
                <w:txbxContent>
                  <w:p w14:paraId="2E0EAE2D">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szCs w:val="18"/>
      </w:rPr>
      <w:t xml:space="preserve"> </w:t>
    </w:r>
  </w:p>
  <w:p w14:paraId="28DF656A">
    <w:pPr>
      <w:pStyle w:val="16"/>
      <w:wordWrap w:val="0"/>
      <w:ind w:firstLine="360"/>
      <w:jc w:val="right"/>
      <w:rPr>
        <w:rFonts w:eastAsia="Times New Roman"/>
        <w:sz w:val="15"/>
      </w:rPr>
    </w:pPr>
    <w:r>
      <w:rPr>
        <w:rStyle w:val="28"/>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AD9D0">
    <w:pPr>
      <w:pStyle w:val="16"/>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2000B">
    <w:pPr>
      <w:pStyle w:val="16"/>
      <w:ind w:right="360"/>
      <w:rPr>
        <w:rStyle w:val="28"/>
        <w:rFonts w:ascii="仿宋" w:hAnsi="仿宋" w:eastAsia="仿宋" w:cs="仿宋"/>
        <w:b/>
        <w:bCs/>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BEC51C6">
                          <w:pPr>
                            <w:pStyle w:val="16"/>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25iNdEBAACjAwAADgAAAGRycy9lMm9Eb2MueG1srVPNjtMwEL4j8Q6W&#10;7zTZSgslarpaVC1CQoC08ACu4zSW/KcZt0lfAN6AExfuPFefg7GTdNFy2cNenLFn/M33fZ6sbwZr&#10;2FEBau9qfrUoOVNO+ka7fc2/fb17teIMo3CNMN6pmp8U8pvNyxfrPlRq6TtvGgWMQBxWfah5F2Oo&#10;igJlp6zAhQ/KUbL1YEWkLeyLBkRP6NYUy7J8XfQemgBeKkQ63Y5JPiHCUwB922qptl4erHJxRAVl&#10;RCRJ2OmAfJPZtq2S8XPboorM1JyUxrxSE4p3aS02a1HtQYROy4mCeAqFR5qs0I6aXqC2Igp2AP0f&#10;lNUSPPo2LqS3xSgkO0IqrspH3tx3IqishazGcDEdnw9Wfjp+AaYbmgSyxAlLL37++eP868/593f2&#10;JvnTB6yo7D5QYRze+YFq53OkwyR7aMGmLwlilCeo08VdNUQm06XVcrUqKSUpN28Iv3i4HgDje+Ut&#10;S0HNgZ4vuyqOHzGOpXNJ6ub8nTYmP6FxrK/52+vldb5wyRC4cdQjiRjJpigOu2FStvPNiYT1NAI1&#10;dzTxnJkPjhwmonEOYA52c3AIoPddHqfEBMPtIRKbTDJ1GGGnxvR2WeY0Z2k4/t3nqod/a/M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CNuYjXRAQAAowMAAA4AAAAAAAAAAQAgAAAAHgEAAGRy&#10;cy9lMm9Eb2MueG1sUEsFBgAAAAAGAAYAWQEAAGEFAAAAAA==&#10;">
              <v:fill on="f" focussize="0,0"/>
              <v:stroke on="f"/>
              <v:imagedata o:title=""/>
              <o:lock v:ext="edit" aspectratio="f"/>
              <v:textbox inset="0mm,0mm,0mm,0mm" style="mso-fit-shape-to-text:t;">
                <w:txbxContent>
                  <w:p w14:paraId="5BEC51C6">
                    <w:pPr>
                      <w:pStyle w:val="16"/>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r>
      <w:rPr>
        <w:rStyle w:val="28"/>
        <w:rFonts w:hint="eastAsia" w:ascii="仿宋" w:hAnsi="仿宋" w:eastAsia="仿宋" w:cs="仿宋"/>
        <w:b/>
        <w:bCs/>
        <w:sz w:val="21"/>
        <w:szCs w:val="21"/>
      </w:rPr>
      <w:t xml:space="preserve"> 招标代理机构：</w:t>
    </w:r>
    <w:r>
      <w:rPr>
        <w:rStyle w:val="28"/>
        <w:rFonts w:hint="eastAsia" w:ascii="仿宋" w:hAnsi="仿宋" w:eastAsia="仿宋" w:cs="仿宋"/>
        <w:b/>
        <w:bCs/>
        <w:sz w:val="21"/>
        <w:szCs w:val="21"/>
        <w:lang w:eastAsia="zh-CN"/>
      </w:rPr>
      <w:t>云南恒嘉信招标代理有限公司</w:t>
    </w:r>
    <w:r>
      <w:rPr>
        <w:rStyle w:val="28"/>
        <w:rFonts w:hint="eastAsia" w:ascii="仿宋" w:hAnsi="仿宋" w:eastAsia="仿宋" w:cs="仿宋"/>
        <w:b/>
        <w:bCs/>
        <w:sz w:val="21"/>
        <w:szCs w:val="21"/>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57BA4">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1FDE91C">
                          <w:pPr>
                            <w:pStyle w:val="16"/>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8l90tEBAACiAwAADgAAAGRycy9lMm9Eb2MueG1srVNLbtswEN0X6B0I&#10;7mspBlKoguUghZGiQJEWSHMAmiItAvyBQ1vyBZobdNVN9z2Xz9EhJTlBsskiG2qGM3wz781odTUY&#10;TQ4igHK2oReLkhJhuWuV3TX0/ufNh4oSiMy2TDsrGnoUQK/W79+tel+LpeucbkUgCGKh7n1Duxh9&#10;XRTAO2EYLJwXFoPSBcMiumFXtIH1iG50sSzLj0XvQuuD4wIAbzdjkE6I4TWATkrFxcbxvRE2jqhB&#10;aBaREnTKA13nbqUUPH6XEkQkuqHINOYTi6C9TWexXrF6F5jvFJ9aYK9p4Rknw5TFomeoDYuM7IN6&#10;AWUUDw6cjAvuTDESyYogi4vymTZ3HfMic0GpwZ9Fh7eD5beHH4GotqGfKLHM4MBPvx9Of/6d/v4i&#10;VZKn91Bj1p3HvDh8dgMuzXwPeJlYDzKY9EU+BOMo7vEsrhgi4elRtayqEkMcY7OD+MXjcx8gfhHO&#10;kGQ0NOD0sqjs8A3imDqnpGrW3Sit8wS1JT1SuFxe5gfnCIJrizUSibHZZMVhO0zMtq49IrEeN6Ch&#10;FheeEv3VosBpWWYjzMZ2NvY+qF2Xtyl1Av56H7Gb3GSqMMJOhXF0mea0Zmk3nvo56/HXWv8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LPJfdLRAQAAogMAAA4AAAAAAAAAAQAgAAAAHgEAAGRy&#10;cy9lMm9Eb2MueG1sUEsFBgAAAAAGAAYAWQEAAGEFAAAAAA==&#10;">
              <v:fill on="f" focussize="0,0"/>
              <v:stroke on="f"/>
              <v:imagedata o:title=""/>
              <o:lock v:ext="edit" aspectratio="f"/>
              <v:textbox inset="0mm,0mm,0mm,0mm" style="mso-fit-shape-to-text:t;">
                <w:txbxContent>
                  <w:p w14:paraId="11FDE91C">
                    <w:pPr>
                      <w:pStyle w:val="16"/>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招标代理机构：云南恒嘉信招标代理有限公司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7B6E6">
    <w:pPr>
      <w:spacing w:line="240" w:lineRule="auto"/>
      <w:ind w:firstLine="0" w:firstLineChars="0"/>
      <w:rPr>
        <w:rFonts w:hint="eastAsia" w:ascii="宋体" w:hAnsi="宋体"/>
        <w:sz w:val="18"/>
        <w:szCs w:val="18"/>
      </w:rPr>
    </w:pPr>
  </w:p>
  <w:p w14:paraId="547407DA">
    <w:pPr>
      <w:spacing w:line="240" w:lineRule="auto"/>
      <w:ind w:firstLine="0" w:firstLineChars="0"/>
      <w:rPr>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6FE1C">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C9F92">
    <w:pPr>
      <w:spacing w:line="240" w:lineRule="auto"/>
      <w:ind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A685F">
    <w:pPr>
      <w:pStyle w:val="17"/>
      <w:pBdr>
        <w:bottom w:val="single" w:color="auto" w:sz="6" w:space="0"/>
      </w:pBdr>
      <w:ind w:right="640"/>
      <w:jc w:val="both"/>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8FC51"/>
    <w:multiLevelType w:val="singleLevel"/>
    <w:tmpl w:val="A178FC51"/>
    <w:lvl w:ilvl="0" w:tentative="0">
      <w:start w:val="1"/>
      <w:numFmt w:val="decimal"/>
      <w:suff w:val="space"/>
      <w:lvlText w:val="%1."/>
      <w:lvlJc w:val="left"/>
    </w:lvl>
  </w:abstractNum>
  <w:abstractNum w:abstractNumId="1">
    <w:nsid w:val="A7FF32E8"/>
    <w:multiLevelType w:val="singleLevel"/>
    <w:tmpl w:val="A7FF32E8"/>
    <w:lvl w:ilvl="0" w:tentative="0">
      <w:start w:val="3"/>
      <w:numFmt w:val="chineseCounting"/>
      <w:suff w:val="space"/>
      <w:lvlText w:val="第%1章"/>
      <w:lvlJc w:val="left"/>
      <w:rPr>
        <w:rFonts w:hint="eastAsia"/>
      </w:rPr>
    </w:lvl>
  </w:abstractNum>
  <w:abstractNum w:abstractNumId="2">
    <w:nsid w:val="CA0E10FD"/>
    <w:multiLevelType w:val="singleLevel"/>
    <w:tmpl w:val="CA0E10FD"/>
    <w:lvl w:ilvl="0" w:tentative="0">
      <w:start w:val="1"/>
      <w:numFmt w:val="decimal"/>
      <w:suff w:val="nothing"/>
      <w:lvlText w:val="（%1）"/>
      <w:lvlJc w:val="left"/>
      <w:pPr>
        <w:ind w:left="-60"/>
      </w:pPr>
    </w:lvl>
  </w:abstractNum>
  <w:abstractNum w:abstractNumId="3">
    <w:nsid w:val="DD8B47A8"/>
    <w:multiLevelType w:val="singleLevel"/>
    <w:tmpl w:val="DD8B47A8"/>
    <w:lvl w:ilvl="0" w:tentative="0">
      <w:start w:val="10"/>
      <w:numFmt w:val="decimal"/>
      <w:suff w:val="space"/>
      <w:lvlText w:val="%1."/>
      <w:lvlJc w:val="left"/>
    </w:lvl>
  </w:abstractNum>
  <w:abstractNum w:abstractNumId="4">
    <w:nsid w:val="FF2925C9"/>
    <w:multiLevelType w:val="singleLevel"/>
    <w:tmpl w:val="FF2925C9"/>
    <w:lvl w:ilvl="0" w:tentative="0">
      <w:start w:val="5"/>
      <w:numFmt w:val="decimal"/>
      <w:suff w:val="nothing"/>
      <w:lvlText w:val="%1、"/>
      <w:lvlJc w:val="left"/>
    </w:lvl>
  </w:abstractNum>
  <w:abstractNum w:abstractNumId="5">
    <w:nsid w:val="28FD290B"/>
    <w:multiLevelType w:val="singleLevel"/>
    <w:tmpl w:val="28FD290B"/>
    <w:lvl w:ilvl="0" w:tentative="0">
      <w:start w:val="1"/>
      <w:numFmt w:val="decimal"/>
      <w:suff w:val="space"/>
      <w:lvlText w:val="%1."/>
      <w:lvlJc w:val="left"/>
      <w:pPr>
        <w:ind w:left="-62"/>
      </w:pPr>
    </w:lvl>
  </w:abstractNum>
  <w:abstractNum w:abstractNumId="6">
    <w:nsid w:val="325FA2BC"/>
    <w:multiLevelType w:val="singleLevel"/>
    <w:tmpl w:val="325FA2BC"/>
    <w:lvl w:ilvl="0" w:tentative="0">
      <w:start w:val="5"/>
      <w:numFmt w:val="decimal"/>
      <w:suff w:val="space"/>
      <w:lvlText w:val="%1."/>
      <w:lvlJc w:val="left"/>
    </w:lvl>
  </w:abstractNum>
  <w:abstractNum w:abstractNumId="7">
    <w:nsid w:val="4AC266A7"/>
    <w:multiLevelType w:val="singleLevel"/>
    <w:tmpl w:val="4AC266A7"/>
    <w:lvl w:ilvl="0" w:tentative="0">
      <w:start w:val="4"/>
      <w:numFmt w:val="chineseCounting"/>
      <w:suff w:val="nothing"/>
      <w:lvlText w:val="（%1）"/>
      <w:lvlJc w:val="left"/>
      <w:rPr>
        <w:rFonts w:hint="eastAsia"/>
      </w:rPr>
    </w:lvl>
  </w:abstractNum>
  <w:abstractNum w:abstractNumId="8">
    <w:nsid w:val="5F9767A8"/>
    <w:multiLevelType w:val="singleLevel"/>
    <w:tmpl w:val="5F9767A8"/>
    <w:lvl w:ilvl="0" w:tentative="0">
      <w:start w:val="2"/>
      <w:numFmt w:val="decimal"/>
      <w:suff w:val="nothing"/>
      <w:lvlText w:val="（%1）"/>
      <w:lvlJc w:val="left"/>
    </w:lvl>
  </w:abstractNum>
  <w:abstractNum w:abstractNumId="9">
    <w:nsid w:val="63B30903"/>
    <w:multiLevelType w:val="singleLevel"/>
    <w:tmpl w:val="63B30903"/>
    <w:lvl w:ilvl="0" w:tentative="0">
      <w:start w:val="4"/>
      <w:numFmt w:val="decimal"/>
      <w:suff w:val="space"/>
      <w:lvlText w:val="%1."/>
      <w:lvlJc w:val="left"/>
    </w:lvl>
  </w:abstractNum>
  <w:num w:numId="1">
    <w:abstractNumId w:val="4"/>
  </w:num>
  <w:num w:numId="2">
    <w:abstractNumId w:val="5"/>
  </w:num>
  <w:num w:numId="3">
    <w:abstractNumId w:val="2"/>
  </w:num>
  <w:num w:numId="4">
    <w:abstractNumId w:val="9"/>
  </w:num>
  <w:num w:numId="5">
    <w:abstractNumId w:val="6"/>
  </w:num>
  <w:num w:numId="6">
    <w:abstractNumId w:val="3"/>
  </w:num>
  <w:num w:numId="7">
    <w:abstractNumId w:val="1"/>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MmEzMTNlOTY3NTBkMDFiNDE2YTYwN2U5ZDM5OTkifQ=="/>
  </w:docVars>
  <w:rsids>
    <w:rsidRoot w:val="007B4711"/>
    <w:rsid w:val="00000EBF"/>
    <w:rsid w:val="0000132A"/>
    <w:rsid w:val="00001456"/>
    <w:rsid w:val="000027E1"/>
    <w:rsid w:val="00006901"/>
    <w:rsid w:val="0000719C"/>
    <w:rsid w:val="00007211"/>
    <w:rsid w:val="000079B7"/>
    <w:rsid w:val="00007C4A"/>
    <w:rsid w:val="00011E20"/>
    <w:rsid w:val="00013552"/>
    <w:rsid w:val="000155DA"/>
    <w:rsid w:val="000156B9"/>
    <w:rsid w:val="00016267"/>
    <w:rsid w:val="0001636D"/>
    <w:rsid w:val="00016D3D"/>
    <w:rsid w:val="000201BF"/>
    <w:rsid w:val="00023783"/>
    <w:rsid w:val="00025536"/>
    <w:rsid w:val="00027CB5"/>
    <w:rsid w:val="00032FE6"/>
    <w:rsid w:val="000337F4"/>
    <w:rsid w:val="00034C08"/>
    <w:rsid w:val="00035F87"/>
    <w:rsid w:val="00036902"/>
    <w:rsid w:val="00036F3D"/>
    <w:rsid w:val="00037FD9"/>
    <w:rsid w:val="00041A8A"/>
    <w:rsid w:val="000420C6"/>
    <w:rsid w:val="0004277A"/>
    <w:rsid w:val="000439A0"/>
    <w:rsid w:val="0004437F"/>
    <w:rsid w:val="00047EB3"/>
    <w:rsid w:val="000508FC"/>
    <w:rsid w:val="00050965"/>
    <w:rsid w:val="00051155"/>
    <w:rsid w:val="0005300B"/>
    <w:rsid w:val="0005342C"/>
    <w:rsid w:val="00053CA5"/>
    <w:rsid w:val="00054195"/>
    <w:rsid w:val="000574DD"/>
    <w:rsid w:val="000579D4"/>
    <w:rsid w:val="000609BC"/>
    <w:rsid w:val="000629C1"/>
    <w:rsid w:val="00062DEA"/>
    <w:rsid w:val="000632B8"/>
    <w:rsid w:val="00064908"/>
    <w:rsid w:val="00064FD0"/>
    <w:rsid w:val="00070EEE"/>
    <w:rsid w:val="00071EEF"/>
    <w:rsid w:val="0007217E"/>
    <w:rsid w:val="000747C4"/>
    <w:rsid w:val="0007481B"/>
    <w:rsid w:val="0007696F"/>
    <w:rsid w:val="0008266E"/>
    <w:rsid w:val="000838BF"/>
    <w:rsid w:val="00083CB4"/>
    <w:rsid w:val="00083FBF"/>
    <w:rsid w:val="0008484C"/>
    <w:rsid w:val="00085130"/>
    <w:rsid w:val="00085332"/>
    <w:rsid w:val="000868E6"/>
    <w:rsid w:val="00087F99"/>
    <w:rsid w:val="000903D3"/>
    <w:rsid w:val="00091674"/>
    <w:rsid w:val="00091AD7"/>
    <w:rsid w:val="000927E9"/>
    <w:rsid w:val="00094A61"/>
    <w:rsid w:val="000954A5"/>
    <w:rsid w:val="00095E64"/>
    <w:rsid w:val="000963E8"/>
    <w:rsid w:val="000966AE"/>
    <w:rsid w:val="00097393"/>
    <w:rsid w:val="000A1981"/>
    <w:rsid w:val="000A36D7"/>
    <w:rsid w:val="000A561B"/>
    <w:rsid w:val="000A6125"/>
    <w:rsid w:val="000A6FA6"/>
    <w:rsid w:val="000B110A"/>
    <w:rsid w:val="000B4DE2"/>
    <w:rsid w:val="000B56E3"/>
    <w:rsid w:val="000B6B77"/>
    <w:rsid w:val="000B79A5"/>
    <w:rsid w:val="000C121B"/>
    <w:rsid w:val="000C1E2D"/>
    <w:rsid w:val="000C1E42"/>
    <w:rsid w:val="000C2A5D"/>
    <w:rsid w:val="000C3943"/>
    <w:rsid w:val="000C3E41"/>
    <w:rsid w:val="000C4518"/>
    <w:rsid w:val="000C461C"/>
    <w:rsid w:val="000C5222"/>
    <w:rsid w:val="000D1E5C"/>
    <w:rsid w:val="000D258B"/>
    <w:rsid w:val="000D2DE6"/>
    <w:rsid w:val="000D356B"/>
    <w:rsid w:val="000D4419"/>
    <w:rsid w:val="000D49A8"/>
    <w:rsid w:val="000D5868"/>
    <w:rsid w:val="000D76E5"/>
    <w:rsid w:val="000E1580"/>
    <w:rsid w:val="000E202B"/>
    <w:rsid w:val="000E5E58"/>
    <w:rsid w:val="000E69CC"/>
    <w:rsid w:val="000F0099"/>
    <w:rsid w:val="000F0CAC"/>
    <w:rsid w:val="000F1E45"/>
    <w:rsid w:val="000F1F2A"/>
    <w:rsid w:val="000F2867"/>
    <w:rsid w:val="000F2FE3"/>
    <w:rsid w:val="000F4384"/>
    <w:rsid w:val="000F48F8"/>
    <w:rsid w:val="000F49B0"/>
    <w:rsid w:val="000F4CF2"/>
    <w:rsid w:val="000F562B"/>
    <w:rsid w:val="000F6F8B"/>
    <w:rsid w:val="001000F6"/>
    <w:rsid w:val="001003A9"/>
    <w:rsid w:val="00100C01"/>
    <w:rsid w:val="00101279"/>
    <w:rsid w:val="001019C6"/>
    <w:rsid w:val="00102873"/>
    <w:rsid w:val="00102B69"/>
    <w:rsid w:val="00102DE7"/>
    <w:rsid w:val="00103F58"/>
    <w:rsid w:val="001054AB"/>
    <w:rsid w:val="00105AE9"/>
    <w:rsid w:val="00106050"/>
    <w:rsid w:val="001060D0"/>
    <w:rsid w:val="00107D5A"/>
    <w:rsid w:val="00112BF4"/>
    <w:rsid w:val="00112C16"/>
    <w:rsid w:val="00113A3F"/>
    <w:rsid w:val="00114A6B"/>
    <w:rsid w:val="00115F0D"/>
    <w:rsid w:val="00116DA8"/>
    <w:rsid w:val="00116F54"/>
    <w:rsid w:val="001205A9"/>
    <w:rsid w:val="00121AAF"/>
    <w:rsid w:val="00122242"/>
    <w:rsid w:val="00122521"/>
    <w:rsid w:val="00122613"/>
    <w:rsid w:val="00124240"/>
    <w:rsid w:val="00125371"/>
    <w:rsid w:val="0012586F"/>
    <w:rsid w:val="0012705F"/>
    <w:rsid w:val="0012794D"/>
    <w:rsid w:val="0013040A"/>
    <w:rsid w:val="00130556"/>
    <w:rsid w:val="001307C7"/>
    <w:rsid w:val="00131881"/>
    <w:rsid w:val="00132BEE"/>
    <w:rsid w:val="001339E8"/>
    <w:rsid w:val="00133DB3"/>
    <w:rsid w:val="0013418D"/>
    <w:rsid w:val="0013523B"/>
    <w:rsid w:val="00135CBE"/>
    <w:rsid w:val="00135D68"/>
    <w:rsid w:val="0013671F"/>
    <w:rsid w:val="00140062"/>
    <w:rsid w:val="0014020B"/>
    <w:rsid w:val="00142B83"/>
    <w:rsid w:val="00142FCE"/>
    <w:rsid w:val="00143B9C"/>
    <w:rsid w:val="00143FE8"/>
    <w:rsid w:val="001443EA"/>
    <w:rsid w:val="001448A1"/>
    <w:rsid w:val="00146580"/>
    <w:rsid w:val="00147740"/>
    <w:rsid w:val="00147F8E"/>
    <w:rsid w:val="0015162B"/>
    <w:rsid w:val="00152D6B"/>
    <w:rsid w:val="00153B5D"/>
    <w:rsid w:val="00153E67"/>
    <w:rsid w:val="0016195A"/>
    <w:rsid w:val="0016249F"/>
    <w:rsid w:val="00163457"/>
    <w:rsid w:val="00164D58"/>
    <w:rsid w:val="00165AF4"/>
    <w:rsid w:val="00165C59"/>
    <w:rsid w:val="00167D11"/>
    <w:rsid w:val="001706FD"/>
    <w:rsid w:val="00170F53"/>
    <w:rsid w:val="00171879"/>
    <w:rsid w:val="00172841"/>
    <w:rsid w:val="00174727"/>
    <w:rsid w:val="00174D6E"/>
    <w:rsid w:val="0017620D"/>
    <w:rsid w:val="00176DF7"/>
    <w:rsid w:val="001771D5"/>
    <w:rsid w:val="00180D0A"/>
    <w:rsid w:val="00180D0E"/>
    <w:rsid w:val="00180F97"/>
    <w:rsid w:val="001826EB"/>
    <w:rsid w:val="00182BBB"/>
    <w:rsid w:val="001839B0"/>
    <w:rsid w:val="00183C0C"/>
    <w:rsid w:val="001861F2"/>
    <w:rsid w:val="001864F2"/>
    <w:rsid w:val="00186738"/>
    <w:rsid w:val="00186F4E"/>
    <w:rsid w:val="001901B8"/>
    <w:rsid w:val="00190F10"/>
    <w:rsid w:val="00194339"/>
    <w:rsid w:val="001955F5"/>
    <w:rsid w:val="0019582D"/>
    <w:rsid w:val="001963F7"/>
    <w:rsid w:val="001968AD"/>
    <w:rsid w:val="001968BF"/>
    <w:rsid w:val="00196B51"/>
    <w:rsid w:val="001A10E5"/>
    <w:rsid w:val="001A1307"/>
    <w:rsid w:val="001A1FE7"/>
    <w:rsid w:val="001A27EA"/>
    <w:rsid w:val="001A2FB5"/>
    <w:rsid w:val="001A37A2"/>
    <w:rsid w:val="001A3D1E"/>
    <w:rsid w:val="001A4C05"/>
    <w:rsid w:val="001A50CF"/>
    <w:rsid w:val="001A5F47"/>
    <w:rsid w:val="001A739F"/>
    <w:rsid w:val="001A7691"/>
    <w:rsid w:val="001A7824"/>
    <w:rsid w:val="001A7964"/>
    <w:rsid w:val="001B0018"/>
    <w:rsid w:val="001B0360"/>
    <w:rsid w:val="001B05F8"/>
    <w:rsid w:val="001B1B23"/>
    <w:rsid w:val="001B2914"/>
    <w:rsid w:val="001B32E3"/>
    <w:rsid w:val="001B4B3A"/>
    <w:rsid w:val="001B5C23"/>
    <w:rsid w:val="001B6157"/>
    <w:rsid w:val="001B6815"/>
    <w:rsid w:val="001B6C5A"/>
    <w:rsid w:val="001B7BDD"/>
    <w:rsid w:val="001C0EB5"/>
    <w:rsid w:val="001C3939"/>
    <w:rsid w:val="001C39A5"/>
    <w:rsid w:val="001C4FBE"/>
    <w:rsid w:val="001C5863"/>
    <w:rsid w:val="001C6202"/>
    <w:rsid w:val="001C6430"/>
    <w:rsid w:val="001C6696"/>
    <w:rsid w:val="001C6DE6"/>
    <w:rsid w:val="001D023E"/>
    <w:rsid w:val="001D094F"/>
    <w:rsid w:val="001D10F3"/>
    <w:rsid w:val="001D167B"/>
    <w:rsid w:val="001D369C"/>
    <w:rsid w:val="001D5943"/>
    <w:rsid w:val="001E0796"/>
    <w:rsid w:val="001E09C8"/>
    <w:rsid w:val="001E1EC9"/>
    <w:rsid w:val="001E2EEB"/>
    <w:rsid w:val="001E710F"/>
    <w:rsid w:val="001E788F"/>
    <w:rsid w:val="001E7C36"/>
    <w:rsid w:val="001E7F11"/>
    <w:rsid w:val="001F0C04"/>
    <w:rsid w:val="001F2CFC"/>
    <w:rsid w:val="001F306D"/>
    <w:rsid w:val="001F4F17"/>
    <w:rsid w:val="001F5757"/>
    <w:rsid w:val="001F5A45"/>
    <w:rsid w:val="001F662C"/>
    <w:rsid w:val="001F67D1"/>
    <w:rsid w:val="001F7582"/>
    <w:rsid w:val="001F7B76"/>
    <w:rsid w:val="002023A8"/>
    <w:rsid w:val="00203027"/>
    <w:rsid w:val="00203545"/>
    <w:rsid w:val="00203CB7"/>
    <w:rsid w:val="00205BD9"/>
    <w:rsid w:val="00206DB9"/>
    <w:rsid w:val="00207C66"/>
    <w:rsid w:val="00207C96"/>
    <w:rsid w:val="00210AAE"/>
    <w:rsid w:val="0021192F"/>
    <w:rsid w:val="00212BCE"/>
    <w:rsid w:val="002138DA"/>
    <w:rsid w:val="00214762"/>
    <w:rsid w:val="00214E96"/>
    <w:rsid w:val="00221DBD"/>
    <w:rsid w:val="0022262E"/>
    <w:rsid w:val="00223A9F"/>
    <w:rsid w:val="002240C7"/>
    <w:rsid w:val="00226057"/>
    <w:rsid w:val="00226174"/>
    <w:rsid w:val="00230A16"/>
    <w:rsid w:val="00230E3A"/>
    <w:rsid w:val="00231B03"/>
    <w:rsid w:val="00232703"/>
    <w:rsid w:val="002328F8"/>
    <w:rsid w:val="002330BF"/>
    <w:rsid w:val="00233F1F"/>
    <w:rsid w:val="00234910"/>
    <w:rsid w:val="00234AF0"/>
    <w:rsid w:val="0023637C"/>
    <w:rsid w:val="00236D21"/>
    <w:rsid w:val="002376DE"/>
    <w:rsid w:val="00237EAF"/>
    <w:rsid w:val="00240ABA"/>
    <w:rsid w:val="00242662"/>
    <w:rsid w:val="0024291E"/>
    <w:rsid w:val="00244249"/>
    <w:rsid w:val="002443E4"/>
    <w:rsid w:val="00245628"/>
    <w:rsid w:val="0024572B"/>
    <w:rsid w:val="00246BAC"/>
    <w:rsid w:val="00246C4B"/>
    <w:rsid w:val="00247409"/>
    <w:rsid w:val="0024762F"/>
    <w:rsid w:val="002501BC"/>
    <w:rsid w:val="00250C6E"/>
    <w:rsid w:val="00252296"/>
    <w:rsid w:val="00252873"/>
    <w:rsid w:val="00254700"/>
    <w:rsid w:val="00254EF9"/>
    <w:rsid w:val="0025517C"/>
    <w:rsid w:val="00256AF8"/>
    <w:rsid w:val="00256BC3"/>
    <w:rsid w:val="00260540"/>
    <w:rsid w:val="00265A66"/>
    <w:rsid w:val="00267955"/>
    <w:rsid w:val="00272FCF"/>
    <w:rsid w:val="0027339C"/>
    <w:rsid w:val="002767F4"/>
    <w:rsid w:val="00276B27"/>
    <w:rsid w:val="0027780D"/>
    <w:rsid w:val="00277D3B"/>
    <w:rsid w:val="00281AFB"/>
    <w:rsid w:val="00281C9E"/>
    <w:rsid w:val="00281D8E"/>
    <w:rsid w:val="002827A1"/>
    <w:rsid w:val="002829F1"/>
    <w:rsid w:val="00284B23"/>
    <w:rsid w:val="00285FE1"/>
    <w:rsid w:val="00286D7F"/>
    <w:rsid w:val="0028772B"/>
    <w:rsid w:val="002878F1"/>
    <w:rsid w:val="00291BC7"/>
    <w:rsid w:val="00292813"/>
    <w:rsid w:val="00292964"/>
    <w:rsid w:val="00293DEF"/>
    <w:rsid w:val="00294669"/>
    <w:rsid w:val="0029526A"/>
    <w:rsid w:val="00295349"/>
    <w:rsid w:val="002A0B5B"/>
    <w:rsid w:val="002A2709"/>
    <w:rsid w:val="002A27C1"/>
    <w:rsid w:val="002A2C59"/>
    <w:rsid w:val="002A33CA"/>
    <w:rsid w:val="002A3762"/>
    <w:rsid w:val="002A3975"/>
    <w:rsid w:val="002A728C"/>
    <w:rsid w:val="002B0968"/>
    <w:rsid w:val="002B1A9C"/>
    <w:rsid w:val="002B31C9"/>
    <w:rsid w:val="002B33FD"/>
    <w:rsid w:val="002B4522"/>
    <w:rsid w:val="002B6233"/>
    <w:rsid w:val="002B7149"/>
    <w:rsid w:val="002C33BC"/>
    <w:rsid w:val="002C56E2"/>
    <w:rsid w:val="002C664A"/>
    <w:rsid w:val="002D0ADD"/>
    <w:rsid w:val="002D1091"/>
    <w:rsid w:val="002D17B3"/>
    <w:rsid w:val="002D22A5"/>
    <w:rsid w:val="002D3044"/>
    <w:rsid w:val="002D4C2E"/>
    <w:rsid w:val="002D6260"/>
    <w:rsid w:val="002D6959"/>
    <w:rsid w:val="002D69D9"/>
    <w:rsid w:val="002D725E"/>
    <w:rsid w:val="002D7BF0"/>
    <w:rsid w:val="002E03D9"/>
    <w:rsid w:val="002E0581"/>
    <w:rsid w:val="002E223D"/>
    <w:rsid w:val="002E2BB6"/>
    <w:rsid w:val="002E3FA7"/>
    <w:rsid w:val="002F1C7B"/>
    <w:rsid w:val="002F20BE"/>
    <w:rsid w:val="002F4F94"/>
    <w:rsid w:val="002F6A19"/>
    <w:rsid w:val="002F715D"/>
    <w:rsid w:val="00300906"/>
    <w:rsid w:val="00301F18"/>
    <w:rsid w:val="003031CB"/>
    <w:rsid w:val="00303414"/>
    <w:rsid w:val="003034ED"/>
    <w:rsid w:val="00304F37"/>
    <w:rsid w:val="00305212"/>
    <w:rsid w:val="003056C3"/>
    <w:rsid w:val="00305AAA"/>
    <w:rsid w:val="003119F4"/>
    <w:rsid w:val="003126C4"/>
    <w:rsid w:val="003127DF"/>
    <w:rsid w:val="00312CC4"/>
    <w:rsid w:val="003134D3"/>
    <w:rsid w:val="00313751"/>
    <w:rsid w:val="00313B15"/>
    <w:rsid w:val="003142EC"/>
    <w:rsid w:val="003161CC"/>
    <w:rsid w:val="00316E3D"/>
    <w:rsid w:val="003170CF"/>
    <w:rsid w:val="00317418"/>
    <w:rsid w:val="003178C1"/>
    <w:rsid w:val="003179B9"/>
    <w:rsid w:val="00321633"/>
    <w:rsid w:val="00324DD8"/>
    <w:rsid w:val="003251BC"/>
    <w:rsid w:val="00325DF5"/>
    <w:rsid w:val="003265CE"/>
    <w:rsid w:val="00326690"/>
    <w:rsid w:val="003272DD"/>
    <w:rsid w:val="00327AED"/>
    <w:rsid w:val="00327B8C"/>
    <w:rsid w:val="00327FF2"/>
    <w:rsid w:val="00330BE7"/>
    <w:rsid w:val="00332C3D"/>
    <w:rsid w:val="003332B9"/>
    <w:rsid w:val="00333EAA"/>
    <w:rsid w:val="0033461A"/>
    <w:rsid w:val="0033545D"/>
    <w:rsid w:val="003377AA"/>
    <w:rsid w:val="0033795D"/>
    <w:rsid w:val="00340572"/>
    <w:rsid w:val="003409CB"/>
    <w:rsid w:val="00341116"/>
    <w:rsid w:val="00341B5A"/>
    <w:rsid w:val="00342083"/>
    <w:rsid w:val="00350A03"/>
    <w:rsid w:val="00351822"/>
    <w:rsid w:val="00352175"/>
    <w:rsid w:val="00353ACD"/>
    <w:rsid w:val="003547EF"/>
    <w:rsid w:val="00354CA6"/>
    <w:rsid w:val="0035514B"/>
    <w:rsid w:val="00355417"/>
    <w:rsid w:val="003562A2"/>
    <w:rsid w:val="0035697D"/>
    <w:rsid w:val="00356FF7"/>
    <w:rsid w:val="003576B0"/>
    <w:rsid w:val="00357E16"/>
    <w:rsid w:val="003619B1"/>
    <w:rsid w:val="003622E3"/>
    <w:rsid w:val="00366345"/>
    <w:rsid w:val="003664C8"/>
    <w:rsid w:val="003670D6"/>
    <w:rsid w:val="00367A65"/>
    <w:rsid w:val="00373A22"/>
    <w:rsid w:val="003803EB"/>
    <w:rsid w:val="0038099C"/>
    <w:rsid w:val="00380A7E"/>
    <w:rsid w:val="00380F00"/>
    <w:rsid w:val="00382072"/>
    <w:rsid w:val="003825A2"/>
    <w:rsid w:val="00383228"/>
    <w:rsid w:val="00384063"/>
    <w:rsid w:val="00385149"/>
    <w:rsid w:val="00385614"/>
    <w:rsid w:val="00385E6F"/>
    <w:rsid w:val="003861D2"/>
    <w:rsid w:val="00386223"/>
    <w:rsid w:val="00386540"/>
    <w:rsid w:val="00386904"/>
    <w:rsid w:val="00386D38"/>
    <w:rsid w:val="00387C76"/>
    <w:rsid w:val="00391FF3"/>
    <w:rsid w:val="00392658"/>
    <w:rsid w:val="00393558"/>
    <w:rsid w:val="0039372E"/>
    <w:rsid w:val="003938B0"/>
    <w:rsid w:val="0039390F"/>
    <w:rsid w:val="0039396A"/>
    <w:rsid w:val="00393C95"/>
    <w:rsid w:val="00394FC4"/>
    <w:rsid w:val="003950D6"/>
    <w:rsid w:val="00395720"/>
    <w:rsid w:val="003965AD"/>
    <w:rsid w:val="003969B5"/>
    <w:rsid w:val="003969CA"/>
    <w:rsid w:val="00397F5B"/>
    <w:rsid w:val="003A0867"/>
    <w:rsid w:val="003A18E4"/>
    <w:rsid w:val="003A2AF9"/>
    <w:rsid w:val="003A3833"/>
    <w:rsid w:val="003A3C9E"/>
    <w:rsid w:val="003A42D1"/>
    <w:rsid w:val="003A4ED0"/>
    <w:rsid w:val="003A6722"/>
    <w:rsid w:val="003A727A"/>
    <w:rsid w:val="003A7992"/>
    <w:rsid w:val="003B119F"/>
    <w:rsid w:val="003B3AB2"/>
    <w:rsid w:val="003B3B74"/>
    <w:rsid w:val="003B4527"/>
    <w:rsid w:val="003B552F"/>
    <w:rsid w:val="003B6C49"/>
    <w:rsid w:val="003C0306"/>
    <w:rsid w:val="003C409A"/>
    <w:rsid w:val="003C5FE7"/>
    <w:rsid w:val="003D191B"/>
    <w:rsid w:val="003D2DF8"/>
    <w:rsid w:val="003D3217"/>
    <w:rsid w:val="003D32CF"/>
    <w:rsid w:val="003D3B04"/>
    <w:rsid w:val="003D5D66"/>
    <w:rsid w:val="003D6F7B"/>
    <w:rsid w:val="003D79E5"/>
    <w:rsid w:val="003D7C92"/>
    <w:rsid w:val="003E1EDA"/>
    <w:rsid w:val="003E4D12"/>
    <w:rsid w:val="003E4EF0"/>
    <w:rsid w:val="003E59A2"/>
    <w:rsid w:val="003E5DEB"/>
    <w:rsid w:val="003E6882"/>
    <w:rsid w:val="003E729D"/>
    <w:rsid w:val="003E7722"/>
    <w:rsid w:val="003E7CE1"/>
    <w:rsid w:val="003E7E62"/>
    <w:rsid w:val="003F153D"/>
    <w:rsid w:val="003F20F3"/>
    <w:rsid w:val="003F3B3D"/>
    <w:rsid w:val="003F68A2"/>
    <w:rsid w:val="003F7B88"/>
    <w:rsid w:val="0040161E"/>
    <w:rsid w:val="0040589D"/>
    <w:rsid w:val="00405E53"/>
    <w:rsid w:val="00410047"/>
    <w:rsid w:val="00410970"/>
    <w:rsid w:val="0041138A"/>
    <w:rsid w:val="00415220"/>
    <w:rsid w:val="00415280"/>
    <w:rsid w:val="00415E64"/>
    <w:rsid w:val="004170B0"/>
    <w:rsid w:val="0042069F"/>
    <w:rsid w:val="004206CC"/>
    <w:rsid w:val="00420BC7"/>
    <w:rsid w:val="00421120"/>
    <w:rsid w:val="00421C72"/>
    <w:rsid w:val="0042214D"/>
    <w:rsid w:val="00422B8F"/>
    <w:rsid w:val="00422D06"/>
    <w:rsid w:val="00422DDE"/>
    <w:rsid w:val="00425E83"/>
    <w:rsid w:val="00426A31"/>
    <w:rsid w:val="00432568"/>
    <w:rsid w:val="00432B81"/>
    <w:rsid w:val="00432DB2"/>
    <w:rsid w:val="00433858"/>
    <w:rsid w:val="00433D41"/>
    <w:rsid w:val="00433EBC"/>
    <w:rsid w:val="00435022"/>
    <w:rsid w:val="00435C41"/>
    <w:rsid w:val="004365F8"/>
    <w:rsid w:val="00437E49"/>
    <w:rsid w:val="0044074B"/>
    <w:rsid w:val="00440A5F"/>
    <w:rsid w:val="00441969"/>
    <w:rsid w:val="0044217B"/>
    <w:rsid w:val="00442E8D"/>
    <w:rsid w:val="00444A30"/>
    <w:rsid w:val="00445EF0"/>
    <w:rsid w:val="00447821"/>
    <w:rsid w:val="00450A4E"/>
    <w:rsid w:val="00450DEA"/>
    <w:rsid w:val="00451A5F"/>
    <w:rsid w:val="004522F3"/>
    <w:rsid w:val="0045267A"/>
    <w:rsid w:val="004529E6"/>
    <w:rsid w:val="00453E87"/>
    <w:rsid w:val="00454ADE"/>
    <w:rsid w:val="00455213"/>
    <w:rsid w:val="004566F2"/>
    <w:rsid w:val="00456AED"/>
    <w:rsid w:val="004574E3"/>
    <w:rsid w:val="00457EAD"/>
    <w:rsid w:val="0046019B"/>
    <w:rsid w:val="0046038F"/>
    <w:rsid w:val="00460C53"/>
    <w:rsid w:val="0046101A"/>
    <w:rsid w:val="00461A95"/>
    <w:rsid w:val="00461F81"/>
    <w:rsid w:val="0046203B"/>
    <w:rsid w:val="0046247D"/>
    <w:rsid w:val="00463462"/>
    <w:rsid w:val="0046478F"/>
    <w:rsid w:val="00464B5E"/>
    <w:rsid w:val="004650E4"/>
    <w:rsid w:val="004661BD"/>
    <w:rsid w:val="004702F6"/>
    <w:rsid w:val="00472F36"/>
    <w:rsid w:val="00473486"/>
    <w:rsid w:val="00473980"/>
    <w:rsid w:val="00476F77"/>
    <w:rsid w:val="00477889"/>
    <w:rsid w:val="0048096E"/>
    <w:rsid w:val="004836FF"/>
    <w:rsid w:val="00483761"/>
    <w:rsid w:val="004843AD"/>
    <w:rsid w:val="00486DFC"/>
    <w:rsid w:val="00486F1B"/>
    <w:rsid w:val="0048796C"/>
    <w:rsid w:val="00487BBE"/>
    <w:rsid w:val="00490970"/>
    <w:rsid w:val="00491B92"/>
    <w:rsid w:val="00491BA1"/>
    <w:rsid w:val="00491D76"/>
    <w:rsid w:val="004920A6"/>
    <w:rsid w:val="00492694"/>
    <w:rsid w:val="0049324F"/>
    <w:rsid w:val="00495B3D"/>
    <w:rsid w:val="00495D66"/>
    <w:rsid w:val="00496E0C"/>
    <w:rsid w:val="00497F44"/>
    <w:rsid w:val="004A0294"/>
    <w:rsid w:val="004A06CE"/>
    <w:rsid w:val="004A35B2"/>
    <w:rsid w:val="004A44F2"/>
    <w:rsid w:val="004A4CA6"/>
    <w:rsid w:val="004A4D3F"/>
    <w:rsid w:val="004A4E78"/>
    <w:rsid w:val="004A5EB7"/>
    <w:rsid w:val="004A5FAB"/>
    <w:rsid w:val="004A6072"/>
    <w:rsid w:val="004A6468"/>
    <w:rsid w:val="004A785F"/>
    <w:rsid w:val="004B28DD"/>
    <w:rsid w:val="004B2C22"/>
    <w:rsid w:val="004B3320"/>
    <w:rsid w:val="004B5440"/>
    <w:rsid w:val="004B5645"/>
    <w:rsid w:val="004B7D48"/>
    <w:rsid w:val="004C05ED"/>
    <w:rsid w:val="004C372D"/>
    <w:rsid w:val="004C3AA7"/>
    <w:rsid w:val="004C43E8"/>
    <w:rsid w:val="004C57C4"/>
    <w:rsid w:val="004C6E4C"/>
    <w:rsid w:val="004D1492"/>
    <w:rsid w:val="004D1F7A"/>
    <w:rsid w:val="004D469C"/>
    <w:rsid w:val="004D4C04"/>
    <w:rsid w:val="004D68E8"/>
    <w:rsid w:val="004D6D78"/>
    <w:rsid w:val="004D7073"/>
    <w:rsid w:val="004E0DA7"/>
    <w:rsid w:val="004E17B7"/>
    <w:rsid w:val="004E1E1A"/>
    <w:rsid w:val="004E29B9"/>
    <w:rsid w:val="004E36C6"/>
    <w:rsid w:val="004E3EB6"/>
    <w:rsid w:val="004E45DF"/>
    <w:rsid w:val="004E4FA4"/>
    <w:rsid w:val="004E58DB"/>
    <w:rsid w:val="004E5EC5"/>
    <w:rsid w:val="004E673D"/>
    <w:rsid w:val="004E7B73"/>
    <w:rsid w:val="004F07D2"/>
    <w:rsid w:val="004F1628"/>
    <w:rsid w:val="004F4467"/>
    <w:rsid w:val="004F4595"/>
    <w:rsid w:val="004F49DE"/>
    <w:rsid w:val="004F64B9"/>
    <w:rsid w:val="00500634"/>
    <w:rsid w:val="00500D79"/>
    <w:rsid w:val="00503CF8"/>
    <w:rsid w:val="00506C15"/>
    <w:rsid w:val="00507726"/>
    <w:rsid w:val="005078B6"/>
    <w:rsid w:val="00510D0D"/>
    <w:rsid w:val="00510FB2"/>
    <w:rsid w:val="00512769"/>
    <w:rsid w:val="005134E3"/>
    <w:rsid w:val="00516CDC"/>
    <w:rsid w:val="00517A89"/>
    <w:rsid w:val="00520BE4"/>
    <w:rsid w:val="0052193F"/>
    <w:rsid w:val="00521A06"/>
    <w:rsid w:val="00522CDA"/>
    <w:rsid w:val="00523B8D"/>
    <w:rsid w:val="00523F67"/>
    <w:rsid w:val="00524CA1"/>
    <w:rsid w:val="0053043B"/>
    <w:rsid w:val="0053066B"/>
    <w:rsid w:val="00531760"/>
    <w:rsid w:val="005319AC"/>
    <w:rsid w:val="00534DC0"/>
    <w:rsid w:val="00535D12"/>
    <w:rsid w:val="0053758A"/>
    <w:rsid w:val="00537AF9"/>
    <w:rsid w:val="0054007A"/>
    <w:rsid w:val="00540EDC"/>
    <w:rsid w:val="00541904"/>
    <w:rsid w:val="00542709"/>
    <w:rsid w:val="00544382"/>
    <w:rsid w:val="0054447D"/>
    <w:rsid w:val="00544C0C"/>
    <w:rsid w:val="0054579A"/>
    <w:rsid w:val="00550D80"/>
    <w:rsid w:val="00550E0C"/>
    <w:rsid w:val="005515C1"/>
    <w:rsid w:val="00553B63"/>
    <w:rsid w:val="00554CE0"/>
    <w:rsid w:val="005550A5"/>
    <w:rsid w:val="00555199"/>
    <w:rsid w:val="00555ECC"/>
    <w:rsid w:val="00557033"/>
    <w:rsid w:val="00557A29"/>
    <w:rsid w:val="00557EC3"/>
    <w:rsid w:val="00560DFC"/>
    <w:rsid w:val="00561E10"/>
    <w:rsid w:val="00562A6D"/>
    <w:rsid w:val="00562A9A"/>
    <w:rsid w:val="00563211"/>
    <w:rsid w:val="0056394B"/>
    <w:rsid w:val="00563988"/>
    <w:rsid w:val="0056471E"/>
    <w:rsid w:val="005660AF"/>
    <w:rsid w:val="005671C1"/>
    <w:rsid w:val="0057046A"/>
    <w:rsid w:val="005705C6"/>
    <w:rsid w:val="00571507"/>
    <w:rsid w:val="00572FCD"/>
    <w:rsid w:val="00573711"/>
    <w:rsid w:val="00573792"/>
    <w:rsid w:val="00576C43"/>
    <w:rsid w:val="00576C5D"/>
    <w:rsid w:val="0058026B"/>
    <w:rsid w:val="00580D98"/>
    <w:rsid w:val="0058269E"/>
    <w:rsid w:val="0058341A"/>
    <w:rsid w:val="00583F0E"/>
    <w:rsid w:val="005845F9"/>
    <w:rsid w:val="00585C0D"/>
    <w:rsid w:val="00585F0A"/>
    <w:rsid w:val="0059056F"/>
    <w:rsid w:val="00590B0C"/>
    <w:rsid w:val="00590B52"/>
    <w:rsid w:val="00590B8B"/>
    <w:rsid w:val="0059174E"/>
    <w:rsid w:val="005930D5"/>
    <w:rsid w:val="0059451E"/>
    <w:rsid w:val="00595650"/>
    <w:rsid w:val="00596105"/>
    <w:rsid w:val="00596138"/>
    <w:rsid w:val="005979B1"/>
    <w:rsid w:val="005A08BA"/>
    <w:rsid w:val="005A113B"/>
    <w:rsid w:val="005A35A2"/>
    <w:rsid w:val="005A37DD"/>
    <w:rsid w:val="005A3EDE"/>
    <w:rsid w:val="005A3FA9"/>
    <w:rsid w:val="005A4B97"/>
    <w:rsid w:val="005A4D23"/>
    <w:rsid w:val="005A5B82"/>
    <w:rsid w:val="005A5F92"/>
    <w:rsid w:val="005A7AF8"/>
    <w:rsid w:val="005B095D"/>
    <w:rsid w:val="005B14A5"/>
    <w:rsid w:val="005B42EB"/>
    <w:rsid w:val="005B440E"/>
    <w:rsid w:val="005B479E"/>
    <w:rsid w:val="005B615B"/>
    <w:rsid w:val="005B636E"/>
    <w:rsid w:val="005C2485"/>
    <w:rsid w:val="005C5DCC"/>
    <w:rsid w:val="005C623C"/>
    <w:rsid w:val="005C6FF2"/>
    <w:rsid w:val="005C73A6"/>
    <w:rsid w:val="005C7650"/>
    <w:rsid w:val="005D02A6"/>
    <w:rsid w:val="005D0F55"/>
    <w:rsid w:val="005D2D62"/>
    <w:rsid w:val="005D2DC7"/>
    <w:rsid w:val="005D341E"/>
    <w:rsid w:val="005D4A7D"/>
    <w:rsid w:val="005D4F5D"/>
    <w:rsid w:val="005D57A6"/>
    <w:rsid w:val="005D60ED"/>
    <w:rsid w:val="005E1E78"/>
    <w:rsid w:val="005E2D91"/>
    <w:rsid w:val="005E3FC8"/>
    <w:rsid w:val="005E4091"/>
    <w:rsid w:val="005E5C9F"/>
    <w:rsid w:val="005E6F2C"/>
    <w:rsid w:val="005E748E"/>
    <w:rsid w:val="005E76AF"/>
    <w:rsid w:val="005E7D53"/>
    <w:rsid w:val="005E7DA8"/>
    <w:rsid w:val="005F2179"/>
    <w:rsid w:val="005F3BDC"/>
    <w:rsid w:val="005F3FA0"/>
    <w:rsid w:val="005F4334"/>
    <w:rsid w:val="005F4AD5"/>
    <w:rsid w:val="005F4E0F"/>
    <w:rsid w:val="005F7B16"/>
    <w:rsid w:val="005F7BC0"/>
    <w:rsid w:val="00600A94"/>
    <w:rsid w:val="00603128"/>
    <w:rsid w:val="0060417A"/>
    <w:rsid w:val="00606556"/>
    <w:rsid w:val="006065AE"/>
    <w:rsid w:val="006110A8"/>
    <w:rsid w:val="006121C9"/>
    <w:rsid w:val="00613195"/>
    <w:rsid w:val="00617E73"/>
    <w:rsid w:val="00620587"/>
    <w:rsid w:val="006210CF"/>
    <w:rsid w:val="006217FD"/>
    <w:rsid w:val="00621EA7"/>
    <w:rsid w:val="00625AE4"/>
    <w:rsid w:val="006321CA"/>
    <w:rsid w:val="00633726"/>
    <w:rsid w:val="006352BC"/>
    <w:rsid w:val="00635751"/>
    <w:rsid w:val="0063599E"/>
    <w:rsid w:val="00636746"/>
    <w:rsid w:val="0063781B"/>
    <w:rsid w:val="00637F72"/>
    <w:rsid w:val="006438E5"/>
    <w:rsid w:val="006441B4"/>
    <w:rsid w:val="00644C4A"/>
    <w:rsid w:val="006451F1"/>
    <w:rsid w:val="00646216"/>
    <w:rsid w:val="0064687D"/>
    <w:rsid w:val="00646B22"/>
    <w:rsid w:val="00646B27"/>
    <w:rsid w:val="0065174A"/>
    <w:rsid w:val="00653521"/>
    <w:rsid w:val="00653BA3"/>
    <w:rsid w:val="00654BC2"/>
    <w:rsid w:val="006561D7"/>
    <w:rsid w:val="00656BC3"/>
    <w:rsid w:val="00657176"/>
    <w:rsid w:val="006572C7"/>
    <w:rsid w:val="00660363"/>
    <w:rsid w:val="006607CC"/>
    <w:rsid w:val="00660BD0"/>
    <w:rsid w:val="00661E03"/>
    <w:rsid w:val="00662CA2"/>
    <w:rsid w:val="006643F2"/>
    <w:rsid w:val="0066593A"/>
    <w:rsid w:val="00666321"/>
    <w:rsid w:val="00667C6B"/>
    <w:rsid w:val="00670D1B"/>
    <w:rsid w:val="00671E86"/>
    <w:rsid w:val="00673A9D"/>
    <w:rsid w:val="00674907"/>
    <w:rsid w:val="00675C06"/>
    <w:rsid w:val="00675CE0"/>
    <w:rsid w:val="00676DB4"/>
    <w:rsid w:val="00680A6F"/>
    <w:rsid w:val="00680B55"/>
    <w:rsid w:val="0068182D"/>
    <w:rsid w:val="0068294F"/>
    <w:rsid w:val="00683077"/>
    <w:rsid w:val="00683A5B"/>
    <w:rsid w:val="00684279"/>
    <w:rsid w:val="00684A82"/>
    <w:rsid w:val="00684CED"/>
    <w:rsid w:val="00684DAC"/>
    <w:rsid w:val="00690BC9"/>
    <w:rsid w:val="00691042"/>
    <w:rsid w:val="00695439"/>
    <w:rsid w:val="006971E9"/>
    <w:rsid w:val="00697F24"/>
    <w:rsid w:val="006A1156"/>
    <w:rsid w:val="006A5DF4"/>
    <w:rsid w:val="006A67A0"/>
    <w:rsid w:val="006A6EDC"/>
    <w:rsid w:val="006A6F62"/>
    <w:rsid w:val="006B1489"/>
    <w:rsid w:val="006B30AA"/>
    <w:rsid w:val="006B4066"/>
    <w:rsid w:val="006B4130"/>
    <w:rsid w:val="006C1F6E"/>
    <w:rsid w:val="006C293D"/>
    <w:rsid w:val="006C47AA"/>
    <w:rsid w:val="006C6C2E"/>
    <w:rsid w:val="006C7386"/>
    <w:rsid w:val="006D12EA"/>
    <w:rsid w:val="006D20F8"/>
    <w:rsid w:val="006D2E9D"/>
    <w:rsid w:val="006D319A"/>
    <w:rsid w:val="006D4077"/>
    <w:rsid w:val="006D728E"/>
    <w:rsid w:val="006D7F5B"/>
    <w:rsid w:val="006E11A1"/>
    <w:rsid w:val="006E1A5F"/>
    <w:rsid w:val="006E1EC1"/>
    <w:rsid w:val="006E2615"/>
    <w:rsid w:val="006E300D"/>
    <w:rsid w:val="006E39BD"/>
    <w:rsid w:val="006E4588"/>
    <w:rsid w:val="006E495D"/>
    <w:rsid w:val="006E4E14"/>
    <w:rsid w:val="006E50E1"/>
    <w:rsid w:val="006E7436"/>
    <w:rsid w:val="006E7B76"/>
    <w:rsid w:val="006F217B"/>
    <w:rsid w:val="006F3BBC"/>
    <w:rsid w:val="006F465A"/>
    <w:rsid w:val="006F4789"/>
    <w:rsid w:val="006F54E2"/>
    <w:rsid w:val="006F7229"/>
    <w:rsid w:val="00702D18"/>
    <w:rsid w:val="0071294F"/>
    <w:rsid w:val="00713552"/>
    <w:rsid w:val="00715E62"/>
    <w:rsid w:val="00717E94"/>
    <w:rsid w:val="00723149"/>
    <w:rsid w:val="00723FFD"/>
    <w:rsid w:val="00724382"/>
    <w:rsid w:val="00724A9A"/>
    <w:rsid w:val="00726536"/>
    <w:rsid w:val="00726AC6"/>
    <w:rsid w:val="007273FB"/>
    <w:rsid w:val="00730D8B"/>
    <w:rsid w:val="007310AA"/>
    <w:rsid w:val="0073116E"/>
    <w:rsid w:val="00731EEC"/>
    <w:rsid w:val="00732611"/>
    <w:rsid w:val="00733EEA"/>
    <w:rsid w:val="007355C2"/>
    <w:rsid w:val="0074094D"/>
    <w:rsid w:val="00740C3F"/>
    <w:rsid w:val="00742635"/>
    <w:rsid w:val="00742FDE"/>
    <w:rsid w:val="007448C4"/>
    <w:rsid w:val="00745276"/>
    <w:rsid w:val="0074548A"/>
    <w:rsid w:val="007459AD"/>
    <w:rsid w:val="00746DAF"/>
    <w:rsid w:val="007470EF"/>
    <w:rsid w:val="00750692"/>
    <w:rsid w:val="00752F0C"/>
    <w:rsid w:val="00755FBE"/>
    <w:rsid w:val="007562E5"/>
    <w:rsid w:val="007565E8"/>
    <w:rsid w:val="0075767A"/>
    <w:rsid w:val="0075785C"/>
    <w:rsid w:val="00760501"/>
    <w:rsid w:val="007606B3"/>
    <w:rsid w:val="00760A3C"/>
    <w:rsid w:val="0076114D"/>
    <w:rsid w:val="0076511F"/>
    <w:rsid w:val="0076536F"/>
    <w:rsid w:val="007675D5"/>
    <w:rsid w:val="0076785E"/>
    <w:rsid w:val="00770028"/>
    <w:rsid w:val="00770CBC"/>
    <w:rsid w:val="00771756"/>
    <w:rsid w:val="00771CE0"/>
    <w:rsid w:val="00773158"/>
    <w:rsid w:val="007733B2"/>
    <w:rsid w:val="007737B0"/>
    <w:rsid w:val="00774A6E"/>
    <w:rsid w:val="007758CB"/>
    <w:rsid w:val="007760AF"/>
    <w:rsid w:val="007766D1"/>
    <w:rsid w:val="00777151"/>
    <w:rsid w:val="007778F6"/>
    <w:rsid w:val="007805FA"/>
    <w:rsid w:val="007809C7"/>
    <w:rsid w:val="00780B89"/>
    <w:rsid w:val="00780C08"/>
    <w:rsid w:val="007843B3"/>
    <w:rsid w:val="00787A81"/>
    <w:rsid w:val="00787C0B"/>
    <w:rsid w:val="00787C22"/>
    <w:rsid w:val="00791143"/>
    <w:rsid w:val="0079327E"/>
    <w:rsid w:val="00793701"/>
    <w:rsid w:val="00793C19"/>
    <w:rsid w:val="007946D0"/>
    <w:rsid w:val="00794B68"/>
    <w:rsid w:val="00794CCD"/>
    <w:rsid w:val="00795E3B"/>
    <w:rsid w:val="007960C6"/>
    <w:rsid w:val="00797F62"/>
    <w:rsid w:val="007A0D04"/>
    <w:rsid w:val="007A0E69"/>
    <w:rsid w:val="007A1B4D"/>
    <w:rsid w:val="007A313F"/>
    <w:rsid w:val="007A395B"/>
    <w:rsid w:val="007A3E0A"/>
    <w:rsid w:val="007A3F13"/>
    <w:rsid w:val="007A51C8"/>
    <w:rsid w:val="007A52AF"/>
    <w:rsid w:val="007A6D37"/>
    <w:rsid w:val="007A6DFB"/>
    <w:rsid w:val="007A7202"/>
    <w:rsid w:val="007A7E4F"/>
    <w:rsid w:val="007A7F9D"/>
    <w:rsid w:val="007B07E1"/>
    <w:rsid w:val="007B1210"/>
    <w:rsid w:val="007B1FEC"/>
    <w:rsid w:val="007B4711"/>
    <w:rsid w:val="007B576B"/>
    <w:rsid w:val="007B643E"/>
    <w:rsid w:val="007B792B"/>
    <w:rsid w:val="007C0BD3"/>
    <w:rsid w:val="007C0E61"/>
    <w:rsid w:val="007C2026"/>
    <w:rsid w:val="007C3A59"/>
    <w:rsid w:val="007C3FB8"/>
    <w:rsid w:val="007C6426"/>
    <w:rsid w:val="007D0C41"/>
    <w:rsid w:val="007D1542"/>
    <w:rsid w:val="007D1A5F"/>
    <w:rsid w:val="007D22E0"/>
    <w:rsid w:val="007D3293"/>
    <w:rsid w:val="007D3DD6"/>
    <w:rsid w:val="007D4162"/>
    <w:rsid w:val="007D672E"/>
    <w:rsid w:val="007D751F"/>
    <w:rsid w:val="007D7DFF"/>
    <w:rsid w:val="007E0179"/>
    <w:rsid w:val="007E254F"/>
    <w:rsid w:val="007E2E64"/>
    <w:rsid w:val="007E3751"/>
    <w:rsid w:val="007E5501"/>
    <w:rsid w:val="007E76E1"/>
    <w:rsid w:val="007E7E7E"/>
    <w:rsid w:val="007F0215"/>
    <w:rsid w:val="007F077D"/>
    <w:rsid w:val="007F2397"/>
    <w:rsid w:val="007F37A3"/>
    <w:rsid w:val="007F54CA"/>
    <w:rsid w:val="007F6499"/>
    <w:rsid w:val="007F6875"/>
    <w:rsid w:val="007F73EC"/>
    <w:rsid w:val="007F754C"/>
    <w:rsid w:val="007F7CAE"/>
    <w:rsid w:val="00801332"/>
    <w:rsid w:val="0080239E"/>
    <w:rsid w:val="00802712"/>
    <w:rsid w:val="00803E4F"/>
    <w:rsid w:val="00804106"/>
    <w:rsid w:val="008047CE"/>
    <w:rsid w:val="00805965"/>
    <w:rsid w:val="00805D1A"/>
    <w:rsid w:val="008061A1"/>
    <w:rsid w:val="00810D0F"/>
    <w:rsid w:val="00811736"/>
    <w:rsid w:val="00812D3D"/>
    <w:rsid w:val="008132C6"/>
    <w:rsid w:val="008132EF"/>
    <w:rsid w:val="00815A6C"/>
    <w:rsid w:val="0081645C"/>
    <w:rsid w:val="00816A63"/>
    <w:rsid w:val="00821890"/>
    <w:rsid w:val="00821A82"/>
    <w:rsid w:val="0082253F"/>
    <w:rsid w:val="0082259E"/>
    <w:rsid w:val="0082401D"/>
    <w:rsid w:val="0082713A"/>
    <w:rsid w:val="008271C3"/>
    <w:rsid w:val="008331DA"/>
    <w:rsid w:val="00833D0B"/>
    <w:rsid w:val="00835784"/>
    <w:rsid w:val="00835EFD"/>
    <w:rsid w:val="00836378"/>
    <w:rsid w:val="00840013"/>
    <w:rsid w:val="0084078D"/>
    <w:rsid w:val="008420A9"/>
    <w:rsid w:val="00842C91"/>
    <w:rsid w:val="00843042"/>
    <w:rsid w:val="00843D4D"/>
    <w:rsid w:val="00850452"/>
    <w:rsid w:val="008513AC"/>
    <w:rsid w:val="0085274F"/>
    <w:rsid w:val="00852D30"/>
    <w:rsid w:val="00854BB3"/>
    <w:rsid w:val="00854F11"/>
    <w:rsid w:val="008562B3"/>
    <w:rsid w:val="0085734D"/>
    <w:rsid w:val="00857E54"/>
    <w:rsid w:val="0086080C"/>
    <w:rsid w:val="00860B0C"/>
    <w:rsid w:val="0086110F"/>
    <w:rsid w:val="00861747"/>
    <w:rsid w:val="00861749"/>
    <w:rsid w:val="00862D10"/>
    <w:rsid w:val="00862D2E"/>
    <w:rsid w:val="00862E41"/>
    <w:rsid w:val="00862F75"/>
    <w:rsid w:val="00863A34"/>
    <w:rsid w:val="00864119"/>
    <w:rsid w:val="008653AE"/>
    <w:rsid w:val="00865800"/>
    <w:rsid w:val="00865877"/>
    <w:rsid w:val="00866310"/>
    <w:rsid w:val="00866E93"/>
    <w:rsid w:val="008720B7"/>
    <w:rsid w:val="00872A02"/>
    <w:rsid w:val="0087410C"/>
    <w:rsid w:val="0087467F"/>
    <w:rsid w:val="008747E1"/>
    <w:rsid w:val="00874D9E"/>
    <w:rsid w:val="00875715"/>
    <w:rsid w:val="00877557"/>
    <w:rsid w:val="00881204"/>
    <w:rsid w:val="00881B6E"/>
    <w:rsid w:val="00882439"/>
    <w:rsid w:val="0088451B"/>
    <w:rsid w:val="00884DDB"/>
    <w:rsid w:val="0088709D"/>
    <w:rsid w:val="008871A5"/>
    <w:rsid w:val="008872B6"/>
    <w:rsid w:val="008872CB"/>
    <w:rsid w:val="0089086D"/>
    <w:rsid w:val="008941CC"/>
    <w:rsid w:val="008948CC"/>
    <w:rsid w:val="00894C59"/>
    <w:rsid w:val="008A11D3"/>
    <w:rsid w:val="008A1769"/>
    <w:rsid w:val="008A19D8"/>
    <w:rsid w:val="008A1AD2"/>
    <w:rsid w:val="008A2C53"/>
    <w:rsid w:val="008A3F3F"/>
    <w:rsid w:val="008A5CFB"/>
    <w:rsid w:val="008A611E"/>
    <w:rsid w:val="008A62EB"/>
    <w:rsid w:val="008A6337"/>
    <w:rsid w:val="008A7DE5"/>
    <w:rsid w:val="008B05AA"/>
    <w:rsid w:val="008B0ED7"/>
    <w:rsid w:val="008B2BB0"/>
    <w:rsid w:val="008B34DB"/>
    <w:rsid w:val="008B430F"/>
    <w:rsid w:val="008B55E5"/>
    <w:rsid w:val="008B7E4A"/>
    <w:rsid w:val="008C3D33"/>
    <w:rsid w:val="008C40C7"/>
    <w:rsid w:val="008C43F3"/>
    <w:rsid w:val="008C4517"/>
    <w:rsid w:val="008C4EE4"/>
    <w:rsid w:val="008C54D5"/>
    <w:rsid w:val="008C5E33"/>
    <w:rsid w:val="008C7A4A"/>
    <w:rsid w:val="008C7ED3"/>
    <w:rsid w:val="008D0A7A"/>
    <w:rsid w:val="008D15B6"/>
    <w:rsid w:val="008D17AA"/>
    <w:rsid w:val="008D1E0F"/>
    <w:rsid w:val="008D23C4"/>
    <w:rsid w:val="008D35AB"/>
    <w:rsid w:val="008D3787"/>
    <w:rsid w:val="008D39A8"/>
    <w:rsid w:val="008D4D6C"/>
    <w:rsid w:val="008D5570"/>
    <w:rsid w:val="008D5B00"/>
    <w:rsid w:val="008D5B1F"/>
    <w:rsid w:val="008D5D2B"/>
    <w:rsid w:val="008D6D42"/>
    <w:rsid w:val="008E1CF4"/>
    <w:rsid w:val="008E4586"/>
    <w:rsid w:val="008E56DC"/>
    <w:rsid w:val="008E56FC"/>
    <w:rsid w:val="008E5E72"/>
    <w:rsid w:val="008E7649"/>
    <w:rsid w:val="008F0542"/>
    <w:rsid w:val="008F0D85"/>
    <w:rsid w:val="008F23AC"/>
    <w:rsid w:val="008F2B1B"/>
    <w:rsid w:val="008F2E8B"/>
    <w:rsid w:val="008F36A7"/>
    <w:rsid w:val="008F6256"/>
    <w:rsid w:val="008F640A"/>
    <w:rsid w:val="008F7003"/>
    <w:rsid w:val="008F7DFE"/>
    <w:rsid w:val="008F7E3A"/>
    <w:rsid w:val="009017F8"/>
    <w:rsid w:val="00901CA8"/>
    <w:rsid w:val="0090322C"/>
    <w:rsid w:val="00903B1F"/>
    <w:rsid w:val="00904AE3"/>
    <w:rsid w:val="0090553F"/>
    <w:rsid w:val="0090624B"/>
    <w:rsid w:val="0090672A"/>
    <w:rsid w:val="00906CEF"/>
    <w:rsid w:val="009073DE"/>
    <w:rsid w:val="00907753"/>
    <w:rsid w:val="0091478B"/>
    <w:rsid w:val="00915A5C"/>
    <w:rsid w:val="009201E6"/>
    <w:rsid w:val="00920B15"/>
    <w:rsid w:val="0092169C"/>
    <w:rsid w:val="00925121"/>
    <w:rsid w:val="00925C59"/>
    <w:rsid w:val="00926870"/>
    <w:rsid w:val="00926E4E"/>
    <w:rsid w:val="009270FD"/>
    <w:rsid w:val="0092736B"/>
    <w:rsid w:val="00927BA8"/>
    <w:rsid w:val="009314E4"/>
    <w:rsid w:val="0093283A"/>
    <w:rsid w:val="00933922"/>
    <w:rsid w:val="00933C43"/>
    <w:rsid w:val="00934D81"/>
    <w:rsid w:val="00937547"/>
    <w:rsid w:val="00940763"/>
    <w:rsid w:val="0094194D"/>
    <w:rsid w:val="00943A84"/>
    <w:rsid w:val="009444FB"/>
    <w:rsid w:val="00950679"/>
    <w:rsid w:val="009506EE"/>
    <w:rsid w:val="009509F4"/>
    <w:rsid w:val="00953BFF"/>
    <w:rsid w:val="00954CE4"/>
    <w:rsid w:val="009558C2"/>
    <w:rsid w:val="00956D7A"/>
    <w:rsid w:val="009575D0"/>
    <w:rsid w:val="009634A0"/>
    <w:rsid w:val="00963742"/>
    <w:rsid w:val="009643DC"/>
    <w:rsid w:val="00964F5F"/>
    <w:rsid w:val="009653FD"/>
    <w:rsid w:val="00966A48"/>
    <w:rsid w:val="00970079"/>
    <w:rsid w:val="00971364"/>
    <w:rsid w:val="00972BF5"/>
    <w:rsid w:val="009738D8"/>
    <w:rsid w:val="009749B8"/>
    <w:rsid w:val="00975101"/>
    <w:rsid w:val="0097608B"/>
    <w:rsid w:val="00980409"/>
    <w:rsid w:val="00981712"/>
    <w:rsid w:val="00982B88"/>
    <w:rsid w:val="00984AA8"/>
    <w:rsid w:val="009853A6"/>
    <w:rsid w:val="00985510"/>
    <w:rsid w:val="00985FB3"/>
    <w:rsid w:val="00987B1E"/>
    <w:rsid w:val="009907D7"/>
    <w:rsid w:val="00991A95"/>
    <w:rsid w:val="009924FD"/>
    <w:rsid w:val="00992838"/>
    <w:rsid w:val="009938FA"/>
    <w:rsid w:val="00994CD6"/>
    <w:rsid w:val="009A0F76"/>
    <w:rsid w:val="009A212D"/>
    <w:rsid w:val="009A2353"/>
    <w:rsid w:val="009A4291"/>
    <w:rsid w:val="009A6905"/>
    <w:rsid w:val="009A6E5D"/>
    <w:rsid w:val="009A7754"/>
    <w:rsid w:val="009B0C3D"/>
    <w:rsid w:val="009B1796"/>
    <w:rsid w:val="009B51EE"/>
    <w:rsid w:val="009B6AA4"/>
    <w:rsid w:val="009B73AC"/>
    <w:rsid w:val="009B7F36"/>
    <w:rsid w:val="009C1037"/>
    <w:rsid w:val="009C110E"/>
    <w:rsid w:val="009C179E"/>
    <w:rsid w:val="009C187B"/>
    <w:rsid w:val="009C21DC"/>
    <w:rsid w:val="009C2472"/>
    <w:rsid w:val="009C2DE0"/>
    <w:rsid w:val="009C3034"/>
    <w:rsid w:val="009C5813"/>
    <w:rsid w:val="009C5872"/>
    <w:rsid w:val="009C6356"/>
    <w:rsid w:val="009C6462"/>
    <w:rsid w:val="009D10CB"/>
    <w:rsid w:val="009D16FD"/>
    <w:rsid w:val="009D1811"/>
    <w:rsid w:val="009D2C21"/>
    <w:rsid w:val="009D312D"/>
    <w:rsid w:val="009D386B"/>
    <w:rsid w:val="009D5404"/>
    <w:rsid w:val="009D61F0"/>
    <w:rsid w:val="009E2C73"/>
    <w:rsid w:val="009E38A5"/>
    <w:rsid w:val="009E47C4"/>
    <w:rsid w:val="009E64D5"/>
    <w:rsid w:val="009F077C"/>
    <w:rsid w:val="009F182F"/>
    <w:rsid w:val="009F3C49"/>
    <w:rsid w:val="009F3E16"/>
    <w:rsid w:val="009F45BD"/>
    <w:rsid w:val="009F47F4"/>
    <w:rsid w:val="009F4F0F"/>
    <w:rsid w:val="009F5490"/>
    <w:rsid w:val="009F64C5"/>
    <w:rsid w:val="009F70E4"/>
    <w:rsid w:val="00A01B6F"/>
    <w:rsid w:val="00A0248A"/>
    <w:rsid w:val="00A0305A"/>
    <w:rsid w:val="00A05C4B"/>
    <w:rsid w:val="00A06C2F"/>
    <w:rsid w:val="00A06D16"/>
    <w:rsid w:val="00A0707B"/>
    <w:rsid w:val="00A07EB1"/>
    <w:rsid w:val="00A1049C"/>
    <w:rsid w:val="00A115C6"/>
    <w:rsid w:val="00A11BAC"/>
    <w:rsid w:val="00A12802"/>
    <w:rsid w:val="00A12FA0"/>
    <w:rsid w:val="00A14CCF"/>
    <w:rsid w:val="00A17837"/>
    <w:rsid w:val="00A2043C"/>
    <w:rsid w:val="00A204D7"/>
    <w:rsid w:val="00A229AB"/>
    <w:rsid w:val="00A236A6"/>
    <w:rsid w:val="00A247B2"/>
    <w:rsid w:val="00A24A3A"/>
    <w:rsid w:val="00A2530E"/>
    <w:rsid w:val="00A259BE"/>
    <w:rsid w:val="00A264E7"/>
    <w:rsid w:val="00A268EC"/>
    <w:rsid w:val="00A26DF4"/>
    <w:rsid w:val="00A27243"/>
    <w:rsid w:val="00A27562"/>
    <w:rsid w:val="00A30919"/>
    <w:rsid w:val="00A3179C"/>
    <w:rsid w:val="00A32744"/>
    <w:rsid w:val="00A32BDA"/>
    <w:rsid w:val="00A33AB8"/>
    <w:rsid w:val="00A35299"/>
    <w:rsid w:val="00A352D5"/>
    <w:rsid w:val="00A400FF"/>
    <w:rsid w:val="00A418F9"/>
    <w:rsid w:val="00A469E3"/>
    <w:rsid w:val="00A47BCE"/>
    <w:rsid w:val="00A51011"/>
    <w:rsid w:val="00A556FA"/>
    <w:rsid w:val="00A564D0"/>
    <w:rsid w:val="00A57CC1"/>
    <w:rsid w:val="00A57DB3"/>
    <w:rsid w:val="00A60D0A"/>
    <w:rsid w:val="00A62189"/>
    <w:rsid w:val="00A6523A"/>
    <w:rsid w:val="00A677E5"/>
    <w:rsid w:val="00A70149"/>
    <w:rsid w:val="00A7025D"/>
    <w:rsid w:val="00A71BAE"/>
    <w:rsid w:val="00A745AB"/>
    <w:rsid w:val="00A7482A"/>
    <w:rsid w:val="00A74B08"/>
    <w:rsid w:val="00A74DB8"/>
    <w:rsid w:val="00A75C32"/>
    <w:rsid w:val="00A76074"/>
    <w:rsid w:val="00A8048A"/>
    <w:rsid w:val="00A827D8"/>
    <w:rsid w:val="00A82BCF"/>
    <w:rsid w:val="00A82C9B"/>
    <w:rsid w:val="00A82E0B"/>
    <w:rsid w:val="00A8357F"/>
    <w:rsid w:val="00A83CE4"/>
    <w:rsid w:val="00A844DF"/>
    <w:rsid w:val="00A84B5E"/>
    <w:rsid w:val="00A85598"/>
    <w:rsid w:val="00A87644"/>
    <w:rsid w:val="00A916B9"/>
    <w:rsid w:val="00A93511"/>
    <w:rsid w:val="00A9402C"/>
    <w:rsid w:val="00A94B2A"/>
    <w:rsid w:val="00A9609C"/>
    <w:rsid w:val="00A97433"/>
    <w:rsid w:val="00AA0142"/>
    <w:rsid w:val="00AA1FF0"/>
    <w:rsid w:val="00AA23AD"/>
    <w:rsid w:val="00AA512D"/>
    <w:rsid w:val="00AA5B51"/>
    <w:rsid w:val="00AA7AF7"/>
    <w:rsid w:val="00AB0DBA"/>
    <w:rsid w:val="00AB12CB"/>
    <w:rsid w:val="00AB1B7F"/>
    <w:rsid w:val="00AB37DA"/>
    <w:rsid w:val="00AB3BEE"/>
    <w:rsid w:val="00AB4299"/>
    <w:rsid w:val="00AB4E59"/>
    <w:rsid w:val="00AC05B0"/>
    <w:rsid w:val="00AC2713"/>
    <w:rsid w:val="00AC2962"/>
    <w:rsid w:val="00AC2E06"/>
    <w:rsid w:val="00AC49CC"/>
    <w:rsid w:val="00AC4D14"/>
    <w:rsid w:val="00AC4DB6"/>
    <w:rsid w:val="00AC5288"/>
    <w:rsid w:val="00AC65CF"/>
    <w:rsid w:val="00AD07C6"/>
    <w:rsid w:val="00AD19AB"/>
    <w:rsid w:val="00AD2A4B"/>
    <w:rsid w:val="00AD4709"/>
    <w:rsid w:val="00AD69EE"/>
    <w:rsid w:val="00AD6DC7"/>
    <w:rsid w:val="00AD7064"/>
    <w:rsid w:val="00AD70F0"/>
    <w:rsid w:val="00AD7C0D"/>
    <w:rsid w:val="00AE0C9C"/>
    <w:rsid w:val="00AE28B4"/>
    <w:rsid w:val="00AE34AE"/>
    <w:rsid w:val="00AE3877"/>
    <w:rsid w:val="00AE3B69"/>
    <w:rsid w:val="00AE4F80"/>
    <w:rsid w:val="00AE5ED1"/>
    <w:rsid w:val="00AE7196"/>
    <w:rsid w:val="00AF0024"/>
    <w:rsid w:val="00AF0B54"/>
    <w:rsid w:val="00AF1150"/>
    <w:rsid w:val="00AF23E7"/>
    <w:rsid w:val="00AF3D5A"/>
    <w:rsid w:val="00AF4478"/>
    <w:rsid w:val="00AF4E07"/>
    <w:rsid w:val="00AF535E"/>
    <w:rsid w:val="00AF5615"/>
    <w:rsid w:val="00AF6BA6"/>
    <w:rsid w:val="00B01D11"/>
    <w:rsid w:val="00B0232A"/>
    <w:rsid w:val="00B02A6D"/>
    <w:rsid w:val="00B04DE3"/>
    <w:rsid w:val="00B065F2"/>
    <w:rsid w:val="00B06E8E"/>
    <w:rsid w:val="00B1097A"/>
    <w:rsid w:val="00B11330"/>
    <w:rsid w:val="00B12948"/>
    <w:rsid w:val="00B13547"/>
    <w:rsid w:val="00B136A2"/>
    <w:rsid w:val="00B1606A"/>
    <w:rsid w:val="00B16C65"/>
    <w:rsid w:val="00B17E35"/>
    <w:rsid w:val="00B21306"/>
    <w:rsid w:val="00B2140B"/>
    <w:rsid w:val="00B225BF"/>
    <w:rsid w:val="00B24078"/>
    <w:rsid w:val="00B25562"/>
    <w:rsid w:val="00B2629A"/>
    <w:rsid w:val="00B277EF"/>
    <w:rsid w:val="00B27937"/>
    <w:rsid w:val="00B27E21"/>
    <w:rsid w:val="00B32B1F"/>
    <w:rsid w:val="00B32F2F"/>
    <w:rsid w:val="00B333A8"/>
    <w:rsid w:val="00B3344F"/>
    <w:rsid w:val="00B33750"/>
    <w:rsid w:val="00B33B75"/>
    <w:rsid w:val="00B34A28"/>
    <w:rsid w:val="00B37619"/>
    <w:rsid w:val="00B37C23"/>
    <w:rsid w:val="00B37F68"/>
    <w:rsid w:val="00B4032C"/>
    <w:rsid w:val="00B40EFF"/>
    <w:rsid w:val="00B412E1"/>
    <w:rsid w:val="00B41F95"/>
    <w:rsid w:val="00B438DD"/>
    <w:rsid w:val="00B44A44"/>
    <w:rsid w:val="00B44EA3"/>
    <w:rsid w:val="00B45966"/>
    <w:rsid w:val="00B45AC1"/>
    <w:rsid w:val="00B52409"/>
    <w:rsid w:val="00B5349B"/>
    <w:rsid w:val="00B53A5A"/>
    <w:rsid w:val="00B5439A"/>
    <w:rsid w:val="00B54D6F"/>
    <w:rsid w:val="00B55BE5"/>
    <w:rsid w:val="00B626B9"/>
    <w:rsid w:val="00B63443"/>
    <w:rsid w:val="00B6363D"/>
    <w:rsid w:val="00B63D0B"/>
    <w:rsid w:val="00B6420C"/>
    <w:rsid w:val="00B652E7"/>
    <w:rsid w:val="00B6628D"/>
    <w:rsid w:val="00B66C87"/>
    <w:rsid w:val="00B70041"/>
    <w:rsid w:val="00B73810"/>
    <w:rsid w:val="00B73A08"/>
    <w:rsid w:val="00B7661C"/>
    <w:rsid w:val="00B812B4"/>
    <w:rsid w:val="00B821C1"/>
    <w:rsid w:val="00B82442"/>
    <w:rsid w:val="00B835E5"/>
    <w:rsid w:val="00B85701"/>
    <w:rsid w:val="00B85F8D"/>
    <w:rsid w:val="00B87CC4"/>
    <w:rsid w:val="00B87F90"/>
    <w:rsid w:val="00B90213"/>
    <w:rsid w:val="00B90A6D"/>
    <w:rsid w:val="00B90AD7"/>
    <w:rsid w:val="00B92B67"/>
    <w:rsid w:val="00B93941"/>
    <w:rsid w:val="00B93D12"/>
    <w:rsid w:val="00B955FE"/>
    <w:rsid w:val="00B95D63"/>
    <w:rsid w:val="00B96F09"/>
    <w:rsid w:val="00B96FD0"/>
    <w:rsid w:val="00B97582"/>
    <w:rsid w:val="00BA078D"/>
    <w:rsid w:val="00BA082C"/>
    <w:rsid w:val="00BA0A88"/>
    <w:rsid w:val="00BA1E5A"/>
    <w:rsid w:val="00BA1F69"/>
    <w:rsid w:val="00BA217C"/>
    <w:rsid w:val="00BA5C59"/>
    <w:rsid w:val="00BA6F80"/>
    <w:rsid w:val="00BB0648"/>
    <w:rsid w:val="00BB32EA"/>
    <w:rsid w:val="00BB5A40"/>
    <w:rsid w:val="00BB7B2E"/>
    <w:rsid w:val="00BB7FEE"/>
    <w:rsid w:val="00BC0034"/>
    <w:rsid w:val="00BC1303"/>
    <w:rsid w:val="00BC294D"/>
    <w:rsid w:val="00BC2A90"/>
    <w:rsid w:val="00BC46D3"/>
    <w:rsid w:val="00BC4E4C"/>
    <w:rsid w:val="00BC61D7"/>
    <w:rsid w:val="00BD0BCE"/>
    <w:rsid w:val="00BD3B3D"/>
    <w:rsid w:val="00BD44E8"/>
    <w:rsid w:val="00BD53C7"/>
    <w:rsid w:val="00BD6E96"/>
    <w:rsid w:val="00BD6FCC"/>
    <w:rsid w:val="00BE04F1"/>
    <w:rsid w:val="00BE0CED"/>
    <w:rsid w:val="00BE22B8"/>
    <w:rsid w:val="00BE22DD"/>
    <w:rsid w:val="00BE3067"/>
    <w:rsid w:val="00BE3245"/>
    <w:rsid w:val="00BE3355"/>
    <w:rsid w:val="00BE4F17"/>
    <w:rsid w:val="00BE7815"/>
    <w:rsid w:val="00BF11E8"/>
    <w:rsid w:val="00BF14E4"/>
    <w:rsid w:val="00BF18C7"/>
    <w:rsid w:val="00BF275C"/>
    <w:rsid w:val="00BF3E8A"/>
    <w:rsid w:val="00BF501F"/>
    <w:rsid w:val="00BF55FC"/>
    <w:rsid w:val="00BF6C37"/>
    <w:rsid w:val="00BF6F04"/>
    <w:rsid w:val="00C0380F"/>
    <w:rsid w:val="00C04225"/>
    <w:rsid w:val="00C04F32"/>
    <w:rsid w:val="00C07741"/>
    <w:rsid w:val="00C07C4C"/>
    <w:rsid w:val="00C12A92"/>
    <w:rsid w:val="00C13636"/>
    <w:rsid w:val="00C14AEC"/>
    <w:rsid w:val="00C1621F"/>
    <w:rsid w:val="00C16E01"/>
    <w:rsid w:val="00C17BC0"/>
    <w:rsid w:val="00C17FD4"/>
    <w:rsid w:val="00C2117E"/>
    <w:rsid w:val="00C21588"/>
    <w:rsid w:val="00C22AF2"/>
    <w:rsid w:val="00C23038"/>
    <w:rsid w:val="00C23B8B"/>
    <w:rsid w:val="00C27085"/>
    <w:rsid w:val="00C30EF8"/>
    <w:rsid w:val="00C31818"/>
    <w:rsid w:val="00C31F8C"/>
    <w:rsid w:val="00C32E9B"/>
    <w:rsid w:val="00C33635"/>
    <w:rsid w:val="00C338FA"/>
    <w:rsid w:val="00C35628"/>
    <w:rsid w:val="00C3573D"/>
    <w:rsid w:val="00C37C0D"/>
    <w:rsid w:val="00C44265"/>
    <w:rsid w:val="00C47069"/>
    <w:rsid w:val="00C51290"/>
    <w:rsid w:val="00C5197C"/>
    <w:rsid w:val="00C5232A"/>
    <w:rsid w:val="00C53600"/>
    <w:rsid w:val="00C54A72"/>
    <w:rsid w:val="00C57DE8"/>
    <w:rsid w:val="00C611AD"/>
    <w:rsid w:val="00C61C00"/>
    <w:rsid w:val="00C61DB5"/>
    <w:rsid w:val="00C626F6"/>
    <w:rsid w:val="00C63154"/>
    <w:rsid w:val="00C6659C"/>
    <w:rsid w:val="00C66B63"/>
    <w:rsid w:val="00C67100"/>
    <w:rsid w:val="00C70037"/>
    <w:rsid w:val="00C7078D"/>
    <w:rsid w:val="00C7094D"/>
    <w:rsid w:val="00C73AD9"/>
    <w:rsid w:val="00C73F6A"/>
    <w:rsid w:val="00C80371"/>
    <w:rsid w:val="00C803EC"/>
    <w:rsid w:val="00C80D2D"/>
    <w:rsid w:val="00C80FAA"/>
    <w:rsid w:val="00C82B33"/>
    <w:rsid w:val="00C83170"/>
    <w:rsid w:val="00C83A2A"/>
    <w:rsid w:val="00C84738"/>
    <w:rsid w:val="00C84DB6"/>
    <w:rsid w:val="00C851A4"/>
    <w:rsid w:val="00C851B1"/>
    <w:rsid w:val="00C86043"/>
    <w:rsid w:val="00C86463"/>
    <w:rsid w:val="00C86785"/>
    <w:rsid w:val="00C87DCE"/>
    <w:rsid w:val="00C904EF"/>
    <w:rsid w:val="00C91024"/>
    <w:rsid w:val="00C91042"/>
    <w:rsid w:val="00C931D4"/>
    <w:rsid w:val="00C932CE"/>
    <w:rsid w:val="00C95767"/>
    <w:rsid w:val="00C970BE"/>
    <w:rsid w:val="00C97E8D"/>
    <w:rsid w:val="00CA0F83"/>
    <w:rsid w:val="00CA1F57"/>
    <w:rsid w:val="00CA2725"/>
    <w:rsid w:val="00CA3327"/>
    <w:rsid w:val="00CB1234"/>
    <w:rsid w:val="00CB1EC9"/>
    <w:rsid w:val="00CB219D"/>
    <w:rsid w:val="00CB21FB"/>
    <w:rsid w:val="00CB3539"/>
    <w:rsid w:val="00CB3B76"/>
    <w:rsid w:val="00CB41BB"/>
    <w:rsid w:val="00CB563B"/>
    <w:rsid w:val="00CB5B8D"/>
    <w:rsid w:val="00CB5F2A"/>
    <w:rsid w:val="00CB65F1"/>
    <w:rsid w:val="00CB6643"/>
    <w:rsid w:val="00CB6B17"/>
    <w:rsid w:val="00CB70A2"/>
    <w:rsid w:val="00CC0137"/>
    <w:rsid w:val="00CC122E"/>
    <w:rsid w:val="00CC16D6"/>
    <w:rsid w:val="00CC4FD0"/>
    <w:rsid w:val="00CC5A94"/>
    <w:rsid w:val="00CC7DF4"/>
    <w:rsid w:val="00CD02BD"/>
    <w:rsid w:val="00CD0B25"/>
    <w:rsid w:val="00CD3C1D"/>
    <w:rsid w:val="00CD401C"/>
    <w:rsid w:val="00CD4190"/>
    <w:rsid w:val="00CD43C9"/>
    <w:rsid w:val="00CD4650"/>
    <w:rsid w:val="00CD4F5A"/>
    <w:rsid w:val="00CD53A6"/>
    <w:rsid w:val="00CD5DCB"/>
    <w:rsid w:val="00CD665A"/>
    <w:rsid w:val="00CD6DBE"/>
    <w:rsid w:val="00CD7DA2"/>
    <w:rsid w:val="00CE27BB"/>
    <w:rsid w:val="00CE27D3"/>
    <w:rsid w:val="00CE2942"/>
    <w:rsid w:val="00CE457E"/>
    <w:rsid w:val="00CE55FF"/>
    <w:rsid w:val="00CE573A"/>
    <w:rsid w:val="00CE597B"/>
    <w:rsid w:val="00CE61AA"/>
    <w:rsid w:val="00CE6687"/>
    <w:rsid w:val="00CE7793"/>
    <w:rsid w:val="00CE7DB2"/>
    <w:rsid w:val="00CE7FAF"/>
    <w:rsid w:val="00CF29EB"/>
    <w:rsid w:val="00CF5394"/>
    <w:rsid w:val="00CF6C36"/>
    <w:rsid w:val="00CF6FE9"/>
    <w:rsid w:val="00CF7FD9"/>
    <w:rsid w:val="00D013CD"/>
    <w:rsid w:val="00D01433"/>
    <w:rsid w:val="00D01D01"/>
    <w:rsid w:val="00D03DF9"/>
    <w:rsid w:val="00D04B3B"/>
    <w:rsid w:val="00D05DA7"/>
    <w:rsid w:val="00D067EA"/>
    <w:rsid w:val="00D068B5"/>
    <w:rsid w:val="00D06E01"/>
    <w:rsid w:val="00D1274D"/>
    <w:rsid w:val="00D12C00"/>
    <w:rsid w:val="00D15C88"/>
    <w:rsid w:val="00D164CC"/>
    <w:rsid w:val="00D16532"/>
    <w:rsid w:val="00D2044B"/>
    <w:rsid w:val="00D224A6"/>
    <w:rsid w:val="00D23254"/>
    <w:rsid w:val="00D23964"/>
    <w:rsid w:val="00D25197"/>
    <w:rsid w:val="00D27A61"/>
    <w:rsid w:val="00D27D69"/>
    <w:rsid w:val="00D30093"/>
    <w:rsid w:val="00D31CEC"/>
    <w:rsid w:val="00D33CAD"/>
    <w:rsid w:val="00D34065"/>
    <w:rsid w:val="00D34F82"/>
    <w:rsid w:val="00D4149D"/>
    <w:rsid w:val="00D42E56"/>
    <w:rsid w:val="00D42E62"/>
    <w:rsid w:val="00D43594"/>
    <w:rsid w:val="00D43C5F"/>
    <w:rsid w:val="00D44754"/>
    <w:rsid w:val="00D44CDE"/>
    <w:rsid w:val="00D451BB"/>
    <w:rsid w:val="00D467F8"/>
    <w:rsid w:val="00D46ED7"/>
    <w:rsid w:val="00D505FC"/>
    <w:rsid w:val="00D50735"/>
    <w:rsid w:val="00D509A4"/>
    <w:rsid w:val="00D509B0"/>
    <w:rsid w:val="00D51083"/>
    <w:rsid w:val="00D52146"/>
    <w:rsid w:val="00D52214"/>
    <w:rsid w:val="00D52750"/>
    <w:rsid w:val="00D52FEA"/>
    <w:rsid w:val="00D53D53"/>
    <w:rsid w:val="00D55933"/>
    <w:rsid w:val="00D570D0"/>
    <w:rsid w:val="00D61379"/>
    <w:rsid w:val="00D6188C"/>
    <w:rsid w:val="00D61C94"/>
    <w:rsid w:val="00D64F80"/>
    <w:rsid w:val="00D6508F"/>
    <w:rsid w:val="00D65CB9"/>
    <w:rsid w:val="00D67252"/>
    <w:rsid w:val="00D67C08"/>
    <w:rsid w:val="00D70BA3"/>
    <w:rsid w:val="00D70FF3"/>
    <w:rsid w:val="00D724EA"/>
    <w:rsid w:val="00D727E5"/>
    <w:rsid w:val="00D73875"/>
    <w:rsid w:val="00D75A67"/>
    <w:rsid w:val="00D8080A"/>
    <w:rsid w:val="00D83429"/>
    <w:rsid w:val="00D83CC8"/>
    <w:rsid w:val="00D84D9A"/>
    <w:rsid w:val="00D87891"/>
    <w:rsid w:val="00D87CA3"/>
    <w:rsid w:val="00D91B0B"/>
    <w:rsid w:val="00D91B8B"/>
    <w:rsid w:val="00D9258C"/>
    <w:rsid w:val="00D933CC"/>
    <w:rsid w:val="00D968D2"/>
    <w:rsid w:val="00D97234"/>
    <w:rsid w:val="00DA0290"/>
    <w:rsid w:val="00DA0D00"/>
    <w:rsid w:val="00DA2F97"/>
    <w:rsid w:val="00DA39E2"/>
    <w:rsid w:val="00DA6143"/>
    <w:rsid w:val="00DA6513"/>
    <w:rsid w:val="00DB0CC6"/>
    <w:rsid w:val="00DB2FED"/>
    <w:rsid w:val="00DB314C"/>
    <w:rsid w:val="00DB5A9A"/>
    <w:rsid w:val="00DB6074"/>
    <w:rsid w:val="00DB7BEE"/>
    <w:rsid w:val="00DC3F20"/>
    <w:rsid w:val="00DC4071"/>
    <w:rsid w:val="00DC4F3D"/>
    <w:rsid w:val="00DC5360"/>
    <w:rsid w:val="00DC62F5"/>
    <w:rsid w:val="00DC667D"/>
    <w:rsid w:val="00DC6EA7"/>
    <w:rsid w:val="00DD10E5"/>
    <w:rsid w:val="00DD1333"/>
    <w:rsid w:val="00DD1EDB"/>
    <w:rsid w:val="00DD1F66"/>
    <w:rsid w:val="00DD2A78"/>
    <w:rsid w:val="00DD51B0"/>
    <w:rsid w:val="00DE1627"/>
    <w:rsid w:val="00DE56D9"/>
    <w:rsid w:val="00DE6278"/>
    <w:rsid w:val="00DE694D"/>
    <w:rsid w:val="00DE7479"/>
    <w:rsid w:val="00DE7732"/>
    <w:rsid w:val="00DE783B"/>
    <w:rsid w:val="00DE7D37"/>
    <w:rsid w:val="00DF013D"/>
    <w:rsid w:val="00DF032F"/>
    <w:rsid w:val="00DF1E32"/>
    <w:rsid w:val="00DF2AF7"/>
    <w:rsid w:val="00DF36C1"/>
    <w:rsid w:val="00DF3E2C"/>
    <w:rsid w:val="00DF448A"/>
    <w:rsid w:val="00DF60B5"/>
    <w:rsid w:val="00DF6609"/>
    <w:rsid w:val="00DF6836"/>
    <w:rsid w:val="00E00BD7"/>
    <w:rsid w:val="00E01917"/>
    <w:rsid w:val="00E02E74"/>
    <w:rsid w:val="00E0478E"/>
    <w:rsid w:val="00E0696A"/>
    <w:rsid w:val="00E06B78"/>
    <w:rsid w:val="00E0735C"/>
    <w:rsid w:val="00E07A9E"/>
    <w:rsid w:val="00E07B37"/>
    <w:rsid w:val="00E113BF"/>
    <w:rsid w:val="00E1254B"/>
    <w:rsid w:val="00E136DA"/>
    <w:rsid w:val="00E13F06"/>
    <w:rsid w:val="00E142D2"/>
    <w:rsid w:val="00E16AB4"/>
    <w:rsid w:val="00E200B3"/>
    <w:rsid w:val="00E22166"/>
    <w:rsid w:val="00E245B1"/>
    <w:rsid w:val="00E26BE6"/>
    <w:rsid w:val="00E278E7"/>
    <w:rsid w:val="00E30137"/>
    <w:rsid w:val="00E31467"/>
    <w:rsid w:val="00E34E14"/>
    <w:rsid w:val="00E35E1F"/>
    <w:rsid w:val="00E3738F"/>
    <w:rsid w:val="00E37C23"/>
    <w:rsid w:val="00E40450"/>
    <w:rsid w:val="00E40703"/>
    <w:rsid w:val="00E4138F"/>
    <w:rsid w:val="00E41AD1"/>
    <w:rsid w:val="00E4200B"/>
    <w:rsid w:val="00E43C0D"/>
    <w:rsid w:val="00E45EDF"/>
    <w:rsid w:val="00E46913"/>
    <w:rsid w:val="00E5177F"/>
    <w:rsid w:val="00E518DB"/>
    <w:rsid w:val="00E5220A"/>
    <w:rsid w:val="00E5272A"/>
    <w:rsid w:val="00E53B5E"/>
    <w:rsid w:val="00E5436C"/>
    <w:rsid w:val="00E55723"/>
    <w:rsid w:val="00E57395"/>
    <w:rsid w:val="00E57D9F"/>
    <w:rsid w:val="00E61965"/>
    <w:rsid w:val="00E62F8B"/>
    <w:rsid w:val="00E63564"/>
    <w:rsid w:val="00E6379D"/>
    <w:rsid w:val="00E638C5"/>
    <w:rsid w:val="00E63AD8"/>
    <w:rsid w:val="00E66AD6"/>
    <w:rsid w:val="00E67E1A"/>
    <w:rsid w:val="00E7026D"/>
    <w:rsid w:val="00E7109C"/>
    <w:rsid w:val="00E728BC"/>
    <w:rsid w:val="00E7637A"/>
    <w:rsid w:val="00E7753A"/>
    <w:rsid w:val="00E77D8A"/>
    <w:rsid w:val="00E810F4"/>
    <w:rsid w:val="00E8187F"/>
    <w:rsid w:val="00E819E1"/>
    <w:rsid w:val="00E82440"/>
    <w:rsid w:val="00E837B6"/>
    <w:rsid w:val="00E84997"/>
    <w:rsid w:val="00E8694C"/>
    <w:rsid w:val="00E87591"/>
    <w:rsid w:val="00E9296B"/>
    <w:rsid w:val="00E92D86"/>
    <w:rsid w:val="00E96FBD"/>
    <w:rsid w:val="00EA00E4"/>
    <w:rsid w:val="00EA06ED"/>
    <w:rsid w:val="00EA5D9A"/>
    <w:rsid w:val="00EA5F84"/>
    <w:rsid w:val="00EA693B"/>
    <w:rsid w:val="00EA6B44"/>
    <w:rsid w:val="00EA70D1"/>
    <w:rsid w:val="00EB01F9"/>
    <w:rsid w:val="00EB067B"/>
    <w:rsid w:val="00EB07B6"/>
    <w:rsid w:val="00EB0AD2"/>
    <w:rsid w:val="00EB0F01"/>
    <w:rsid w:val="00EB14EE"/>
    <w:rsid w:val="00EB2643"/>
    <w:rsid w:val="00EC0570"/>
    <w:rsid w:val="00EC2F49"/>
    <w:rsid w:val="00EC2F4E"/>
    <w:rsid w:val="00EC32E9"/>
    <w:rsid w:val="00EC3339"/>
    <w:rsid w:val="00EC3F0A"/>
    <w:rsid w:val="00EC5DCC"/>
    <w:rsid w:val="00ED32EC"/>
    <w:rsid w:val="00ED33DC"/>
    <w:rsid w:val="00ED3F77"/>
    <w:rsid w:val="00ED4ED3"/>
    <w:rsid w:val="00ED56ED"/>
    <w:rsid w:val="00ED72F9"/>
    <w:rsid w:val="00EE0215"/>
    <w:rsid w:val="00EE2628"/>
    <w:rsid w:val="00EE2A9A"/>
    <w:rsid w:val="00EE547A"/>
    <w:rsid w:val="00EE628B"/>
    <w:rsid w:val="00EE7401"/>
    <w:rsid w:val="00EF01F0"/>
    <w:rsid w:val="00EF04B4"/>
    <w:rsid w:val="00EF21DD"/>
    <w:rsid w:val="00EF2A8C"/>
    <w:rsid w:val="00EF3645"/>
    <w:rsid w:val="00EF3FBA"/>
    <w:rsid w:val="00EF553A"/>
    <w:rsid w:val="00EF6237"/>
    <w:rsid w:val="00EF65AC"/>
    <w:rsid w:val="00EF6BD1"/>
    <w:rsid w:val="00F000B3"/>
    <w:rsid w:val="00F00901"/>
    <w:rsid w:val="00F03126"/>
    <w:rsid w:val="00F0479B"/>
    <w:rsid w:val="00F06244"/>
    <w:rsid w:val="00F063BC"/>
    <w:rsid w:val="00F067CB"/>
    <w:rsid w:val="00F06D8A"/>
    <w:rsid w:val="00F10154"/>
    <w:rsid w:val="00F11292"/>
    <w:rsid w:val="00F13300"/>
    <w:rsid w:val="00F16616"/>
    <w:rsid w:val="00F16B33"/>
    <w:rsid w:val="00F203EF"/>
    <w:rsid w:val="00F2258B"/>
    <w:rsid w:val="00F22B39"/>
    <w:rsid w:val="00F24951"/>
    <w:rsid w:val="00F24ADC"/>
    <w:rsid w:val="00F27846"/>
    <w:rsid w:val="00F27EFE"/>
    <w:rsid w:val="00F32135"/>
    <w:rsid w:val="00F3329B"/>
    <w:rsid w:val="00F3587D"/>
    <w:rsid w:val="00F362B7"/>
    <w:rsid w:val="00F375CE"/>
    <w:rsid w:val="00F402E2"/>
    <w:rsid w:val="00F412D0"/>
    <w:rsid w:val="00F429C7"/>
    <w:rsid w:val="00F42BF0"/>
    <w:rsid w:val="00F42D05"/>
    <w:rsid w:val="00F4309E"/>
    <w:rsid w:val="00F43130"/>
    <w:rsid w:val="00F462BF"/>
    <w:rsid w:val="00F50F05"/>
    <w:rsid w:val="00F512D5"/>
    <w:rsid w:val="00F5147A"/>
    <w:rsid w:val="00F51762"/>
    <w:rsid w:val="00F51C4A"/>
    <w:rsid w:val="00F520D7"/>
    <w:rsid w:val="00F528E8"/>
    <w:rsid w:val="00F547EA"/>
    <w:rsid w:val="00F550CF"/>
    <w:rsid w:val="00F56124"/>
    <w:rsid w:val="00F56369"/>
    <w:rsid w:val="00F56CE2"/>
    <w:rsid w:val="00F636B0"/>
    <w:rsid w:val="00F65388"/>
    <w:rsid w:val="00F65DF7"/>
    <w:rsid w:val="00F670E1"/>
    <w:rsid w:val="00F67BF1"/>
    <w:rsid w:val="00F724F0"/>
    <w:rsid w:val="00F72D92"/>
    <w:rsid w:val="00F73429"/>
    <w:rsid w:val="00F73FA6"/>
    <w:rsid w:val="00F74288"/>
    <w:rsid w:val="00F76217"/>
    <w:rsid w:val="00F76FD2"/>
    <w:rsid w:val="00F80B9D"/>
    <w:rsid w:val="00F8190A"/>
    <w:rsid w:val="00F82105"/>
    <w:rsid w:val="00F821A2"/>
    <w:rsid w:val="00F82334"/>
    <w:rsid w:val="00F82924"/>
    <w:rsid w:val="00F82F61"/>
    <w:rsid w:val="00F84005"/>
    <w:rsid w:val="00F84022"/>
    <w:rsid w:val="00F8612F"/>
    <w:rsid w:val="00F86441"/>
    <w:rsid w:val="00F87E9F"/>
    <w:rsid w:val="00F925A2"/>
    <w:rsid w:val="00F92B88"/>
    <w:rsid w:val="00F92C41"/>
    <w:rsid w:val="00F93457"/>
    <w:rsid w:val="00F9367C"/>
    <w:rsid w:val="00F9414B"/>
    <w:rsid w:val="00F96155"/>
    <w:rsid w:val="00F96A5B"/>
    <w:rsid w:val="00F97B85"/>
    <w:rsid w:val="00FA11EC"/>
    <w:rsid w:val="00FA132C"/>
    <w:rsid w:val="00FA1894"/>
    <w:rsid w:val="00FA237D"/>
    <w:rsid w:val="00FA2F21"/>
    <w:rsid w:val="00FA6C44"/>
    <w:rsid w:val="00FB07C1"/>
    <w:rsid w:val="00FB0B64"/>
    <w:rsid w:val="00FB3398"/>
    <w:rsid w:val="00FB4557"/>
    <w:rsid w:val="00FB4DE1"/>
    <w:rsid w:val="00FB508B"/>
    <w:rsid w:val="00FB53FF"/>
    <w:rsid w:val="00FB6A8F"/>
    <w:rsid w:val="00FB7A93"/>
    <w:rsid w:val="00FB7D5F"/>
    <w:rsid w:val="00FC03E8"/>
    <w:rsid w:val="00FC0811"/>
    <w:rsid w:val="00FC26EA"/>
    <w:rsid w:val="00FC3510"/>
    <w:rsid w:val="00FC3D35"/>
    <w:rsid w:val="00FC4952"/>
    <w:rsid w:val="00FC5C03"/>
    <w:rsid w:val="00FC7CF8"/>
    <w:rsid w:val="00FD1896"/>
    <w:rsid w:val="00FD303A"/>
    <w:rsid w:val="00FD33EF"/>
    <w:rsid w:val="00FD4329"/>
    <w:rsid w:val="00FD5643"/>
    <w:rsid w:val="00FD583C"/>
    <w:rsid w:val="00FD5944"/>
    <w:rsid w:val="00FD5FA2"/>
    <w:rsid w:val="00FD5FAE"/>
    <w:rsid w:val="00FD68A6"/>
    <w:rsid w:val="00FD6A17"/>
    <w:rsid w:val="00FD7071"/>
    <w:rsid w:val="00FD7A74"/>
    <w:rsid w:val="00FE0D4C"/>
    <w:rsid w:val="00FE2DE2"/>
    <w:rsid w:val="00FE3B5B"/>
    <w:rsid w:val="00FE4360"/>
    <w:rsid w:val="00FE62CD"/>
    <w:rsid w:val="00FE6B00"/>
    <w:rsid w:val="00FE72E6"/>
    <w:rsid w:val="00FE7B29"/>
    <w:rsid w:val="00FF035D"/>
    <w:rsid w:val="00FF10DA"/>
    <w:rsid w:val="00FF11F3"/>
    <w:rsid w:val="00FF29F9"/>
    <w:rsid w:val="00FF32E0"/>
    <w:rsid w:val="00FF378A"/>
    <w:rsid w:val="00FF382C"/>
    <w:rsid w:val="00FF3878"/>
    <w:rsid w:val="00FF3A8A"/>
    <w:rsid w:val="00FF5E79"/>
    <w:rsid w:val="01AF055A"/>
    <w:rsid w:val="025E7831"/>
    <w:rsid w:val="0288640B"/>
    <w:rsid w:val="02F0084E"/>
    <w:rsid w:val="04F4562B"/>
    <w:rsid w:val="050210A7"/>
    <w:rsid w:val="05092C51"/>
    <w:rsid w:val="06695D1D"/>
    <w:rsid w:val="06A94F01"/>
    <w:rsid w:val="06B1674C"/>
    <w:rsid w:val="06DF4F65"/>
    <w:rsid w:val="07321B0C"/>
    <w:rsid w:val="084F0889"/>
    <w:rsid w:val="09ED4A2E"/>
    <w:rsid w:val="09FB5DB1"/>
    <w:rsid w:val="0A3B334D"/>
    <w:rsid w:val="0AC42DD5"/>
    <w:rsid w:val="0AD017DD"/>
    <w:rsid w:val="0B2C0120"/>
    <w:rsid w:val="0B3F7A3F"/>
    <w:rsid w:val="0BEA4E5E"/>
    <w:rsid w:val="0C7A06C9"/>
    <w:rsid w:val="0C9839E7"/>
    <w:rsid w:val="0CAF7B95"/>
    <w:rsid w:val="0CE56AD2"/>
    <w:rsid w:val="0E114F5B"/>
    <w:rsid w:val="0E957D9A"/>
    <w:rsid w:val="0F23030D"/>
    <w:rsid w:val="0F3F3D63"/>
    <w:rsid w:val="115F05F6"/>
    <w:rsid w:val="12D33A40"/>
    <w:rsid w:val="12EB66F7"/>
    <w:rsid w:val="13383A78"/>
    <w:rsid w:val="139D52BE"/>
    <w:rsid w:val="13D263F7"/>
    <w:rsid w:val="14E805C7"/>
    <w:rsid w:val="152D28C7"/>
    <w:rsid w:val="15413401"/>
    <w:rsid w:val="15EC00E7"/>
    <w:rsid w:val="160804CE"/>
    <w:rsid w:val="16795CC3"/>
    <w:rsid w:val="16C0717A"/>
    <w:rsid w:val="16EF0E57"/>
    <w:rsid w:val="17E21910"/>
    <w:rsid w:val="18B55B32"/>
    <w:rsid w:val="18BC3928"/>
    <w:rsid w:val="190909AF"/>
    <w:rsid w:val="1942181C"/>
    <w:rsid w:val="194B3324"/>
    <w:rsid w:val="196766E3"/>
    <w:rsid w:val="197D7B0D"/>
    <w:rsid w:val="199E7701"/>
    <w:rsid w:val="1A2B468F"/>
    <w:rsid w:val="1A2C0FDA"/>
    <w:rsid w:val="1A6E11D3"/>
    <w:rsid w:val="1ADA709E"/>
    <w:rsid w:val="1BED53F2"/>
    <w:rsid w:val="1C7D2A8D"/>
    <w:rsid w:val="1C8C2418"/>
    <w:rsid w:val="1CA36E09"/>
    <w:rsid w:val="1CCE6D2B"/>
    <w:rsid w:val="1CD36ECD"/>
    <w:rsid w:val="1CF14557"/>
    <w:rsid w:val="1D1C45B5"/>
    <w:rsid w:val="1D1D6A38"/>
    <w:rsid w:val="1DA95C36"/>
    <w:rsid w:val="1DC31A41"/>
    <w:rsid w:val="1DC73D03"/>
    <w:rsid w:val="1DD16169"/>
    <w:rsid w:val="1DDB158E"/>
    <w:rsid w:val="1ECC2CFC"/>
    <w:rsid w:val="1EFE000B"/>
    <w:rsid w:val="1F18454F"/>
    <w:rsid w:val="1F494121"/>
    <w:rsid w:val="1F822039"/>
    <w:rsid w:val="20C15A33"/>
    <w:rsid w:val="20C6108F"/>
    <w:rsid w:val="211C0A7D"/>
    <w:rsid w:val="21F2089F"/>
    <w:rsid w:val="22AA14E6"/>
    <w:rsid w:val="239041E8"/>
    <w:rsid w:val="239551C8"/>
    <w:rsid w:val="23B54110"/>
    <w:rsid w:val="23F82B8D"/>
    <w:rsid w:val="255F6FBF"/>
    <w:rsid w:val="25943045"/>
    <w:rsid w:val="25C65E9E"/>
    <w:rsid w:val="25D41B09"/>
    <w:rsid w:val="264B0F65"/>
    <w:rsid w:val="2653005D"/>
    <w:rsid w:val="265440D8"/>
    <w:rsid w:val="26B838B1"/>
    <w:rsid w:val="26D90CB2"/>
    <w:rsid w:val="27004FD3"/>
    <w:rsid w:val="275F617D"/>
    <w:rsid w:val="2775588E"/>
    <w:rsid w:val="277E29F0"/>
    <w:rsid w:val="293039F7"/>
    <w:rsid w:val="297F3A61"/>
    <w:rsid w:val="2A603362"/>
    <w:rsid w:val="2A654CD0"/>
    <w:rsid w:val="2A902D4B"/>
    <w:rsid w:val="2A9207E4"/>
    <w:rsid w:val="2B642A3F"/>
    <w:rsid w:val="2BCF3C0E"/>
    <w:rsid w:val="2C7A7420"/>
    <w:rsid w:val="2D0640EF"/>
    <w:rsid w:val="2D570338"/>
    <w:rsid w:val="2DD3116C"/>
    <w:rsid w:val="2DDB3890"/>
    <w:rsid w:val="2E195041"/>
    <w:rsid w:val="2E4F2299"/>
    <w:rsid w:val="2EA61EAD"/>
    <w:rsid w:val="2EF50F04"/>
    <w:rsid w:val="2F4E26CB"/>
    <w:rsid w:val="30BA5C40"/>
    <w:rsid w:val="30C63926"/>
    <w:rsid w:val="30E01C4C"/>
    <w:rsid w:val="30E13A4B"/>
    <w:rsid w:val="313C5B89"/>
    <w:rsid w:val="31A83E3A"/>
    <w:rsid w:val="32D2516C"/>
    <w:rsid w:val="330C4FCE"/>
    <w:rsid w:val="3358295C"/>
    <w:rsid w:val="34950CDF"/>
    <w:rsid w:val="35073E8A"/>
    <w:rsid w:val="360553A2"/>
    <w:rsid w:val="36A238E3"/>
    <w:rsid w:val="36B76BC1"/>
    <w:rsid w:val="37620231"/>
    <w:rsid w:val="37F419A6"/>
    <w:rsid w:val="38023F52"/>
    <w:rsid w:val="38FA191A"/>
    <w:rsid w:val="390F7559"/>
    <w:rsid w:val="39343E02"/>
    <w:rsid w:val="39B332BB"/>
    <w:rsid w:val="3A4B3C3C"/>
    <w:rsid w:val="3ABB74B5"/>
    <w:rsid w:val="3B541993"/>
    <w:rsid w:val="3C6A2D11"/>
    <w:rsid w:val="3C90432E"/>
    <w:rsid w:val="3C9F43EF"/>
    <w:rsid w:val="3CF51D62"/>
    <w:rsid w:val="3CF822F1"/>
    <w:rsid w:val="3D986946"/>
    <w:rsid w:val="3DAA1D34"/>
    <w:rsid w:val="3E4F58B0"/>
    <w:rsid w:val="3E9C1785"/>
    <w:rsid w:val="3EDB0AD4"/>
    <w:rsid w:val="3F800F34"/>
    <w:rsid w:val="3F8B3B70"/>
    <w:rsid w:val="405137B1"/>
    <w:rsid w:val="408501C2"/>
    <w:rsid w:val="41045D9A"/>
    <w:rsid w:val="41E44B5A"/>
    <w:rsid w:val="423964E3"/>
    <w:rsid w:val="424C57A2"/>
    <w:rsid w:val="42542E9D"/>
    <w:rsid w:val="42711AE5"/>
    <w:rsid w:val="427D2757"/>
    <w:rsid w:val="42BC6808"/>
    <w:rsid w:val="433929E8"/>
    <w:rsid w:val="43BA4C93"/>
    <w:rsid w:val="43DC056D"/>
    <w:rsid w:val="4428386B"/>
    <w:rsid w:val="445303BA"/>
    <w:rsid w:val="463E7A2B"/>
    <w:rsid w:val="46BA128C"/>
    <w:rsid w:val="470C0CB2"/>
    <w:rsid w:val="47822EF2"/>
    <w:rsid w:val="4808445B"/>
    <w:rsid w:val="48091950"/>
    <w:rsid w:val="48AC55F1"/>
    <w:rsid w:val="48E3256D"/>
    <w:rsid w:val="48F70D8F"/>
    <w:rsid w:val="4910070E"/>
    <w:rsid w:val="49AD1D92"/>
    <w:rsid w:val="49B92677"/>
    <w:rsid w:val="49EC71EA"/>
    <w:rsid w:val="49F7297F"/>
    <w:rsid w:val="4A7D14B4"/>
    <w:rsid w:val="4ACD78BF"/>
    <w:rsid w:val="4B6D6C50"/>
    <w:rsid w:val="4B7D1C0B"/>
    <w:rsid w:val="4BEC22E2"/>
    <w:rsid w:val="4D2521DC"/>
    <w:rsid w:val="4D283783"/>
    <w:rsid w:val="4D55278C"/>
    <w:rsid w:val="4DC25930"/>
    <w:rsid w:val="4E9511EE"/>
    <w:rsid w:val="4EA05364"/>
    <w:rsid w:val="4EAF4587"/>
    <w:rsid w:val="4EEE30C3"/>
    <w:rsid w:val="4F5327A3"/>
    <w:rsid w:val="503C4F3F"/>
    <w:rsid w:val="511D603D"/>
    <w:rsid w:val="51207F8D"/>
    <w:rsid w:val="519E69FB"/>
    <w:rsid w:val="523D5A7D"/>
    <w:rsid w:val="52E34CE9"/>
    <w:rsid w:val="532801D1"/>
    <w:rsid w:val="541924DC"/>
    <w:rsid w:val="55330D9C"/>
    <w:rsid w:val="55807EAB"/>
    <w:rsid w:val="55943C0D"/>
    <w:rsid w:val="55996F5A"/>
    <w:rsid w:val="55AE5C84"/>
    <w:rsid w:val="567D30B4"/>
    <w:rsid w:val="57DC3747"/>
    <w:rsid w:val="58472694"/>
    <w:rsid w:val="59267167"/>
    <w:rsid w:val="599977F7"/>
    <w:rsid w:val="5A32462C"/>
    <w:rsid w:val="5A354698"/>
    <w:rsid w:val="5AB17231"/>
    <w:rsid w:val="5AE44595"/>
    <w:rsid w:val="5B4E6464"/>
    <w:rsid w:val="5C330221"/>
    <w:rsid w:val="5C821DCD"/>
    <w:rsid w:val="5CF217AF"/>
    <w:rsid w:val="5DA42404"/>
    <w:rsid w:val="5F0111C2"/>
    <w:rsid w:val="5F260A7E"/>
    <w:rsid w:val="5FC47F11"/>
    <w:rsid w:val="60644B34"/>
    <w:rsid w:val="609505FC"/>
    <w:rsid w:val="60C93C80"/>
    <w:rsid w:val="60D45B6B"/>
    <w:rsid w:val="6108029A"/>
    <w:rsid w:val="61280ADA"/>
    <w:rsid w:val="6190355F"/>
    <w:rsid w:val="621E6957"/>
    <w:rsid w:val="626D7888"/>
    <w:rsid w:val="62AC7DEF"/>
    <w:rsid w:val="62E632FF"/>
    <w:rsid w:val="636965A9"/>
    <w:rsid w:val="639418F9"/>
    <w:rsid w:val="65062CF4"/>
    <w:rsid w:val="65256E44"/>
    <w:rsid w:val="6642036D"/>
    <w:rsid w:val="66491F5E"/>
    <w:rsid w:val="672D783E"/>
    <w:rsid w:val="67734E04"/>
    <w:rsid w:val="67944AF3"/>
    <w:rsid w:val="67A01D9B"/>
    <w:rsid w:val="67A41055"/>
    <w:rsid w:val="684D2613"/>
    <w:rsid w:val="685A3FEE"/>
    <w:rsid w:val="68EE1AF5"/>
    <w:rsid w:val="68F71EF0"/>
    <w:rsid w:val="68FF5895"/>
    <w:rsid w:val="6A7A31C1"/>
    <w:rsid w:val="6B813CDD"/>
    <w:rsid w:val="6B8930AC"/>
    <w:rsid w:val="6CA33C6E"/>
    <w:rsid w:val="6D412E9A"/>
    <w:rsid w:val="6D595864"/>
    <w:rsid w:val="6D983B7C"/>
    <w:rsid w:val="6DE32766"/>
    <w:rsid w:val="6E164512"/>
    <w:rsid w:val="6E211894"/>
    <w:rsid w:val="6E2C7A17"/>
    <w:rsid w:val="6E2F1403"/>
    <w:rsid w:val="6E3672DC"/>
    <w:rsid w:val="6F26738D"/>
    <w:rsid w:val="707127EE"/>
    <w:rsid w:val="7146133D"/>
    <w:rsid w:val="71654692"/>
    <w:rsid w:val="71837598"/>
    <w:rsid w:val="71EF3DCF"/>
    <w:rsid w:val="725356AF"/>
    <w:rsid w:val="72934980"/>
    <w:rsid w:val="74163EE5"/>
    <w:rsid w:val="74904546"/>
    <w:rsid w:val="74E90C48"/>
    <w:rsid w:val="75BB51FE"/>
    <w:rsid w:val="7665694D"/>
    <w:rsid w:val="7669072B"/>
    <w:rsid w:val="769E5F85"/>
    <w:rsid w:val="77011B0D"/>
    <w:rsid w:val="770C6901"/>
    <w:rsid w:val="778D7FE8"/>
    <w:rsid w:val="77912837"/>
    <w:rsid w:val="78420A7E"/>
    <w:rsid w:val="7883681A"/>
    <w:rsid w:val="78C70E24"/>
    <w:rsid w:val="7A2A0F3A"/>
    <w:rsid w:val="7A590E17"/>
    <w:rsid w:val="7A6B24E6"/>
    <w:rsid w:val="7A766F0D"/>
    <w:rsid w:val="7A7F22DD"/>
    <w:rsid w:val="7B170D88"/>
    <w:rsid w:val="7B9200EA"/>
    <w:rsid w:val="7B976E1B"/>
    <w:rsid w:val="7CFE41B1"/>
    <w:rsid w:val="7D0479A1"/>
    <w:rsid w:val="7D0D3F97"/>
    <w:rsid w:val="7D267468"/>
    <w:rsid w:val="7D504B71"/>
    <w:rsid w:val="7DDF7B89"/>
    <w:rsid w:val="7E0F0E43"/>
    <w:rsid w:val="7E654761"/>
    <w:rsid w:val="7F3D5E3C"/>
    <w:rsid w:val="7F726A15"/>
    <w:rsid w:val="7F7C6D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exact"/>
      <w:ind w:firstLine="200" w:firstLineChars="200"/>
      <w:jc w:val="both"/>
    </w:pPr>
    <w:rPr>
      <w:rFonts w:ascii="Times New Roman" w:hAnsi="Times New Roman" w:eastAsia="宋体" w:cs="Times New Roman"/>
      <w:kern w:val="2"/>
      <w:sz w:val="21"/>
      <w:lang w:val="en-US" w:eastAsia="zh-CN" w:bidi="ar-SA"/>
    </w:rPr>
  </w:style>
  <w:style w:type="paragraph" w:styleId="2">
    <w:name w:val="heading 1"/>
    <w:basedOn w:val="1"/>
    <w:next w:val="1"/>
    <w:link w:val="42"/>
    <w:autoRedefine/>
    <w:qFormat/>
    <w:uiPriority w:val="0"/>
    <w:pPr>
      <w:keepNext/>
      <w:keepLines/>
      <w:spacing w:line="360" w:lineRule="auto"/>
      <w:ind w:firstLine="0" w:firstLineChars="0"/>
      <w:jc w:val="center"/>
      <w:outlineLvl w:val="0"/>
    </w:pPr>
    <w:rPr>
      <w:b/>
      <w:bCs/>
      <w:kern w:val="0"/>
      <w:sz w:val="32"/>
      <w:szCs w:val="32"/>
    </w:rPr>
  </w:style>
  <w:style w:type="paragraph" w:styleId="3">
    <w:name w:val="heading 2"/>
    <w:basedOn w:val="1"/>
    <w:next w:val="1"/>
    <w:link w:val="46"/>
    <w:autoRedefine/>
    <w:qFormat/>
    <w:uiPriority w:val="0"/>
    <w:pPr>
      <w:keepNext/>
      <w:keepLines/>
      <w:spacing w:line="520" w:lineRule="exact"/>
      <w:ind w:firstLine="0" w:firstLineChars="0"/>
      <w:jc w:val="center"/>
      <w:outlineLvl w:val="1"/>
    </w:pPr>
    <w:rPr>
      <w:rFonts w:ascii="Arial" w:hAnsi="Arial"/>
      <w:b/>
      <w:bCs/>
      <w:kern w:val="0"/>
      <w:sz w:val="24"/>
      <w:szCs w:val="32"/>
    </w:rPr>
  </w:style>
  <w:style w:type="paragraph" w:styleId="4">
    <w:name w:val="heading 3"/>
    <w:basedOn w:val="1"/>
    <w:next w:val="1"/>
    <w:link w:val="43"/>
    <w:autoRedefine/>
    <w:qFormat/>
    <w:uiPriority w:val="0"/>
    <w:pPr>
      <w:keepNext/>
      <w:keepLines/>
      <w:spacing w:before="100" w:after="100" w:line="413" w:lineRule="auto"/>
      <w:ind w:firstLine="118" w:firstLineChars="49"/>
      <w:outlineLvl w:val="2"/>
    </w:pPr>
    <w:rPr>
      <w:rFonts w:ascii="黑体" w:hAnsi="黑体" w:eastAsia="黑体"/>
      <w:b/>
      <w:bCs/>
      <w:sz w:val="24"/>
      <w:szCs w:val="28"/>
    </w:rPr>
  </w:style>
  <w:style w:type="character" w:default="1" w:styleId="27">
    <w:name w:val="Default Paragraph Font"/>
    <w:autoRedefine/>
    <w:semiHidden/>
    <w:qFormat/>
    <w:uiPriority w:val="0"/>
  </w:style>
  <w:style w:type="table" w:default="1" w:styleId="25">
    <w:name w:val="Normal Table"/>
    <w:autoRedefin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style>
  <w:style w:type="paragraph" w:styleId="6">
    <w:name w:val="Document Map"/>
    <w:basedOn w:val="1"/>
    <w:link w:val="47"/>
    <w:autoRedefine/>
    <w:qFormat/>
    <w:uiPriority w:val="0"/>
    <w:rPr>
      <w:rFonts w:ascii="宋体"/>
      <w:sz w:val="18"/>
      <w:szCs w:val="18"/>
    </w:rPr>
  </w:style>
  <w:style w:type="paragraph" w:styleId="7">
    <w:name w:val="annotation text"/>
    <w:basedOn w:val="1"/>
    <w:autoRedefine/>
    <w:qFormat/>
    <w:uiPriority w:val="0"/>
    <w:pPr>
      <w:jc w:val="left"/>
    </w:pPr>
  </w:style>
  <w:style w:type="paragraph" w:styleId="8">
    <w:name w:val="Body Text 3"/>
    <w:basedOn w:val="1"/>
    <w:link w:val="48"/>
    <w:autoRedefine/>
    <w:qFormat/>
    <w:uiPriority w:val="0"/>
    <w:rPr>
      <w:rFonts w:ascii="宋体"/>
      <w:sz w:val="24"/>
    </w:rPr>
  </w:style>
  <w:style w:type="paragraph" w:styleId="9">
    <w:name w:val="Body Text"/>
    <w:basedOn w:val="1"/>
    <w:next w:val="10"/>
    <w:autoRedefine/>
    <w:qFormat/>
    <w:uiPriority w:val="0"/>
    <w:pPr>
      <w:spacing w:after="120"/>
    </w:pPr>
  </w:style>
  <w:style w:type="paragraph" w:styleId="10">
    <w:name w:val="toc 3"/>
    <w:basedOn w:val="1"/>
    <w:next w:val="1"/>
    <w:autoRedefine/>
    <w:semiHidden/>
    <w:qFormat/>
    <w:uiPriority w:val="0"/>
    <w:pPr>
      <w:ind w:left="840" w:leftChars="400"/>
    </w:pPr>
  </w:style>
  <w:style w:type="paragraph" w:styleId="11">
    <w:name w:val="Body Text Indent"/>
    <w:basedOn w:val="1"/>
    <w:next w:val="12"/>
    <w:autoRedefine/>
    <w:qFormat/>
    <w:uiPriority w:val="0"/>
    <w:pPr>
      <w:spacing w:after="120"/>
      <w:ind w:left="420" w:leftChars="200"/>
    </w:pPr>
  </w:style>
  <w:style w:type="paragraph" w:styleId="12">
    <w:name w:val="envelope return"/>
    <w:basedOn w:val="1"/>
    <w:autoRedefine/>
    <w:qFormat/>
    <w:uiPriority w:val="0"/>
    <w:pPr>
      <w:snapToGrid w:val="0"/>
    </w:pPr>
    <w:rPr>
      <w:rFonts w:ascii="Arial" w:cs="Arial"/>
      <w:szCs w:val="24"/>
    </w:rPr>
  </w:style>
  <w:style w:type="paragraph" w:styleId="13">
    <w:name w:val="Plain Text"/>
    <w:basedOn w:val="1"/>
    <w:next w:val="1"/>
    <w:autoRedefine/>
    <w:qFormat/>
    <w:uiPriority w:val="0"/>
    <w:rPr>
      <w:rFonts w:ascii="宋体" w:hAnsi="Courier New"/>
    </w:rPr>
  </w:style>
  <w:style w:type="paragraph" w:styleId="14">
    <w:name w:val="Date"/>
    <w:basedOn w:val="1"/>
    <w:next w:val="1"/>
    <w:autoRedefine/>
    <w:qFormat/>
    <w:uiPriority w:val="0"/>
    <w:pPr>
      <w:ind w:left="100" w:leftChars="2500"/>
    </w:pPr>
  </w:style>
  <w:style w:type="paragraph" w:styleId="15">
    <w:name w:val="Body Text Indent 2"/>
    <w:basedOn w:val="1"/>
    <w:autoRedefine/>
    <w:qFormat/>
    <w:uiPriority w:val="0"/>
    <w:pPr>
      <w:spacing w:after="120" w:line="480" w:lineRule="auto"/>
      <w:ind w:left="420" w:leftChars="200"/>
    </w:pPr>
  </w:style>
  <w:style w:type="paragraph" w:styleId="16">
    <w:name w:val="footer"/>
    <w:basedOn w:val="1"/>
    <w:link w:val="44"/>
    <w:autoRedefine/>
    <w:qFormat/>
    <w:uiPriority w:val="0"/>
    <w:pPr>
      <w:tabs>
        <w:tab w:val="center" w:pos="4153"/>
        <w:tab w:val="right" w:pos="8306"/>
      </w:tabs>
      <w:snapToGrid w:val="0"/>
      <w:jc w:val="left"/>
    </w:pPr>
    <w:rPr>
      <w:sz w:val="18"/>
    </w:rPr>
  </w:style>
  <w:style w:type="paragraph" w:styleId="17">
    <w:name w:val="header"/>
    <w:basedOn w:val="1"/>
    <w:link w:val="40"/>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8">
    <w:name w:val="toc 1"/>
    <w:basedOn w:val="1"/>
    <w:next w:val="1"/>
    <w:autoRedefine/>
    <w:qFormat/>
    <w:uiPriority w:val="39"/>
    <w:pPr>
      <w:spacing w:before="120" w:after="120"/>
      <w:jc w:val="left"/>
    </w:pPr>
    <w:rPr>
      <w:b/>
      <w:bCs/>
      <w:caps/>
      <w:sz w:val="20"/>
    </w:rPr>
  </w:style>
  <w:style w:type="paragraph" w:styleId="19">
    <w:name w:val="Body Text Indent 3"/>
    <w:basedOn w:val="1"/>
    <w:autoRedefine/>
    <w:qFormat/>
    <w:uiPriority w:val="0"/>
    <w:pPr>
      <w:spacing w:after="120"/>
      <w:ind w:left="420" w:leftChars="200"/>
    </w:pPr>
    <w:rPr>
      <w:sz w:val="16"/>
      <w:szCs w:val="16"/>
    </w:rPr>
  </w:style>
  <w:style w:type="paragraph" w:styleId="20">
    <w:name w:val="toc 2"/>
    <w:basedOn w:val="1"/>
    <w:next w:val="1"/>
    <w:autoRedefine/>
    <w:qFormat/>
    <w:uiPriority w:val="39"/>
    <w:pPr>
      <w:ind w:left="210"/>
      <w:jc w:val="left"/>
    </w:pPr>
    <w:rPr>
      <w:smallCaps/>
      <w:sz w:val="20"/>
    </w:rPr>
  </w:style>
  <w:style w:type="paragraph" w:styleId="21">
    <w:name w:val="Body Text 2"/>
    <w:basedOn w:val="1"/>
    <w:autoRedefine/>
    <w:qFormat/>
    <w:uiPriority w:val="0"/>
    <w:rPr>
      <w:b/>
      <w:bCs/>
      <w:sz w:val="28"/>
      <w:szCs w:val="20"/>
    </w:rPr>
  </w:style>
  <w:style w:type="paragraph" w:styleId="22">
    <w:name w:val="Normal (Web)"/>
    <w:basedOn w:val="1"/>
    <w:autoRedefine/>
    <w:qFormat/>
    <w:uiPriority w:val="0"/>
    <w:pPr>
      <w:widowControl/>
      <w:spacing w:before="100" w:beforeAutospacing="1" w:after="100" w:afterAutospacing="1" w:line="240" w:lineRule="auto"/>
      <w:ind w:firstLine="0" w:firstLineChars="0"/>
      <w:jc w:val="left"/>
    </w:pPr>
    <w:rPr>
      <w:rFonts w:ascii="宋体" w:hAnsi="宋体" w:cs="宋体"/>
      <w:kern w:val="0"/>
      <w:sz w:val="24"/>
    </w:rPr>
  </w:style>
  <w:style w:type="paragraph" w:styleId="23">
    <w:name w:val="Body Text First Indent"/>
    <w:basedOn w:val="9"/>
    <w:next w:val="1"/>
    <w:autoRedefine/>
    <w:qFormat/>
    <w:uiPriority w:val="99"/>
    <w:pPr>
      <w:spacing w:after="120" w:line="240" w:lineRule="auto"/>
      <w:ind w:firstLine="420" w:firstLineChars="100"/>
    </w:pPr>
    <w:rPr>
      <w:sz w:val="28"/>
    </w:rPr>
  </w:style>
  <w:style w:type="paragraph" w:styleId="24">
    <w:name w:val="Body Text First Indent 2"/>
    <w:basedOn w:val="11"/>
    <w:next w:val="1"/>
    <w:autoRedefine/>
    <w:qFormat/>
    <w:uiPriority w:val="0"/>
    <w:pPr>
      <w:ind w:firstLine="420" w:firstLineChars="200"/>
    </w:p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autoRedefine/>
    <w:qFormat/>
    <w:uiPriority w:val="0"/>
    <w:rPr>
      <w:rFonts w:hint="default" w:ascii="Times New Roman"/>
    </w:rPr>
  </w:style>
  <w:style w:type="character" w:styleId="29">
    <w:name w:val="Hyperlink"/>
    <w:autoRedefine/>
    <w:qFormat/>
    <w:uiPriority w:val="99"/>
    <w:rPr>
      <w:color w:val="0000FF"/>
      <w:u w:val="single"/>
    </w:rPr>
  </w:style>
  <w:style w:type="paragraph" w:customStyle="1" w:styleId="30">
    <w:name w:val="正文首行缩进 21"/>
    <w:basedOn w:val="11"/>
    <w:autoRedefine/>
    <w:qFormat/>
    <w:uiPriority w:val="0"/>
    <w:pPr>
      <w:widowControl/>
      <w:overflowPunct w:val="0"/>
      <w:autoSpaceDE w:val="0"/>
      <w:autoSpaceDN w:val="0"/>
      <w:adjustRightInd w:val="0"/>
      <w:spacing w:line="360" w:lineRule="auto"/>
      <w:ind w:left="0" w:leftChars="0" w:firstLine="420" w:firstLineChars="200"/>
      <w:textAlignment w:val="baseline"/>
    </w:pPr>
    <w:rPr>
      <w:rFonts w:ascii="宋体" w:hAnsi="MS Sans Serif"/>
      <w:spacing w:val="12"/>
      <w:kern w:val="0"/>
      <w:sz w:val="24"/>
      <w:szCs w:val="20"/>
    </w:rPr>
  </w:style>
  <w:style w:type="paragraph" w:customStyle="1" w:styleId="31">
    <w:name w:val="样式 标题 1 + 首行缩进:  2 字符"/>
    <w:basedOn w:val="2"/>
    <w:autoRedefine/>
    <w:qFormat/>
    <w:uiPriority w:val="0"/>
    <w:pPr>
      <w:ind w:firstLine="883"/>
      <w:jc w:val="center"/>
    </w:pPr>
    <w:rPr>
      <w:rFonts w:cs="宋体"/>
      <w:kern w:val="0"/>
      <w:sz w:val="36"/>
      <w:szCs w:val="20"/>
    </w:rPr>
  </w:style>
  <w:style w:type="paragraph" w:customStyle="1" w:styleId="32">
    <w:name w:val="Plain Text"/>
    <w:basedOn w:val="1"/>
    <w:autoRedefine/>
    <w:qFormat/>
    <w:uiPriority w:val="0"/>
    <w:pPr>
      <w:spacing w:line="240" w:lineRule="auto"/>
      <w:ind w:firstLine="0" w:firstLineChars="0"/>
    </w:pPr>
    <w:rPr>
      <w:rFonts w:hint="eastAsia" w:ascii="宋体" w:hAnsi="Courier New"/>
    </w:rPr>
  </w:style>
  <w:style w:type="paragraph" w:customStyle="1" w:styleId="33">
    <w:name w:val="p0"/>
    <w:basedOn w:val="1"/>
    <w:autoRedefine/>
    <w:qFormat/>
    <w:uiPriority w:val="99"/>
    <w:pPr>
      <w:widowControl/>
    </w:pPr>
    <w:rPr>
      <w:kern w:val="0"/>
      <w:szCs w:val="21"/>
    </w:rPr>
  </w:style>
  <w:style w:type="paragraph" w:customStyle="1" w:styleId="34">
    <w:name w:val="样式 标题 3 + (中文) 黑体 小四 非加粗 段前: 7.8 磅 段后: 0 磅 行距: 固定值 20 磅"/>
    <w:basedOn w:val="4"/>
    <w:autoRedefine/>
    <w:qFormat/>
    <w:uiPriority w:val="0"/>
    <w:pPr>
      <w:spacing w:before="0" w:after="0" w:line="400" w:lineRule="exact"/>
      <w:ind w:firstLine="0" w:firstLineChars="0"/>
    </w:pPr>
    <w:rPr>
      <w:rFonts w:hint="eastAsia" w:ascii="Times New Roman" w:hAnsi="Times New Roman"/>
      <w:bCs w:val="0"/>
      <w:szCs w:val="20"/>
    </w:rPr>
  </w:style>
  <w:style w:type="paragraph" w:customStyle="1" w:styleId="35">
    <w:name w:val="样式 标题 2 + Times New Roman 四号 非加粗 段前: 5 磅 段后: 0 磅 行距: 固定值 20..."/>
    <w:basedOn w:val="3"/>
    <w:autoRedefine/>
    <w:qFormat/>
    <w:uiPriority w:val="0"/>
    <w:pPr>
      <w:spacing w:before="100" w:line="400" w:lineRule="exact"/>
    </w:pPr>
    <w:rPr>
      <w:rFonts w:hint="eastAsia" w:ascii="Times New Roman" w:hAnsi="Times New Roman" w:eastAsia="黑体"/>
      <w:b w:val="0"/>
      <w:bCs w:val="0"/>
      <w:kern w:val="2"/>
      <w:sz w:val="28"/>
      <w:szCs w:val="20"/>
    </w:rPr>
  </w:style>
  <w:style w:type="paragraph" w:customStyle="1" w:styleId="36">
    <w:name w:val="样式 (符号) 宋体 首行缩进:  2 字符"/>
    <w:basedOn w:val="1"/>
    <w:autoRedefine/>
    <w:qFormat/>
    <w:uiPriority w:val="0"/>
    <w:pPr>
      <w:ind w:firstLine="0" w:firstLineChars="0"/>
    </w:pPr>
    <w:rPr>
      <w:rFonts w:hAnsi="宋体" w:cs="宋体"/>
    </w:rPr>
  </w:style>
  <w:style w:type="paragraph" w:customStyle="1" w:styleId="37">
    <w:name w:val="样式 样式 标题 2 + 首行缩进:  2 字符 + 首行缩进:  2 字符"/>
    <w:basedOn w:val="1"/>
    <w:autoRedefine/>
    <w:qFormat/>
    <w:uiPriority w:val="0"/>
    <w:pPr>
      <w:keepNext/>
      <w:keepLines/>
      <w:spacing w:before="156" w:beforeLines="50" w:line="413" w:lineRule="auto"/>
      <w:ind w:firstLine="482"/>
      <w:jc w:val="center"/>
      <w:outlineLvl w:val="1"/>
    </w:pPr>
    <w:rPr>
      <w:rFonts w:ascii="Arial" w:hAnsi="Arial" w:cs="宋体"/>
      <w:b/>
      <w:sz w:val="24"/>
    </w:rPr>
  </w:style>
  <w:style w:type="paragraph" w:customStyle="1" w:styleId="38">
    <w:name w:val="样式 首行缩进:  2 字符 行距: 固定值 20 磅"/>
    <w:basedOn w:val="1"/>
    <w:autoRedefine/>
    <w:qFormat/>
    <w:uiPriority w:val="0"/>
    <w:pPr>
      <w:ind w:firstLine="422"/>
    </w:pPr>
    <w:rPr>
      <w:rFonts w:cs="宋体"/>
    </w:rPr>
  </w:style>
  <w:style w:type="paragraph" w:customStyle="1" w:styleId="39">
    <w:name w:val="样式 标题 2 +"/>
    <w:basedOn w:val="3"/>
    <w:autoRedefine/>
    <w:qFormat/>
    <w:uiPriority w:val="0"/>
    <w:rPr>
      <w:kern w:val="0"/>
      <w:sz w:val="24"/>
    </w:rPr>
  </w:style>
  <w:style w:type="character" w:customStyle="1" w:styleId="40">
    <w:name w:val="页眉 Char"/>
    <w:link w:val="17"/>
    <w:autoRedefine/>
    <w:qFormat/>
    <w:uiPriority w:val="0"/>
    <w:rPr>
      <w:rFonts w:eastAsia="宋体"/>
      <w:kern w:val="2"/>
      <w:sz w:val="18"/>
      <w:lang w:val="en-US" w:eastAsia="zh-CN" w:bidi="ar-SA"/>
    </w:rPr>
  </w:style>
  <w:style w:type="character" w:customStyle="1" w:styleId="41">
    <w:name w:val="font11"/>
    <w:autoRedefine/>
    <w:qFormat/>
    <w:uiPriority w:val="0"/>
    <w:rPr>
      <w:rFonts w:hint="eastAsia" w:ascii="宋体" w:hAnsi="宋体" w:eastAsia="宋体" w:cs="宋体"/>
      <w:color w:val="000000"/>
      <w:sz w:val="24"/>
      <w:szCs w:val="24"/>
      <w:u w:val="none"/>
    </w:rPr>
  </w:style>
  <w:style w:type="character" w:customStyle="1" w:styleId="42">
    <w:name w:val="标题 1 Char"/>
    <w:link w:val="2"/>
    <w:autoRedefine/>
    <w:qFormat/>
    <w:uiPriority w:val="0"/>
    <w:rPr>
      <w:rFonts w:eastAsia="宋体"/>
      <w:b/>
      <w:bCs/>
      <w:sz w:val="32"/>
      <w:szCs w:val="32"/>
      <w:lang w:val="en-US" w:eastAsia="zh-CN" w:bidi="ar-SA"/>
    </w:rPr>
  </w:style>
  <w:style w:type="character" w:customStyle="1" w:styleId="43">
    <w:name w:val="标题 3 Char"/>
    <w:link w:val="4"/>
    <w:autoRedefine/>
    <w:qFormat/>
    <w:uiPriority w:val="0"/>
    <w:rPr>
      <w:rFonts w:ascii="黑体" w:hAnsi="黑体" w:eastAsia="黑体"/>
      <w:b/>
      <w:bCs/>
      <w:kern w:val="2"/>
      <w:sz w:val="24"/>
      <w:szCs w:val="28"/>
      <w:lang w:val="en-US" w:eastAsia="zh-CN" w:bidi="ar-SA"/>
    </w:rPr>
  </w:style>
  <w:style w:type="character" w:customStyle="1" w:styleId="44">
    <w:name w:val="页脚 Char"/>
    <w:link w:val="16"/>
    <w:autoRedefine/>
    <w:qFormat/>
    <w:uiPriority w:val="0"/>
    <w:rPr>
      <w:rFonts w:eastAsia="宋体"/>
      <w:kern w:val="2"/>
      <w:sz w:val="18"/>
      <w:lang w:val="en-US" w:eastAsia="zh-CN" w:bidi="ar-SA"/>
    </w:rPr>
  </w:style>
  <w:style w:type="character" w:customStyle="1" w:styleId="45">
    <w:name w:val="font01"/>
    <w:autoRedefine/>
    <w:qFormat/>
    <w:uiPriority w:val="0"/>
    <w:rPr>
      <w:rFonts w:hint="eastAsia" w:ascii="宋体" w:hAnsi="宋体" w:eastAsia="宋体" w:cs="宋体"/>
      <w:color w:val="000000"/>
      <w:sz w:val="28"/>
      <w:szCs w:val="28"/>
      <w:u w:val="none"/>
    </w:rPr>
  </w:style>
  <w:style w:type="character" w:customStyle="1" w:styleId="46">
    <w:name w:val="标题 2 Char"/>
    <w:basedOn w:val="27"/>
    <w:link w:val="3"/>
    <w:autoRedefine/>
    <w:qFormat/>
    <w:uiPriority w:val="0"/>
    <w:rPr>
      <w:rFonts w:hint="default" w:ascii="Arial" w:hAnsi="Arial" w:eastAsia="宋体" w:cs="Arial"/>
      <w:b/>
      <w:sz w:val="24"/>
      <w:szCs w:val="32"/>
    </w:rPr>
  </w:style>
  <w:style w:type="character" w:customStyle="1" w:styleId="47">
    <w:name w:val="文档结构图 Char"/>
    <w:link w:val="6"/>
    <w:autoRedefine/>
    <w:qFormat/>
    <w:uiPriority w:val="0"/>
    <w:rPr>
      <w:rFonts w:ascii="宋体"/>
      <w:kern w:val="2"/>
      <w:sz w:val="18"/>
      <w:szCs w:val="18"/>
    </w:rPr>
  </w:style>
  <w:style w:type="character" w:customStyle="1" w:styleId="48">
    <w:name w:val="正文文本 3 Char"/>
    <w:link w:val="8"/>
    <w:autoRedefine/>
    <w:qFormat/>
    <w:uiPriority w:val="0"/>
    <w:rPr>
      <w:rFonts w:ascii="宋体" w:eastAsia="宋体"/>
      <w:kern w:val="2"/>
      <w:sz w:val="24"/>
      <w:lang w:val="en-US" w:eastAsia="zh-CN" w:bidi="ar-SA"/>
    </w:rPr>
  </w:style>
  <w:style w:type="character" w:customStyle="1" w:styleId="49">
    <w:name w:val="Body text (2) + 8.5 pt"/>
    <w:basedOn w:val="50"/>
    <w:autoRedefine/>
    <w:qFormat/>
    <w:uiPriority w:val="99"/>
    <w:rPr>
      <w:sz w:val="17"/>
      <w:szCs w:val="17"/>
    </w:rPr>
  </w:style>
  <w:style w:type="character" w:customStyle="1" w:styleId="50">
    <w:name w:val="Body text (2)_"/>
    <w:basedOn w:val="27"/>
    <w:link w:val="51"/>
    <w:autoRedefine/>
    <w:qFormat/>
    <w:locked/>
    <w:uiPriority w:val="99"/>
    <w:rPr>
      <w:rFonts w:ascii="MingLiU" w:eastAsia="MingLiU" w:cs="MingLiU"/>
      <w:sz w:val="20"/>
    </w:rPr>
  </w:style>
  <w:style w:type="paragraph" w:customStyle="1" w:styleId="51">
    <w:name w:val="Body text (2)1"/>
    <w:basedOn w:val="1"/>
    <w:link w:val="50"/>
    <w:autoRedefine/>
    <w:qFormat/>
    <w:uiPriority w:val="99"/>
    <w:pPr>
      <w:shd w:val="clear" w:color="auto" w:fill="FFFFFF"/>
      <w:spacing w:before="480" w:after="480" w:line="436" w:lineRule="exact"/>
      <w:jc w:val="center"/>
    </w:pPr>
    <w:rPr>
      <w:rFonts w:ascii="MingLiU" w:eastAsia="MingLiU" w:cs="MingLiU"/>
      <w:sz w:val="20"/>
    </w:rPr>
  </w:style>
  <w:style w:type="paragraph" w:customStyle="1" w:styleId="52">
    <w:name w:val="Heading 3_0"/>
    <w:basedOn w:val="53"/>
    <w:next w:val="53"/>
    <w:autoRedefine/>
    <w:qFormat/>
    <w:uiPriority w:val="0"/>
    <w:pPr>
      <w:keepNext/>
      <w:keepLines/>
      <w:spacing w:after="0" w:line="360" w:lineRule="auto"/>
      <w:outlineLvl w:val="2"/>
    </w:pPr>
    <w:rPr>
      <w:b/>
      <w:bCs/>
      <w:sz w:val="24"/>
      <w:szCs w:val="32"/>
    </w:rPr>
  </w:style>
  <w:style w:type="paragraph" w:customStyle="1" w:styleId="53">
    <w:name w:val="Normal_0"/>
    <w:autoRedefine/>
    <w:qFormat/>
    <w:uiPriority w:val="0"/>
    <w:pPr>
      <w:widowControl w:val="0"/>
      <w:spacing w:after="0" w:line="240" w:lineRule="auto"/>
      <w:jc w:val="both"/>
    </w:pPr>
    <w:rPr>
      <w:rFonts w:ascii="Times New Roman" w:hAnsi="Times New Roman" w:eastAsia="宋体" w:cs="Times New Roman"/>
      <w:kern w:val="2"/>
      <w:sz w:val="21"/>
      <w:szCs w:val="24"/>
    </w:rPr>
  </w:style>
  <w:style w:type="paragraph" w:customStyle="1" w:styleId="54">
    <w:name w:val="Heading 4_0"/>
    <w:basedOn w:val="53"/>
    <w:next w:val="53"/>
    <w:autoRedefine/>
    <w:qFormat/>
    <w:uiPriority w:val="0"/>
    <w:pPr>
      <w:keepNext/>
      <w:keepLines/>
      <w:spacing w:after="0" w:line="360" w:lineRule="auto"/>
      <w:outlineLvl w:val="3"/>
    </w:pPr>
    <w:rPr>
      <w:rFonts w:ascii="Arial" w:hAnsi="Arial"/>
      <w:b/>
      <w:bCs/>
      <w:szCs w:val="28"/>
    </w:rPr>
  </w:style>
  <w:style w:type="paragraph" w:customStyle="1" w:styleId="55">
    <w:name w:val="Footer_0"/>
    <w:basedOn w:val="53"/>
    <w:autoRedefine/>
    <w:qFormat/>
    <w:uiPriority w:val="0"/>
    <w:pPr>
      <w:tabs>
        <w:tab w:val="center" w:pos="4153"/>
        <w:tab w:val="right" w:pos="8306"/>
      </w:tabs>
      <w:snapToGrid w:val="0"/>
      <w:spacing w:after="0" w:line="240" w:lineRule="auto"/>
      <w:jc w:val="left"/>
    </w:pPr>
    <w:rPr>
      <w:sz w:val="18"/>
      <w:szCs w:val="18"/>
    </w:rPr>
  </w:style>
  <w:style w:type="paragraph" w:styleId="56">
    <w:name w:val="List Paragraph"/>
    <w:basedOn w:val="1"/>
    <w:autoRedefine/>
    <w:qFormat/>
    <w:uiPriority w:val="26"/>
    <w:pPr>
      <w:spacing w:before="160"/>
      <w:ind w:left="292" w:firstLine="480"/>
    </w:pPr>
  </w:style>
  <w:style w:type="paragraph" w:customStyle="1" w:styleId="57">
    <w:name w:val="规划正文"/>
    <w:basedOn w:val="1"/>
    <w:autoRedefine/>
    <w:qFormat/>
    <w:uiPriority w:val="0"/>
    <w:pPr>
      <w:widowControl/>
      <w:spacing w:line="360" w:lineRule="auto"/>
      <w:ind w:firstLine="200" w:firstLineChars="200"/>
      <w:jc w:val="left"/>
    </w:pPr>
    <w:rPr>
      <w:kern w:val="0"/>
      <w:sz w:val="28"/>
      <w:szCs w:val="28"/>
    </w:rPr>
  </w:style>
  <w:style w:type="paragraph" w:customStyle="1" w:styleId="58">
    <w:name w:val="Table Paragraph"/>
    <w:basedOn w:val="1"/>
    <w:autoRedefine/>
    <w:unhideWhenUsed/>
    <w:qFormat/>
    <w:uiPriority w:val="1"/>
    <w:rPr>
      <w:sz w:val="24"/>
    </w:rPr>
  </w:style>
  <w:style w:type="paragraph" w:customStyle="1" w:styleId="59">
    <w:name w:val="List Paragraph1"/>
    <w:basedOn w:val="1"/>
    <w:autoRedefine/>
    <w:qFormat/>
    <w:uiPriority w:val="0"/>
    <w:pPr>
      <w:ind w:firstLine="420" w:firstLineChars="200"/>
    </w:pPr>
    <w:rPr>
      <w:position w:val="-6"/>
    </w:rPr>
  </w:style>
  <w:style w:type="paragraph" w:customStyle="1" w:styleId="60">
    <w:name w:val="一级条标题"/>
    <w:next w:val="1"/>
    <w:autoRedefine/>
    <w:qFormat/>
    <w:uiPriority w:val="0"/>
    <w:pPr>
      <w:spacing w:beforeLines="50" w:afterLines="50"/>
      <w:ind w:left="1069" w:hanging="450"/>
      <w:outlineLvl w:val="2"/>
    </w:pPr>
    <w:rPr>
      <w:rFonts w:ascii="黑体" w:hAnsi="Times New Roman" w:eastAsia="黑体" w:cs="Times New Roman"/>
      <w:szCs w:val="21"/>
      <w:lang w:val="en-US" w:eastAsia="zh-CN" w:bidi="ar-SA"/>
    </w:rPr>
  </w:style>
  <w:style w:type="table" w:customStyle="1" w:styleId="6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Users\529955951\Image\JO@UVV5%25252525252525252525252525252525252525252525252525252525252525252525252525252525252525252525252525252525252525252525252525252525252525252525252525252560@0QG4X26ZXIC~RS.jpg" TargetMode="External"/><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5fe6657a-4cf1-4c51-af69-acaee29493cf</errorID>
      <errorWord>二O二六</errorWord>
      <group>L1_Knowledge</group>
      <groupName>知识性问题</groupName>
      <ability>L2_Knowledge</ability>
      <abilityName>其他知识</abilityName>
      <candidateList>
        <item>二〇二六</item>
      </candidateList>
      <explain/>
      <paraID>1592A828</paraID>
      <start>8</start>
      <end>12</end>
      <status>modified</status>
      <modifiedWord>二〇二六</modifiedWord>
      <trackRevisions>false</trackRevisions>
    </reviewItem>
    <reviewItem>
      <errorID>706a0905-eaa8-4d09-a8b8-2ea0d4da24da</errorID>
      <errorWord>2026年05月25日</errorWord>
      <group>L1_Knowledge</group>
      <groupName>知识性问题</groupName>
      <ability>L2_Time</ability>
      <abilityName>日期时间</abilityName>
      <candidateList>
        <item>2026年5月25日</item>
      </candidateList>
      <explain>根据日常书写习惯，月份一般会省略前导零。</explain>
      <paraID> 3BF6772</paraID>
      <start>63</start>
      <end>73</end>
      <status>modified</status>
      <modifiedWord>2026年5月25日</modifiedWord>
      <trackRevisions>false</trackRevisions>
    </reviewItem>
    <reviewItem>
      <errorID>ae9bfe06-7bee-48f9-bb36-e9d063490e6f</errorID>
      <errorWord>下午14点30</errorWord>
      <group>L1_Knowledge</group>
      <groupName>知识性问题</groupName>
      <ability>L2_Time</ability>
      <abilityName>日期时间</abilityName>
      <candidateList>
        <item>14点30</item>
      </candidateList>
      <explain>24小时制的时间，不需要强调“下午”。</explain>
      <paraID> 3BF6772</paraID>
      <start>73</start>
      <end>78</end>
      <status>modified</status>
      <modifiedWord>14点30</modifiedWord>
      <trackRevisions>false</trackRevisions>
    </reviewItem>
    <reviewItem>
      <errorID>6ef62c79-563c-47e7-ae8a-2d1b419ec836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12190330</paraID>
      <start>21</start>
      <end>23</end>
      <status>modified</status>
      <modifiedWord>》《</modifiedWord>
      <trackRevisions>false</trackRevisions>
    </reviewItem>
    <reviewItem>
      <errorID>417c2ece-0c13-40dd-b2b1-d391977462b3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6094D6D9</paraID>
      <start>0</start>
      <end>2</end>
      <status>modified</status>
      <modifiedWord>3.</modifiedWord>
      <trackRevisions>false</trackRevisions>
    </reviewItem>
    <reviewItem>
      <errorID>d65d4042-73a2-45ea-a18f-fb60eec1e66f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4668638A</paraID>
      <start>25</start>
      <end>27</end>
      <status>modified</status>
      <modifiedWord>》《</modifiedWord>
      <trackRevisions>false</trackRevisions>
    </reviewItem>
    <reviewItem>
      <errorID>59e69ae4-209b-452d-9247-141562268d27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4668638A</paraID>
      <start>43</start>
      <end>45</end>
      <status>modified</status>
      <modifiedWord>》《</modifiedWord>
      <trackRevisions>false</trackRevisions>
    </reviewItem>
    <reviewItem>
      <errorID>fd9d9d49-af53-4e6f-b095-1eed17443a3b</errorID>
      <errorWord>管理办法》中</errorWord>
      <group>L1_Word</group>
      <groupName>字词问题</groupName>
      <ability>L2_Typo</ability>
      <abilityName>字词错误</abilityName>
      <candidateList>
        <item>管理办法》</item>
      </candidateList>
      <explain/>
      <paraID>4668638A</paraID>
      <start>60</start>
      <end>65</end>
      <status>modified</status>
      <modifiedWord>管理办法》</modifiedWord>
      <trackRevisions>false</trackRevisions>
    </reviewItem>
    <reviewItem>
      <errorID>59103c22-f3f0-4f00-a407-91d28323069f</errorID>
      <errorWord>(</errorWord>
      <group>L1_Format</group>
      <groupName>格式问题</groupName>
      <ability>L2_HalfPunc</ability>
      <abilityName>全半角检查</abilityName>
      <candidateList>
        <item>（</item>
      </candidateList>
      <explain>文本全半角错误。</explain>
      <paraID>362760F9</paraID>
      <start>18</start>
      <end>19</end>
      <status>modified</status>
      <modifiedWord>（</modifiedWord>
      <trackRevisions>false</trackRevisions>
    </reviewItem>
    <reviewItem>
      <errorID>571608ec-32ef-4cb4-93a9-ffc63aff3d7b</errorID>
      <errorWord>)</errorWord>
      <group>L1_Format</group>
      <groupName>格式问题</groupName>
      <ability>L2_HalfPunc</ability>
      <abilityName>全半角检查</abilityName>
      <candidateList>
        <item>）</item>
      </candidateList>
      <explain>文本全半角错误。</explain>
      <paraID>362760F9</paraID>
      <start>32</start>
      <end>33</end>
      <status>modified</status>
      <modifiedWord>）</modifiedWord>
      <trackRevisions>false</trackRevisions>
    </reviewItem>
    <reviewItem>
      <errorID>e0a1d6ac-8881-4aba-9c32-e257be3fe337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372BA55E</paraID>
      <start>0</start>
      <end>2</end>
      <status>modified</status>
      <modifiedWord>4.</modifiedWord>
      <trackRevisions>false</trackRevisions>
    </reviewItem>
    <reviewItem>
      <errorID>95d32906-4da6-4649-be40-4fdae2c323b1</errorID>
      <errorWord>2025年05月13日</errorWord>
      <group>L1_Knowledge</group>
      <groupName>知识性问题</groupName>
      <ability>L2_Time</ability>
      <abilityName>日期时间</abilityName>
      <candidateList>
        <item>2025年5月13日</item>
      </candidateList>
      <explain>根据日常书写习惯，月份一般会省略前导零。</explain>
      <paraID>78A7F20D</paraID>
      <start>6</start>
      <end>16</end>
      <status>modified</status>
      <modifiedWord>2025年5月13日</modifiedWord>
      <trackRevisions>false</trackRevisions>
    </reviewItem>
    <reviewItem>
      <errorID>9d91b8ca-79e6-430b-bb11-ecfdc95f0c1b</errorID>
      <errorWord>2024年05月23日</errorWord>
      <group>L1_Knowledge</group>
      <groupName>知识性问题</groupName>
      <ability>L2_Time</ability>
      <abilityName>日期时间</abilityName>
      <candidateList>
        <item>2024年5月23日</item>
      </candidateList>
      <explain>根据日常书写习惯，月份一般会省略前导零。</explain>
      <paraID>78A7F20D</paraID>
      <start>23</start>
      <end>33</end>
      <status>modified</status>
      <modifiedWord>2024年5月23日</modifiedWord>
      <trackRevisions>false</trackRevisions>
    </reviewItem>
    <reviewItem>
      <errorID>b7d78759-0304-4efd-ac7a-7fbb5bcc7d00</errorID>
      <errorWord>)</errorWord>
      <group>L1_Format</group>
      <groupName>格式问题</groupName>
      <ability>L2_HalfPunc</ability>
      <abilityName>全半角检查</abilityName>
      <candidateList>
        <item>）</item>
      </candidateList>
      <explain>文本全半角错误。</explain>
      <paraID> D5A14A4</paraID>
      <start>36</start>
      <end>37</end>
      <status>modified</status>
      <modifiedWord>）</modifiedWord>
      <trackRevisions>false</trackRevisions>
    </reviewItem>
    <reviewItem>
      <errorID>1252f8aa-d9c7-44a1-9544-e734e611a3e1</errorID>
      <errorWord>-</errorWord>
      <group>L1_Format</group>
      <groupName>格式问题</groupName>
      <ability>L2_HalfPunc</ability>
      <abilityName>全半角检查</abilityName>
      <candidateList>
        <item>－</item>
      </candidateList>
      <explain>文本全半角错误。</explain>
      <paraID> D5A14A4</paraID>
      <start>50</start>
      <end>51</end>
      <status>modified</status>
      <modifiedWord>－</modifiedWord>
      <trackRevisions>false</trackRevisions>
    </reviewItem>
    <reviewItem>
      <errorID>fbf38d1a-b39b-48e2-bdbe-5d6615c0f77e</errorID>
      <errorWord>-</errorWord>
      <group>L1_Format</group>
      <groupName>格式问题</groupName>
      <ability>L2_HalfPunc</ability>
      <abilityName>全半角检查</abilityName>
      <candidateList>
        <item>－</item>
      </candidateList>
      <explain>文本全半角错误。</explain>
      <paraID> D5A14A4</paraID>
      <start>55</start>
      <end>56</end>
      <status>modified</status>
      <modifiedWord>－</modifiedWord>
      <trackRevisions>false</trackRevisions>
    </reviewItem>
    <reviewItem>
      <errorID>9c2cf3e2-04cb-4cfc-9eff-575db0e3d3e1</errorID>
      <errorWord>-</errorWord>
      <group>L1_Format</group>
      <groupName>格式问题</groupName>
      <ability>L2_HalfPunc</ability>
      <abilityName>全半角检查</abilityName>
      <candidateList>
        <item>－</item>
      </candidateList>
      <explain>文本全半角错误。</explain>
      <paraID> D5A14A4</paraID>
      <start>62</start>
      <end>63</end>
      <status>modified</status>
      <modifiedWord>－</modifiedWord>
      <trackRevisions>false</trackRevisions>
    </reviewItem>
    <reviewItem>
      <errorID>9b617770-5edc-4195-885c-baff414e183a</errorID>
      <errorWord>-</errorWord>
      <group>L1_Format</group>
      <groupName>格式问题</groupName>
      <ability>L2_HalfPunc</ability>
      <abilityName>全半角检查</abilityName>
      <candidateList>
        <item>－</item>
      </candidateList>
      <explain>文本全半角错误。</explain>
      <paraID> D5A14A4</paraID>
      <start>68</start>
      <end>69</end>
      <status>modified</status>
      <modifiedWord>－</modifiedWord>
      <trackRevisions>false</trackRevisions>
    </reviewItem>
    <reviewItem>
      <errorID>02176659-5d7d-4160-9371-744979ae9b9e</errorID>
      <errorWord>(</errorWord>
      <group>L1_Format</group>
      <groupName>格式问题</groupName>
      <ability>L2_HalfPunc</ability>
      <abilityName>全半角检查</abilityName>
      <candidateList>
        <item>（</item>
      </candidateList>
      <explain>文本全半角错误。</explain>
      <paraID>453D10E2</paraID>
      <start>45</start>
      <end>46</end>
      <status>modified</status>
      <modifiedWord>（</modifiedWord>
      <trackRevisions>false</trackRevisions>
    </reviewItem>
    <reviewItem>
      <errorID>07effd19-c7b7-418c-9eb9-a8b1091c7254</errorID>
      <errorWord>)</errorWord>
      <group>L1_Format</group>
      <groupName>格式问题</groupName>
      <ability>L2_HalfPunc</ability>
      <abilityName>全半角检查</abilityName>
      <candidateList>
        <item>）</item>
      </candidateList>
      <explain>文本全半角错误。</explain>
      <paraID>453D10E2</paraID>
      <start>66</start>
      <end>67</end>
      <status>modified</status>
      <modifiedWord>）</modifiedWord>
      <trackRevisions>false</trackRevisions>
    </reviewItem>
    <reviewItem>
      <errorID>78fdd145-090a-4247-a7ea-d533ac9956fe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382E6B93</paraID>
      <start>0</start>
      <end>2</end>
      <status>modified</status>
      <modifiedWord>6.</modifiedWord>
      <trackRevisions>false</trackRevisions>
    </reviewItem>
    <reviewItem>
      <errorID>3423f4c2-46f9-49df-b7b3-fbd880807cab</errorID>
      <errorWord>2025年05月23日</errorWord>
      <group>L1_Knowledge</group>
      <groupName>知识性问题</groupName>
      <ability>L2_Time</ability>
      <abilityName>日期时间</abilityName>
      <candidateList>
        <item>2025年5月23日</item>
      </candidateList>
      <explain>根据日常书写习惯，月份一般会省略前导零。</explain>
      <paraID>1FF06312</paraID>
      <start>8</start>
      <end>19</end>
      <status>unmodified</status>
      <modifiedWord/>
      <trackRevisions>false</trackRevisions>
    </reviewItem>
    <reviewItem>
      <errorID>f959d639-6933-49ca-9d9f-14c3fb9116f9</errorID>
      <errorWord>)</errorWord>
      <group>L1_Format</group>
      <groupName>格式问题</groupName>
      <ability>L2_HalfPunc</ability>
      <abilityName>全半角检查</abilityName>
      <candidateList>
        <item>）</item>
      </candidateList>
      <explain>文本全半角错误。</explain>
      <paraID>5ED222D5</paraID>
      <start>36</start>
      <end>37</end>
      <status>modified</status>
      <modifiedWord>）</modifiedWord>
      <trackRevisions>false</trackRevisions>
    </reviewItem>
    <reviewItem>
      <errorID>4002f33f-f21d-44e9-bf1b-8c805334c079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4D01A7CF</paraID>
      <start>0</start>
      <end>2</end>
      <status>modified</status>
      <modifiedWord>7.</modifiedWord>
      <trackRevisions>false</trackRevisions>
    </reviewItem>
    <reviewItem>
      <errorID>84a1da08-27f4-4793-bdda-6c66c0a48d8b</errorID>
      <errorWord>2025年05月23日</errorWord>
      <group>L1_Knowledge</group>
      <groupName>知识性问题</groupName>
      <ability>L2_Time</ability>
      <abilityName>日期时间</abilityName>
      <candidateList>
        <item>2025年5月23日</item>
      </candidateList>
      <explain>根据日常书写习惯，月份一般会省略前导零。</explain>
      <paraID>77EF3717</paraID>
      <start>8</start>
      <end>18</end>
      <status>modified</status>
      <modifiedWord>2025年5月23日</modifiedWord>
      <trackRevisions>false</trackRevisions>
    </reviewItem>
    <reviewItem>
      <errorID>ee67f386-05b9-4cc3-93fc-93b8a735777a</errorID>
      <errorWord>下午14:30</errorWord>
      <group>L1_Knowledge</group>
      <groupName>知识性问题</groupName>
      <ability>L2_Time</ability>
      <abilityName>日期时间</abilityName>
      <candidateList>
        <item>14:30</item>
      </candidateList>
      <explain>24小时制的时间，不需要强调“下午”。</explain>
      <paraID>77EF3717</paraID>
      <start>18</start>
      <end>23</end>
      <status>modified</status>
      <modifiedWord>14:30</modifiedWord>
      <trackRevisions>false</trackRevisions>
    </reviewItem>
    <reviewItem>
      <errorID>8c0a039d-32bc-4b48-a0b5-f6550d60e60d</errorID>
      <errorWord>)</errorWord>
      <group>L1_Format</group>
      <groupName>格式问题</groupName>
      <ability>L2_HalfPunc</ability>
      <abilityName>全半角检查</abilityName>
      <candidateList>
        <item>）</item>
      </candidateList>
      <explain>文本全半角错误。</explain>
      <paraID>3FEF5E33</paraID>
      <start>37</start>
      <end>38</end>
      <status>modified</status>
      <modifiedWord>）</modifiedWord>
      <trackRevisions>false</trackRevisions>
    </reviewItem>
    <reviewItem>
      <errorID>b4c1ef6d-454f-4eab-95e4-a99c673e76ba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4C6355D3</paraID>
      <start>0</start>
      <end>2</end>
      <status>modified</status>
      <modifiedWord>8.</modifiedWord>
      <trackRevisions>false</trackRevisions>
    </reviewItem>
    <reviewItem>
      <errorID>ecab07b0-7220-467c-a1f9-e312ad48f74b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2AD59DAB</paraID>
      <start>0</start>
      <end>2</end>
      <status>modified</status>
      <modifiedWord>9.</modifiedWord>
      <trackRevisions>false</trackRevisions>
    </reviewItem>
    <reviewItem>
      <errorID>9db69d24-666e-4656-ae77-4c1913e7301d</errorID>
      <errorWord>2025年05月12日</errorWord>
      <group>L1_Knowledge</group>
      <groupName>知识性问题</groupName>
      <ability>L2_Time</ability>
      <abilityName>日期时间</abilityName>
      <candidateList>
        <item>2025年5月12日</item>
      </candidateList>
      <explain>根据日常书写习惯，月份一般会省略前导零。</explain>
      <paraID>201C5DCE</paraID>
      <start>0</start>
      <end>10</end>
      <status>modified</status>
      <modifiedWord>2025年5月12日</modifiedWord>
      <trackRevisions>false</trackRevisions>
    </reviewItem>
    <reviewItem>
      <errorID>34c3ea36-b708-454b-a634-db552872843c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61EF169D</paraID>
      <start>11</start>
      <end>13</end>
      <status>modified</status>
      <modifiedWord>》《</modifiedWord>
      <trackRevisions>false</trackRevisions>
    </reviewItem>
    <reviewItem>
      <errorID>03acb147-b9fe-429b-b481-db4c84fec8f3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4CBA4DD1</paraID>
      <start>0</start>
      <end>2</end>
      <status>modified</status>
      <modifiedWord>3.</modifiedWord>
      <trackRevisions>false</trackRevisions>
    </reviewItem>
    <reviewItem>
      <errorID>ef19912e-93d0-480e-8b7b-5e2188c6124b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6E8AD2BB</paraID>
      <start>25</start>
      <end>27</end>
      <status>modified</status>
      <modifiedWord>》《</modifiedWord>
      <trackRevisions>false</trackRevisions>
    </reviewItem>
    <reviewItem>
      <errorID>3fc70b2c-44fc-4cc2-a83f-09202a031bb1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6E8AD2BB</paraID>
      <start>43</start>
      <end>45</end>
      <status>modified</status>
      <modifiedWord>》《</modifiedWord>
      <trackRevisions>false</trackRevisions>
    </reviewItem>
    <reviewItem>
      <errorID>03a9d3af-3be5-4e96-83b8-19c8ffa9a6cb</errorID>
      <errorWord>管理办法》中</errorWord>
      <group>L1_Word</group>
      <groupName>字词问题</groupName>
      <ability>L2_Typo</ability>
      <abilityName>字词错误</abilityName>
      <candidateList>
        <item>管理办法》</item>
      </candidateList>
      <explain/>
      <paraID>6E8AD2BB</paraID>
      <start>60</start>
      <end>66</end>
      <status>unmodified</status>
      <modifiedWord/>
      <trackRevisions>false</trackRevisions>
    </reviewItem>
    <reviewItem>
      <errorID>1a9521b2-1208-4a58-a33a-f60a5d38c63a</errorID>
      <errorWord>(</errorWord>
      <group>L1_Format</group>
      <groupName>格式问题</groupName>
      <ability>L2_HalfPunc</ability>
      <abilityName>全半角检查</abilityName>
      <candidateList>
        <item>（</item>
      </candidateList>
      <explain>文本全半角错误。</explain>
      <paraID>768B82D7</paraID>
      <start>18</start>
      <end>19</end>
      <status>modified</status>
      <modifiedWord>（</modifiedWord>
      <trackRevisions>false</trackRevisions>
    </reviewItem>
    <reviewItem>
      <errorID>21f0f751-2648-460e-9a54-05496d28b6d1</errorID>
      <errorWord>)</errorWord>
      <group>L1_Format</group>
      <groupName>格式问题</groupName>
      <ability>L2_HalfPunc</ability>
      <abilityName>全半角检查</abilityName>
      <candidateList>
        <item>）</item>
      </candidateList>
      <explain>文本全半角错误。</explain>
      <paraID>768B82D7</paraID>
      <start>32</start>
      <end>33</end>
      <status>modified</status>
      <modifiedWord>）</modifiedWord>
      <trackRevisions>false</trackRevisions>
    </reviewItem>
    <reviewItem>
      <errorID>9391ec3f-b9d2-4291-ac45-97f7d1272b58</errorID>
      <errorWord>2025年05月23日</errorWord>
      <group>L1_Knowledge</group>
      <groupName>知识性问题</groupName>
      <ability>L2_Time</ability>
      <abilityName>日期时间</abilityName>
      <candidateList>
        <item>2025年5月23日</item>
      </candidateList>
      <explain>根据日常书写习惯，月份一般会省略前导零。</explain>
      <paraID>7EAD9E11</paraID>
      <start>0</start>
      <end>10</end>
      <status>modified</status>
      <modifiedWord>2025年5月23日</modifiedWord>
      <trackRevisions>false</trackRevisions>
    </reviewItem>
    <reviewItem>
      <errorID>a814b235-4c23-4f36-b0aa-2fad2afccdb7</errorID>
      <errorWord>日</errorWord>
      <group>L1_Word</group>
      <groupName>字词问题</groupName>
      <ability>L2_Typo</ability>
      <abilityName>字词错误</abilityName>
      <candidateList>
        <item>日内</item>
      </candidateList>
      <explain/>
      <paraID>55A311D2</paraID>
      <start>29</start>
      <end>31</end>
      <status>modified</status>
      <modifiedWord>日内</modifiedWord>
      <trackRevisions>false</trackRevisions>
    </reviewItem>
    <reviewItem>
      <errorID>f56fd74b-410a-4479-9960-42b27f8426a4</errorID>
      <errorWord>)</errorWord>
      <group>L1_Format</group>
      <groupName>格式问题</groupName>
      <ability>L2_HalfPunc</ability>
      <abilityName>全半角检查</abilityName>
      <candidateList>
        <item>）</item>
      </candidateList>
      <explain>文本全半角错误。</explain>
      <paraID>1D627B9D</paraID>
      <start>30</start>
      <end>31</end>
      <status>modified</status>
      <modifiedWord>）</modifiedWord>
      <trackRevisions>false</trackRevisions>
    </reviewItem>
    <reviewItem>
      <errorID>692406fa-1de5-4387-a940-4fc0e104d9db</errorID>
      <errorWord>2025年05月23日</errorWord>
      <group>L1_Knowledge</group>
      <groupName>知识性问题</groupName>
      <ability>L2_Time</ability>
      <abilityName>日期时间</abilityName>
      <candidateList>
        <item>2025年5月23日</item>
      </candidateList>
      <explain>根据日常书写习惯，月份一般会省略前导零。</explain>
      <paraID>29A70DBB</paraID>
      <start>5</start>
      <end>15</end>
      <status>modified</status>
      <modifiedWord>2025年5月23日</modifiedWord>
      <trackRevisions>false</trackRevisions>
    </reviewItem>
    <reviewItem>
      <errorID>5796ee9b-6f4a-4066-bb1a-0788068fc8f6</errorID>
      <errorWord>)</errorWord>
      <group>L1_Format</group>
      <groupName>格式问题</groupName>
      <ability>L2_HalfPunc</ability>
      <abilityName>全半角检查</abilityName>
      <candidateList>
        <item>）</item>
      </candidateList>
      <explain>文本全半角错误。</explain>
      <paraID>5B92121E</paraID>
      <start>35</start>
      <end>36</end>
      <status>modified</status>
      <modifiedWord>）</modifiedWord>
      <trackRevisions>false</trackRevisions>
    </reviewItem>
    <reviewItem>
      <errorID>07ae7dd1-5d44-4ee0-829b-8fc1aa8f9474</errorID>
      <errorWord>(</errorWord>
      <group>L1_Format</group>
      <groupName>格式问题</groupName>
      <ability>L2_HalfPunc</ability>
      <abilityName>全半角检查</abilityName>
      <candidateList>
        <item>（</item>
      </candidateList>
      <explain>文本全半角错误。</explain>
      <paraID>1798999F</paraID>
      <start>43</start>
      <end>44</end>
      <status>modified</status>
      <modifiedWord>（</modifiedWord>
      <trackRevisions>false</trackRevisions>
    </reviewItem>
    <reviewItem>
      <errorID>c9ca66b0-117f-4edd-941a-1f7c27b743a6</errorID>
      <errorWord>)</errorWord>
      <group>L1_Format</group>
      <groupName>格式问题</groupName>
      <ability>L2_HalfPunc</ability>
      <abilityName>全半角检查</abilityName>
      <candidateList>
        <item>）</item>
      </candidateList>
      <explain>文本全半角错误。</explain>
      <paraID>1798999F</paraID>
      <start>64</start>
      <end>65</end>
      <status>modified</status>
      <modifiedWord>）</modifiedWord>
      <trackRevisions>false</trackRevisions>
    </reviewItem>
    <reviewItem>
      <errorID>351142a5-2127-464e-861a-1ca459caeefc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7EACEFFF</paraID>
      <start>21</start>
      <end>23</end>
      <status>modified</status>
      <modifiedWord>》《</modifiedWord>
      <trackRevisions>false</trackRevisions>
    </reviewItem>
    <reviewItem>
      <errorID>5300436f-f0c3-4880-87ae-af72c1f64304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7EACEFFF</paraID>
      <start>39</start>
      <end>41</end>
      <status>modified</status>
      <modifiedWord>》《</modifiedWord>
      <trackRevisions>false</trackRevisions>
    </reviewItem>
    <reviewItem>
      <errorID>5d4e2a07-4855-4b97-90a4-e465f5003a20</errorID>
      <errorWord>法律、法规</errorWord>
      <group>L1_Word</group>
      <groupName>字词问题</groupName>
      <ability>L2_Typo</ability>
      <abilityName>字词错误</abilityName>
      <candidateList>
        <item>法律法规</item>
      </candidateList>
      <explain/>
      <paraID>7EACEFFF</paraID>
      <start>62</start>
      <end>66</end>
      <status>modified</status>
      <modifiedWord>法律法规</modifiedWord>
      <trackRevisions>false</trackRevisions>
    </reviewItem>
    <reviewItem>
      <errorID>c62b2b94-6ac9-4d89-b7b6-39a7b579a6c3</errorID>
      <errorWord>(</errorWord>
      <group>L1_Format</group>
      <groupName>格式问题</groupName>
      <ability>L2_HalfPunc</ability>
      <abilityName>全半角检查</abilityName>
      <candidateList>
        <item>（</item>
      </candidateList>
      <explain>文本全半角错误。</explain>
      <paraID>2D839259</paraID>
      <start>41</start>
      <end>42</end>
      <status>modified</status>
      <modifiedWord>（</modifiedWord>
      <trackRevisions>false</trackRevisions>
    </reviewItem>
    <reviewItem>
      <errorID>6030f96f-6ce1-4fd2-973a-a6427cc6988c</errorID>
      <errorWord>)</errorWord>
      <group>L1_Format</group>
      <groupName>格式问题</groupName>
      <ability>L2_HalfPunc</ability>
      <abilityName>全半角检查</abilityName>
      <candidateList>
        <item>）</item>
      </candidateList>
      <explain>文本全半角错误。</explain>
      <paraID>2D839259</paraID>
      <start>69</start>
      <end>70</end>
      <status>modified</status>
      <modifiedWord>）</modifiedWord>
      <trackRevisions>false</trackRevisions>
    </reviewItem>
    <reviewItem>
      <errorID>7461be8d-96e5-4b21-ab0e-374ef97c0d8b</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3453EC51</paraID>
      <start>4</start>
      <end>6</end>
      <status>modified</status>
      <modifiedWord>响应</modifiedWord>
      <trackRevisions>false</trackRevisions>
    </reviewItem>
    <reviewItem>
      <errorID>34c05247-4e4e-4e24-b8bc-9d7a2905de67</errorID>
      <errorWord>相应</errorWord>
      <group>L1_Word</group>
      <groupName>字词问题</groupName>
      <ability>L2_Typo</ability>
      <abilityName>字词错误</abilityName>
      <candidateList>
        <item>响应</item>
      </candidateList>
      <explain>存在发音相同字词的误用。</explain>
      <paraID> ADBD864</paraID>
      <start>7</start>
      <end>9</end>
      <status>modified</status>
      <modifiedWord>响应</modifiedWord>
      <trackRevisions>false</trackRevisions>
    </reviewItem>
    <reviewItem>
      <errorID>cc9a4e56-1ccd-4fc5-96d3-ab74ae61f6d5</errorID>
      <errorWord>（</errorWord>
      <group>L1_Punc</group>
      <groupName>标点问题</groupName>
      <ability>L2_Punc</ability>
      <abilityName>标点符号检查</abilityName>
      <candidateList/>
      <explain>同一形式括号套用。</explain>
      <paraID>542DB47F</paraID>
      <start>40</start>
      <end>41</end>
      <status>ignored</status>
      <modifiedWord/>
      <trackRevisions>false</trackRevisions>
    </reviewItem>
    <reviewItem>
      <errorID>9fa95720-7350-4e51-8849-d8d0ec16b795</errorID>
      <errorWord>）</errorWord>
      <group>L1_Punc</group>
      <groupName>标点问题</groupName>
      <ability>L2_Punc</ability>
      <abilityName>标点符号检查</abilityName>
      <candidateList/>
      <explain>同一形式括号套用。</explain>
      <paraID>542DB47F</paraID>
      <start>44</start>
      <end>45</end>
      <status>ignored</status>
      <modifiedWord/>
      <trackRevisions>false</trackRevisions>
    </reviewItem>
    <reviewItem>
      <errorID>f23ed4d1-6baf-45cc-970d-ea9cc164f1ea</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5A188CDF</paraID>
      <start>19</start>
      <end>21</end>
      <status>modified</status>
      <modifiedWord>响应</modifiedWord>
      <trackRevisions>false</trackRevisions>
    </reviewItem>
    <reviewItem>
      <errorID>ac503e68-a041-4fbc-a8c7-414963e07c6c</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5F6C2709</paraID>
      <start>7</start>
      <end>9</end>
      <status>modified</status>
      <modifiedWord>响应</modifiedWord>
      <trackRevisions>false</trackRevisions>
    </reviewItem>
    <reviewItem>
      <errorID>79332ad8-9545-4371-a82c-9101e035e305</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6C3AB5AA</paraID>
      <start>26</start>
      <end>28</end>
      <status>modified</status>
      <modifiedWord>响应</modifiedWord>
      <trackRevisions>false</trackRevisions>
    </reviewItem>
    <reviewItem>
      <errorID>650f3b59-d8bd-4574-8166-fbb9834fdd34</errorID>
      <errorWord>有</errorWord>
      <group>L1_Word</group>
      <groupName>字词问题</groupName>
      <ability>L2_Typo</ability>
      <abilityName>字词错误</abilityName>
      <candidateList>
        <item>由</item>
      </candidateList>
      <explain>存在发音相同字词的误用。</explain>
      <paraID> BB59893</paraID>
      <start>0</start>
      <end>1</end>
      <status>modified</status>
      <modifiedWord>由</modifiedWord>
      <trackRevisions>false</trackRevisions>
    </reviewItem>
    <reviewItem>
      <errorID>b11bdb19-905c-4209-8750-6d584a5b980d</errorID>
      <errorWord>位</errorWord>
      <group>L1_Word</group>
      <groupName>字词问题</groupName>
      <ability>L2_Typo</ability>
      <abilityName>字词错误</abilityName>
      <candidateList>
        <item>位公</item>
      </candidateList>
      <explain/>
      <paraID> BB59893</paraID>
      <start>25</start>
      <end>27</end>
      <status>modified</status>
      <modifiedWord>位公</modifiedWord>
      <trackRevisions>false</trackRevisions>
    </reviewItem>
    <reviewItem>
      <errorID>102fb1d5-48a7-4229-a461-289643721058</errorID>
      <errorWord>(</errorWord>
      <group>L1_Format</group>
      <groupName>格式问题</groupName>
      <ability>L2_HalfPunc</ability>
      <abilityName>全半角检查</abilityName>
      <candidateList>
        <item>（</item>
      </candidateList>
      <explain>文本全半角错误。</explain>
      <paraID>3F2E4740</paraID>
      <start>18</start>
      <end>19</end>
      <status>modified</status>
      <modifiedWord>（</modifiedWord>
      <trackRevisions>false</trackRevisions>
    </reviewItem>
    <reviewItem>
      <errorID>40334d33-7ee9-4cf6-bbbd-9f5d01a841aa</errorID>
      <errorWord>)</errorWord>
      <group>L1_Format</group>
      <groupName>格式问题</groupName>
      <ability>L2_HalfPunc</ability>
      <abilityName>全半角检查</abilityName>
      <candidateList>
        <item>）</item>
      </candidateList>
      <explain>文本全半角错误。</explain>
      <paraID>3F2E4740</paraID>
      <start>32</start>
      <end>33</end>
      <status>modified</status>
      <modifiedWord>）</modifiedWord>
      <trackRevisions>false</trackRevisions>
    </reviewItem>
    <reviewItem>
      <errorID>b8e46f4c-f501-4793-9f9f-5231a9535bcc</errorID>
      <errorWord>(</errorWord>
      <group>L1_Format</group>
      <groupName>格式问题</groupName>
      <ability>L2_HalfPunc</ability>
      <abilityName>全半角检查</abilityName>
      <candidateList>
        <item>（</item>
      </candidateList>
      <explain>文本全半角错误。</explain>
      <paraID>2938FD06</paraID>
      <start>43</start>
      <end>44</end>
      <status>modified</status>
      <modifiedWord>（</modifiedWord>
      <trackRevisions>false</trackRevisions>
    </reviewItem>
    <reviewItem>
      <errorID>82155d0f-9453-4b3a-b792-b53ea40d9655</errorID>
      <errorWord>)</errorWord>
      <group>L1_Format</group>
      <groupName>格式问题</groupName>
      <ability>L2_HalfPunc</ability>
      <abilityName>全半角检查</abilityName>
      <candidateList>
        <item>）</item>
      </candidateList>
      <explain>文本全半角错误。</explain>
      <paraID>2938FD06</paraID>
      <start>64</start>
      <end>65</end>
      <status>modified</status>
      <modifiedWord>）</modifiedWord>
      <trackRevisions>false</trackRevisions>
    </reviewItem>
    <reviewItem>
      <errorID>46ccec96-95ae-40f7-bd90-bd6ad74575e9</errorID>
      <errorWord>其它</errorWord>
      <group>L1_Word</group>
      <groupName>字词问题</groupName>
      <ability>L2_Alias</ability>
      <abilityName>也作/曾用词</abilityName>
      <candidateList>
        <item>其他</item>
      </candidateList>
      <explain>词汇[其它]为不规范表述或旧称，其规范书面表述为[其他]。</explain>
      <paraID>67EACB66</paraID>
      <start>39</start>
      <end>41</end>
      <status>modified</status>
      <modifiedWord>其他</modifiedWord>
      <trackRevisions>false</trackRevisions>
    </reviewItem>
    <reviewItem>
      <errorID>3229dbc5-1d03-479a-a744-21123df41de6</errorID>
      <errorWord>:</errorWord>
      <group>L1_Format</group>
      <groupName>格式问题</groupName>
      <ability>L2_HalfPunc</ability>
      <abilityName>全半角检查</abilityName>
      <candidateList>
        <item>：</item>
      </candidateList>
      <explain>文本全半角错误。</explain>
      <paraID> 58C1F18</paraID>
      <start>1</start>
      <end>2</end>
      <status>modified</status>
      <modifiedWord>：</modifiedWord>
      <trackRevisions>false</trackRevisions>
    </reviewItem>
    <reviewItem>
      <errorID>e91f9482-5c94-4392-9621-68e42807ca7d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59ECF6FD</paraID>
      <start>8</start>
      <end>9</end>
      <status>modified</status>
      <modifiedWord>—</modifiedWord>
      <trackRevisions>false</trackRevisions>
    </reviewItem>
    <reviewItem>
      <errorID>2f839e20-27d6-4198-9abc-43487c4c509c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698D6817</paraID>
      <start>7</start>
      <end>8</end>
      <status>modified</status>
      <modifiedWord>—</modifiedWord>
      <trackRevisions>false</trackRevisions>
    </reviewItem>
    <reviewItem>
      <errorID>79c083cd-5e28-4212-a68d-3a6078c5b824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72DFECD0</paraID>
      <start>7</start>
      <end>8</end>
      <status>modified</status>
      <modifiedWord>—</modifiedWord>
      <trackRevisions>false</trackRevisions>
    </reviewItem>
    <reviewItem>
      <errorID>4e5a764d-4f11-428c-a736-aeb6c5e78747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48FB366F</paraID>
      <start>8</start>
      <end>9</end>
      <status>modified</status>
      <modifiedWord>—</modifiedWord>
      <trackRevisions>false</trackRevisions>
    </reviewItem>
    <reviewItem>
      <errorID>dd041e10-8341-43be-9369-3bad932a165c</errorID>
      <errorWord>,</errorWord>
      <group>L1_Format</group>
      <groupName>格式问题</groupName>
      <ability>L2_HalfPunc</ability>
      <abilityName>全半角检查</abilityName>
      <candidateList>
        <item>，</item>
      </candidateList>
      <explain>文本全半角错误。</explain>
      <paraID>48FB366F</paraID>
      <start>55</start>
      <end>56</end>
      <status>modified</status>
      <modifiedWord>，</modifiedWord>
      <trackRevisions>false</trackRevisions>
    </reviewItem>
    <reviewItem>
      <errorID>548fa167-8842-430a-93cd-2ae53b8d78f5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8978224</paraID>
      <start>7</start>
      <end>8</end>
      <status>modified</status>
      <modifiedWord>—</modifiedWord>
      <trackRevisions>false</trackRevisions>
    </reviewItem>
    <reviewItem>
      <errorID>281682aa-ef8e-40e8-bf00-1d15d76f80f1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3D7BD47F</paraID>
      <start>7</start>
      <end>8</end>
      <status>modified</status>
      <modifiedWord>—</modifiedWord>
      <trackRevisions>false</trackRevisions>
    </reviewItem>
    <reviewItem>
      <errorID>436d26be-c240-4c2e-9d80-5be1132d9e51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5708A12E</paraID>
      <start>8</start>
      <end>9</end>
      <status>modified</status>
      <modifiedWord>—</modifiedWord>
      <trackRevisions>false</trackRevisions>
    </reviewItem>
    <reviewItem>
      <errorID>26c08a85-cb7a-4816-b169-a28ab5b9a084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1CBF0AB5</paraID>
      <start>7</start>
      <end>8</end>
      <status>modified</status>
      <modifiedWord>—</modifiedWord>
      <trackRevisions>false</trackRevisions>
    </reviewItem>
    <reviewItem>
      <errorID>8c282374-8eb7-491f-aca3-dc8511cf46be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524A5EC9</paraID>
      <start>7</start>
      <end>8</end>
      <status>modified</status>
      <modifiedWord>—</modifiedWord>
      <trackRevisions>false</trackRevisions>
    </reviewItem>
    <reviewItem>
      <errorID>2f720d1a-0b0c-4cc7-9670-acdb847e87b6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3DE573F6</paraID>
      <start>7</start>
      <end>8</end>
      <status>modified</status>
      <modifiedWord>—</modifiedWord>
      <trackRevisions>false</trackRevisions>
    </reviewItem>
    <reviewItem>
      <errorID>61eab769-d4f8-4c12-8ef3-12ff3968af3b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14AA712A</paraID>
      <start>7</start>
      <end>8</end>
      <status>modified</status>
      <modifiedWord>—</modifiedWord>
      <trackRevisions>false</trackRevisions>
    </reviewItem>
    <reviewItem>
      <errorID>0adc2808-733b-4527-90ae-230fdf6eadb8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692FADB0</paraID>
      <start>7</start>
      <end>8</end>
      <status>modified</status>
      <modifiedWord>—</modifiedWord>
      <trackRevisions>false</trackRevisions>
    </reviewItem>
    <reviewItem>
      <errorID>f83438e3-f642-43eb-bc4e-afc1f56c34a7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4D3D982</paraID>
      <start>7</start>
      <end>8</end>
      <status>modified</status>
      <modifiedWord>—</modifiedWord>
      <trackRevisions>false</trackRevisions>
    </reviewItem>
    <reviewItem>
      <errorID>96f33c25-7843-4689-bd59-8b12bb7afaa1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F8A2EC9</paraID>
      <start>7</start>
      <end>8</end>
      <status>modified</status>
      <modifiedWord>—</modifiedWord>
      <trackRevisions>false</trackRevisions>
    </reviewItem>
    <reviewItem>
      <errorID>5b88c9f2-06bb-457a-803d-b0c78c898355</errorID>
      <errorWord>指</errorWord>
      <group>L1_Word</group>
      <groupName>字词问题</groupName>
      <ability>L2_Typo</ability>
      <abilityName>字词错误</abilityName>
      <candidateList>
        <item>指在</item>
      </candidateList>
      <explain/>
      <paraID>1991CF55</paraID>
      <start>19</start>
      <end>21</end>
      <status>modified</status>
      <modifiedWord>指在</modifiedWord>
      <trackRevisions>false</trackRevisions>
    </reviewItem>
    <reviewItem>
      <errorID>0b6317a8-217b-437f-b1ba-fe9063b8c28f</errorID>
      <errorWord>，</errorWord>
      <group>L1_Word</group>
      <groupName>字词问题</groupName>
      <ability>L2_Typo</ability>
      <abilityName>字词错误</abilityName>
      <candidateList>
        <item>，在</item>
      </candidateList>
      <explain/>
      <paraID>56EA3BC4</paraID>
      <start>71</start>
      <end>73</end>
      <status>modified</status>
      <modifiedWord>，在</modifiedWord>
      <trackRevisions>false</trackRevisions>
    </reviewItem>
    <reviewItem>
      <errorID>d3fef4cb-44fb-4f7c-8356-7cf3eb3f2ecb</errorID>
      <errorWord>规</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345E098D</paraID>
      <start>19</start>
      <end>21</end>
      <status>modified</status>
      <modifiedWord>规定</modifiedWord>
      <trackRevisions>false</trackRevisions>
    </reviewItem>
    <reviewItem>
      <errorID>cedbd2fd-9e12-48d6-860b-fc7fa788aeca</errorID>
      <errorWord>人准</errorWord>
      <group>L1_Word</group>
      <groupName>字词问题</groupName>
      <ability>L2_Typo</ability>
      <abilityName>字词错误</abilityName>
      <candidateList>
        <item>人</item>
      </candidateList>
      <explain>〈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explain>
      <paraID>345E098D</paraID>
      <start>25</start>
      <end>26</end>
      <status>modified</status>
      <modifiedWord>人</modifiedWord>
      <trackRevisions>false</trackRevisions>
    </reviewItem>
    <reviewItem>
      <errorID>ec2e2a67-ce4d-4a81-bdc3-607702dfda2f</errorID>
      <errorWord>.</errorWord>
      <group>L1_Format</group>
      <groupName>格式问题</groupName>
      <ability>L2_HalfPunc</ability>
      <abilityName>全半角检查</abilityName>
      <candidateList>
        <item>。</item>
      </candidateList>
      <explain>文本全半角错误。</explain>
      <paraID>43519595</paraID>
      <start>32</start>
      <end>33</end>
      <status>modified</status>
      <modifiedWord>。</modifiedWord>
      <trackRevisions>false</trackRevisions>
    </reviewItem>
    <reviewItem>
      <errorID>29e97dea-3761-4c2b-9479-7c32efd1296e</errorID>
      <errorWord>其它</errorWord>
      <group>L1_Word</group>
      <groupName>字词问题</groupName>
      <ability>L2_Alias</ability>
      <abilityName>也作/曾用词</abilityName>
      <candidateList>
        <item>其他</item>
      </candidateList>
      <explain>词汇[其它]为不规范表述或旧称，其规范书面表述为[其他]。</explain>
      <paraID>70609890</paraID>
      <start>24</start>
      <end>26</end>
      <status>modified</status>
      <modifiedWord>其他</modifiedWord>
      <trackRevisions>false</trackRevisions>
    </reviewItem>
    <reviewItem>
      <errorID>39077f22-9b03-4fb2-91da-9e8ccde3cd23</errorID>
      <errorWord>作必要</errorWord>
      <group>L1_Word</group>
      <groupName>字词问题</groupName>
      <ability>L2_Typo</ability>
      <abilityName>字词错误</abilityName>
      <candidateList>
        <item>做必要</item>
      </candidateList>
      <explain/>
      <paraID> BD17AB7</paraID>
      <start>68</start>
      <end>71</end>
      <status>modified</status>
      <modifiedWord>做必要</modifiedWord>
      <trackRevisions>false</trackRevisions>
    </reviewItem>
    <reviewItem>
      <errorID>3f575157-368b-4e4a-b717-eb593cd44998</errorID>
      <errorWord>法律、法规</errorWord>
      <group>L1_Word</group>
      <groupName>字词问题</groupName>
      <ability>L2_Typo</ability>
      <abilityName>字词错误</abilityName>
      <candidateList>
        <item>法律法规</item>
      </candidateList>
      <explain/>
      <paraID>192DC003</paraID>
      <start>20</start>
      <end>24</end>
      <status>modified</status>
      <modifiedWord>法律法规</modifiedWord>
      <trackRevisions>false</trackRevisions>
    </reviewItem>
    <reviewItem>
      <errorID>6f65082c-270e-4f45-8b89-6b22c9c37457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16B9B09D</paraID>
      <start>0</start>
      <end>2</end>
      <status>modified</status>
      <modifiedWord>1.</modifiedWord>
      <trackRevisions>false</trackRevisions>
    </reviewItem>
    <reviewItem>
      <errorID>f1a82269-6e79-465e-9e46-8cfca0d4b33b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67842641</paraID>
      <start>0</start>
      <end>2</end>
      <status>modified</status>
      <modifiedWord>2.</modifiedWord>
      <trackRevisions>false</trackRevisions>
    </reviewItem>
    <reviewItem>
      <errorID>f288f7b5-051d-4b0f-b139-00d42c134af7</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67842641</paraID>
      <start>17</start>
      <end>19</end>
      <status>modified</status>
      <modifiedWord>响应</modifiedWord>
      <trackRevisions>false</trackRevisions>
    </reviewItem>
    <reviewItem>
      <errorID>296bad94-68c7-4ad3-a2dc-c20eb4c15f74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15DDA49D</paraID>
      <start>0</start>
      <end>2</end>
      <status>modified</status>
      <modifiedWord>3.</modifiedWord>
      <trackRevisions>false</trackRevisions>
    </reviewItem>
    <reviewItem>
      <errorID>ab682003-b184-4afc-b55d-2bad35434247</errorID>
      <errorWord>本</errorWord>
      <group>L1_Word</group>
      <groupName>字词问题</groupName>
      <ability>L2_Typo</ability>
      <abilityName>字词错误</abilityName>
      <candidateList>
        <item>本次</item>
      </candidateList>
      <explain/>
      <paraID>15DDA49D</paraID>
      <start>12</start>
      <end>14</end>
      <status>modified</status>
      <modifiedWord>本次</modifiedWord>
      <trackRevisions>false</trackRevisions>
    </reviewItem>
    <reviewItem>
      <errorID>c0c94831-1b9c-47b5-a401-2780b52e4b4f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EE25342</paraID>
      <start>0</start>
      <end>2</end>
      <status>modified</status>
      <modifiedWord>4.</modifiedWord>
      <trackRevisions>false</trackRevisions>
    </reviewItem>
    <reviewItem>
      <errorID>95139983-0e02-43a8-b359-2d69abddf5f2</errorID>
      <errorWord>期限内</errorWord>
      <group>L1_Word</group>
      <groupName>字词问题</groupName>
      <ability>L2_Typo</ability>
      <abilityName>字词错误</abilityName>
      <candidateList>
        <item>期内</item>
      </candidateList>
      <explain/>
      <paraID>4C539651</paraID>
      <start>35</start>
      <end>37</end>
      <status>modified</status>
      <modifiedWord>期内</modifiedWord>
      <trackRevisions>false</trackRevisions>
    </reviewItem>
    <reviewItem>
      <errorID>820a0d59-34b7-4df1-bede-fee8fdabca1c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4BB5CF17</paraID>
      <start>0</start>
      <end>2</end>
      <status>modified</status>
      <modifiedWord>5.</modifiedWord>
      <trackRevisions>false</trackRevisions>
    </reviewItem>
    <reviewItem>
      <errorID>57fdcde5-9bad-4423-8db0-e0cc67559d8c</errorID>
      <errorWord>（</errorWord>
      <group>L1_Punc</group>
      <groupName>标点问题</groupName>
      <ability>L2_Punc</ability>
      <abilityName>标点符号检查</abilityName>
      <candidateList/>
      <explain>同一形式括号套用。</explain>
      <paraID>321B437A</paraID>
      <start>29</start>
      <end>30</end>
      <status>ignored</status>
      <modifiedWord/>
      <trackRevisions>false</trackRevisions>
    </reviewItem>
    <reviewItem>
      <errorID>0fe5c1cf-2f55-4c03-b0ef-0d4834d1c8c5</errorID>
      <errorWord>）</errorWord>
      <group>L1_Punc</group>
      <groupName>标点问题</groupName>
      <ability>L2_Punc</ability>
      <abilityName>标点符号检查</abilityName>
      <candidateList/>
      <explain>同一形式括号套用。</explain>
      <paraID>321B437A</paraID>
      <start>35</start>
      <end>36</end>
      <status>ignored</status>
      <modifiedWord/>
      <trackRevisions>false</trackRevisions>
    </reviewItem>
    <reviewItem>
      <errorID>8bdb2849-0948-4b62-947b-d2b821def908</errorID>
      <errorWord>，</errorWord>
      <group>L1_Word</group>
      <groupName>字词问题</groupName>
      <ability>L2_Typo</ability>
      <abilityName>字词错误</abilityName>
      <candidateList>
        <item>，在</item>
      </candidateList>
      <explain/>
      <paraID>5FBB7C33</paraID>
      <start>18</start>
      <end>20</end>
      <status>modified</status>
      <modifiedWord>，在</modifiedWord>
      <trackRevisions>false</trackRevisions>
    </reviewItem>
    <reviewItem>
      <errorID>8fa9a420-a79b-469a-8933-edf8b18fb279</errorID>
      <errorWord>(</errorWord>
      <group>L1_Format</group>
      <groupName>格式问题</groupName>
      <ability>L2_HalfPunc</ability>
      <abilityName>全半角检查</abilityName>
      <candidateList>
        <item>（</item>
      </candidateList>
      <explain>文本全半角错误。</explain>
      <paraID>68CC25AA</paraID>
      <start>2</start>
      <end>3</end>
      <status>modified</status>
      <modifiedWord>（</modifiedWord>
      <trackRevisions>false</trackRevisions>
    </reviewItem>
    <reviewItem>
      <errorID>c4acc0fd-209a-43c6-a949-feafc5641786</errorID>
      <errorWord>)</errorWord>
      <group>L1_Format</group>
      <groupName>格式问题</groupName>
      <ability>L2_HalfPunc</ability>
      <abilityName>全半角检查</abilityName>
      <candidateList>
        <item>）</item>
      </candidateList>
      <explain>文本全半角错误。</explain>
      <paraID>68CC25AA</paraID>
      <start>4</start>
      <end>5</end>
      <status>modified</status>
      <modifiedWord>）</modifiedWord>
      <trackRevisions>false</trackRevisions>
    </reviewItem>
    <reviewItem>
      <errorID>745bfd2d-d965-4ba5-91f8-1b536b81445f</errorID>
      <errorWord>其它</errorWord>
      <group>L1_Word</group>
      <groupName>字词问题</groupName>
      <ability>L2_Alias</ability>
      <abilityName>也作/曾用词</abilityName>
      <candidateList>
        <item>其他</item>
      </candidateList>
      <explain>词汇[其它]为不规范表述或旧称，其规范书面表述为[其他]。</explain>
      <paraID> 7F9E9B8</paraID>
      <start>0</start>
      <end>2</end>
      <status>modified</status>
      <modifiedWord>其他</modifiedWord>
      <trackRevisions>false</trackRevisions>
    </reviewItem>
    <reviewItem>
      <errorID>437e34b9-da65-4b82-871b-bcc5cff32eb0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5F23CE8D</paraID>
      <start>0</start>
      <end>2</end>
      <status>modified</status>
      <modifiedWord>2.</modifiedWord>
      <trackRevisions>false</trackRevisions>
    </reviewItem>
    <reviewItem>
      <errorID>47d786ca-89ed-425a-83cf-3398e37a3c2a</errorID>
      <errorWord>［2017］</errorWord>
      <group>L1_Punc</group>
      <groupName>标点问题</groupName>
      <ability>L2_Punc</ability>
      <abilityName>标点符号检查</abilityName>
      <candidateList>
        <item>〔2017〕</item>
      </candidateList>
      <explain/>
      <paraID>23E015AB</paraID>
      <start>59</start>
      <end>65</end>
      <status>modified</status>
      <modifiedWord>〔2017〕</modifiedWord>
      <trackRevisions>false</trackRevisions>
    </reviewItem>
    <reviewItem>
      <errorID>6fbb9209-0207-4ff0-8f4d-f0826d80f1ec</errorID>
      <errorWord>涉及到的相关</errorWord>
      <group>L1_Word</group>
      <groupName>字词问题</groupName>
      <ability>L2_Typo</ability>
      <abilityName>字词错误</abilityName>
      <candidateList>
        <item>涉及的相关</item>
      </candidateList>
      <explain/>
      <paraID> 7021CC8</paraID>
      <start>12</start>
      <end>17</end>
      <status>modified</status>
      <modifiedWord>涉及的相关</modifiedWord>
      <trackRevisions>false</trackRevisions>
    </reviewItem>
    <reviewItem>
      <errorID>32734618-2776-4571-8314-cb5b9354f0b7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4CCBD6BA</paraID>
      <start>0</start>
      <end>2</end>
      <status>modified</status>
      <modifiedWord>2.</modifiedWord>
      <trackRevisions>false</trackRevisions>
    </reviewItem>
    <reviewItem>
      <errorID>3e701194-ccc3-4904-a426-ea487de4e9a6</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1A80A386</paraID>
      <start>0</start>
      <end>2</end>
      <status>modified</status>
      <modifiedWord>一、</modifiedWord>
      <trackRevisions>false</trackRevisions>
    </reviewItem>
    <reviewItem>
      <errorID>4eeb7ca7-05cd-4f9a-b7d8-8bd1caa533fa</errorID>
      <errorWord>:</errorWord>
      <group>L1_Format</group>
      <groupName>格式问题</groupName>
      <ability>L2_HalfPunc</ability>
      <abilityName>全半角检查</abilityName>
      <candidateList>
        <item>：</item>
      </candidateList>
      <explain>文本全半角错误。</explain>
      <paraID>3078B208</paraID>
      <start>7</start>
      <end>8</end>
      <status>modified</status>
      <modifiedWord>：</modifiedWord>
      <trackRevisions>false</trackRevisions>
    </reviewItem>
    <reviewItem>
      <errorID>3773e1d3-54a7-4ef9-8d41-14ec0065c4d5</errorID>
      <errorWord>:</errorWord>
      <group>L1_Format</group>
      <groupName>格式问题</groupName>
      <ability>L2_HalfPunc</ability>
      <abilityName>全半角检查</abilityName>
      <candidateList>
        <item>：</item>
      </candidateList>
      <explain>文本全半角错误。</explain>
      <paraID>61E597D3</paraID>
      <start>7</start>
      <end>8</end>
      <status>modified</status>
      <modifiedWord>：</modifiedWord>
      <trackRevisions>false</trackRevisions>
    </reviewItem>
    <reviewItem>
      <errorID>ec03eedc-056b-4fd2-a8ea-5e6fc182571f</errorID>
      <errorWord>:</errorWord>
      <group>L1_Format</group>
      <groupName>格式问题</groupName>
      <ability>L2_HalfPunc</ability>
      <abilityName>全半角检查</abilityName>
      <candidateList>
        <item>：</item>
      </candidateList>
      <explain>文本全半角错误。</explain>
      <paraID>69E0E344</paraID>
      <start>9</start>
      <end>10</end>
      <status>modified</status>
      <modifiedWord>：</modifiedWord>
      <trackRevisions>false</trackRevisions>
    </reviewItem>
    <reviewItem>
      <errorID>3a619119-a493-4cb5-b01a-a1086a7321c2</errorID>
      <errorWord>:</errorWord>
      <group>L1_Format</group>
      <groupName>格式问题</groupName>
      <ability>L2_HalfPunc</ability>
      <abilityName>全半角检查</abilityName>
      <candidateList>
        <item>：</item>
      </candidateList>
      <explain>文本全半角错误。</explain>
      <paraID>74E2FAD7</paraID>
      <start>7</start>
      <end>8</end>
      <status>modified</status>
      <modifiedWord>：</modifiedWord>
      <trackRevisions>false</trackRevisions>
    </reviewItem>
    <reviewItem>
      <errorID>4710ffe5-5c35-4050-8ffa-83325aa3e9f7</errorID>
      <errorWord>:</errorWord>
      <group>L1_Format</group>
      <groupName>格式问题</groupName>
      <ability>L2_HalfPunc</ability>
      <abilityName>全半角检查</abilityName>
      <candidateList>
        <item>：</item>
      </candidateList>
      <explain>文本全半角错误。</explain>
      <paraID> 1A057F5</paraID>
      <start>11</start>
      <end>12</end>
      <status>modified</status>
      <modifiedWord>：</modifiedWord>
      <trackRevisions>false</trackRevisions>
    </reviewItem>
    <reviewItem>
      <errorID>879c2a91-1950-4fd2-ad94-10f02f5b373b</errorID>
      <errorWord>执证</errorWord>
      <group>L1_Word</group>
      <groupName>字词问题</groupName>
      <ability>L2_Typo</ability>
      <abilityName>字词错误</abilityName>
      <candidateList>
        <item>持证</item>
      </candidateList>
      <explain/>
      <paraID> 1A057F5</paraID>
      <start>65</start>
      <end>67</end>
      <status>modified</status>
      <modifiedWord>持证</modifiedWord>
      <trackRevisions>false</trackRevisions>
    </reviewItem>
    <reviewItem>
      <errorID>663772ae-9f1c-4c4e-9efb-19b0bf61eda7</errorID>
      <errorWord>并</errorWord>
      <group>L1_Word</group>
      <groupName>字词问题</groupName>
      <ability>L2_Typo</ability>
      <abilityName>字词错误</abilityName>
      <candidateList>
        <item>并在</item>
      </candidateList>
      <explain/>
      <paraID> 573FFDB</paraID>
      <start>171</start>
      <end>173</end>
      <status>modified</status>
      <modifiedWord>并在</modifiedWord>
      <trackRevisions>false</trackRevisions>
    </reviewItem>
    <reviewItem>
      <errorID>973dd969-438b-48ed-9907-e75587547e40</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63585038</paraID>
      <start>0</start>
      <end>2</end>
      <status>modified</status>
      <modifiedWord>二、</modifiedWord>
      <trackRevisions>false</trackRevisions>
    </reviewItem>
    <reviewItem>
      <errorID>956f6146-0dc3-4f36-ae8c-bf5b7d304bc5</errorID>
      <errorWord>(</errorWord>
      <group>L1_Format</group>
      <groupName>格式问题</groupName>
      <ability>L2_HalfPunc</ability>
      <abilityName>全半角检查</abilityName>
      <candidateList>
        <item>（</item>
      </candidateList>
      <explain>文本全半角错误。</explain>
      <paraID>48AFC80A</paraID>
      <start>55</start>
      <end>56</end>
      <status>modified</status>
      <modifiedWord>（</modifiedWord>
      <trackRevisions>false</trackRevisions>
    </reviewItem>
    <reviewItem>
      <errorID>f153c298-a835-4945-bf79-5877512292cb</errorID>
      <errorWord>)</errorWord>
      <group>L1_Format</group>
      <groupName>格式问题</groupName>
      <ability>L2_HalfPunc</ability>
      <abilityName>全半角检查</abilityName>
      <candidateList>
        <item>）</item>
      </candidateList>
      <explain>文本全半角错误。</explain>
      <paraID>48AFC80A</paraID>
      <start>59</start>
      <end>60</end>
      <status>modified</status>
      <modifiedWord>）</modifiedWord>
      <trackRevisions>false</trackRevisions>
    </reviewItem>
    <reviewItem>
      <errorID>b18cdb67-8588-48a3-b498-df459c9444b4</errorID>
      <errorWord>(</errorWord>
      <group>L1_Format</group>
      <groupName>格式问题</groupName>
      <ability>L2_HalfPunc</ability>
      <abilityName>全半角检查</abilityName>
      <candidateList>
        <item>（</item>
      </candidateList>
      <explain>文本全半角错误。</explain>
      <paraID>48AFC80A</paraID>
      <start>68</start>
      <end>69</end>
      <status>modified</status>
      <modifiedWord>（</modifiedWord>
      <trackRevisions>false</trackRevisions>
    </reviewItem>
    <reviewItem>
      <errorID>23ffd451-22d3-4bb5-a55b-0cccf162ba6e</errorID>
      <errorWord>)</errorWord>
      <group>L1_Format</group>
      <groupName>格式问题</groupName>
      <ability>L2_HalfPunc</ability>
      <abilityName>全半角检查</abilityName>
      <candidateList>
        <item>）</item>
      </candidateList>
      <explain>文本全半角错误。</explain>
      <paraID>48AFC80A</paraID>
      <start>74</start>
      <end>75</end>
      <status>modified</status>
      <modifiedWord>）</modifiedWord>
      <trackRevisions>false</trackRevisions>
    </reviewItem>
    <reviewItem>
      <errorID>4dcbc15e-e607-46f4-95c7-dc2cda3f01bf</errorID>
      <errorWord>(</errorWord>
      <group>L1_Format</group>
      <groupName>格式问题</groupName>
      <ability>L2_HalfPunc</ability>
      <abilityName>全半角检查</abilityName>
      <candidateList>
        <item>（</item>
      </candidateList>
      <explain>文本全半角错误。</explain>
      <paraID>48AFC80A</paraID>
      <start>94</start>
      <end>95</end>
      <status>modified</status>
      <modifiedWord>（</modifiedWord>
      <trackRevisions>false</trackRevisions>
    </reviewItem>
    <reviewItem>
      <errorID>81738f1a-2e46-4b4c-9c06-0f62a48bf35a</errorID>
      <errorWord>)</errorWord>
      <group>L1_Format</group>
      <groupName>格式问题</groupName>
      <ability>L2_HalfPunc</ability>
      <abilityName>全半角检查</abilityName>
      <candidateList>
        <item>）</item>
      </candidateList>
      <explain>文本全半角错误。</explain>
      <paraID>48AFC80A</paraID>
      <start>98</start>
      <end>99</end>
      <status>modified</status>
      <modifiedWord>）</modifiedWord>
      <trackRevisions>false</trackRevisions>
    </reviewItem>
    <reviewItem>
      <errorID>7892ab4c-e01f-4d46-af5e-5177c4cd8bf7</errorID>
      <errorWord>(</errorWord>
      <group>L1_Format</group>
      <groupName>格式问题</groupName>
      <ability>L2_HalfPunc</ability>
      <abilityName>全半角检查</abilityName>
      <candidateList>
        <item>（</item>
      </candidateList>
      <explain>文本全半角错误。</explain>
      <paraID>6B7F22C8</paraID>
      <start>13</start>
      <end>14</end>
      <status>modified</status>
      <modifiedWord>（</modifiedWord>
      <trackRevisions>false</trackRevisions>
    </reviewItem>
    <reviewItem>
      <errorID>bfddffa0-cc87-4b6f-a761-ebdc3682ff3b</errorID>
      <errorWord>)</errorWord>
      <group>L1_Word</group>
      <groupName>字词问题</groupName>
      <ability>L2_Typo</ability>
      <abilityName>字词错误</abilityName>
      <candidateList>
        <item>)在</item>
      </candidateList>
      <explain/>
      <paraID>6B7F22C8</paraID>
      <start>18</start>
      <end>20</end>
      <status>modified</status>
      <modifiedWord>)在</modifiedWord>
      <trackRevisions>false</trackRevisions>
    </reviewItem>
    <reviewItem>
      <errorID>95872add-8df8-4662-ad6e-fb6c54ed2706</errorID>
      <errorWord>(</errorWord>
      <group>L1_Format</group>
      <groupName>格式问题</groupName>
      <ability>L2_HalfPunc</ability>
      <abilityName>全半角检查</abilityName>
      <candidateList>
        <item>（</item>
      </candidateList>
      <explain>文本全半角错误。</explain>
      <paraID> B1C5072</paraID>
      <start>44</start>
      <end>45</end>
      <status>modified</status>
      <modifiedWord>（</modifiedWord>
      <trackRevisions>false</trackRevisions>
    </reviewItem>
    <reviewItem>
      <errorID>46a1f18e-6af6-424f-ad18-af487865eb8c</errorID>
      <errorWord>)</errorWord>
      <group>L1_Format</group>
      <groupName>格式问题</groupName>
      <ability>L2_HalfPunc</ability>
      <abilityName>全半角检查</abilityName>
      <candidateList>
        <item>）</item>
      </candidateList>
      <explain>文本全半角错误。</explain>
      <paraID> B1C5072</paraID>
      <start>51</start>
      <end>52</end>
      <status>modified</status>
      <modifiedWord>）</modifiedWord>
      <trackRevisions>false</trackRevisions>
    </reviewItem>
    <reviewItem>
      <errorID>3f991460-5201-410c-922e-01e9a94f3b35</errorID>
      <errorWord>(</errorWord>
      <group>L1_Format</group>
      <groupName>格式问题</groupName>
      <ability>L2_HalfPunc</ability>
      <abilityName>全半角检查</abilityName>
      <candidateList>
        <item>（</item>
      </candidateList>
      <explain>文本全半角错误。</explain>
      <paraID>165508DC</paraID>
      <start>11</start>
      <end>12</end>
      <status>modified</status>
      <modifiedWord>（</modifiedWord>
      <trackRevisions>false</trackRevisions>
    </reviewItem>
    <reviewItem>
      <errorID>ae29b719-69ed-4796-90d3-b8f6f11ee8b5</errorID>
      <errorWord>俩</errorWord>
      <group>L1_Word</group>
      <groupName>字词问题</groupName>
      <ability>L2_Typo</ability>
      <abilityName>字词错误</abilityName>
      <candidateList>
        <item>两</item>
      </candidateList>
      <explain>（兩）liǎnɡ〈量〉质量或重量单位，10钱等于1两，旧制16两等于1斤，1两合31.25克；后改为10市两等于1市斤，1两合50克。</explain>
      <paraID>165508DC</paraID>
      <start>14</start>
      <end>15</end>
      <status>modified</status>
      <modifiedWord>两</modifiedWord>
      <trackRevisions>false</trackRevisions>
    </reviewItem>
    <reviewItem>
      <errorID>5f4dc119-4366-4eb9-a9f5-0c785ac12838</errorID>
      <errorWord>)</errorWord>
      <group>L1_Format</group>
      <groupName>格式问题</groupName>
      <ability>L2_HalfPunc</ability>
      <abilityName>全半角检查</abilityName>
      <candidateList>
        <item>）</item>
      </candidateList>
      <explain>文本全半角错误。</explain>
      <paraID>165508DC</paraID>
      <start>16</start>
      <end>17</end>
      <status>modified</status>
      <modifiedWord>）</modifiedWord>
      <trackRevisions>false</trackRevisions>
    </reviewItem>
    <reviewItem>
      <errorID>5770317b-2faf-4226-ae4f-fda7b268c73a</errorID>
      <errorWord>其它</errorWord>
      <group>L1_Word</group>
      <groupName>字词问题</groupName>
      <ability>L2_Typo</ability>
      <abilityName>字词错误</abilityName>
      <candidateList>
        <item>其他</item>
      </candidateList>
      <explain>〈代〉指示代词。别的：今天的文娱晚会，除了京剧、曲艺以外，还有～精彩节目。</explain>
      <paraID>1C3DC25D</paraID>
      <start>31</start>
      <end>33</end>
      <status>modified</status>
      <modifiedWord>其他</modifiedWord>
      <trackRevisions>false</trackRevisions>
    </reviewItem>
    <reviewItem>
      <errorID>8bc5d5cc-f587-458c-9f2f-346150c74b6c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484CF45F</paraID>
      <start>0</start>
      <end>2</end>
      <status>modified</status>
      <modifiedWord>三、</modifiedWord>
      <trackRevisions>false</trackRevisions>
    </reviewItem>
    <reviewItem>
      <errorID>2645915b-8cfe-47c8-8bf8-9ddb6b91fdca</errorID>
      <errorWord>其它</errorWord>
      <group>L1_Word</group>
      <groupName>字词问题</groupName>
      <ability>L2_Typo</ability>
      <abilityName>字词错误</abilityName>
      <candidateList>
        <item>其他</item>
      </candidateList>
      <explain>〈代〉指示代词。别的：今天的文娱晚会，除了京剧、曲艺以外，还有～精彩节目。</explain>
      <paraID>5E0ECFD0</paraID>
      <start>28</start>
      <end>30</end>
      <status>modified</status>
      <modifiedWord>其他</modifiedWord>
      <trackRevisions>false</trackRevisions>
    </reviewItem>
    <reviewItem>
      <errorID>d48c81b9-404b-42d6-93d8-780f32fd44ce</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576B5F78</paraID>
      <start>0</start>
      <end>2</end>
      <status>modified</status>
      <modifiedWord>四、</modifiedWord>
      <trackRevisions>false</trackRevisions>
    </reviewItem>
    <reviewItem>
      <errorID>277be17d-5eb1-4283-965d-8ce81eade79c</errorID>
      <errorWord>其它</errorWord>
      <group>L1_Word</group>
      <groupName>字词问题</groupName>
      <ability>L2_Alias</ability>
      <abilityName>也作/曾用词</abilityName>
      <candidateList>
        <item>其他</item>
      </candidateList>
      <explain>词汇[其它]为不规范表述或旧称，其规范书面表述为[其他]。</explain>
      <paraID>4661468C</paraID>
      <start>30</start>
      <end>32</end>
      <status>modified</status>
      <modifiedWord>其他</modifiedWord>
      <trackRevisions>false</trackRevisions>
    </reviewItem>
    <reviewItem>
      <errorID>d7f228d7-56a0-4d92-ba45-0ee2f5d350c2</errorID>
      <errorWord>岗</errorWord>
      <group>L1_Word</group>
      <groupName>字词问题</groupName>
      <ability>L2_Typo</ability>
      <abilityName>字词错误</abilityName>
      <candidateList>
        <item>岗位</item>
      </candidateList>
      <explain/>
      <paraID>6353FA07</paraID>
      <start>7</start>
      <end>8</end>
      <status>ignored</status>
      <modifiedWord/>
      <trackRevisions>false</trackRevisions>
    </reviewItem>
    <reviewItem>
      <errorID>9210ee66-e744-4cc6-b8f5-d9e514613dd5</errorID>
      <errorWord>安</errorWord>
      <group>L1_Word</group>
      <groupName>字词问题</groupName>
      <ability>L2_Typo</ability>
      <abilityName>字词错误</abilityName>
      <candidateList>
        <item>安全</item>
      </candidateList>
      <explain>〈形〉没有危险；不受威胁；不出事故：～操作｜～地带｜注意交通～。</explain>
      <paraID>14D2A020</paraID>
      <start>14</start>
      <end>16</end>
      <status>modified</status>
      <modifiedWord>安全</modifiedWord>
      <trackRevisions>false</trackRevisions>
    </reviewItem>
    <reviewItem>
      <errorID>1f60377a-3401-456c-9e8a-f783d6c1039c</errorID>
      <errorWord>,</errorWord>
      <group>L1_Format</group>
      <groupName>格式问题</groupName>
      <ability>L2_HalfPunc</ability>
      <abilityName>全半角检查</abilityName>
      <candidateList>
        <item>，</item>
      </candidateList>
      <explain>文本全半角错误。</explain>
      <paraID>3FE88EFE</paraID>
      <start>55</start>
      <end>56</end>
      <status>modified</status>
      <modifiedWord>，</modifiedWord>
      <trackRevisions>false</trackRevisions>
    </reviewItem>
    <reviewItem>
      <errorID>5e46f5a5-df72-4a6c-aa8d-9baf7ad6e484</errorID>
      <errorWord>犯罪份子</errorWord>
      <group>L1_Word</group>
      <groupName>字词问题</groupName>
      <ability>L2_Alias</ability>
      <abilityName>也作/曾用词</abilityName>
      <candidateList>
        <item>犯罪分子</item>
      </candidateList>
      <explain>词汇[犯罪份子]为不规范表述或旧称，其规范书面表述为[犯罪分子]。</explain>
      <paraID>3FE88EFE</paraID>
      <start>151</start>
      <end>155</end>
      <status>modified</status>
      <modifiedWord>犯罪分子</modifiedWord>
      <trackRevisions>false</trackRevisions>
    </reviewItem>
    <reviewItem>
      <errorID>62724784-22d9-4af6-bf9d-6310a6a71f20</errorID>
      <errorWord>做好对</errorWord>
      <group>L1_Word</group>
      <groupName>字词问题</groupName>
      <ability>L2_Typo</ability>
      <abilityName>字词错误</abilityName>
      <candidateList>
        <item>做好</item>
      </candidateList>
      <explain/>
      <paraID>665A6F66</paraID>
      <start>3</start>
      <end>6</end>
      <status>ignored</status>
      <modifiedWord/>
      <trackRevisions>false</trackRevisions>
    </reviewItem>
    <reviewItem>
      <errorID>8aad9ade-fe0d-473d-84af-57c85be6f527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34E4466</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456707-2284-4c91-bbe1-da86c38b90b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56</Pages>
  <Words>8373</Words>
  <Characters>9529</Characters>
  <Lines>160</Lines>
  <Paragraphs>45</Paragraphs>
  <TotalTime>107</TotalTime>
  <ScaleCrop>false</ScaleCrop>
  <LinksUpToDate>false</LinksUpToDate>
  <CharactersWithSpaces>9856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2014-02-19T08:36:00Z</dcterms:created>
  <dc:creator>USER</dc:creator>
  <cp:lastModifiedBy>Administrator</cp:lastModifiedBy>
  <cp:lastPrinted>2022-07-29T04:06:00Z</cp:lastPrinted>
  <dcterms:modified xsi:type="dcterms:W3CDTF">2026-06-17T03:50:20Z</dcterms:modified>
  <dc:title>室内石膏板吊顶工程施工招标</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483335945D01468F93DE4CEBBD3C0AF6_13</vt:lpwstr>
  </property>
  <property fmtid="{D5CDD505-2E9C-101B-9397-08002B2CF9AE}" pid="4" name="KSOTemplateDocerSaveRecord">
    <vt:lpwstr>eyJoZGlkIjoiOTZkMjI5MzVkMTFjODAwNmVhMDNkOWJkYjJjNDhiMTkiLCJ1c2VySWQiOiIyODIzNTI0NjQifQ==</vt:lpwstr>
  </property>
</Properties>
</file>