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C2C62">
      <w:pPr>
        <w:jc w:val="center"/>
        <w:rPr>
          <w:rFonts w:ascii="宋体" w:cs="宋体"/>
          <w:b/>
          <w:color w:val="auto"/>
          <w:sz w:val="56"/>
          <w:szCs w:val="56"/>
          <w:highlight w:val="none"/>
        </w:rPr>
      </w:pPr>
      <w:bookmarkStart w:id="0" w:name="_Toc25875"/>
    </w:p>
    <w:p w14:paraId="003F39F0">
      <w:pPr>
        <w:spacing w:line="360" w:lineRule="auto"/>
        <w:jc w:val="center"/>
        <w:rPr>
          <w:rFonts w:hint="eastAsia" w:eastAsia="宋体"/>
          <w:color w:val="auto"/>
          <w:sz w:val="18"/>
          <w:highlight w:val="none"/>
          <w:lang w:eastAsia="zh-CN"/>
        </w:rPr>
      </w:pPr>
      <w:r>
        <w:rPr>
          <w:rFonts w:hint="eastAsia" w:ascii="宋体" w:cs="宋体"/>
          <w:b/>
          <w:color w:val="auto"/>
          <w:sz w:val="52"/>
          <w:szCs w:val="52"/>
          <w:highlight w:val="none"/>
          <w:lang w:eastAsia="zh-CN"/>
        </w:rPr>
        <w:t>云南省基础测绘技术中心省级数据中心和基准站维修（护）项目</w:t>
      </w:r>
    </w:p>
    <w:p w14:paraId="5F933E36">
      <w:pPr>
        <w:rPr>
          <w:color w:val="auto"/>
          <w:szCs w:val="22"/>
          <w:highlight w:val="none"/>
        </w:rPr>
      </w:pPr>
    </w:p>
    <w:p w14:paraId="5119485D">
      <w:pPr>
        <w:rPr>
          <w:color w:val="auto"/>
          <w:szCs w:val="22"/>
          <w:highlight w:val="none"/>
        </w:rPr>
      </w:pPr>
    </w:p>
    <w:p w14:paraId="1AC493F8">
      <w:pPr>
        <w:rPr>
          <w:color w:val="auto"/>
          <w:szCs w:val="22"/>
          <w:highlight w:val="none"/>
        </w:rPr>
      </w:pPr>
    </w:p>
    <w:p w14:paraId="23591229">
      <w:pPr>
        <w:rPr>
          <w:color w:val="auto"/>
          <w:szCs w:val="22"/>
          <w:highlight w:val="none"/>
        </w:rPr>
      </w:pPr>
    </w:p>
    <w:p w14:paraId="2455EA27">
      <w:pPr>
        <w:rPr>
          <w:color w:val="auto"/>
          <w:szCs w:val="22"/>
          <w:highlight w:val="none"/>
        </w:rPr>
      </w:pPr>
    </w:p>
    <w:p w14:paraId="62F8FBBA">
      <w:pPr>
        <w:rPr>
          <w:color w:val="auto"/>
          <w:szCs w:val="22"/>
          <w:highlight w:val="none"/>
        </w:rPr>
      </w:pPr>
    </w:p>
    <w:p w14:paraId="24F83A59">
      <w:pPr>
        <w:rPr>
          <w:color w:val="auto"/>
          <w:szCs w:val="22"/>
          <w:highlight w:val="none"/>
        </w:rPr>
      </w:pPr>
    </w:p>
    <w:p w14:paraId="0EBD919B">
      <w:pPr>
        <w:rPr>
          <w:color w:val="auto"/>
          <w:szCs w:val="22"/>
          <w:highlight w:val="none"/>
        </w:rPr>
      </w:pPr>
    </w:p>
    <w:p w14:paraId="2F24D7FC">
      <w:pPr>
        <w:spacing w:line="360" w:lineRule="auto"/>
        <w:jc w:val="center"/>
        <w:rPr>
          <w:rFonts w:ascii="宋体" w:cs="宋体"/>
          <w:b/>
          <w:color w:val="auto"/>
          <w:sz w:val="96"/>
          <w:szCs w:val="96"/>
          <w:highlight w:val="none"/>
        </w:rPr>
      </w:pPr>
      <w:r>
        <w:rPr>
          <w:rFonts w:hint="eastAsia" w:ascii="宋体" w:cs="宋体"/>
          <w:b/>
          <w:color w:val="auto"/>
          <w:sz w:val="96"/>
          <w:szCs w:val="96"/>
          <w:highlight w:val="none"/>
        </w:rPr>
        <w:t>竞争性磋商文件</w:t>
      </w:r>
    </w:p>
    <w:p w14:paraId="30349865">
      <w:pPr>
        <w:spacing w:line="760" w:lineRule="exact"/>
        <w:jc w:val="center"/>
        <w:rPr>
          <w:rFonts w:hint="eastAsia" w:eastAsia="宋体"/>
          <w:color w:val="auto"/>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YNZC2026-C3-02733-YNGR-0201</w:t>
      </w:r>
    </w:p>
    <w:p w14:paraId="627A63D7">
      <w:pPr>
        <w:rPr>
          <w:color w:val="auto"/>
          <w:szCs w:val="22"/>
          <w:highlight w:val="none"/>
        </w:rPr>
      </w:pPr>
    </w:p>
    <w:p w14:paraId="09887F2C">
      <w:pPr>
        <w:rPr>
          <w:color w:val="auto"/>
          <w:szCs w:val="22"/>
          <w:highlight w:val="none"/>
        </w:rPr>
      </w:pPr>
      <w:bookmarkStart w:id="1" w:name="_Toc26171"/>
    </w:p>
    <w:p w14:paraId="4444BDD3">
      <w:pPr>
        <w:rPr>
          <w:color w:val="auto"/>
          <w:szCs w:val="22"/>
          <w:highlight w:val="none"/>
        </w:rPr>
      </w:pPr>
    </w:p>
    <w:p w14:paraId="663FC99A">
      <w:pPr>
        <w:rPr>
          <w:color w:val="auto"/>
          <w:szCs w:val="22"/>
          <w:highlight w:val="none"/>
        </w:rPr>
      </w:pPr>
    </w:p>
    <w:p w14:paraId="6341ADC7">
      <w:pPr>
        <w:rPr>
          <w:color w:val="auto"/>
          <w:szCs w:val="22"/>
          <w:highlight w:val="none"/>
        </w:rPr>
      </w:pPr>
    </w:p>
    <w:p w14:paraId="3FD29EAD">
      <w:pPr>
        <w:rPr>
          <w:color w:val="auto"/>
          <w:szCs w:val="22"/>
          <w:highlight w:val="none"/>
        </w:rPr>
      </w:pPr>
    </w:p>
    <w:p w14:paraId="0F032AF0">
      <w:pPr>
        <w:rPr>
          <w:color w:val="auto"/>
          <w:szCs w:val="22"/>
          <w:highlight w:val="none"/>
        </w:rPr>
      </w:pPr>
    </w:p>
    <w:p w14:paraId="208483C8">
      <w:pPr>
        <w:rPr>
          <w:color w:val="auto"/>
          <w:szCs w:val="22"/>
          <w:highlight w:val="none"/>
        </w:rPr>
      </w:pPr>
    </w:p>
    <w:p w14:paraId="5D513479">
      <w:pPr>
        <w:rPr>
          <w:color w:val="auto"/>
          <w:szCs w:val="22"/>
          <w:highlight w:val="none"/>
        </w:rPr>
      </w:pPr>
    </w:p>
    <w:p w14:paraId="4D804D86">
      <w:pPr>
        <w:rPr>
          <w:color w:val="auto"/>
          <w:szCs w:val="22"/>
          <w:highlight w:val="none"/>
        </w:rPr>
      </w:pPr>
    </w:p>
    <w:p w14:paraId="26CE36CA">
      <w:pPr>
        <w:spacing w:line="600" w:lineRule="exact"/>
        <w:jc w:val="center"/>
        <w:rPr>
          <w:rFonts w:ascii="宋体" w:hAnsi="宋体" w:cs="宋体"/>
          <w:b/>
          <w:color w:val="auto"/>
          <w:sz w:val="32"/>
          <w:szCs w:val="32"/>
          <w:highlight w:val="none"/>
        </w:rPr>
      </w:pPr>
    </w:p>
    <w:p w14:paraId="43772538">
      <w:pPr>
        <w:spacing w:line="6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w:t>
      </w:r>
      <w:bookmarkEnd w:id="1"/>
      <w:r>
        <w:rPr>
          <w:rFonts w:hint="eastAsia" w:ascii="宋体" w:hAnsi="宋体" w:cs="宋体"/>
          <w:b/>
          <w:color w:val="auto"/>
          <w:sz w:val="32"/>
          <w:szCs w:val="32"/>
          <w:highlight w:val="none"/>
        </w:rPr>
        <w:t>云南省基础测绘技术中心</w:t>
      </w:r>
    </w:p>
    <w:p w14:paraId="6F77977F">
      <w:pPr>
        <w:spacing w:line="600" w:lineRule="exact"/>
        <w:jc w:val="center"/>
        <w:rPr>
          <w:rFonts w:ascii="宋体" w:cs="宋体"/>
          <w:b/>
          <w:color w:val="auto"/>
          <w:sz w:val="32"/>
          <w:szCs w:val="32"/>
          <w:highlight w:val="none"/>
        </w:rPr>
      </w:pPr>
      <w:r>
        <w:rPr>
          <w:rFonts w:hint="eastAsia" w:ascii="宋体" w:hAnsi="宋体" w:cs="宋体"/>
          <w:b/>
          <w:color w:val="auto"/>
          <w:sz w:val="32"/>
          <w:szCs w:val="32"/>
          <w:highlight w:val="none"/>
        </w:rPr>
        <w:t>采购代理机构：云南冠睿咨询有限公司</w:t>
      </w:r>
    </w:p>
    <w:p w14:paraId="0F914F73">
      <w:pPr>
        <w:spacing w:line="6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2026年0</w:t>
      </w:r>
      <w:r>
        <w:rPr>
          <w:rFonts w:hint="eastAsia" w:ascii="宋体" w:hAnsi="宋体" w:cs="宋体"/>
          <w:b/>
          <w:color w:val="auto"/>
          <w:sz w:val="32"/>
          <w:szCs w:val="32"/>
          <w:highlight w:val="none"/>
          <w:lang w:val="en-US" w:eastAsia="zh-CN"/>
        </w:rPr>
        <w:t>5</w:t>
      </w:r>
      <w:r>
        <w:rPr>
          <w:rFonts w:hint="eastAsia" w:ascii="宋体" w:hAnsi="宋体" w:cs="宋体"/>
          <w:b/>
          <w:color w:val="auto"/>
          <w:sz w:val="32"/>
          <w:szCs w:val="32"/>
          <w:highlight w:val="none"/>
        </w:rPr>
        <w:t>月</w:t>
      </w:r>
    </w:p>
    <w:p w14:paraId="228F1619">
      <w:pPr>
        <w:pStyle w:val="2"/>
        <w:rPr>
          <w:color w:val="auto"/>
          <w:highlight w:val="none"/>
        </w:rPr>
        <w:sectPr>
          <w:headerReference r:id="rId3" w:type="default"/>
          <w:footerReference r:id="rId4" w:type="default"/>
          <w:pgSz w:w="12240" w:h="15840"/>
          <w:pgMar w:top="1440" w:right="1800" w:bottom="1168" w:left="1800" w:header="720" w:footer="720" w:gutter="0"/>
          <w:pgNumType w:start="0"/>
          <w:cols w:space="720" w:num="1"/>
        </w:sectPr>
      </w:pPr>
    </w:p>
    <w:p w14:paraId="18B61213">
      <w:pPr>
        <w:spacing w:before="840" w:beforeLines="350"/>
        <w:jc w:val="center"/>
        <w:rPr>
          <w:b/>
          <w:bCs/>
          <w:color w:val="auto"/>
          <w:sz w:val="40"/>
          <w:szCs w:val="36"/>
          <w:highlight w:val="none"/>
        </w:rPr>
      </w:pPr>
      <w:r>
        <w:rPr>
          <w:rFonts w:hint="eastAsia"/>
          <w:b/>
          <w:bCs/>
          <w:color w:val="auto"/>
          <w:sz w:val="40"/>
          <w:szCs w:val="36"/>
          <w:highlight w:val="none"/>
          <w:lang w:val="zh-CN"/>
        </w:rPr>
        <w:t>目</w:t>
      </w:r>
      <w:r>
        <w:rPr>
          <w:b/>
          <w:bCs/>
          <w:color w:val="auto"/>
          <w:sz w:val="40"/>
          <w:szCs w:val="36"/>
          <w:highlight w:val="none"/>
        </w:rPr>
        <w:t xml:space="preserve">  </w:t>
      </w:r>
      <w:r>
        <w:rPr>
          <w:rFonts w:hint="eastAsia"/>
          <w:b/>
          <w:bCs/>
          <w:color w:val="auto"/>
          <w:sz w:val="40"/>
          <w:szCs w:val="36"/>
          <w:highlight w:val="none"/>
          <w:lang w:val="zh-CN"/>
        </w:rPr>
        <w:t>录</w:t>
      </w:r>
    </w:p>
    <w:p w14:paraId="0BF6ECDF">
      <w:pPr>
        <w:pStyle w:val="27"/>
        <w:tabs>
          <w:tab w:val="right" w:leader="dot" w:pos="8647"/>
          <w:tab w:val="clear" w:pos="9663"/>
        </w:tabs>
        <w:spacing w:line="360" w:lineRule="auto"/>
        <w:jc w:val="distribute"/>
        <w:rPr>
          <w:color w:val="auto"/>
          <w:highlight w:val="none"/>
        </w:rPr>
      </w:pPr>
    </w:p>
    <w:p w14:paraId="3E7FC8EC">
      <w:pPr>
        <w:pStyle w:val="27"/>
        <w:tabs>
          <w:tab w:val="right" w:leader="dot" w:pos="8640"/>
          <w:tab w:val="clear" w:pos="9663"/>
        </w:tabs>
        <w:spacing w:line="480" w:lineRule="auto"/>
        <w:rPr>
          <w:rFonts w:ascii="宋体" w:hAnsi="宋体" w:cs="宋体"/>
          <w:color w:val="auto"/>
          <w:highlight w:val="none"/>
        </w:rPr>
      </w:pPr>
      <w:r>
        <w:rPr>
          <w:rFonts w:hint="eastAsia" w:ascii="宋体" w:hAnsi="宋体" w:cs="宋体"/>
          <w:b w:val="0"/>
          <w:bCs w:val="0"/>
          <w:color w:val="auto"/>
          <w:highlight w:val="none"/>
        </w:rPr>
        <w:fldChar w:fldCharType="begin"/>
      </w:r>
      <w:r>
        <w:rPr>
          <w:rFonts w:hint="eastAsia" w:ascii="宋体" w:hAnsi="宋体" w:cs="宋体"/>
          <w:b w:val="0"/>
          <w:bCs w:val="0"/>
          <w:color w:val="auto"/>
          <w:highlight w:val="none"/>
        </w:rPr>
        <w:instrText xml:space="preserve"> TOC \o "1-3" \h \z \u </w:instrText>
      </w:r>
      <w:r>
        <w:rPr>
          <w:rFonts w:hint="eastAsia" w:ascii="宋体" w:hAnsi="宋体" w:cs="宋体"/>
          <w:b w:val="0"/>
          <w:bCs w:val="0"/>
          <w:color w:val="auto"/>
          <w:highlight w:val="none"/>
        </w:rPr>
        <w:fldChar w:fldCharType="separate"/>
      </w:r>
      <w:r>
        <w:rPr>
          <w:color w:val="auto"/>
          <w:highlight w:val="none"/>
        </w:rPr>
        <w:fldChar w:fldCharType="begin"/>
      </w:r>
      <w:r>
        <w:rPr>
          <w:color w:val="auto"/>
          <w:highlight w:val="none"/>
        </w:rPr>
        <w:instrText xml:space="preserve"> HYPERLINK \l "_Toc6862"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_Toc6862 \h </w:instrText>
      </w:r>
      <w:r>
        <w:rPr>
          <w:rFonts w:hint="eastAsia" w:ascii="宋体" w:hAnsi="宋体" w:cs="宋体"/>
          <w:color w:val="auto"/>
          <w:highlight w:val="none"/>
        </w:rPr>
        <w:fldChar w:fldCharType="separate"/>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066D0F8">
      <w:pPr>
        <w:pStyle w:val="27"/>
        <w:tabs>
          <w:tab w:val="right" w:leader="dot" w:pos="8640"/>
          <w:tab w:val="clear" w:pos="9663"/>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"_Toc5500" </w:instrText>
      </w:r>
      <w:r>
        <w:rPr>
          <w:color w:val="auto"/>
          <w:highlight w:val="none"/>
        </w:rPr>
        <w:fldChar w:fldCharType="separate"/>
      </w:r>
      <w:r>
        <w:rPr>
          <w:rFonts w:hint="eastAsia" w:ascii="宋体" w:hAnsi="宋体" w:cs="宋体"/>
          <w:color w:val="auto"/>
          <w:highlight w:val="none"/>
        </w:rPr>
        <w:t>第二章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_Toc5500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5D1E5DC">
      <w:pPr>
        <w:pStyle w:val="32"/>
        <w:tabs>
          <w:tab w:val="right" w:leader="dot" w:pos="8640"/>
        </w:tabs>
        <w:spacing w:line="48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"_Toc7842" </w:instrText>
      </w:r>
      <w:r>
        <w:rPr>
          <w:color w:val="auto"/>
          <w:highlight w:val="none"/>
        </w:rPr>
        <w:fldChar w:fldCharType="separate"/>
      </w:r>
      <w:r>
        <w:rPr>
          <w:rFonts w:hint="eastAsia" w:ascii="宋体" w:hAnsi="宋体" w:cs="宋体"/>
          <w:color w:val="auto"/>
          <w:kern w:val="0"/>
          <w:sz w:val="28"/>
          <w:szCs w:val="28"/>
          <w:highlight w:val="none"/>
        </w:rPr>
        <w:t>供应商须知前附表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_Toc7842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72AE92F">
      <w:pPr>
        <w:pStyle w:val="27"/>
        <w:tabs>
          <w:tab w:val="right" w:leader="dot" w:pos="8640"/>
          <w:tab w:val="clear" w:pos="9663"/>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"_Toc14634" </w:instrText>
      </w:r>
      <w:r>
        <w:rPr>
          <w:color w:val="auto"/>
          <w:highlight w:val="none"/>
        </w:rPr>
        <w:fldChar w:fldCharType="separate"/>
      </w:r>
      <w:r>
        <w:rPr>
          <w:rFonts w:hint="eastAsia" w:ascii="宋体" w:hAnsi="宋体" w:cs="宋体"/>
          <w:color w:val="auto"/>
          <w:highlight w:val="none"/>
        </w:rPr>
        <w:t>第三章 合同书样式及主要条款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_Toc14634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4462A09">
      <w:pPr>
        <w:pStyle w:val="32"/>
        <w:tabs>
          <w:tab w:val="right" w:leader="dot" w:pos="8640"/>
        </w:tabs>
        <w:spacing w:line="48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"_Toc4954" </w:instrText>
      </w:r>
      <w:r>
        <w:rPr>
          <w:color w:val="auto"/>
          <w:highlight w:val="none"/>
        </w:rPr>
        <w:fldChar w:fldCharType="separate"/>
      </w:r>
      <w:r>
        <w:rPr>
          <w:rFonts w:hint="eastAsia" w:ascii="宋体" w:hAnsi="宋体" w:cs="宋体"/>
          <w:bCs/>
          <w:color w:val="auto"/>
          <w:sz w:val="28"/>
          <w:szCs w:val="28"/>
          <w:highlight w:val="none"/>
        </w:rPr>
        <w:t>合同条款前附表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_Toc4954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6BBB04A">
      <w:pPr>
        <w:pStyle w:val="27"/>
        <w:tabs>
          <w:tab w:val="right" w:leader="dot" w:pos="8640"/>
          <w:tab w:val="clear" w:pos="9663"/>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"_Toc30120" </w:instrText>
      </w:r>
      <w:r>
        <w:rPr>
          <w:color w:val="auto"/>
          <w:highlight w:val="none"/>
        </w:rPr>
        <w:fldChar w:fldCharType="separate"/>
      </w:r>
      <w:r>
        <w:rPr>
          <w:rFonts w:hint="eastAsia" w:ascii="宋体" w:hAnsi="宋体" w:cs="宋体"/>
          <w:color w:val="auto"/>
          <w:highlight w:val="none"/>
        </w:rPr>
        <w:t>第四章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_Toc30120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93AF624">
      <w:pPr>
        <w:pStyle w:val="27"/>
        <w:tabs>
          <w:tab w:val="right" w:leader="dot" w:pos="8640"/>
          <w:tab w:val="clear" w:pos="9663"/>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"_Toc3309" </w:instrText>
      </w:r>
      <w:r>
        <w:rPr>
          <w:color w:val="auto"/>
          <w:highlight w:val="none"/>
        </w:rPr>
        <w:fldChar w:fldCharType="separate"/>
      </w:r>
      <w:r>
        <w:rPr>
          <w:rFonts w:hint="eastAsia" w:ascii="宋体" w:hAnsi="宋体" w:cs="宋体"/>
          <w:color w:val="auto"/>
          <w:highlight w:val="none"/>
        </w:rPr>
        <w:t>第五章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_Toc3309 \h </w:instrText>
      </w:r>
      <w:r>
        <w:rPr>
          <w:rFonts w:hint="eastAsia" w:ascii="宋体" w:hAnsi="宋体" w:cs="宋体"/>
          <w:color w:val="auto"/>
          <w:highlight w:val="none"/>
        </w:rPr>
        <w:fldChar w:fldCharType="separate"/>
      </w:r>
      <w:r>
        <w:rPr>
          <w:rFonts w:hint="eastAsia" w:ascii="宋体" w:hAnsi="宋体" w:cs="宋体"/>
          <w:color w:val="auto"/>
          <w:highlight w:val="none"/>
        </w:rPr>
        <w:t>47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0643EE6">
      <w:pPr>
        <w:pStyle w:val="27"/>
        <w:tabs>
          <w:tab w:val="right" w:leader="dot" w:pos="8640"/>
          <w:tab w:val="clear" w:pos="9663"/>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"_Toc23482" </w:instrText>
      </w:r>
      <w:r>
        <w:rPr>
          <w:color w:val="auto"/>
          <w:highlight w:val="none"/>
        </w:rPr>
        <w:fldChar w:fldCharType="separate"/>
      </w:r>
      <w:r>
        <w:rPr>
          <w:rFonts w:hint="eastAsia" w:ascii="宋体" w:hAnsi="宋体" w:cs="宋体"/>
          <w:color w:val="auto"/>
          <w:spacing w:val="40"/>
          <w:highlight w:val="none"/>
        </w:rPr>
        <w:t>第六章 评审方法</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color w:val="auto"/>
          <w:highlight w:val="none"/>
        </w:rPr>
        <w:t>9</w:t>
      </w:r>
    </w:p>
    <w:p w14:paraId="149AB422">
      <w:pPr>
        <w:pStyle w:val="32"/>
        <w:tabs>
          <w:tab w:val="right" w:leader="dot" w:pos="8640"/>
        </w:tabs>
        <w:spacing w:line="48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"_Toc27780" </w:instrText>
      </w:r>
      <w:r>
        <w:rPr>
          <w:color w:val="auto"/>
          <w:highlight w:val="none"/>
        </w:rPr>
        <w:fldChar w:fldCharType="separate"/>
      </w:r>
      <w:r>
        <w:rPr>
          <w:rFonts w:hint="eastAsia" w:ascii="宋体" w:hAnsi="宋体" w:cs="宋体"/>
          <w:color w:val="auto"/>
          <w:spacing w:val="40"/>
          <w:sz w:val="28"/>
          <w:szCs w:val="28"/>
          <w:highlight w:val="none"/>
        </w:rPr>
        <w:t>评审方法</w:t>
      </w:r>
      <w:r>
        <w:rPr>
          <w:rFonts w:hint="eastAsia" w:ascii="宋体" w:hAnsi="宋体" w:cs="宋体"/>
          <w:color w:val="auto"/>
          <w:sz w:val="28"/>
          <w:szCs w:val="28"/>
          <w:highlight w:val="none"/>
        </w:rPr>
        <w:t>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t>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9</w:t>
      </w:r>
    </w:p>
    <w:p w14:paraId="7FEBEFCE">
      <w:pPr>
        <w:spacing w:line="360" w:lineRule="auto"/>
        <w:rPr>
          <w:color w:val="auto"/>
          <w:highlight w:val="none"/>
        </w:rPr>
      </w:pPr>
      <w:r>
        <w:rPr>
          <w:rFonts w:hint="eastAsia" w:ascii="宋体" w:hAnsi="宋体" w:cs="宋体"/>
          <w:color w:val="auto"/>
          <w:sz w:val="28"/>
          <w:szCs w:val="28"/>
          <w:highlight w:val="none"/>
        </w:rPr>
        <w:fldChar w:fldCharType="end"/>
      </w:r>
    </w:p>
    <w:bookmarkEnd w:id="0"/>
    <w:p w14:paraId="185FD0D4">
      <w:pPr>
        <w:pStyle w:val="2"/>
        <w:rPr>
          <w:rFonts w:cs="宋体"/>
          <w:color w:val="auto"/>
          <w:highlight w:val="none"/>
        </w:rPr>
        <w:sectPr>
          <w:footerReference r:id="rId5" w:type="default"/>
          <w:pgSz w:w="12240" w:h="15840"/>
          <w:pgMar w:top="1440" w:right="1800" w:bottom="1168" w:left="1800" w:header="720" w:footer="720" w:gutter="0"/>
          <w:pgNumType w:start="1"/>
          <w:cols w:space="720" w:num="1"/>
        </w:sectPr>
      </w:pPr>
      <w:bookmarkStart w:id="2" w:name="_Toc480817641"/>
      <w:bookmarkStart w:id="3" w:name="_Toc378239348"/>
      <w:bookmarkStart w:id="4" w:name="_Toc489145701"/>
      <w:bookmarkStart w:id="5" w:name="_Toc26061"/>
      <w:bookmarkStart w:id="6" w:name="_Toc29379732"/>
      <w:bookmarkStart w:id="7" w:name="_Toc213908411"/>
    </w:p>
    <w:p w14:paraId="236BE919">
      <w:pPr>
        <w:pStyle w:val="2"/>
        <w:rPr>
          <w:color w:val="auto"/>
          <w:highlight w:val="none"/>
        </w:rPr>
      </w:pPr>
      <w:bookmarkStart w:id="8" w:name="_Toc6862"/>
      <w:r>
        <w:rPr>
          <w:rFonts w:hint="eastAsia" w:cs="宋体"/>
          <w:color w:val="auto"/>
          <w:highlight w:val="none"/>
        </w:rPr>
        <w:t xml:space="preserve">第一章  </w:t>
      </w:r>
      <w:r>
        <w:rPr>
          <w:rFonts w:hint="eastAsia" w:ascii="宋体" w:hAnsi="宋体" w:cs="黑体"/>
          <w:color w:val="auto"/>
          <w:highlight w:val="none"/>
        </w:rPr>
        <w:t>竞争性磋商公告</w:t>
      </w:r>
      <w:bookmarkEnd w:id="8"/>
    </w:p>
    <w:p w14:paraId="7723CE6D">
      <w:pPr>
        <w:pBdr>
          <w:top w:val="single" w:color="auto" w:sz="4" w:space="1"/>
          <w:left w:val="single" w:color="auto" w:sz="4" w:space="4"/>
          <w:bottom w:val="single" w:color="auto" w:sz="4" w:space="6"/>
          <w:right w:val="single" w:color="auto" w:sz="4" w:space="4"/>
        </w:pBdr>
        <w:spacing w:line="360" w:lineRule="auto"/>
        <w:contextualSpacing/>
        <w:jc w:val="center"/>
        <w:rPr>
          <w:rFonts w:ascii="宋体" w:hAnsi="宋体"/>
          <w:b/>
          <w:bCs/>
          <w:color w:val="auto"/>
          <w:szCs w:val="21"/>
          <w:highlight w:val="none"/>
        </w:rPr>
      </w:pPr>
      <w:r>
        <w:rPr>
          <w:rFonts w:hint="eastAsia" w:ascii="宋体" w:hAnsi="宋体"/>
          <w:b/>
          <w:bCs/>
          <w:color w:val="auto"/>
          <w:szCs w:val="21"/>
          <w:highlight w:val="none"/>
        </w:rPr>
        <w:t>项目概况</w:t>
      </w:r>
    </w:p>
    <w:p w14:paraId="292A0BE2">
      <w:pPr>
        <w:pBdr>
          <w:top w:val="single" w:color="auto" w:sz="4" w:space="1"/>
          <w:left w:val="single" w:color="auto" w:sz="4" w:space="4"/>
          <w:bottom w:val="single" w:color="auto" w:sz="4" w:space="6"/>
          <w:right w:val="single" w:color="auto" w:sz="4" w:space="4"/>
        </w:pBdr>
        <w:spacing w:line="360" w:lineRule="auto"/>
        <w:ind w:firstLine="420" w:firstLineChars="200"/>
        <w:contextualSpacing/>
        <w:rPr>
          <w:rFonts w:hAnsi="宋体" w:cs="宋体"/>
          <w:b/>
          <w:color w:val="auto"/>
          <w:szCs w:val="24"/>
          <w:highlight w:val="none"/>
        </w:rPr>
      </w:pPr>
      <w:r>
        <w:rPr>
          <w:rFonts w:hint="eastAsia" w:ascii="宋体" w:hAnsi="宋体"/>
          <w:color w:val="auto"/>
          <w:szCs w:val="21"/>
          <w:highlight w:val="none"/>
          <w:lang w:eastAsia="zh-CN"/>
        </w:rPr>
        <w:t>云南省基础测绘技术中心省级数据中心和基准站维修（护）项目</w:t>
      </w:r>
      <w:r>
        <w:rPr>
          <w:rFonts w:hint="eastAsia" w:ascii="宋体" w:hAnsi="宋体"/>
          <w:color w:val="auto"/>
          <w:szCs w:val="21"/>
          <w:highlight w:val="none"/>
        </w:rPr>
        <w:t>的潜在供应商应在“政采云”平台（https：//www.zcygov.cn/）线上获取采购文件</w:t>
      </w:r>
      <w:r>
        <w:rPr>
          <w:rFonts w:hint="eastAsia" w:ascii="宋体" w:hAnsi="宋体" w:cs="宋体"/>
          <w:color w:val="auto"/>
          <w:kern w:val="0"/>
          <w:szCs w:val="21"/>
          <w:highlight w:val="none"/>
        </w:rPr>
        <w:t>，并于2026年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分（北京时间）前递交响应文件</w:t>
      </w:r>
      <w:r>
        <w:rPr>
          <w:rFonts w:hint="eastAsia" w:ascii="宋体" w:hAnsi="宋体" w:cs="宋体"/>
          <w:color w:val="auto"/>
          <w:szCs w:val="21"/>
          <w:highlight w:val="none"/>
        </w:rPr>
        <w:t>。</w:t>
      </w:r>
      <w:bookmarkStart w:id="9" w:name="_Toc28359079"/>
      <w:bookmarkStart w:id="10" w:name="_Toc35393621"/>
      <w:bookmarkStart w:id="11" w:name="_Toc35393790"/>
      <w:bookmarkStart w:id="12" w:name="_Toc28359002"/>
    </w:p>
    <w:p w14:paraId="758378D5">
      <w:pPr>
        <w:pStyle w:val="5"/>
        <w:spacing w:before="0" w:after="0" w:line="360" w:lineRule="auto"/>
        <w:rPr>
          <w:rFonts w:hAnsi="宋体" w:cs="宋体"/>
          <w:color w:val="auto"/>
          <w:szCs w:val="24"/>
          <w:highlight w:val="none"/>
        </w:rPr>
      </w:pPr>
      <w:bookmarkStart w:id="13" w:name="_Toc13553"/>
      <w:bookmarkStart w:id="14" w:name="_Toc20683"/>
      <w:bookmarkStart w:id="15" w:name="_Toc27026"/>
      <w:r>
        <w:rPr>
          <w:rFonts w:hint="eastAsia" w:hAnsi="宋体" w:cs="宋体"/>
          <w:color w:val="auto"/>
          <w:szCs w:val="24"/>
          <w:highlight w:val="none"/>
        </w:rPr>
        <w:t>一、项目基本情况</w:t>
      </w:r>
      <w:bookmarkEnd w:id="9"/>
      <w:bookmarkEnd w:id="10"/>
      <w:bookmarkEnd w:id="11"/>
      <w:bookmarkEnd w:id="12"/>
      <w:bookmarkEnd w:id="13"/>
      <w:bookmarkEnd w:id="14"/>
      <w:bookmarkEnd w:id="15"/>
    </w:p>
    <w:p w14:paraId="505C2FCE">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1.1项目编号：</w:t>
      </w:r>
      <w:r>
        <w:rPr>
          <w:rFonts w:hint="eastAsia" w:ascii="宋体" w:hAnsi="宋体" w:cs="宋体"/>
          <w:color w:val="auto"/>
          <w:szCs w:val="21"/>
          <w:highlight w:val="none"/>
          <w:lang w:eastAsia="zh-CN"/>
        </w:rPr>
        <w:t>YNZC2026-C3-02733-YNGR-0201</w:t>
      </w:r>
    </w:p>
    <w:p w14:paraId="536C338C">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1.2项目名称：</w:t>
      </w:r>
      <w:r>
        <w:rPr>
          <w:rFonts w:hint="eastAsia" w:ascii="宋体" w:hAnsi="宋体" w:cs="宋体"/>
          <w:color w:val="auto"/>
          <w:szCs w:val="21"/>
          <w:highlight w:val="none"/>
          <w:lang w:eastAsia="zh-CN"/>
        </w:rPr>
        <w:t>云南省基础测绘技术中心省级数据中心和基准站维修（护）项目</w:t>
      </w:r>
    </w:p>
    <w:p w14:paraId="74BDDD3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1.3采购方式：竞争性磋商</w:t>
      </w:r>
    </w:p>
    <w:p w14:paraId="34F2147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1.4预算金额：</w:t>
      </w:r>
      <w:r>
        <w:rPr>
          <w:rFonts w:hint="eastAsia" w:ascii="宋体" w:hAnsi="宋体" w:cs="宋体"/>
          <w:color w:val="auto"/>
          <w:szCs w:val="21"/>
          <w:highlight w:val="none"/>
          <w:lang w:val="en-US" w:eastAsia="zh-CN"/>
        </w:rPr>
        <w:t>23300.00</w:t>
      </w:r>
      <w:r>
        <w:rPr>
          <w:rFonts w:hint="eastAsia" w:ascii="宋体" w:hAnsi="宋体" w:cs="宋体"/>
          <w:color w:val="auto"/>
          <w:szCs w:val="21"/>
          <w:highlight w:val="none"/>
        </w:rPr>
        <w:t>元。</w:t>
      </w:r>
    </w:p>
    <w:p w14:paraId="1F0097C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1.5最高限价：</w:t>
      </w:r>
      <w:r>
        <w:rPr>
          <w:rFonts w:hint="eastAsia" w:ascii="宋体" w:hAnsi="宋体" w:cs="宋体"/>
          <w:color w:val="auto"/>
          <w:szCs w:val="21"/>
          <w:highlight w:val="none"/>
          <w:lang w:val="en-US" w:eastAsia="zh-CN"/>
        </w:rPr>
        <w:t>23300.00</w:t>
      </w:r>
      <w:r>
        <w:rPr>
          <w:rFonts w:hint="eastAsia" w:ascii="宋体" w:hAnsi="宋体" w:cs="宋体"/>
          <w:color w:val="auto"/>
          <w:szCs w:val="21"/>
          <w:highlight w:val="none"/>
        </w:rPr>
        <w:t>元。</w:t>
      </w:r>
    </w:p>
    <w:p w14:paraId="2B7680A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1.6采购需求：</w:t>
      </w:r>
    </w:p>
    <w:tbl>
      <w:tblPr>
        <w:tblStyle w:val="37"/>
        <w:tblW w:w="8401" w:type="dxa"/>
        <w:jc w:val="center"/>
        <w:tblLayout w:type="fixed"/>
        <w:tblCellMar>
          <w:top w:w="15" w:type="dxa"/>
          <w:left w:w="15" w:type="dxa"/>
          <w:bottom w:w="15" w:type="dxa"/>
          <w:right w:w="15" w:type="dxa"/>
        </w:tblCellMar>
      </w:tblPr>
      <w:tblGrid>
        <w:gridCol w:w="709"/>
        <w:gridCol w:w="1793"/>
        <w:gridCol w:w="1145"/>
        <w:gridCol w:w="1010"/>
        <w:gridCol w:w="3744"/>
      </w:tblGrid>
      <w:tr w14:paraId="29C7E916">
        <w:tblPrEx>
          <w:tblCellMar>
            <w:top w:w="15" w:type="dxa"/>
            <w:left w:w="15" w:type="dxa"/>
            <w:bottom w:w="15" w:type="dxa"/>
            <w:right w:w="15" w:type="dxa"/>
          </w:tblCellMar>
        </w:tblPrEx>
        <w:trPr>
          <w:trHeight w:val="757" w:hRule="atLeast"/>
          <w:jc w:val="center"/>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44AB65">
            <w:pPr>
              <w:pStyle w:val="9"/>
              <w:spacing w:beforeAutospacing="0" w:afterAutospacing="0" w:line="360" w:lineRule="auto"/>
              <w:jc w:val="center"/>
              <w:rPr>
                <w:rFonts w:cs="宋体"/>
                <w:b/>
                <w:color w:val="auto"/>
                <w:sz w:val="21"/>
                <w:szCs w:val="21"/>
                <w:highlight w:val="none"/>
              </w:rPr>
            </w:pPr>
            <w:r>
              <w:rPr>
                <w:rFonts w:hint="eastAsia" w:cs="宋体"/>
                <w:b/>
                <w:color w:val="auto"/>
                <w:sz w:val="21"/>
                <w:szCs w:val="21"/>
                <w:highlight w:val="none"/>
              </w:rPr>
              <w:t>序号</w:t>
            </w:r>
          </w:p>
        </w:tc>
        <w:tc>
          <w:tcPr>
            <w:tcW w:w="1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939B4B">
            <w:pPr>
              <w:pStyle w:val="9"/>
              <w:spacing w:beforeAutospacing="0" w:afterAutospacing="0" w:line="360" w:lineRule="auto"/>
              <w:jc w:val="center"/>
              <w:rPr>
                <w:rFonts w:cs="宋体"/>
                <w:color w:val="auto"/>
                <w:sz w:val="21"/>
                <w:szCs w:val="21"/>
                <w:highlight w:val="none"/>
              </w:rPr>
            </w:pPr>
            <w:r>
              <w:rPr>
                <w:rStyle w:val="40"/>
                <w:rFonts w:hint="eastAsia" w:cs="宋体"/>
                <w:color w:val="auto"/>
                <w:sz w:val="21"/>
                <w:szCs w:val="21"/>
                <w:highlight w:val="none"/>
              </w:rPr>
              <w:t>项目（标的）名称</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7EA20C">
            <w:pPr>
              <w:pStyle w:val="9"/>
              <w:spacing w:beforeAutospacing="0" w:afterAutospacing="0" w:line="360" w:lineRule="auto"/>
              <w:jc w:val="center"/>
              <w:rPr>
                <w:rFonts w:cs="宋体"/>
                <w:color w:val="auto"/>
                <w:sz w:val="21"/>
                <w:szCs w:val="21"/>
                <w:highlight w:val="none"/>
              </w:rPr>
            </w:pPr>
            <w:r>
              <w:rPr>
                <w:rStyle w:val="40"/>
                <w:rFonts w:hint="eastAsia" w:cs="宋体"/>
                <w:color w:val="auto"/>
                <w:sz w:val="21"/>
                <w:szCs w:val="21"/>
                <w:highlight w:val="none"/>
              </w:rPr>
              <w:t>数量</w:t>
            </w:r>
          </w:p>
        </w:tc>
        <w:tc>
          <w:tcPr>
            <w:tcW w:w="10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3D152D">
            <w:pPr>
              <w:pStyle w:val="9"/>
              <w:spacing w:beforeAutospacing="0" w:afterAutospacing="0" w:line="360" w:lineRule="auto"/>
              <w:jc w:val="center"/>
              <w:rPr>
                <w:rFonts w:cs="宋体"/>
                <w:color w:val="auto"/>
                <w:sz w:val="21"/>
                <w:szCs w:val="21"/>
                <w:highlight w:val="none"/>
              </w:rPr>
            </w:pPr>
            <w:r>
              <w:rPr>
                <w:rStyle w:val="40"/>
                <w:rFonts w:hint="eastAsia" w:cs="宋体"/>
                <w:color w:val="auto"/>
                <w:sz w:val="21"/>
                <w:szCs w:val="21"/>
                <w:highlight w:val="none"/>
              </w:rPr>
              <w:t>计量单位</w:t>
            </w:r>
          </w:p>
        </w:tc>
        <w:tc>
          <w:tcPr>
            <w:tcW w:w="37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5FD73C">
            <w:pPr>
              <w:pStyle w:val="9"/>
              <w:spacing w:beforeAutospacing="0" w:afterAutospacing="0" w:line="360" w:lineRule="auto"/>
              <w:jc w:val="center"/>
              <w:rPr>
                <w:rStyle w:val="40"/>
                <w:rFonts w:cs="宋体"/>
                <w:color w:val="auto"/>
                <w:sz w:val="21"/>
                <w:szCs w:val="21"/>
                <w:highlight w:val="none"/>
              </w:rPr>
            </w:pPr>
            <w:r>
              <w:rPr>
                <w:rFonts w:hint="eastAsia" w:cs="宋体"/>
                <w:b/>
                <w:bCs/>
                <w:color w:val="auto"/>
                <w:sz w:val="21"/>
                <w:szCs w:val="21"/>
                <w:highlight w:val="none"/>
                <w:lang w:bidi="ar"/>
              </w:rPr>
              <w:t>简要服务内容</w:t>
            </w:r>
          </w:p>
        </w:tc>
      </w:tr>
      <w:tr w14:paraId="2CC0891F">
        <w:tblPrEx>
          <w:tblCellMar>
            <w:top w:w="15" w:type="dxa"/>
            <w:left w:w="15" w:type="dxa"/>
            <w:bottom w:w="15" w:type="dxa"/>
            <w:right w:w="15" w:type="dxa"/>
          </w:tblCellMar>
        </w:tblPrEx>
        <w:trPr>
          <w:trHeight w:val="1219" w:hRule="atLeast"/>
          <w:jc w:val="center"/>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155BA4">
            <w:pPr>
              <w:pStyle w:val="9"/>
              <w:spacing w:beforeAutospacing="0" w:afterAutospacing="0" w:line="360" w:lineRule="auto"/>
              <w:jc w:val="center"/>
              <w:textAlignment w:val="center"/>
              <w:rPr>
                <w:rFonts w:cs="宋体"/>
                <w:color w:val="auto"/>
                <w:sz w:val="21"/>
                <w:szCs w:val="21"/>
                <w:highlight w:val="none"/>
              </w:rPr>
            </w:pPr>
            <w:r>
              <w:rPr>
                <w:rFonts w:hint="eastAsia" w:cs="宋体"/>
                <w:color w:val="auto"/>
                <w:sz w:val="21"/>
                <w:szCs w:val="21"/>
                <w:highlight w:val="none"/>
              </w:rPr>
              <w:t>1</w:t>
            </w:r>
          </w:p>
        </w:tc>
        <w:tc>
          <w:tcPr>
            <w:tcW w:w="1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524782">
            <w:pPr>
              <w:widowControl/>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云南省基础测绘技术中心省级数据中心和基准站维修（护）项目</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607E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0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76C4F5">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w:t>
            </w:r>
          </w:p>
        </w:tc>
        <w:tc>
          <w:tcPr>
            <w:tcW w:w="37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DC8612">
            <w:pPr>
              <w:widowControl/>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柴油发电机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空调、消防主机、电脑、打印机等维修维护。</w:t>
            </w:r>
          </w:p>
        </w:tc>
      </w:tr>
    </w:tbl>
    <w:p w14:paraId="5289978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注：本项目共设一个标段，供应商必须对</w:t>
      </w:r>
      <w:r>
        <w:rPr>
          <w:rFonts w:hint="eastAsia" w:ascii="宋体" w:hAnsi="宋体" w:cs="宋体"/>
          <w:bCs/>
          <w:color w:val="auto"/>
          <w:szCs w:val="21"/>
          <w:highlight w:val="none"/>
        </w:rPr>
        <w:t>本项目所</w:t>
      </w:r>
      <w:r>
        <w:rPr>
          <w:rFonts w:hint="eastAsia" w:ascii="宋体" w:hAnsi="宋体" w:cs="宋体"/>
          <w:color w:val="auto"/>
          <w:szCs w:val="21"/>
          <w:highlight w:val="none"/>
        </w:rPr>
        <w:t>有内容作出完整唯一的报价，不得出现缺项、漏项或无报价情况，否则响应文件将按无效处理，具体要求等详见本竞争性磋商文件第五章</w:t>
      </w:r>
      <w:r>
        <w:rPr>
          <w:rFonts w:hint="eastAsia" w:ascii="宋体" w:hAnsi="宋体" w:cs="宋体"/>
          <w:bCs/>
          <w:color w:val="auto"/>
          <w:szCs w:val="21"/>
          <w:highlight w:val="none"/>
        </w:rPr>
        <w:t>《采购需求》。</w:t>
      </w:r>
    </w:p>
    <w:p w14:paraId="74ECECDC">
      <w:pPr>
        <w:widowControl/>
        <w:spacing w:line="360" w:lineRule="auto"/>
        <w:ind w:firstLine="525" w:firstLineChars="25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1.7项目实施期限</w:t>
      </w:r>
      <w:r>
        <w:rPr>
          <w:rFonts w:hint="eastAsia" w:ascii="宋体" w:hAnsi="宋体" w:cs="宋体"/>
          <w:bCs/>
          <w:color w:val="auto"/>
          <w:szCs w:val="21"/>
          <w:highlight w:val="none"/>
          <w:lang w:eastAsia="zh-CN"/>
        </w:rPr>
        <w:t>（</w:t>
      </w:r>
      <w:r>
        <w:rPr>
          <w:rFonts w:hint="eastAsia" w:ascii="宋体" w:hAnsi="宋体"/>
          <w:bCs/>
          <w:color w:val="auto"/>
          <w:szCs w:val="21"/>
          <w:highlight w:val="none"/>
        </w:rPr>
        <w:t>合同履行期限</w:t>
      </w:r>
      <w:r>
        <w:rPr>
          <w:rFonts w:hint="eastAsia" w:ascii="宋体" w:hAnsi="宋体" w:cs="宋体"/>
          <w:bCs/>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自合同签订之日起60个日历天，验收合格后维修质保期365个日历天。</w:t>
      </w:r>
    </w:p>
    <w:p w14:paraId="24A0E495">
      <w:pPr>
        <w:widowControl/>
        <w:spacing w:line="360" w:lineRule="auto"/>
        <w:ind w:firstLine="525" w:firstLineChars="250"/>
        <w:jc w:val="left"/>
        <w:rPr>
          <w:rFonts w:ascii="宋体" w:hAnsi="宋体"/>
          <w:bCs/>
          <w:color w:val="auto"/>
          <w:szCs w:val="21"/>
          <w:highlight w:val="none"/>
        </w:rPr>
      </w:pPr>
      <w:r>
        <w:rPr>
          <w:rFonts w:hint="eastAsia" w:ascii="宋体" w:hAnsi="宋体"/>
          <w:bCs/>
          <w:color w:val="auto"/>
          <w:szCs w:val="21"/>
          <w:highlight w:val="none"/>
        </w:rPr>
        <w:t>1.8项目实施地点：云南省基础测绘技术中心指定地点。</w:t>
      </w:r>
    </w:p>
    <w:p w14:paraId="5A51879C">
      <w:pPr>
        <w:widowControl/>
        <w:spacing w:line="360" w:lineRule="auto"/>
        <w:ind w:firstLine="525" w:firstLineChars="25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9</w:t>
      </w:r>
      <w:r>
        <w:rPr>
          <w:rFonts w:hint="eastAsia" w:ascii="宋体" w:hAnsi="宋体"/>
          <w:bCs/>
          <w:color w:val="auto"/>
          <w:szCs w:val="21"/>
          <w:highlight w:val="none"/>
        </w:rPr>
        <w:t>本项目</w:t>
      </w:r>
      <w:r>
        <w:rPr>
          <w:rFonts w:hint="eastAsia" w:ascii="宋体" w:hAnsi="宋体"/>
          <w:b/>
          <w:color w:val="auto"/>
          <w:szCs w:val="21"/>
          <w:highlight w:val="none"/>
          <w:u w:val="single"/>
        </w:rPr>
        <w:t>不接受</w:t>
      </w:r>
      <w:r>
        <w:rPr>
          <w:rFonts w:hint="eastAsia" w:ascii="宋体" w:hAnsi="宋体"/>
          <w:bCs/>
          <w:color w:val="auto"/>
          <w:szCs w:val="21"/>
          <w:highlight w:val="none"/>
        </w:rPr>
        <w:t>联合体投标。</w:t>
      </w:r>
    </w:p>
    <w:p w14:paraId="768E8398">
      <w:pPr>
        <w:pStyle w:val="5"/>
        <w:spacing w:before="0" w:after="0" w:line="360" w:lineRule="auto"/>
        <w:rPr>
          <w:rFonts w:hAnsi="宋体" w:cs="宋体"/>
          <w:color w:val="auto"/>
          <w:szCs w:val="24"/>
          <w:highlight w:val="none"/>
        </w:rPr>
      </w:pPr>
      <w:bookmarkStart w:id="16" w:name="_Toc12946"/>
      <w:bookmarkStart w:id="17" w:name="_Toc27436"/>
      <w:bookmarkStart w:id="18" w:name="_Toc7227"/>
      <w:r>
        <w:rPr>
          <w:rFonts w:hint="eastAsia" w:hAnsi="宋体" w:cs="宋体"/>
          <w:color w:val="auto"/>
          <w:szCs w:val="24"/>
          <w:highlight w:val="none"/>
        </w:rPr>
        <w:t>二、供应商资格要求：</w:t>
      </w:r>
      <w:bookmarkEnd w:id="16"/>
      <w:bookmarkEnd w:id="17"/>
      <w:bookmarkEnd w:id="18"/>
    </w:p>
    <w:p w14:paraId="7032E3D4">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2.1满足《中华人民共和国政府采购法》第二十二条规定；</w:t>
      </w:r>
    </w:p>
    <w:p w14:paraId="0803615A">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2.1.1具有独立承担民事责任的能力：供应商必须是独立法人或其他组织，能独立承担民事责任，须提供法人或者其他组织的营业执照（事业单位法人证书）等证明文件；若为自然人的，提供自然人的身份证明（扫描件加盖供应商电子公章）；</w:t>
      </w:r>
    </w:p>
    <w:p w14:paraId="5646E070">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2.1.2具有良好的商业信誉和健全的财务会计制度：提供供应商2023年至今任意一年度经第三方审计的财务报告及报表（报表至少应包括资产负债表、利润表（损益表）、现金流量表）或提供自提交响应文件截止时间前三个月内基本开户银行出具的资信证明（扫描件加盖供应商电子公章）；供应商成立不足一年的，可提供自成立至今的财务报表或提供自提交响应文件截止时间前三个月内基本开户银行出具的资信证明（扫描件加盖供应商电子公章）；</w:t>
      </w:r>
    </w:p>
    <w:p w14:paraId="7977E07B">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2.1.3具有履行合同所必需的设备和专业技术能力：提供供应商具有履行合同所必需的设备和专业技术能力证明材料或书面声明（扫描件加盖供应商电子公章）；</w:t>
      </w:r>
    </w:p>
    <w:p w14:paraId="10A41D1E">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2.1.4有依法缴纳税收和社会保障资金的良好记录：</w:t>
      </w:r>
    </w:p>
    <w:p w14:paraId="7D45DEB3">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2.1.4.1提供供应商缴税所属时间在2025年01月至本项目提交响应文件截止时间前任意2个月的税务局税收通用缴款书或银行电子缴税（费）凭证或税务局出具纳税情况的相关证明，依法免税或免缴的，应提供相关证明文件（扫描件加盖供应商电子公章）或说明（加盖供应商电子公章），新成立未满一年的供应商，依法免税或免缴的，应提供相关证明文件（扫描件加盖供应商电子公章）或说明（加盖供应商电子公章）；</w:t>
      </w:r>
    </w:p>
    <w:p w14:paraId="76119ED0">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2.1.4.2提供供应商缴费所属时间在2025年01月至本项目提交响应文件截止时间前任意2个月的社会保险费缴款书或银行电子缴税（费）凭证或社保管理部门出具的有效的缴款证明，依法免缴的，应提供依法免缴的相关证明文件（扫描件加盖供应商电子公章）或说明（加盖供应商电子公章），新成立未满一年的供应商，依法免缴的，应提供依法免缴的相关证明文件（扫描件加盖供应商电子公章）或说明（加盖供应商电子公章）；</w:t>
      </w:r>
    </w:p>
    <w:p w14:paraId="30F01C29">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扫描件加盖供应商电子公章）；</w:t>
      </w:r>
    </w:p>
    <w:p w14:paraId="201DBEBB">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2.1.6法律、行政法规规定的其他条件：</w:t>
      </w:r>
    </w:p>
    <w:p w14:paraId="6DF9F1D3">
      <w:pPr>
        <w:widowControl/>
        <w:wordWrap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2.1.6.1单位负责人为同一人或者存在直接控股、管理关系的不同申请人，不得同时参与本项目的采购活动。为本项目提供过整体设计、规范编制或者项目管理、监理、检测等服务的供应商，不得再参加本次采购活动（提供承诺函加盖供应商电子公章）；</w:t>
      </w:r>
    </w:p>
    <w:p w14:paraId="1672CFD3">
      <w:pPr>
        <w:widowControl/>
        <w:wordWrap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2.1.6.2供应商在“信用中国”网站（www.creditchina.gov.cn）中未被列入失信被执行人、政府采购严重违法失信行为记录名单和重大税收违法失信主体（查询时间为本公告发布之日起至提交响应文件截止之日止，查询结果以采购人、采购代理机构查询结果为准，并将查询记录和证据留存）；</w:t>
      </w:r>
    </w:p>
    <w:p w14:paraId="62606782">
      <w:pPr>
        <w:widowControl/>
        <w:spacing w:line="360" w:lineRule="auto"/>
        <w:ind w:firstLine="525" w:firstLineChars="250"/>
        <w:jc w:val="left"/>
        <w:rPr>
          <w:rFonts w:ascii="宋体" w:cs="宋体"/>
          <w:color w:val="auto"/>
          <w:kern w:val="0"/>
          <w:szCs w:val="21"/>
          <w:highlight w:val="none"/>
        </w:rPr>
      </w:pPr>
      <w:r>
        <w:rPr>
          <w:rFonts w:hint="eastAsia" w:ascii="宋体" w:hAnsi="宋体" w:cs="宋体"/>
          <w:color w:val="auto"/>
          <w:kern w:val="0"/>
          <w:szCs w:val="21"/>
          <w:highlight w:val="none"/>
        </w:rPr>
        <w:t>2.1.6.3供应商在中国政府采购网（www.ccgp.gov.cn）政府采购严重违法失信行为记录名单中未被禁止参加政府采购活动（查询时间为本公告发布之日起至提交响应文件截止之日止，查询结果以采购人、采购代理机构查询结果为准，并将查询记录和证据留存）；</w:t>
      </w:r>
    </w:p>
    <w:p w14:paraId="379E7EB0">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2.2落实政府采购政策需满足的资格要求：</w:t>
      </w:r>
      <w:r>
        <w:rPr>
          <w:rFonts w:hint="eastAsia" w:ascii="宋体" w:hAnsi="宋体" w:cs="宋体"/>
          <w:color w:val="auto"/>
          <w:kern w:val="0"/>
          <w:szCs w:val="21"/>
          <w:highlight w:val="none"/>
          <w:lang w:eastAsia="zh-CN"/>
        </w:rPr>
        <w:t>本项目专门面向</w:t>
      </w:r>
      <w:r>
        <w:rPr>
          <w:rFonts w:hint="eastAsia" w:ascii="宋体" w:hAnsi="宋体" w:cs="宋体"/>
          <w:color w:val="auto"/>
          <w:kern w:val="0"/>
          <w:szCs w:val="21"/>
          <w:highlight w:val="none"/>
          <w:lang w:val="en-US" w:eastAsia="zh-CN"/>
        </w:rPr>
        <w:t>中小</w:t>
      </w:r>
      <w:r>
        <w:rPr>
          <w:rFonts w:hint="eastAsia" w:ascii="宋体" w:hAnsi="宋体" w:cs="宋体"/>
          <w:color w:val="auto"/>
          <w:kern w:val="0"/>
          <w:szCs w:val="21"/>
          <w:highlight w:val="none"/>
          <w:lang w:eastAsia="zh-CN"/>
        </w:rPr>
        <w:t>企业采购，根据《政府采购促进中小企业发展管理办法》（财库〔2020〕46号）要求，供应商必须为</w:t>
      </w:r>
      <w:r>
        <w:rPr>
          <w:rFonts w:hint="eastAsia" w:ascii="宋体" w:hAnsi="宋体" w:cs="宋体"/>
          <w:color w:val="auto"/>
          <w:kern w:val="0"/>
          <w:szCs w:val="21"/>
          <w:highlight w:val="none"/>
          <w:lang w:val="en-US" w:eastAsia="zh-CN"/>
        </w:rPr>
        <w:t>中</w:t>
      </w:r>
      <w:r>
        <w:rPr>
          <w:rFonts w:hint="eastAsia" w:ascii="宋体" w:hAnsi="宋体" w:cs="宋体"/>
          <w:color w:val="auto"/>
          <w:kern w:val="0"/>
          <w:szCs w:val="21"/>
          <w:highlight w:val="none"/>
          <w:lang w:eastAsia="zh-CN"/>
        </w:rPr>
        <w:t>小微企业（监狱企业、残疾人福利性单位视同小微企业），本项目采购标的对应所属行业为修理和其他服务业，符合条件的供应商应根据《关于印发中小企业划型标准规定的通知》中其他未列明行业划型标准进行划型</w:t>
      </w:r>
      <w:r>
        <w:rPr>
          <w:rFonts w:hint="eastAsia" w:ascii="宋体" w:hAnsi="宋体" w:cs="宋体"/>
          <w:color w:val="auto"/>
          <w:kern w:val="0"/>
          <w:szCs w:val="21"/>
          <w:highlight w:val="none"/>
        </w:rPr>
        <w:t>；</w:t>
      </w:r>
    </w:p>
    <w:p w14:paraId="0035FF28">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2.3本项目的特定资格要求：无。</w:t>
      </w:r>
    </w:p>
    <w:p w14:paraId="345BCDAA">
      <w:pPr>
        <w:pStyle w:val="5"/>
        <w:spacing w:before="0" w:after="0" w:line="360" w:lineRule="auto"/>
        <w:rPr>
          <w:rFonts w:hAnsi="宋体" w:cs="宋体"/>
          <w:color w:val="auto"/>
          <w:szCs w:val="24"/>
          <w:highlight w:val="none"/>
        </w:rPr>
      </w:pPr>
      <w:bookmarkStart w:id="19" w:name="_Toc29208"/>
      <w:bookmarkStart w:id="20" w:name="_Toc7153"/>
      <w:bookmarkStart w:id="21" w:name="_Toc15851"/>
      <w:r>
        <w:rPr>
          <w:rFonts w:hint="eastAsia" w:hAnsi="宋体" w:cs="宋体"/>
          <w:color w:val="auto"/>
          <w:szCs w:val="24"/>
          <w:highlight w:val="none"/>
        </w:rPr>
        <w:t>三、获取采购文件</w:t>
      </w:r>
      <w:bookmarkEnd w:id="19"/>
      <w:bookmarkEnd w:id="20"/>
      <w:bookmarkEnd w:id="21"/>
    </w:p>
    <w:p w14:paraId="65DF1A85">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3.1时间：</w:t>
      </w:r>
      <w:r>
        <w:rPr>
          <w:rFonts w:hint="eastAsia" w:ascii="宋体" w:hAnsi="宋体" w:cs="宋体"/>
          <w:color w:val="auto"/>
          <w:kern w:val="0"/>
          <w:szCs w:val="21"/>
          <w:highlight w:val="none"/>
          <w:lang w:eastAsia="zh-CN"/>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27</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06:00</w:t>
      </w:r>
      <w:r>
        <w:rPr>
          <w:rFonts w:hint="eastAsia" w:ascii="宋体" w:hAnsi="宋体" w:cs="宋体"/>
          <w:color w:val="auto"/>
          <w:kern w:val="0"/>
          <w:szCs w:val="21"/>
          <w:highlight w:val="none"/>
        </w:rPr>
        <w:t>至202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23:59</w:t>
      </w:r>
      <w:r>
        <w:rPr>
          <w:rFonts w:hint="eastAsia" w:ascii="宋体" w:hAnsi="宋体"/>
          <w:color w:val="auto"/>
          <w:szCs w:val="21"/>
          <w:highlight w:val="none"/>
        </w:rPr>
        <w:t>（北京时间，法定节假日除外）</w:t>
      </w:r>
    </w:p>
    <w:p w14:paraId="76FD3DA0">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3.2地点：</w:t>
      </w:r>
      <w:r>
        <w:rPr>
          <w:rFonts w:hint="eastAsia" w:ascii="宋体" w:hAnsi="宋体" w:cs="宋体"/>
          <w:color w:val="auto"/>
          <w:szCs w:val="21"/>
          <w:highlight w:val="none"/>
        </w:rPr>
        <w:t>“政采云”平台线上获取（http：//www.zcygov.cn）（操作路径：登录“政采云”平台-项目采购-获取采购文件-找到本项目-点击“申请获取采购文件”）</w:t>
      </w:r>
    </w:p>
    <w:p w14:paraId="738D7599">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3.3方式：（1）凡有意参与投标者，须在“政采云”平台办理数字证书（CA），并在“政采云”平台绑定数字证书（CA）后线上获取采购文件及其它采购资料。CA申领链接：http://yzt.ynsmartcert.cn/cms/yztgr.html（客服热线：0871-67276028&lt;紧急可拨19988166369&gt;）或https://cap.yunnanca.net/login（客服热线：4006727666）；CA申领后需登录“政采云”平台完成数字证书（CA）绑定才可以使用；若供应商之前已经注册并办理过企业数字证书（CA）的，可以直接绑定，无需重复办理。供应商在注册办理过程中若有疑问，可以拨打客服热线95763咨询。（2）供应商申领到企业数字证书（CA）后进入“政采云”平台（网址：https://www.zcygov.cn/）并绑定企业数字证书（CA），在网上获取采购文件及其它采购资料（操作路径：登录““政采云”平台-项目采购-获取采购文件-找到本项目-点击“申请获取采购文件”），此为参与投标的唯一途径。（3）按上述要求获取采购文件的供应商视为合法获取了本项目采购文件，具备本项目的投标资格</w:t>
      </w:r>
      <w:r>
        <w:rPr>
          <w:rFonts w:hint="eastAsia" w:ascii="宋体" w:hAnsi="宋体" w:cs="宋体"/>
          <w:color w:val="auto"/>
          <w:szCs w:val="21"/>
          <w:highlight w:val="none"/>
        </w:rPr>
        <w:t>。</w:t>
      </w:r>
    </w:p>
    <w:p w14:paraId="4899BEC7">
      <w:pPr>
        <w:widowControl/>
        <w:spacing w:line="360" w:lineRule="auto"/>
        <w:ind w:firstLine="413" w:firstLineChars="197"/>
        <w:jc w:val="left"/>
        <w:rPr>
          <w:rFonts w:ascii="宋体" w:hAnsi="宋体"/>
          <w:color w:val="auto"/>
          <w:szCs w:val="21"/>
          <w:highlight w:val="none"/>
        </w:rPr>
      </w:pPr>
      <w:r>
        <w:rPr>
          <w:rFonts w:hint="eastAsia" w:ascii="宋体" w:hAnsi="宋体"/>
          <w:color w:val="auto"/>
          <w:szCs w:val="21"/>
          <w:highlight w:val="none"/>
        </w:rPr>
        <w:t>3.4售价：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元。</w:t>
      </w:r>
    </w:p>
    <w:p w14:paraId="5EA69B09">
      <w:pPr>
        <w:pStyle w:val="5"/>
        <w:spacing w:before="0" w:after="0" w:line="360" w:lineRule="auto"/>
        <w:rPr>
          <w:rFonts w:hAnsi="宋体" w:cs="宋体"/>
          <w:color w:val="auto"/>
          <w:szCs w:val="24"/>
          <w:highlight w:val="none"/>
        </w:rPr>
      </w:pPr>
      <w:bookmarkStart w:id="22" w:name="_Toc31644"/>
      <w:bookmarkStart w:id="23" w:name="_Toc1771"/>
      <w:bookmarkStart w:id="24" w:name="_Toc28196"/>
      <w:r>
        <w:rPr>
          <w:rFonts w:hint="eastAsia" w:hAnsi="宋体" w:cs="宋体"/>
          <w:color w:val="auto"/>
          <w:szCs w:val="24"/>
          <w:highlight w:val="none"/>
        </w:rPr>
        <w:t>四、</w:t>
      </w:r>
      <w:bookmarkEnd w:id="22"/>
      <w:bookmarkEnd w:id="23"/>
      <w:bookmarkEnd w:id="24"/>
      <w:r>
        <w:rPr>
          <w:rFonts w:hint="eastAsia" w:hAnsi="宋体" w:cs="宋体"/>
          <w:bCs/>
          <w:color w:val="auto"/>
          <w:szCs w:val="24"/>
          <w:highlight w:val="none"/>
        </w:rPr>
        <w:t>响应文件提交</w:t>
      </w:r>
    </w:p>
    <w:p w14:paraId="1DD73F7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4.1截止时间：</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分</w:t>
      </w:r>
      <w:r>
        <w:rPr>
          <w:rFonts w:hint="eastAsia" w:ascii="宋体" w:hAnsi="宋体" w:cs="宋体"/>
          <w:color w:val="auto"/>
          <w:szCs w:val="21"/>
          <w:highlight w:val="none"/>
        </w:rPr>
        <w:t>（北京时间）；</w:t>
      </w:r>
    </w:p>
    <w:p w14:paraId="777051B5">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4.2地点：供应商应按照本项目采购文件和“政采云”平台的要求编制、加密响应文件后在响应文件提交截止时间前上传至“政采云”平台，响应文件截止时间前未完成响应文件传输的，视为撤回响应文件。供应商在“政采云”平台提交电子版响应文件时，请填写参加远程采购活动经办人联系方式</w:t>
      </w:r>
      <w:r>
        <w:rPr>
          <w:rFonts w:hint="eastAsia" w:ascii="宋体" w:hAnsi="宋体"/>
          <w:color w:val="auto"/>
          <w:szCs w:val="21"/>
          <w:highlight w:val="none"/>
        </w:rPr>
        <w:t>。</w:t>
      </w:r>
    </w:p>
    <w:p w14:paraId="23E5494C">
      <w:pPr>
        <w:pStyle w:val="5"/>
        <w:spacing w:before="0" w:after="0" w:line="360" w:lineRule="auto"/>
        <w:rPr>
          <w:rFonts w:hAnsi="宋体" w:cs="宋体"/>
          <w:bCs/>
          <w:color w:val="auto"/>
          <w:szCs w:val="24"/>
          <w:highlight w:val="none"/>
        </w:rPr>
      </w:pPr>
      <w:bookmarkStart w:id="25" w:name="_Toc26887"/>
      <w:bookmarkStart w:id="26" w:name="_Toc9571"/>
      <w:bookmarkStart w:id="27" w:name="_Toc20988"/>
      <w:r>
        <w:rPr>
          <w:rFonts w:hint="eastAsia" w:hAnsi="宋体" w:cs="宋体"/>
          <w:bCs/>
          <w:color w:val="auto"/>
          <w:szCs w:val="24"/>
          <w:highlight w:val="none"/>
        </w:rPr>
        <w:t>五、开启</w:t>
      </w:r>
    </w:p>
    <w:p w14:paraId="0ED6F15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5.1时间：</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分</w:t>
      </w:r>
      <w:r>
        <w:rPr>
          <w:rFonts w:hint="eastAsia" w:ascii="宋体" w:hAnsi="宋体" w:cs="宋体"/>
          <w:color w:val="auto"/>
          <w:szCs w:val="21"/>
          <w:highlight w:val="none"/>
        </w:rPr>
        <w:t>（北京时间）</w:t>
      </w:r>
    </w:p>
    <w:p w14:paraId="13761C2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5.2地点：云南冠睿咨询有限公司电子</w:t>
      </w:r>
      <w:r>
        <w:rPr>
          <w:rFonts w:hint="eastAsia" w:ascii="宋体" w:hAnsi="宋体" w:cs="宋体"/>
          <w:color w:val="auto"/>
          <w:szCs w:val="21"/>
          <w:highlight w:val="none"/>
          <w:lang w:val="en-US" w:eastAsia="zh-CN"/>
        </w:rPr>
        <w:t>评标五</w:t>
      </w:r>
      <w:r>
        <w:rPr>
          <w:rFonts w:hint="eastAsia" w:ascii="宋体" w:hAnsi="宋体" w:cs="宋体"/>
          <w:color w:val="auto"/>
          <w:szCs w:val="21"/>
          <w:highlight w:val="none"/>
        </w:rPr>
        <w:t>厅（云南省昆明市西山区万达广场南塔33层3310号），供应商无需到达开标地点，须在“政采云”平台进行远程解密电子版响应文件。</w:t>
      </w:r>
    </w:p>
    <w:p w14:paraId="70FF46CC">
      <w:pPr>
        <w:pStyle w:val="5"/>
        <w:spacing w:before="0" w:after="0" w:line="360" w:lineRule="auto"/>
        <w:rPr>
          <w:rFonts w:hAnsi="宋体" w:cs="宋体"/>
          <w:color w:val="auto"/>
          <w:szCs w:val="24"/>
          <w:highlight w:val="none"/>
        </w:rPr>
      </w:pPr>
      <w:r>
        <w:rPr>
          <w:rFonts w:hint="eastAsia" w:hAnsi="宋体" w:cs="宋体"/>
          <w:color w:val="auto"/>
          <w:szCs w:val="24"/>
          <w:highlight w:val="none"/>
        </w:rPr>
        <w:t>六、公告期限</w:t>
      </w:r>
      <w:bookmarkEnd w:id="25"/>
      <w:bookmarkEnd w:id="26"/>
      <w:bookmarkEnd w:id="27"/>
    </w:p>
    <w:p w14:paraId="76B2DB05">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自本公告发布之日起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w:t>
      </w:r>
    </w:p>
    <w:p w14:paraId="6D71AD2F">
      <w:pPr>
        <w:pStyle w:val="5"/>
        <w:spacing w:before="0" w:after="0" w:line="360" w:lineRule="auto"/>
        <w:rPr>
          <w:rFonts w:hAnsi="宋体" w:cs="宋体"/>
          <w:color w:val="auto"/>
          <w:szCs w:val="24"/>
          <w:highlight w:val="none"/>
        </w:rPr>
      </w:pPr>
      <w:bookmarkStart w:id="28" w:name="_Toc25819"/>
      <w:bookmarkStart w:id="29" w:name="_Toc29486"/>
      <w:bookmarkStart w:id="30" w:name="_Toc4759"/>
      <w:bookmarkStart w:id="31" w:name="_Toc35393795"/>
      <w:bookmarkStart w:id="32" w:name="_Toc35393626"/>
      <w:r>
        <w:rPr>
          <w:rFonts w:hint="eastAsia" w:hAnsi="宋体" w:cs="宋体"/>
          <w:color w:val="auto"/>
          <w:szCs w:val="24"/>
          <w:highlight w:val="none"/>
        </w:rPr>
        <w:t>七、其他补充事宜</w:t>
      </w:r>
      <w:bookmarkEnd w:id="28"/>
      <w:bookmarkEnd w:id="29"/>
      <w:bookmarkEnd w:id="30"/>
      <w:bookmarkEnd w:id="31"/>
      <w:bookmarkEnd w:id="32"/>
    </w:p>
    <w:p w14:paraId="49F61383">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7.1发布公告的媒介：本次竞争性磋商公告在“云南省政府采购网”上发布。</w:t>
      </w:r>
    </w:p>
    <w:p w14:paraId="4EE894B8">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7.2本项目需要落实的政府采购政策：促进中小企业发展、促进残疾人就业、支持监狱企业发展、政府采购活动中查询及使用信用记录等，政府采购政策具体落实情况详见本项目竞争性磋商文件。</w:t>
      </w:r>
    </w:p>
    <w:p w14:paraId="2197764F">
      <w:pPr>
        <w:pStyle w:val="5"/>
        <w:spacing w:before="0" w:after="0" w:line="360" w:lineRule="auto"/>
        <w:rPr>
          <w:rFonts w:hAnsi="宋体" w:cs="宋体"/>
          <w:color w:val="auto"/>
          <w:szCs w:val="24"/>
          <w:highlight w:val="none"/>
        </w:rPr>
      </w:pPr>
      <w:bookmarkStart w:id="33" w:name="_Toc4821"/>
      <w:bookmarkStart w:id="34" w:name="_Toc27286"/>
      <w:bookmarkStart w:id="35" w:name="_Toc10517"/>
      <w:r>
        <w:rPr>
          <w:rFonts w:hint="eastAsia" w:hAnsi="宋体" w:cs="宋体"/>
          <w:color w:val="auto"/>
          <w:szCs w:val="24"/>
          <w:highlight w:val="none"/>
        </w:rPr>
        <w:t>八、对本次采购提出询问，请按以下方式联系</w:t>
      </w:r>
      <w:bookmarkEnd w:id="33"/>
      <w:bookmarkEnd w:id="34"/>
      <w:bookmarkEnd w:id="35"/>
    </w:p>
    <w:p w14:paraId="084FD9EF">
      <w:pPr>
        <w:widowControl/>
        <w:spacing w:line="360" w:lineRule="auto"/>
        <w:ind w:firstLine="420" w:firstLineChars="200"/>
        <w:jc w:val="left"/>
        <w:rPr>
          <w:rFonts w:ascii="宋体" w:hAnsi="宋体"/>
          <w:bCs/>
          <w:color w:val="auto"/>
          <w:szCs w:val="21"/>
          <w:highlight w:val="none"/>
        </w:rPr>
      </w:pPr>
      <w:bookmarkStart w:id="36" w:name="_Toc498512113"/>
      <w:bookmarkStart w:id="37" w:name="_Toc482610877"/>
      <w:r>
        <w:rPr>
          <w:rFonts w:hint="eastAsia" w:ascii="宋体" w:hAnsi="宋体"/>
          <w:bCs/>
          <w:color w:val="auto"/>
          <w:szCs w:val="21"/>
          <w:highlight w:val="none"/>
        </w:rPr>
        <w:t>8.1.采购人信息</w:t>
      </w:r>
    </w:p>
    <w:p w14:paraId="023C6380">
      <w:pPr>
        <w:widowControl/>
        <w:spacing w:line="360" w:lineRule="auto"/>
        <w:ind w:firstLine="420" w:firstLineChars="200"/>
        <w:jc w:val="left"/>
        <w:rPr>
          <w:rFonts w:ascii="宋体"/>
          <w:bCs/>
          <w:color w:val="auto"/>
          <w:szCs w:val="21"/>
          <w:highlight w:val="none"/>
        </w:rPr>
      </w:pPr>
      <w:r>
        <w:rPr>
          <w:rFonts w:hint="eastAsia" w:ascii="宋体" w:hAnsi="宋体"/>
          <w:bCs/>
          <w:color w:val="auto"/>
          <w:szCs w:val="21"/>
          <w:highlight w:val="none"/>
        </w:rPr>
        <w:t>名称：云南省基础测绘技术中心</w:t>
      </w:r>
    </w:p>
    <w:p w14:paraId="65D38BD7">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地址：云南省昆明市西昌路223号</w:t>
      </w:r>
    </w:p>
    <w:p w14:paraId="688A3FD6">
      <w:pPr>
        <w:widowControl/>
        <w:spacing w:line="360" w:lineRule="auto"/>
        <w:ind w:firstLine="420" w:firstLineChars="200"/>
        <w:jc w:val="left"/>
        <w:rPr>
          <w:rFonts w:ascii="宋体"/>
          <w:bCs/>
          <w:color w:val="auto"/>
          <w:szCs w:val="21"/>
          <w:highlight w:val="none"/>
        </w:rPr>
      </w:pPr>
      <w:r>
        <w:rPr>
          <w:rFonts w:hint="eastAsia" w:ascii="宋体" w:hAnsi="宋体"/>
          <w:bCs/>
          <w:color w:val="auto"/>
          <w:szCs w:val="21"/>
          <w:highlight w:val="none"/>
        </w:rPr>
        <w:t>联系人：严老师</w:t>
      </w:r>
    </w:p>
    <w:p w14:paraId="6FC31F0A">
      <w:pPr>
        <w:widowControl/>
        <w:spacing w:line="360" w:lineRule="auto"/>
        <w:ind w:firstLine="420" w:firstLineChars="200"/>
        <w:jc w:val="left"/>
        <w:rPr>
          <w:rFonts w:hint="default" w:ascii="宋体" w:hAnsi="宋体" w:eastAsia="宋体"/>
          <w:bCs/>
          <w:color w:val="auto"/>
          <w:szCs w:val="21"/>
          <w:highlight w:val="none"/>
          <w:lang w:val="en-US" w:eastAsia="zh-CN"/>
        </w:rPr>
      </w:pPr>
      <w:r>
        <w:rPr>
          <w:rFonts w:hint="eastAsia" w:ascii="宋体" w:hAnsi="宋体"/>
          <w:bCs/>
          <w:color w:val="auto"/>
          <w:szCs w:val="21"/>
          <w:highlight w:val="none"/>
        </w:rPr>
        <w:t>联系电话：0871-64116002</w:t>
      </w:r>
    </w:p>
    <w:p w14:paraId="6CCC4A86">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8.2.采购代理机构信息</w:t>
      </w:r>
    </w:p>
    <w:p w14:paraId="146C1A9B">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名称：云南冠睿咨询有限公司</w:t>
      </w:r>
    </w:p>
    <w:p w14:paraId="25AE537F">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地址：云南省昆明市西山区万达广场南塔32楼3201号、33楼3310号</w:t>
      </w:r>
    </w:p>
    <w:p w14:paraId="7413D9F5">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联系方式：0871-65511240、0871-65511241</w:t>
      </w:r>
    </w:p>
    <w:p w14:paraId="23672BE3">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8.3.项目联系方式</w:t>
      </w:r>
    </w:p>
    <w:p w14:paraId="59DD53E9">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项目联系人：肖枝莲、王彦飞、李腾芳、王国玺、吴翊</w:t>
      </w:r>
    </w:p>
    <w:p w14:paraId="4740F411">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电话：0871-65511240、0871-65511241</w:t>
      </w:r>
    </w:p>
    <w:bookmarkEnd w:id="36"/>
    <w:bookmarkEnd w:id="37"/>
    <w:p w14:paraId="0348DF2B">
      <w:pPr>
        <w:pStyle w:val="2"/>
        <w:rPr>
          <w:rFonts w:ascii="宋体"/>
          <w:color w:val="auto"/>
          <w:highlight w:val="none"/>
        </w:rPr>
      </w:pPr>
      <w:r>
        <w:rPr>
          <w:rFonts w:hint="eastAsia" w:ascii="宋体" w:hAnsi="宋体" w:cs="黑体"/>
          <w:color w:val="auto"/>
          <w:highlight w:val="none"/>
        </w:rPr>
        <w:br w:type="page"/>
      </w:r>
      <w:bookmarkStart w:id="38" w:name="_Toc5500"/>
      <w:r>
        <w:rPr>
          <w:rFonts w:hint="eastAsia" w:ascii="宋体" w:hAnsi="宋体" w:cs="黑体"/>
          <w:color w:val="auto"/>
          <w:highlight w:val="none"/>
        </w:rPr>
        <w:t>第二章</w:t>
      </w:r>
      <w:r>
        <w:rPr>
          <w:rFonts w:ascii="宋体" w:hAnsi="宋体" w:cs="黑体"/>
          <w:color w:val="auto"/>
          <w:highlight w:val="none"/>
        </w:rPr>
        <w:t xml:space="preserve"> </w:t>
      </w:r>
      <w:r>
        <w:rPr>
          <w:rFonts w:hint="eastAsia" w:ascii="宋体" w:hAnsi="宋体" w:cs="黑体"/>
          <w:color w:val="auto"/>
          <w:highlight w:val="none"/>
        </w:rPr>
        <w:t>供应商须知</w:t>
      </w:r>
      <w:bookmarkEnd w:id="2"/>
      <w:bookmarkEnd w:id="3"/>
      <w:bookmarkEnd w:id="4"/>
      <w:bookmarkEnd w:id="5"/>
      <w:bookmarkEnd w:id="38"/>
    </w:p>
    <w:p w14:paraId="2AD91F01">
      <w:pPr>
        <w:pStyle w:val="4"/>
        <w:jc w:val="center"/>
        <w:rPr>
          <w:rFonts w:ascii="宋体" w:cs="黑体"/>
          <w:color w:val="auto"/>
          <w:spacing w:val="0"/>
          <w:kern w:val="0"/>
          <w:sz w:val="28"/>
          <w:szCs w:val="28"/>
          <w:highlight w:val="none"/>
        </w:rPr>
      </w:pPr>
      <w:bookmarkStart w:id="39" w:name="_Toc378239349"/>
      <w:bookmarkStart w:id="40" w:name="_Toc12595"/>
      <w:bookmarkStart w:id="41" w:name="_Toc401342132"/>
      <w:bookmarkStart w:id="42" w:name="_Toc21064"/>
      <w:bookmarkStart w:id="43" w:name="_Toc489145702"/>
      <w:bookmarkStart w:id="44" w:name="_Toc378239076"/>
      <w:bookmarkStart w:id="45" w:name="_Toc7842"/>
      <w:bookmarkStart w:id="46" w:name="_Toc480817642"/>
      <w:bookmarkStart w:id="47" w:name="_Toc488633603"/>
      <w:bookmarkStart w:id="48" w:name="_Toc378239168"/>
      <w:r>
        <w:rPr>
          <w:rFonts w:hint="eastAsia" w:ascii="宋体" w:hAnsi="宋体" w:cs="黑体"/>
          <w:color w:val="auto"/>
          <w:spacing w:val="0"/>
          <w:kern w:val="0"/>
          <w:sz w:val="28"/>
          <w:szCs w:val="28"/>
          <w:highlight w:val="none"/>
        </w:rPr>
        <w:t>供应商须知前附表</w:t>
      </w:r>
      <w:bookmarkEnd w:id="39"/>
      <w:bookmarkEnd w:id="40"/>
      <w:bookmarkEnd w:id="41"/>
      <w:bookmarkEnd w:id="42"/>
      <w:bookmarkEnd w:id="43"/>
      <w:bookmarkEnd w:id="44"/>
      <w:bookmarkEnd w:id="45"/>
      <w:bookmarkEnd w:id="46"/>
      <w:bookmarkEnd w:id="47"/>
      <w:bookmarkEnd w:id="48"/>
    </w:p>
    <w:tbl>
      <w:tblPr>
        <w:tblStyle w:val="37"/>
        <w:tblW w:w="8878" w:type="dxa"/>
        <w:tblInd w:w="108" w:type="dxa"/>
        <w:tblLayout w:type="fixed"/>
        <w:tblCellMar>
          <w:top w:w="0" w:type="dxa"/>
          <w:left w:w="108" w:type="dxa"/>
          <w:bottom w:w="0" w:type="dxa"/>
          <w:right w:w="108" w:type="dxa"/>
        </w:tblCellMar>
      </w:tblPr>
      <w:tblGrid>
        <w:gridCol w:w="562"/>
        <w:gridCol w:w="2100"/>
        <w:gridCol w:w="5116"/>
        <w:gridCol w:w="1100"/>
      </w:tblGrid>
      <w:tr w14:paraId="3498CDCA">
        <w:tblPrEx>
          <w:tblCellMar>
            <w:top w:w="0" w:type="dxa"/>
            <w:left w:w="108" w:type="dxa"/>
            <w:bottom w:w="0" w:type="dxa"/>
            <w:right w:w="108" w:type="dxa"/>
          </w:tblCellMar>
        </w:tblPrEx>
        <w:trPr>
          <w:trHeight w:val="90" w:hRule="atLeast"/>
        </w:trPr>
        <w:tc>
          <w:tcPr>
            <w:tcW w:w="562" w:type="dxa"/>
            <w:tcBorders>
              <w:top w:val="single" w:color="auto" w:sz="4" w:space="0"/>
              <w:left w:val="single" w:color="auto" w:sz="4" w:space="0"/>
              <w:bottom w:val="single" w:color="auto" w:sz="4" w:space="0"/>
              <w:right w:val="single" w:color="auto" w:sz="4" w:space="0"/>
            </w:tcBorders>
            <w:vAlign w:val="center"/>
          </w:tcPr>
          <w:p w14:paraId="0CCDC783">
            <w:pPr>
              <w:spacing w:line="360" w:lineRule="exact"/>
              <w:jc w:val="center"/>
              <w:rPr>
                <w:rFonts w:ascii="宋体"/>
                <w:b/>
                <w:color w:val="auto"/>
                <w:szCs w:val="21"/>
                <w:highlight w:val="none"/>
              </w:rPr>
            </w:pPr>
            <w:r>
              <w:rPr>
                <w:rFonts w:hint="eastAsia" w:ascii="宋体" w:hAnsi="宋体"/>
                <w:b/>
                <w:color w:val="auto"/>
                <w:szCs w:val="21"/>
                <w:highlight w:val="none"/>
              </w:rPr>
              <w:t>序号</w:t>
            </w:r>
          </w:p>
        </w:tc>
        <w:tc>
          <w:tcPr>
            <w:tcW w:w="2100" w:type="dxa"/>
            <w:tcBorders>
              <w:top w:val="single" w:color="auto" w:sz="4" w:space="0"/>
              <w:left w:val="single" w:color="auto" w:sz="4" w:space="0"/>
              <w:bottom w:val="single" w:color="auto" w:sz="4" w:space="0"/>
              <w:right w:val="single" w:color="auto" w:sz="4" w:space="0"/>
            </w:tcBorders>
            <w:vAlign w:val="center"/>
          </w:tcPr>
          <w:p w14:paraId="02DD7061">
            <w:pPr>
              <w:spacing w:line="360" w:lineRule="exact"/>
              <w:jc w:val="center"/>
              <w:rPr>
                <w:rFonts w:ascii="宋体"/>
                <w:b/>
                <w:color w:val="auto"/>
                <w:szCs w:val="21"/>
                <w:highlight w:val="none"/>
              </w:rPr>
            </w:pPr>
            <w:r>
              <w:rPr>
                <w:rFonts w:hint="eastAsia" w:ascii="宋体" w:hAnsi="宋体"/>
                <w:b/>
                <w:color w:val="auto"/>
                <w:szCs w:val="21"/>
                <w:highlight w:val="none"/>
              </w:rPr>
              <w:t>条</w:t>
            </w:r>
            <w:r>
              <w:rPr>
                <w:rFonts w:ascii="宋体" w:hAnsi="宋体"/>
                <w:b/>
                <w:color w:val="auto"/>
                <w:szCs w:val="21"/>
                <w:highlight w:val="none"/>
              </w:rPr>
              <w:t xml:space="preserve">  </w:t>
            </w:r>
            <w:r>
              <w:rPr>
                <w:rFonts w:hint="eastAsia" w:ascii="宋体" w:hAnsi="宋体"/>
                <w:b/>
                <w:color w:val="auto"/>
                <w:szCs w:val="21"/>
                <w:highlight w:val="none"/>
              </w:rPr>
              <w:t>款</w:t>
            </w:r>
            <w:r>
              <w:rPr>
                <w:rFonts w:ascii="宋体" w:hAnsi="宋体"/>
                <w:b/>
                <w:color w:val="auto"/>
                <w:szCs w:val="21"/>
                <w:highlight w:val="none"/>
              </w:rPr>
              <w:t xml:space="preserve">  </w:t>
            </w:r>
            <w:r>
              <w:rPr>
                <w:rFonts w:hint="eastAsia" w:ascii="宋体" w:hAnsi="宋体"/>
                <w:b/>
                <w:color w:val="auto"/>
                <w:szCs w:val="21"/>
                <w:highlight w:val="none"/>
              </w:rPr>
              <w:t>名</w:t>
            </w:r>
            <w:r>
              <w:rPr>
                <w:rFonts w:ascii="宋体" w:hAnsi="宋体"/>
                <w:b/>
                <w:color w:val="auto"/>
                <w:szCs w:val="21"/>
                <w:highlight w:val="none"/>
              </w:rPr>
              <w:t xml:space="preserve">  </w:t>
            </w:r>
            <w:r>
              <w:rPr>
                <w:rFonts w:hint="eastAsia" w:ascii="宋体" w:hAnsi="宋体"/>
                <w:b/>
                <w:color w:val="auto"/>
                <w:szCs w:val="21"/>
                <w:highlight w:val="none"/>
              </w:rPr>
              <w:t>称</w:t>
            </w:r>
          </w:p>
        </w:tc>
        <w:tc>
          <w:tcPr>
            <w:tcW w:w="5116" w:type="dxa"/>
            <w:tcBorders>
              <w:top w:val="single" w:color="auto" w:sz="4" w:space="0"/>
              <w:left w:val="single" w:color="auto" w:sz="4" w:space="0"/>
              <w:bottom w:val="single" w:color="auto" w:sz="4" w:space="0"/>
              <w:right w:val="single" w:color="auto" w:sz="4" w:space="0"/>
            </w:tcBorders>
            <w:vAlign w:val="center"/>
          </w:tcPr>
          <w:p w14:paraId="23D9FB94">
            <w:pPr>
              <w:spacing w:line="360" w:lineRule="exact"/>
              <w:jc w:val="center"/>
              <w:rPr>
                <w:rFonts w:ascii="宋体"/>
                <w:b/>
                <w:color w:val="auto"/>
                <w:szCs w:val="21"/>
                <w:highlight w:val="none"/>
              </w:rPr>
            </w:pPr>
            <w:r>
              <w:rPr>
                <w:rFonts w:hint="eastAsia" w:ascii="宋体" w:hAnsi="宋体"/>
                <w:b/>
                <w:color w:val="auto"/>
                <w:szCs w:val="21"/>
                <w:highlight w:val="none"/>
              </w:rPr>
              <w:t>编</w:t>
            </w:r>
            <w:r>
              <w:rPr>
                <w:rFonts w:ascii="宋体" w:hAnsi="宋体"/>
                <w:b/>
                <w:color w:val="auto"/>
                <w:szCs w:val="21"/>
                <w:highlight w:val="none"/>
              </w:rPr>
              <w:t xml:space="preserve">  </w:t>
            </w:r>
            <w:r>
              <w:rPr>
                <w:rFonts w:hint="eastAsia" w:ascii="宋体" w:hAnsi="宋体"/>
                <w:b/>
                <w:color w:val="auto"/>
                <w:szCs w:val="21"/>
                <w:highlight w:val="none"/>
              </w:rPr>
              <w:t>列</w:t>
            </w:r>
            <w:r>
              <w:rPr>
                <w:rFonts w:ascii="宋体" w:hAnsi="宋体"/>
                <w:b/>
                <w:color w:val="auto"/>
                <w:szCs w:val="21"/>
                <w:highlight w:val="none"/>
              </w:rPr>
              <w:t xml:space="preserve">  </w:t>
            </w: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c>
          <w:tcPr>
            <w:tcW w:w="1100" w:type="dxa"/>
            <w:tcBorders>
              <w:top w:val="single" w:color="auto" w:sz="4" w:space="0"/>
              <w:left w:val="single" w:color="auto" w:sz="4" w:space="0"/>
              <w:bottom w:val="single" w:color="auto" w:sz="4" w:space="0"/>
              <w:right w:val="single" w:color="auto" w:sz="4" w:space="0"/>
            </w:tcBorders>
            <w:vAlign w:val="center"/>
          </w:tcPr>
          <w:p w14:paraId="5F3C2077">
            <w:pPr>
              <w:spacing w:line="360" w:lineRule="exact"/>
              <w:jc w:val="center"/>
              <w:rPr>
                <w:rFonts w:ascii="宋体" w:hAnsi="宋体"/>
                <w:b/>
                <w:color w:val="auto"/>
                <w:szCs w:val="21"/>
                <w:highlight w:val="none"/>
              </w:rPr>
            </w:pPr>
            <w:r>
              <w:rPr>
                <w:rFonts w:hint="eastAsia" w:ascii="宋体" w:hAnsi="宋体"/>
                <w:b/>
                <w:color w:val="auto"/>
                <w:szCs w:val="21"/>
                <w:highlight w:val="none"/>
              </w:rPr>
              <w:t>总则正文条款号</w:t>
            </w:r>
          </w:p>
        </w:tc>
      </w:tr>
      <w:tr w14:paraId="485751A3">
        <w:tblPrEx>
          <w:tblCellMar>
            <w:top w:w="0" w:type="dxa"/>
            <w:left w:w="108" w:type="dxa"/>
            <w:bottom w:w="0" w:type="dxa"/>
            <w:right w:w="108" w:type="dxa"/>
          </w:tblCellMar>
        </w:tblPrEx>
        <w:trPr>
          <w:trHeight w:val="90" w:hRule="atLeast"/>
        </w:trPr>
        <w:tc>
          <w:tcPr>
            <w:tcW w:w="562" w:type="dxa"/>
            <w:tcBorders>
              <w:top w:val="single" w:color="auto" w:sz="4" w:space="0"/>
              <w:left w:val="single" w:color="auto" w:sz="4" w:space="0"/>
              <w:bottom w:val="single" w:color="auto" w:sz="4" w:space="0"/>
              <w:right w:val="single" w:color="auto" w:sz="4" w:space="0"/>
            </w:tcBorders>
            <w:vAlign w:val="center"/>
          </w:tcPr>
          <w:p w14:paraId="53B3CBBC">
            <w:pPr>
              <w:spacing w:line="360" w:lineRule="exact"/>
              <w:jc w:val="center"/>
              <w:rPr>
                <w:rFonts w:ascii="宋体"/>
                <w:color w:val="auto"/>
                <w:szCs w:val="21"/>
                <w:highlight w:val="none"/>
              </w:rPr>
            </w:pPr>
            <w:r>
              <w:rPr>
                <w:rFonts w:hint="eastAsia" w:ascii="宋体"/>
                <w:color w:val="auto"/>
                <w:szCs w:val="21"/>
                <w:highlight w:val="none"/>
              </w:rPr>
              <w:t>1</w:t>
            </w:r>
          </w:p>
        </w:tc>
        <w:tc>
          <w:tcPr>
            <w:tcW w:w="2100" w:type="dxa"/>
            <w:tcBorders>
              <w:top w:val="single" w:color="auto" w:sz="4" w:space="0"/>
              <w:left w:val="single" w:color="auto" w:sz="4" w:space="0"/>
              <w:bottom w:val="single" w:color="auto" w:sz="4" w:space="0"/>
              <w:right w:val="single" w:color="auto" w:sz="4" w:space="0"/>
            </w:tcBorders>
            <w:vAlign w:val="center"/>
          </w:tcPr>
          <w:p w14:paraId="4FE1A891">
            <w:pPr>
              <w:spacing w:line="360" w:lineRule="exact"/>
              <w:jc w:val="center"/>
              <w:rPr>
                <w:rFonts w:ascii="宋体"/>
                <w:color w:val="auto"/>
                <w:szCs w:val="21"/>
                <w:highlight w:val="none"/>
              </w:rPr>
            </w:pPr>
            <w:r>
              <w:rPr>
                <w:rFonts w:hint="eastAsia" w:ascii="宋体" w:hAnsi="宋体"/>
                <w:color w:val="auto"/>
                <w:szCs w:val="21"/>
                <w:highlight w:val="none"/>
              </w:rPr>
              <w:t>采购人</w:t>
            </w:r>
          </w:p>
        </w:tc>
        <w:tc>
          <w:tcPr>
            <w:tcW w:w="5116" w:type="dxa"/>
            <w:tcBorders>
              <w:top w:val="single" w:color="auto" w:sz="4" w:space="0"/>
              <w:left w:val="single" w:color="auto" w:sz="4" w:space="0"/>
              <w:bottom w:val="single" w:color="auto" w:sz="4" w:space="0"/>
              <w:right w:val="single" w:color="auto" w:sz="4" w:space="0"/>
            </w:tcBorders>
            <w:vAlign w:val="center"/>
          </w:tcPr>
          <w:p w14:paraId="12D08918">
            <w:pPr>
              <w:spacing w:line="360" w:lineRule="exact"/>
              <w:rPr>
                <w:rFonts w:ascii="宋体"/>
                <w:color w:val="auto"/>
                <w:szCs w:val="21"/>
                <w:highlight w:val="none"/>
              </w:rPr>
            </w:pPr>
            <w:r>
              <w:rPr>
                <w:rFonts w:hint="eastAsia" w:ascii="宋体" w:hAnsi="宋体"/>
                <w:color w:val="auto"/>
                <w:szCs w:val="21"/>
                <w:highlight w:val="none"/>
              </w:rPr>
              <w:t>云南省基础测绘技术中心</w:t>
            </w:r>
          </w:p>
        </w:tc>
        <w:tc>
          <w:tcPr>
            <w:tcW w:w="1100" w:type="dxa"/>
            <w:tcBorders>
              <w:top w:val="single" w:color="auto" w:sz="4" w:space="0"/>
              <w:left w:val="single" w:color="auto" w:sz="4" w:space="0"/>
              <w:bottom w:val="single" w:color="auto" w:sz="4" w:space="0"/>
              <w:right w:val="single" w:color="auto" w:sz="4" w:space="0"/>
            </w:tcBorders>
            <w:vAlign w:val="center"/>
          </w:tcPr>
          <w:p w14:paraId="674C7C83">
            <w:pPr>
              <w:spacing w:line="360" w:lineRule="exact"/>
              <w:jc w:val="center"/>
              <w:rPr>
                <w:rFonts w:ascii="宋体" w:hAnsi="宋体"/>
                <w:color w:val="auto"/>
                <w:szCs w:val="21"/>
                <w:highlight w:val="none"/>
              </w:rPr>
            </w:pPr>
            <w:r>
              <w:rPr>
                <w:rFonts w:ascii="宋体" w:hAnsi="宋体"/>
                <w:color w:val="auto"/>
                <w:szCs w:val="21"/>
                <w:highlight w:val="none"/>
              </w:rPr>
              <w:t>1.2</w:t>
            </w:r>
          </w:p>
        </w:tc>
      </w:tr>
      <w:tr w14:paraId="464464E4">
        <w:tblPrEx>
          <w:tblCellMar>
            <w:top w:w="0" w:type="dxa"/>
            <w:left w:w="108" w:type="dxa"/>
            <w:bottom w:w="0" w:type="dxa"/>
            <w:right w:w="108" w:type="dxa"/>
          </w:tblCellMar>
        </w:tblPrEx>
        <w:trPr>
          <w:trHeight w:val="119" w:hRule="atLeast"/>
        </w:trPr>
        <w:tc>
          <w:tcPr>
            <w:tcW w:w="562" w:type="dxa"/>
            <w:tcBorders>
              <w:top w:val="single" w:color="auto" w:sz="4" w:space="0"/>
              <w:left w:val="single" w:color="auto" w:sz="4" w:space="0"/>
              <w:bottom w:val="single" w:color="auto" w:sz="4" w:space="0"/>
              <w:right w:val="single" w:color="auto" w:sz="4" w:space="0"/>
            </w:tcBorders>
            <w:vAlign w:val="center"/>
          </w:tcPr>
          <w:p w14:paraId="29619E90">
            <w:pPr>
              <w:spacing w:line="360" w:lineRule="exact"/>
              <w:jc w:val="center"/>
              <w:rPr>
                <w:rFonts w:ascii="宋体"/>
                <w:color w:val="auto"/>
                <w:szCs w:val="21"/>
                <w:highlight w:val="none"/>
              </w:rPr>
            </w:pPr>
            <w:r>
              <w:rPr>
                <w:rFonts w:hint="eastAsia" w:ascii="宋体"/>
                <w:color w:val="auto"/>
                <w:szCs w:val="21"/>
                <w:highlight w:val="none"/>
              </w:rPr>
              <w:t>2</w:t>
            </w:r>
          </w:p>
        </w:tc>
        <w:tc>
          <w:tcPr>
            <w:tcW w:w="2100" w:type="dxa"/>
            <w:tcBorders>
              <w:top w:val="single" w:color="auto" w:sz="4" w:space="0"/>
              <w:left w:val="single" w:color="auto" w:sz="4" w:space="0"/>
              <w:bottom w:val="single" w:color="auto" w:sz="4" w:space="0"/>
              <w:right w:val="single" w:color="auto" w:sz="4" w:space="0"/>
            </w:tcBorders>
            <w:vAlign w:val="center"/>
          </w:tcPr>
          <w:p w14:paraId="1A0740C8">
            <w:pPr>
              <w:spacing w:line="360" w:lineRule="exact"/>
              <w:jc w:val="center"/>
              <w:rPr>
                <w:rFonts w:ascii="宋体"/>
                <w:color w:val="auto"/>
                <w:szCs w:val="21"/>
                <w:highlight w:val="none"/>
              </w:rPr>
            </w:pPr>
            <w:r>
              <w:rPr>
                <w:rFonts w:hint="eastAsia" w:ascii="宋体" w:hAnsi="宋体"/>
                <w:color w:val="auto"/>
                <w:szCs w:val="21"/>
                <w:highlight w:val="none"/>
              </w:rPr>
              <w:t>采购代理机构</w:t>
            </w:r>
          </w:p>
        </w:tc>
        <w:tc>
          <w:tcPr>
            <w:tcW w:w="5116" w:type="dxa"/>
            <w:tcBorders>
              <w:top w:val="single" w:color="auto" w:sz="4" w:space="0"/>
              <w:left w:val="single" w:color="auto" w:sz="4" w:space="0"/>
              <w:bottom w:val="single" w:color="auto" w:sz="4" w:space="0"/>
              <w:right w:val="single" w:color="auto" w:sz="4" w:space="0"/>
            </w:tcBorders>
            <w:vAlign w:val="center"/>
          </w:tcPr>
          <w:p w14:paraId="7CF31D04">
            <w:pPr>
              <w:spacing w:line="360" w:lineRule="exact"/>
              <w:rPr>
                <w:rFonts w:ascii="宋体"/>
                <w:color w:val="auto"/>
                <w:szCs w:val="21"/>
                <w:highlight w:val="none"/>
              </w:rPr>
            </w:pPr>
            <w:r>
              <w:rPr>
                <w:rFonts w:hint="eastAsia" w:ascii="宋体" w:hAnsi="宋体"/>
                <w:color w:val="auto"/>
                <w:szCs w:val="21"/>
                <w:highlight w:val="none"/>
              </w:rPr>
              <w:t>云南冠睿咨询有限公司</w:t>
            </w:r>
          </w:p>
        </w:tc>
        <w:tc>
          <w:tcPr>
            <w:tcW w:w="1100" w:type="dxa"/>
            <w:tcBorders>
              <w:top w:val="single" w:color="auto" w:sz="4" w:space="0"/>
              <w:left w:val="single" w:color="auto" w:sz="4" w:space="0"/>
              <w:bottom w:val="single" w:color="auto" w:sz="4" w:space="0"/>
              <w:right w:val="single" w:color="auto" w:sz="4" w:space="0"/>
            </w:tcBorders>
            <w:vAlign w:val="center"/>
          </w:tcPr>
          <w:p w14:paraId="008D5022">
            <w:pPr>
              <w:spacing w:line="360" w:lineRule="exact"/>
              <w:jc w:val="center"/>
              <w:rPr>
                <w:rFonts w:ascii="宋体" w:hAnsi="宋体"/>
                <w:color w:val="auto"/>
                <w:szCs w:val="21"/>
                <w:highlight w:val="none"/>
              </w:rPr>
            </w:pPr>
            <w:r>
              <w:rPr>
                <w:rFonts w:ascii="宋体" w:hAnsi="宋体"/>
                <w:color w:val="auto"/>
                <w:szCs w:val="21"/>
                <w:highlight w:val="none"/>
              </w:rPr>
              <w:t>1.3</w:t>
            </w:r>
          </w:p>
        </w:tc>
      </w:tr>
      <w:tr w14:paraId="417A7D31">
        <w:tblPrEx>
          <w:tblCellMar>
            <w:top w:w="0" w:type="dxa"/>
            <w:left w:w="108" w:type="dxa"/>
            <w:bottom w:w="0" w:type="dxa"/>
            <w:right w:w="108" w:type="dxa"/>
          </w:tblCellMar>
        </w:tblPrEx>
        <w:trPr>
          <w:trHeight w:val="801" w:hRule="atLeast"/>
        </w:trPr>
        <w:tc>
          <w:tcPr>
            <w:tcW w:w="562" w:type="dxa"/>
            <w:tcBorders>
              <w:top w:val="single" w:color="auto" w:sz="4" w:space="0"/>
              <w:left w:val="single" w:color="auto" w:sz="4" w:space="0"/>
              <w:bottom w:val="single" w:color="auto" w:sz="4" w:space="0"/>
              <w:right w:val="single" w:color="auto" w:sz="4" w:space="0"/>
            </w:tcBorders>
            <w:vAlign w:val="center"/>
          </w:tcPr>
          <w:p w14:paraId="7B5A0AAB">
            <w:pPr>
              <w:spacing w:line="360" w:lineRule="exact"/>
              <w:jc w:val="center"/>
              <w:rPr>
                <w:rFonts w:ascii="宋体"/>
                <w:color w:val="auto"/>
                <w:szCs w:val="21"/>
                <w:highlight w:val="none"/>
              </w:rPr>
            </w:pPr>
            <w:r>
              <w:rPr>
                <w:rFonts w:hint="eastAsia" w:ascii="宋体"/>
                <w:color w:val="auto"/>
                <w:szCs w:val="21"/>
                <w:highlight w:val="none"/>
              </w:rPr>
              <w:t>3</w:t>
            </w:r>
          </w:p>
        </w:tc>
        <w:tc>
          <w:tcPr>
            <w:tcW w:w="2100" w:type="dxa"/>
            <w:tcBorders>
              <w:top w:val="single" w:color="auto" w:sz="4" w:space="0"/>
              <w:left w:val="single" w:color="auto" w:sz="4" w:space="0"/>
              <w:bottom w:val="single" w:color="auto" w:sz="4" w:space="0"/>
              <w:right w:val="single" w:color="auto" w:sz="4" w:space="0"/>
            </w:tcBorders>
            <w:vAlign w:val="center"/>
          </w:tcPr>
          <w:p w14:paraId="080987E1">
            <w:pPr>
              <w:spacing w:line="360" w:lineRule="exact"/>
              <w:jc w:val="center"/>
              <w:rPr>
                <w:rFonts w:ascii="宋体"/>
                <w:color w:val="auto"/>
                <w:szCs w:val="21"/>
                <w:highlight w:val="none"/>
              </w:rPr>
            </w:pPr>
            <w:r>
              <w:rPr>
                <w:rFonts w:hint="eastAsia" w:ascii="宋体" w:hAnsi="宋体"/>
                <w:color w:val="auto"/>
                <w:szCs w:val="21"/>
                <w:highlight w:val="none"/>
              </w:rPr>
              <w:t>项目名称及项目编号</w:t>
            </w:r>
          </w:p>
        </w:tc>
        <w:tc>
          <w:tcPr>
            <w:tcW w:w="5116" w:type="dxa"/>
            <w:tcBorders>
              <w:top w:val="single" w:color="auto" w:sz="4" w:space="0"/>
              <w:left w:val="single" w:color="auto" w:sz="4" w:space="0"/>
              <w:bottom w:val="single" w:color="auto" w:sz="4" w:space="0"/>
              <w:right w:val="single" w:color="auto" w:sz="4" w:space="0"/>
            </w:tcBorders>
            <w:vAlign w:val="center"/>
          </w:tcPr>
          <w:p w14:paraId="1AB71757">
            <w:pPr>
              <w:spacing w:line="360" w:lineRule="exact"/>
              <w:rPr>
                <w:rFonts w:hint="eastAsia" w:asci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云南省基础测绘技术中心省级数据中心和基准站维修（护）项目</w:t>
            </w:r>
          </w:p>
          <w:p w14:paraId="0566C08E">
            <w:pPr>
              <w:spacing w:line="360" w:lineRule="exact"/>
              <w:rPr>
                <w:rFonts w:hint="eastAsia" w:asci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YNZC2026-C3-02733-YNGR-0201</w:t>
            </w:r>
          </w:p>
        </w:tc>
        <w:tc>
          <w:tcPr>
            <w:tcW w:w="1100" w:type="dxa"/>
            <w:tcBorders>
              <w:top w:val="single" w:color="auto" w:sz="4" w:space="0"/>
              <w:left w:val="single" w:color="auto" w:sz="4" w:space="0"/>
              <w:bottom w:val="single" w:color="auto" w:sz="4" w:space="0"/>
              <w:right w:val="single" w:color="auto" w:sz="4" w:space="0"/>
            </w:tcBorders>
            <w:vAlign w:val="center"/>
          </w:tcPr>
          <w:p w14:paraId="229F4E1B">
            <w:pPr>
              <w:spacing w:line="360" w:lineRule="exact"/>
              <w:jc w:val="center"/>
              <w:rPr>
                <w:rFonts w:ascii="宋体" w:hAnsi="宋体"/>
                <w:color w:val="auto"/>
                <w:szCs w:val="21"/>
                <w:highlight w:val="none"/>
              </w:rPr>
            </w:pPr>
            <w:r>
              <w:rPr>
                <w:rFonts w:ascii="宋体" w:hAnsi="宋体"/>
                <w:color w:val="auto"/>
                <w:szCs w:val="21"/>
                <w:highlight w:val="none"/>
              </w:rPr>
              <w:t>1.4</w:t>
            </w:r>
          </w:p>
        </w:tc>
      </w:tr>
      <w:tr w14:paraId="1E2979DC">
        <w:tblPrEx>
          <w:tblCellMar>
            <w:top w:w="0" w:type="dxa"/>
            <w:left w:w="108" w:type="dxa"/>
            <w:bottom w:w="0" w:type="dxa"/>
            <w:right w:w="108" w:type="dxa"/>
          </w:tblCellMar>
        </w:tblPrEx>
        <w:trPr>
          <w:trHeight w:val="557" w:hRule="atLeast"/>
        </w:trPr>
        <w:tc>
          <w:tcPr>
            <w:tcW w:w="562" w:type="dxa"/>
            <w:tcBorders>
              <w:top w:val="single" w:color="auto" w:sz="4" w:space="0"/>
              <w:left w:val="single" w:color="auto" w:sz="4" w:space="0"/>
              <w:bottom w:val="single" w:color="auto" w:sz="4" w:space="0"/>
              <w:right w:val="single" w:color="auto" w:sz="4" w:space="0"/>
            </w:tcBorders>
            <w:vAlign w:val="center"/>
          </w:tcPr>
          <w:p w14:paraId="53B929FD">
            <w:pPr>
              <w:spacing w:line="360" w:lineRule="exact"/>
              <w:jc w:val="center"/>
              <w:rPr>
                <w:rFonts w:ascii="宋体"/>
                <w:color w:val="auto"/>
                <w:szCs w:val="21"/>
                <w:highlight w:val="none"/>
              </w:rPr>
            </w:pPr>
            <w:r>
              <w:rPr>
                <w:rFonts w:hint="eastAsia" w:ascii="宋体"/>
                <w:color w:val="auto"/>
                <w:szCs w:val="21"/>
                <w:highlight w:val="none"/>
              </w:rPr>
              <w:t>4</w:t>
            </w:r>
          </w:p>
        </w:tc>
        <w:tc>
          <w:tcPr>
            <w:tcW w:w="2100" w:type="dxa"/>
            <w:tcBorders>
              <w:top w:val="single" w:color="auto" w:sz="4" w:space="0"/>
              <w:left w:val="single" w:color="auto" w:sz="4" w:space="0"/>
              <w:bottom w:val="single" w:color="auto" w:sz="4" w:space="0"/>
              <w:right w:val="single" w:color="auto" w:sz="4" w:space="0"/>
            </w:tcBorders>
            <w:vAlign w:val="center"/>
          </w:tcPr>
          <w:p w14:paraId="7055B88A">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预算金额、最高限价</w:t>
            </w:r>
          </w:p>
        </w:tc>
        <w:tc>
          <w:tcPr>
            <w:tcW w:w="5116" w:type="dxa"/>
            <w:tcBorders>
              <w:top w:val="single" w:color="auto" w:sz="4" w:space="0"/>
              <w:left w:val="single" w:color="auto" w:sz="4" w:space="0"/>
              <w:bottom w:val="single" w:color="auto" w:sz="4" w:space="0"/>
              <w:right w:val="single" w:color="auto" w:sz="4" w:space="0"/>
            </w:tcBorders>
            <w:vAlign w:val="center"/>
          </w:tcPr>
          <w:p w14:paraId="40B9C1C3">
            <w:pPr>
              <w:spacing w:before="40" w:after="40" w:line="360" w:lineRule="exact"/>
              <w:rPr>
                <w:rFonts w:ascii="宋体"/>
                <w:color w:val="auto"/>
                <w:szCs w:val="21"/>
                <w:highlight w:val="none"/>
              </w:rPr>
            </w:pPr>
            <w:r>
              <w:rPr>
                <w:rFonts w:hint="eastAsia" w:ascii="宋体" w:hAnsi="宋体" w:cs="宋体"/>
                <w:color w:val="auto"/>
                <w:szCs w:val="21"/>
                <w:highlight w:val="none"/>
              </w:rPr>
              <w:t>详见竞争性磋商文件第一章《竞争性磋商公告》</w:t>
            </w:r>
            <w:r>
              <w:rPr>
                <w:rFonts w:hint="eastAsia" w:ascii="宋体" w:hAnsi="宋体" w:cs="宋体"/>
                <w:bCs/>
                <w:color w:val="auto"/>
                <w:szCs w:val="21"/>
                <w:highlight w:val="none"/>
              </w:rPr>
              <w:t>“一、项目基本情况”</w:t>
            </w:r>
          </w:p>
        </w:tc>
        <w:tc>
          <w:tcPr>
            <w:tcW w:w="1100" w:type="dxa"/>
            <w:tcBorders>
              <w:top w:val="single" w:color="auto" w:sz="4" w:space="0"/>
              <w:left w:val="single" w:color="auto" w:sz="4" w:space="0"/>
              <w:bottom w:val="single" w:color="auto" w:sz="4" w:space="0"/>
              <w:right w:val="single" w:color="auto" w:sz="4" w:space="0"/>
            </w:tcBorders>
            <w:vAlign w:val="center"/>
          </w:tcPr>
          <w:p w14:paraId="5169FBFD">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2.1</w:t>
            </w:r>
          </w:p>
        </w:tc>
      </w:tr>
      <w:tr w14:paraId="6FB27282">
        <w:tblPrEx>
          <w:tblCellMar>
            <w:top w:w="0" w:type="dxa"/>
            <w:left w:w="108" w:type="dxa"/>
            <w:bottom w:w="0" w:type="dxa"/>
            <w:right w:w="108" w:type="dxa"/>
          </w:tblCellMar>
        </w:tblPrEx>
        <w:trPr>
          <w:trHeight w:val="517" w:hRule="atLeast"/>
        </w:trPr>
        <w:tc>
          <w:tcPr>
            <w:tcW w:w="562" w:type="dxa"/>
            <w:tcBorders>
              <w:top w:val="single" w:color="auto" w:sz="4" w:space="0"/>
              <w:left w:val="single" w:color="auto" w:sz="4" w:space="0"/>
              <w:bottom w:val="single" w:color="auto" w:sz="4" w:space="0"/>
              <w:right w:val="single" w:color="auto" w:sz="4" w:space="0"/>
            </w:tcBorders>
            <w:vAlign w:val="center"/>
          </w:tcPr>
          <w:p w14:paraId="6FF7F8D3">
            <w:pPr>
              <w:spacing w:line="360" w:lineRule="exact"/>
              <w:jc w:val="center"/>
              <w:rPr>
                <w:rFonts w:ascii="宋体"/>
                <w:color w:val="auto"/>
                <w:szCs w:val="21"/>
                <w:highlight w:val="none"/>
              </w:rPr>
            </w:pPr>
            <w:r>
              <w:rPr>
                <w:rFonts w:hint="eastAsia" w:ascii="宋体"/>
                <w:color w:val="auto"/>
                <w:szCs w:val="21"/>
                <w:highlight w:val="none"/>
              </w:rPr>
              <w:t>5</w:t>
            </w:r>
          </w:p>
        </w:tc>
        <w:tc>
          <w:tcPr>
            <w:tcW w:w="2100" w:type="dxa"/>
            <w:tcBorders>
              <w:top w:val="single" w:color="auto" w:sz="4" w:space="0"/>
              <w:left w:val="single" w:color="auto" w:sz="4" w:space="0"/>
              <w:bottom w:val="single" w:color="auto" w:sz="4" w:space="0"/>
              <w:right w:val="single" w:color="auto" w:sz="4" w:space="0"/>
            </w:tcBorders>
            <w:vAlign w:val="center"/>
          </w:tcPr>
          <w:p w14:paraId="6E35D983">
            <w:pPr>
              <w:autoSpaceDE w:val="0"/>
              <w:autoSpaceDN w:val="0"/>
              <w:adjustRightInd w:val="0"/>
              <w:spacing w:line="400" w:lineRule="exact"/>
              <w:ind w:firstLine="105" w:firstLineChars="50"/>
              <w:jc w:val="center"/>
              <w:rPr>
                <w:rFonts w:ascii="宋体"/>
                <w:color w:val="auto"/>
                <w:szCs w:val="21"/>
                <w:highlight w:val="none"/>
              </w:rPr>
            </w:pPr>
            <w:r>
              <w:rPr>
                <w:rFonts w:hint="eastAsia" w:ascii="宋体" w:hAnsi="宋体" w:cs="宋体"/>
                <w:color w:val="auto"/>
                <w:szCs w:val="21"/>
                <w:highlight w:val="none"/>
              </w:rPr>
              <w:t>采购需求</w:t>
            </w:r>
          </w:p>
        </w:tc>
        <w:tc>
          <w:tcPr>
            <w:tcW w:w="5116" w:type="dxa"/>
            <w:tcBorders>
              <w:top w:val="single" w:color="auto" w:sz="4" w:space="0"/>
              <w:left w:val="single" w:color="auto" w:sz="4" w:space="0"/>
              <w:bottom w:val="single" w:color="auto" w:sz="4" w:space="0"/>
              <w:right w:val="single" w:color="auto" w:sz="4" w:space="0"/>
            </w:tcBorders>
            <w:vAlign w:val="center"/>
          </w:tcPr>
          <w:p w14:paraId="60730ABD">
            <w:pPr>
              <w:autoSpaceDE w:val="0"/>
              <w:autoSpaceDN w:val="0"/>
              <w:adjustRightInd w:val="0"/>
              <w:spacing w:line="400" w:lineRule="exact"/>
              <w:rPr>
                <w:rFonts w:ascii="宋体" w:cs="宋体"/>
                <w:color w:val="auto"/>
                <w:kern w:val="0"/>
                <w:szCs w:val="21"/>
                <w:highlight w:val="none"/>
              </w:rPr>
            </w:pPr>
            <w:r>
              <w:rPr>
                <w:rFonts w:hint="eastAsia" w:ascii="宋体" w:hAnsi="宋体" w:cs="宋体"/>
                <w:color w:val="auto"/>
                <w:szCs w:val="21"/>
                <w:highlight w:val="none"/>
              </w:rPr>
              <w:t>详见竞争性磋商文件第一章《竞争性磋商公告》</w:t>
            </w:r>
            <w:r>
              <w:rPr>
                <w:rFonts w:hint="eastAsia" w:ascii="宋体" w:hAnsi="宋体" w:cs="宋体"/>
                <w:bCs/>
                <w:color w:val="auto"/>
                <w:szCs w:val="21"/>
                <w:highlight w:val="none"/>
              </w:rPr>
              <w:t>“一、项目基本情况”</w:t>
            </w:r>
          </w:p>
        </w:tc>
        <w:tc>
          <w:tcPr>
            <w:tcW w:w="1100" w:type="dxa"/>
            <w:tcBorders>
              <w:top w:val="single" w:color="auto" w:sz="4" w:space="0"/>
              <w:left w:val="single" w:color="auto" w:sz="4" w:space="0"/>
              <w:bottom w:val="single" w:color="auto" w:sz="4" w:space="0"/>
              <w:right w:val="single" w:color="auto" w:sz="4" w:space="0"/>
            </w:tcBorders>
            <w:vAlign w:val="center"/>
          </w:tcPr>
          <w:p w14:paraId="78ABA4CD">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3.1</w:t>
            </w:r>
          </w:p>
        </w:tc>
      </w:tr>
      <w:tr w14:paraId="0C5C908E">
        <w:tblPrEx>
          <w:tblCellMar>
            <w:top w:w="0" w:type="dxa"/>
            <w:left w:w="108" w:type="dxa"/>
            <w:bottom w:w="0" w:type="dxa"/>
            <w:right w:w="108" w:type="dxa"/>
          </w:tblCellMar>
        </w:tblPrEx>
        <w:trPr>
          <w:trHeight w:val="774" w:hRule="atLeast"/>
        </w:trPr>
        <w:tc>
          <w:tcPr>
            <w:tcW w:w="562" w:type="dxa"/>
            <w:tcBorders>
              <w:top w:val="single" w:color="auto" w:sz="4" w:space="0"/>
              <w:left w:val="single" w:color="auto" w:sz="4" w:space="0"/>
              <w:bottom w:val="single" w:color="auto" w:sz="4" w:space="0"/>
              <w:right w:val="single" w:color="auto" w:sz="4" w:space="0"/>
            </w:tcBorders>
            <w:vAlign w:val="center"/>
          </w:tcPr>
          <w:p w14:paraId="48D3DC33">
            <w:pPr>
              <w:spacing w:line="360" w:lineRule="exact"/>
              <w:jc w:val="center"/>
              <w:rPr>
                <w:rFonts w:ascii="宋体"/>
                <w:color w:val="auto"/>
                <w:szCs w:val="21"/>
                <w:highlight w:val="none"/>
              </w:rPr>
            </w:pPr>
            <w:r>
              <w:rPr>
                <w:rFonts w:hint="eastAsia" w:ascii="宋体"/>
                <w:color w:val="auto"/>
                <w:szCs w:val="21"/>
                <w:highlight w:val="none"/>
              </w:rPr>
              <w:t>6</w:t>
            </w:r>
          </w:p>
        </w:tc>
        <w:tc>
          <w:tcPr>
            <w:tcW w:w="2100" w:type="dxa"/>
            <w:tcBorders>
              <w:top w:val="single" w:color="auto" w:sz="4" w:space="0"/>
              <w:left w:val="single" w:color="auto" w:sz="4" w:space="0"/>
              <w:bottom w:val="single" w:color="auto" w:sz="4" w:space="0"/>
              <w:right w:val="single" w:color="auto" w:sz="4" w:space="0"/>
            </w:tcBorders>
            <w:vAlign w:val="center"/>
          </w:tcPr>
          <w:p w14:paraId="6A3D411D">
            <w:pPr>
              <w:autoSpaceDE w:val="0"/>
              <w:autoSpaceDN w:val="0"/>
              <w:adjustRightInd w:val="0"/>
              <w:spacing w:line="400" w:lineRule="exact"/>
              <w:ind w:firstLine="105" w:firstLineChars="50"/>
              <w:jc w:val="center"/>
              <w:rPr>
                <w:rFonts w:ascii="宋体"/>
                <w:color w:val="auto"/>
                <w:szCs w:val="21"/>
                <w:highlight w:val="none"/>
              </w:rPr>
            </w:pPr>
            <w:r>
              <w:rPr>
                <w:rFonts w:hint="eastAsia" w:ascii="宋体" w:hAnsi="宋体" w:cs="宋体"/>
                <w:color w:val="auto"/>
                <w:szCs w:val="21"/>
                <w:highlight w:val="none"/>
              </w:rPr>
              <w:t>项目实施期限及项目实施地点</w:t>
            </w:r>
          </w:p>
        </w:tc>
        <w:tc>
          <w:tcPr>
            <w:tcW w:w="5116" w:type="dxa"/>
            <w:tcBorders>
              <w:top w:val="single" w:color="auto" w:sz="4" w:space="0"/>
              <w:left w:val="single" w:color="auto" w:sz="4" w:space="0"/>
              <w:bottom w:val="single" w:color="auto" w:sz="4" w:space="0"/>
              <w:right w:val="single" w:color="auto" w:sz="4" w:space="0"/>
            </w:tcBorders>
            <w:vAlign w:val="center"/>
          </w:tcPr>
          <w:p w14:paraId="2B3D2CC0">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详见竞争性磋商文件第一章《竞争性磋商公告》</w:t>
            </w:r>
            <w:r>
              <w:rPr>
                <w:rFonts w:hint="eastAsia" w:ascii="宋体" w:hAnsi="宋体" w:cs="宋体"/>
                <w:bCs/>
                <w:color w:val="auto"/>
                <w:szCs w:val="21"/>
                <w:highlight w:val="none"/>
              </w:rPr>
              <w:t>“一、项目基本情况”</w:t>
            </w:r>
          </w:p>
        </w:tc>
        <w:tc>
          <w:tcPr>
            <w:tcW w:w="1100" w:type="dxa"/>
            <w:tcBorders>
              <w:top w:val="single" w:color="auto" w:sz="4" w:space="0"/>
              <w:left w:val="single" w:color="auto" w:sz="4" w:space="0"/>
              <w:bottom w:val="single" w:color="auto" w:sz="4" w:space="0"/>
              <w:right w:val="single" w:color="auto" w:sz="4" w:space="0"/>
            </w:tcBorders>
            <w:vAlign w:val="center"/>
          </w:tcPr>
          <w:p w14:paraId="4E5E54FD">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3.2</w:t>
            </w:r>
          </w:p>
        </w:tc>
      </w:tr>
      <w:tr w14:paraId="05E19952">
        <w:tblPrEx>
          <w:tblCellMar>
            <w:top w:w="0" w:type="dxa"/>
            <w:left w:w="108" w:type="dxa"/>
            <w:bottom w:w="0" w:type="dxa"/>
            <w:right w:w="108" w:type="dxa"/>
          </w:tblCellMar>
        </w:tblPrEx>
        <w:trPr>
          <w:trHeight w:val="628" w:hRule="atLeast"/>
        </w:trPr>
        <w:tc>
          <w:tcPr>
            <w:tcW w:w="562" w:type="dxa"/>
            <w:tcBorders>
              <w:top w:val="single" w:color="auto" w:sz="4" w:space="0"/>
              <w:left w:val="single" w:color="auto" w:sz="4" w:space="0"/>
              <w:bottom w:val="single" w:color="auto" w:sz="4" w:space="0"/>
              <w:right w:val="single" w:color="auto" w:sz="4" w:space="0"/>
            </w:tcBorders>
            <w:vAlign w:val="center"/>
          </w:tcPr>
          <w:p w14:paraId="7E037C0D">
            <w:pPr>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2100" w:type="dxa"/>
            <w:tcBorders>
              <w:top w:val="single" w:color="auto" w:sz="4" w:space="0"/>
              <w:left w:val="single" w:color="auto" w:sz="4" w:space="0"/>
              <w:bottom w:val="single" w:color="auto" w:sz="4" w:space="0"/>
              <w:right w:val="single" w:color="auto" w:sz="4" w:space="0"/>
            </w:tcBorders>
            <w:vAlign w:val="center"/>
          </w:tcPr>
          <w:p w14:paraId="3E6DE3FB">
            <w:pPr>
              <w:spacing w:before="40" w:after="40" w:line="360" w:lineRule="exact"/>
              <w:ind w:firstLine="105" w:firstLineChars="50"/>
              <w:jc w:val="center"/>
              <w:rPr>
                <w:rFonts w:ascii="宋体" w:hAnsi="宋体"/>
                <w:color w:val="auto"/>
                <w:szCs w:val="21"/>
                <w:highlight w:val="none"/>
              </w:rPr>
            </w:pPr>
            <w:r>
              <w:rPr>
                <w:rFonts w:hint="eastAsia" w:ascii="宋体" w:hAnsi="宋体" w:cs="宋体"/>
                <w:color w:val="auto"/>
                <w:szCs w:val="21"/>
                <w:highlight w:val="none"/>
              </w:rPr>
              <w:t>是否接受联合体参加</w:t>
            </w:r>
          </w:p>
        </w:tc>
        <w:tc>
          <w:tcPr>
            <w:tcW w:w="5116" w:type="dxa"/>
            <w:tcBorders>
              <w:top w:val="single" w:color="auto" w:sz="4" w:space="0"/>
              <w:left w:val="single" w:color="auto" w:sz="4" w:space="0"/>
              <w:bottom w:val="single" w:color="auto" w:sz="4" w:space="0"/>
              <w:right w:val="single" w:color="auto" w:sz="4" w:space="0"/>
            </w:tcBorders>
            <w:vAlign w:val="center"/>
          </w:tcPr>
          <w:p w14:paraId="705B0037">
            <w:pPr>
              <w:autoSpaceDE w:val="0"/>
              <w:autoSpaceDN w:val="0"/>
              <w:adjustRightInd w:val="0"/>
              <w:spacing w:line="400" w:lineRule="exact"/>
              <w:jc w:val="left"/>
              <w:rPr>
                <w:rFonts w:ascii="宋体" w:hAnsi="宋体"/>
                <w:color w:val="auto"/>
                <w:szCs w:val="21"/>
                <w:highlight w:val="none"/>
              </w:rPr>
            </w:pPr>
            <w:r>
              <w:rPr>
                <w:rFonts w:hint="eastAsia" w:ascii="宋体" w:hAnsi="宋体" w:cs="宋体"/>
                <w:color w:val="auto"/>
                <w:szCs w:val="21"/>
                <w:highlight w:val="none"/>
              </w:rPr>
              <w:t>不接受</w:t>
            </w:r>
          </w:p>
        </w:tc>
        <w:tc>
          <w:tcPr>
            <w:tcW w:w="1100" w:type="dxa"/>
            <w:tcBorders>
              <w:top w:val="single" w:color="auto" w:sz="4" w:space="0"/>
              <w:left w:val="single" w:color="auto" w:sz="4" w:space="0"/>
              <w:bottom w:val="single" w:color="auto" w:sz="4" w:space="0"/>
              <w:right w:val="single" w:color="auto" w:sz="4" w:space="0"/>
            </w:tcBorders>
            <w:vAlign w:val="center"/>
          </w:tcPr>
          <w:p w14:paraId="14E385E7">
            <w:pPr>
              <w:spacing w:before="40" w:after="40" w:line="360" w:lineRule="exact"/>
              <w:jc w:val="center"/>
              <w:rPr>
                <w:rFonts w:ascii="宋体" w:hAnsi="宋体"/>
                <w:b/>
                <w:color w:val="auto"/>
                <w:szCs w:val="21"/>
                <w:highlight w:val="none"/>
              </w:rPr>
            </w:pPr>
            <w:r>
              <w:rPr>
                <w:rFonts w:hint="eastAsia" w:ascii="宋体" w:hAnsi="宋体" w:cs="宋体"/>
                <w:color w:val="auto"/>
                <w:szCs w:val="21"/>
                <w:highlight w:val="none"/>
              </w:rPr>
              <w:t>3.3</w:t>
            </w:r>
          </w:p>
        </w:tc>
      </w:tr>
      <w:tr w14:paraId="6AEF5957">
        <w:tblPrEx>
          <w:tblCellMar>
            <w:top w:w="0" w:type="dxa"/>
            <w:left w:w="108" w:type="dxa"/>
            <w:bottom w:w="0" w:type="dxa"/>
            <w:right w:w="108" w:type="dxa"/>
          </w:tblCellMar>
        </w:tblPrEx>
        <w:trPr>
          <w:trHeight w:val="336" w:hRule="atLeast"/>
        </w:trPr>
        <w:tc>
          <w:tcPr>
            <w:tcW w:w="562" w:type="dxa"/>
            <w:tcBorders>
              <w:top w:val="single" w:color="auto" w:sz="4" w:space="0"/>
              <w:left w:val="single" w:color="auto" w:sz="4" w:space="0"/>
              <w:bottom w:val="single" w:color="auto" w:sz="4" w:space="0"/>
              <w:right w:val="single" w:color="auto" w:sz="4" w:space="0"/>
            </w:tcBorders>
            <w:vAlign w:val="center"/>
          </w:tcPr>
          <w:p w14:paraId="078C7227">
            <w:pPr>
              <w:spacing w:line="360" w:lineRule="exact"/>
              <w:jc w:val="center"/>
              <w:rPr>
                <w:rFonts w:ascii="宋体"/>
                <w:color w:val="auto"/>
                <w:szCs w:val="21"/>
                <w:highlight w:val="none"/>
              </w:rPr>
            </w:pPr>
            <w:r>
              <w:rPr>
                <w:rFonts w:hint="eastAsia" w:ascii="宋体"/>
                <w:color w:val="auto"/>
                <w:szCs w:val="21"/>
                <w:highlight w:val="none"/>
              </w:rPr>
              <w:t>8</w:t>
            </w:r>
          </w:p>
        </w:tc>
        <w:tc>
          <w:tcPr>
            <w:tcW w:w="2100" w:type="dxa"/>
            <w:tcBorders>
              <w:top w:val="single" w:color="auto" w:sz="4" w:space="0"/>
              <w:left w:val="single" w:color="auto" w:sz="4" w:space="0"/>
              <w:bottom w:val="single" w:color="auto" w:sz="4" w:space="0"/>
              <w:right w:val="single" w:color="auto" w:sz="4" w:space="0"/>
            </w:tcBorders>
            <w:vAlign w:val="center"/>
          </w:tcPr>
          <w:p w14:paraId="3C829308">
            <w:pPr>
              <w:spacing w:before="40" w:after="40" w:line="360" w:lineRule="exact"/>
              <w:ind w:firstLine="105" w:firstLineChars="50"/>
              <w:jc w:val="center"/>
              <w:rPr>
                <w:rFonts w:ascii="宋体"/>
                <w:bCs/>
                <w:color w:val="auto"/>
                <w:szCs w:val="21"/>
                <w:highlight w:val="none"/>
              </w:rPr>
            </w:pPr>
            <w:r>
              <w:rPr>
                <w:rFonts w:hint="eastAsia" w:ascii="宋体" w:hAnsi="宋体" w:cs="宋体"/>
                <w:color w:val="auto"/>
                <w:szCs w:val="21"/>
                <w:highlight w:val="none"/>
              </w:rPr>
              <w:t>供应商资格要求</w:t>
            </w:r>
          </w:p>
        </w:tc>
        <w:tc>
          <w:tcPr>
            <w:tcW w:w="5116" w:type="dxa"/>
            <w:tcBorders>
              <w:top w:val="single" w:color="auto" w:sz="4" w:space="0"/>
              <w:left w:val="single" w:color="auto" w:sz="4" w:space="0"/>
              <w:bottom w:val="single" w:color="auto" w:sz="4" w:space="0"/>
              <w:right w:val="single" w:color="auto" w:sz="4" w:space="0"/>
            </w:tcBorders>
            <w:vAlign w:val="center"/>
          </w:tcPr>
          <w:p w14:paraId="5230622B">
            <w:pPr>
              <w:autoSpaceDE w:val="0"/>
              <w:autoSpaceDN w:val="0"/>
              <w:adjustRightInd w:val="0"/>
              <w:spacing w:line="400" w:lineRule="exact"/>
              <w:jc w:val="left"/>
              <w:rPr>
                <w:rFonts w:ascii="宋体"/>
                <w:bCs/>
                <w:color w:val="auto"/>
                <w:szCs w:val="21"/>
                <w:highlight w:val="none"/>
              </w:rPr>
            </w:pPr>
            <w:r>
              <w:rPr>
                <w:rFonts w:hint="eastAsia" w:ascii="宋体" w:hAnsi="宋体" w:cs="宋体"/>
                <w:color w:val="auto"/>
                <w:szCs w:val="21"/>
                <w:highlight w:val="none"/>
              </w:rPr>
              <w:t>详见竞争性磋商文件第一章《竞争性磋商公告》“二、供应商的资格要求”</w:t>
            </w:r>
          </w:p>
        </w:tc>
        <w:tc>
          <w:tcPr>
            <w:tcW w:w="1100" w:type="dxa"/>
            <w:tcBorders>
              <w:top w:val="single" w:color="auto" w:sz="4" w:space="0"/>
              <w:left w:val="single" w:color="auto" w:sz="4" w:space="0"/>
              <w:bottom w:val="single" w:color="auto" w:sz="4" w:space="0"/>
              <w:right w:val="single" w:color="auto" w:sz="4" w:space="0"/>
            </w:tcBorders>
            <w:vAlign w:val="center"/>
          </w:tcPr>
          <w:p w14:paraId="63B85A6E">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4.1</w:t>
            </w:r>
          </w:p>
        </w:tc>
      </w:tr>
      <w:tr w14:paraId="3182CF44">
        <w:tblPrEx>
          <w:tblCellMar>
            <w:top w:w="0" w:type="dxa"/>
            <w:left w:w="108" w:type="dxa"/>
            <w:bottom w:w="0" w:type="dxa"/>
            <w:right w:w="108" w:type="dxa"/>
          </w:tblCellMar>
        </w:tblPrEx>
        <w:trPr>
          <w:trHeight w:val="1325" w:hRule="atLeast"/>
        </w:trPr>
        <w:tc>
          <w:tcPr>
            <w:tcW w:w="562" w:type="dxa"/>
            <w:tcBorders>
              <w:top w:val="single" w:color="auto" w:sz="4" w:space="0"/>
              <w:left w:val="single" w:color="auto" w:sz="4" w:space="0"/>
              <w:bottom w:val="single" w:color="auto" w:sz="4" w:space="0"/>
              <w:right w:val="single" w:color="auto" w:sz="4" w:space="0"/>
            </w:tcBorders>
            <w:vAlign w:val="center"/>
          </w:tcPr>
          <w:p w14:paraId="515C07A2">
            <w:pPr>
              <w:spacing w:line="360" w:lineRule="exact"/>
              <w:jc w:val="center"/>
              <w:rPr>
                <w:rFonts w:ascii="宋体"/>
                <w:color w:val="auto"/>
                <w:szCs w:val="21"/>
                <w:highlight w:val="none"/>
              </w:rPr>
            </w:pPr>
            <w:r>
              <w:rPr>
                <w:rFonts w:hint="eastAsia" w:ascii="宋体"/>
                <w:color w:val="auto"/>
                <w:szCs w:val="21"/>
                <w:highlight w:val="none"/>
              </w:rPr>
              <w:t>9</w:t>
            </w:r>
          </w:p>
        </w:tc>
        <w:tc>
          <w:tcPr>
            <w:tcW w:w="2100" w:type="dxa"/>
            <w:tcBorders>
              <w:top w:val="single" w:color="auto" w:sz="4" w:space="0"/>
              <w:left w:val="single" w:color="auto" w:sz="4" w:space="0"/>
              <w:bottom w:val="single" w:color="auto" w:sz="4" w:space="0"/>
              <w:right w:val="single" w:color="auto" w:sz="4" w:space="0"/>
            </w:tcBorders>
            <w:vAlign w:val="center"/>
          </w:tcPr>
          <w:p w14:paraId="40AEAFA5">
            <w:pPr>
              <w:spacing w:before="40" w:after="40" w:line="360" w:lineRule="exact"/>
              <w:ind w:firstLine="105" w:firstLineChars="50"/>
              <w:jc w:val="center"/>
              <w:rPr>
                <w:rFonts w:ascii="宋体"/>
                <w:bCs/>
                <w:color w:val="auto"/>
                <w:szCs w:val="21"/>
                <w:highlight w:val="none"/>
              </w:rPr>
            </w:pPr>
            <w:r>
              <w:rPr>
                <w:rFonts w:hint="eastAsia" w:ascii="宋体" w:hAnsi="宋体" w:cs="宋体"/>
                <w:color w:val="auto"/>
                <w:szCs w:val="21"/>
                <w:highlight w:val="none"/>
              </w:rPr>
              <w:t>采购人根据本项目的特殊要求规定供应商应具备的特定条件</w:t>
            </w:r>
          </w:p>
        </w:tc>
        <w:tc>
          <w:tcPr>
            <w:tcW w:w="5116" w:type="dxa"/>
            <w:tcBorders>
              <w:top w:val="single" w:color="auto" w:sz="4" w:space="0"/>
              <w:left w:val="single" w:color="auto" w:sz="4" w:space="0"/>
              <w:bottom w:val="single" w:color="auto" w:sz="4" w:space="0"/>
              <w:right w:val="single" w:color="auto" w:sz="4" w:space="0"/>
            </w:tcBorders>
            <w:vAlign w:val="center"/>
          </w:tcPr>
          <w:p w14:paraId="150F6ABF">
            <w:pPr>
              <w:autoSpaceDE w:val="0"/>
              <w:autoSpaceDN w:val="0"/>
              <w:adjustRightInd w:val="0"/>
              <w:spacing w:line="400" w:lineRule="exact"/>
              <w:jc w:val="left"/>
              <w:rPr>
                <w:rFonts w:ascii="宋体"/>
                <w:bCs/>
                <w:color w:val="auto"/>
                <w:szCs w:val="21"/>
                <w:highlight w:val="none"/>
              </w:rPr>
            </w:pPr>
            <w:r>
              <w:rPr>
                <w:rFonts w:hint="eastAsia" w:ascii="宋体" w:hAnsi="宋体" w:cs="宋体"/>
                <w:color w:val="auto"/>
                <w:szCs w:val="21"/>
                <w:highlight w:val="none"/>
              </w:rPr>
              <w:t>详见竞争性磋商文件第一章《竞争性磋商公告》“二、供应商的资格要求”</w:t>
            </w:r>
          </w:p>
        </w:tc>
        <w:tc>
          <w:tcPr>
            <w:tcW w:w="1100" w:type="dxa"/>
            <w:tcBorders>
              <w:top w:val="single" w:color="auto" w:sz="4" w:space="0"/>
              <w:left w:val="single" w:color="auto" w:sz="4" w:space="0"/>
              <w:bottom w:val="single" w:color="auto" w:sz="4" w:space="0"/>
              <w:right w:val="single" w:color="auto" w:sz="4" w:space="0"/>
            </w:tcBorders>
            <w:vAlign w:val="center"/>
          </w:tcPr>
          <w:p w14:paraId="37F3452A">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4.2</w:t>
            </w:r>
          </w:p>
        </w:tc>
      </w:tr>
      <w:tr w14:paraId="4DC49476">
        <w:tblPrEx>
          <w:tblCellMar>
            <w:top w:w="0" w:type="dxa"/>
            <w:left w:w="108" w:type="dxa"/>
            <w:bottom w:w="0" w:type="dxa"/>
            <w:right w:w="108" w:type="dxa"/>
          </w:tblCellMar>
        </w:tblPrEx>
        <w:trPr>
          <w:trHeight w:val="292" w:hRule="atLeast"/>
        </w:trPr>
        <w:tc>
          <w:tcPr>
            <w:tcW w:w="562" w:type="dxa"/>
            <w:tcBorders>
              <w:top w:val="single" w:color="auto" w:sz="4" w:space="0"/>
              <w:left w:val="single" w:color="auto" w:sz="4" w:space="0"/>
              <w:bottom w:val="single" w:color="auto" w:sz="4" w:space="0"/>
              <w:right w:val="single" w:color="auto" w:sz="4" w:space="0"/>
            </w:tcBorders>
            <w:vAlign w:val="center"/>
          </w:tcPr>
          <w:p w14:paraId="20908C83">
            <w:pPr>
              <w:spacing w:line="360" w:lineRule="exact"/>
              <w:jc w:val="center"/>
              <w:rPr>
                <w:rFonts w:ascii="宋体"/>
                <w:color w:val="auto"/>
                <w:szCs w:val="21"/>
                <w:highlight w:val="none"/>
              </w:rPr>
            </w:pPr>
            <w:r>
              <w:rPr>
                <w:rFonts w:hint="eastAsia" w:ascii="宋体"/>
                <w:color w:val="auto"/>
                <w:szCs w:val="21"/>
                <w:highlight w:val="none"/>
              </w:rPr>
              <w:t>10</w:t>
            </w:r>
          </w:p>
        </w:tc>
        <w:tc>
          <w:tcPr>
            <w:tcW w:w="2100" w:type="dxa"/>
            <w:tcBorders>
              <w:top w:val="single" w:color="auto" w:sz="4" w:space="0"/>
              <w:left w:val="single" w:color="auto" w:sz="4" w:space="0"/>
              <w:bottom w:val="single" w:color="auto" w:sz="4" w:space="0"/>
              <w:right w:val="single" w:color="auto" w:sz="4" w:space="0"/>
            </w:tcBorders>
            <w:vAlign w:val="center"/>
          </w:tcPr>
          <w:p w14:paraId="74345492">
            <w:pPr>
              <w:spacing w:before="40" w:after="40" w:line="360" w:lineRule="exact"/>
              <w:ind w:firstLine="105" w:firstLineChars="50"/>
              <w:jc w:val="center"/>
              <w:rPr>
                <w:rFonts w:ascii="宋体"/>
                <w:bCs/>
                <w:color w:val="auto"/>
                <w:szCs w:val="21"/>
                <w:highlight w:val="none"/>
              </w:rPr>
            </w:pPr>
            <w:r>
              <w:rPr>
                <w:rFonts w:hint="eastAsia" w:ascii="宋体" w:hAnsi="宋体" w:cs="宋体"/>
                <w:color w:val="auto"/>
                <w:szCs w:val="21"/>
                <w:highlight w:val="none"/>
              </w:rPr>
              <w:t>现场考察</w:t>
            </w:r>
          </w:p>
        </w:tc>
        <w:tc>
          <w:tcPr>
            <w:tcW w:w="5116" w:type="dxa"/>
            <w:tcBorders>
              <w:top w:val="single" w:color="auto" w:sz="4" w:space="0"/>
              <w:left w:val="single" w:color="auto" w:sz="4" w:space="0"/>
              <w:bottom w:val="single" w:color="auto" w:sz="4" w:space="0"/>
              <w:right w:val="single" w:color="auto" w:sz="4" w:space="0"/>
            </w:tcBorders>
            <w:vAlign w:val="center"/>
          </w:tcPr>
          <w:p w14:paraId="669038EE">
            <w:pPr>
              <w:autoSpaceDE w:val="0"/>
              <w:autoSpaceDN w:val="0"/>
              <w:adjustRightInd w:val="0"/>
              <w:spacing w:line="400" w:lineRule="exact"/>
              <w:jc w:val="left"/>
              <w:rPr>
                <w:rFonts w:ascii="宋体"/>
                <w:bCs/>
                <w:color w:val="auto"/>
                <w:szCs w:val="21"/>
                <w:highlight w:val="none"/>
              </w:rPr>
            </w:pPr>
            <w:r>
              <w:rPr>
                <w:rFonts w:hint="eastAsia" w:ascii="宋体" w:hAnsi="宋体" w:cs="宋体"/>
                <w:color w:val="auto"/>
                <w:szCs w:val="21"/>
                <w:highlight w:val="none"/>
              </w:rPr>
              <w:t>不组织</w:t>
            </w:r>
          </w:p>
        </w:tc>
        <w:tc>
          <w:tcPr>
            <w:tcW w:w="1100" w:type="dxa"/>
            <w:tcBorders>
              <w:top w:val="single" w:color="auto" w:sz="4" w:space="0"/>
              <w:left w:val="single" w:color="auto" w:sz="4" w:space="0"/>
              <w:bottom w:val="single" w:color="auto" w:sz="4" w:space="0"/>
              <w:right w:val="single" w:color="auto" w:sz="4" w:space="0"/>
            </w:tcBorders>
            <w:vAlign w:val="center"/>
          </w:tcPr>
          <w:p w14:paraId="21F5DF66">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6.1</w:t>
            </w:r>
          </w:p>
        </w:tc>
      </w:tr>
      <w:tr w14:paraId="29F90A77">
        <w:tblPrEx>
          <w:tblCellMar>
            <w:top w:w="0" w:type="dxa"/>
            <w:left w:w="108" w:type="dxa"/>
            <w:bottom w:w="0" w:type="dxa"/>
            <w:right w:w="108" w:type="dxa"/>
          </w:tblCellMar>
        </w:tblPrEx>
        <w:trPr>
          <w:trHeight w:val="191" w:hRule="atLeast"/>
        </w:trPr>
        <w:tc>
          <w:tcPr>
            <w:tcW w:w="562" w:type="dxa"/>
            <w:tcBorders>
              <w:top w:val="single" w:color="auto" w:sz="4" w:space="0"/>
              <w:left w:val="single" w:color="auto" w:sz="4" w:space="0"/>
              <w:bottom w:val="single" w:color="auto" w:sz="4" w:space="0"/>
              <w:right w:val="single" w:color="auto" w:sz="4" w:space="0"/>
            </w:tcBorders>
            <w:vAlign w:val="center"/>
          </w:tcPr>
          <w:p w14:paraId="20DC1042">
            <w:pPr>
              <w:spacing w:line="360" w:lineRule="exact"/>
              <w:jc w:val="center"/>
              <w:rPr>
                <w:rFonts w:ascii="宋体"/>
                <w:color w:val="auto"/>
                <w:szCs w:val="21"/>
                <w:highlight w:val="none"/>
              </w:rPr>
            </w:pPr>
            <w:r>
              <w:rPr>
                <w:rFonts w:hint="eastAsia" w:ascii="宋体"/>
                <w:color w:val="auto"/>
                <w:szCs w:val="21"/>
                <w:highlight w:val="none"/>
              </w:rPr>
              <w:t>11</w:t>
            </w:r>
          </w:p>
        </w:tc>
        <w:tc>
          <w:tcPr>
            <w:tcW w:w="2100" w:type="dxa"/>
            <w:tcBorders>
              <w:top w:val="single" w:color="auto" w:sz="4" w:space="0"/>
              <w:left w:val="single" w:color="auto" w:sz="4" w:space="0"/>
              <w:bottom w:val="single" w:color="auto" w:sz="4" w:space="0"/>
              <w:right w:val="single" w:color="auto" w:sz="4" w:space="0"/>
            </w:tcBorders>
            <w:vAlign w:val="center"/>
          </w:tcPr>
          <w:p w14:paraId="5EE1A9B9">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磋商前答疑会</w:t>
            </w:r>
          </w:p>
        </w:tc>
        <w:tc>
          <w:tcPr>
            <w:tcW w:w="5116" w:type="dxa"/>
            <w:tcBorders>
              <w:top w:val="single" w:color="auto" w:sz="4" w:space="0"/>
              <w:left w:val="single" w:color="auto" w:sz="4" w:space="0"/>
              <w:bottom w:val="single" w:color="auto" w:sz="4" w:space="0"/>
              <w:right w:val="single" w:color="auto" w:sz="4" w:space="0"/>
            </w:tcBorders>
            <w:vAlign w:val="center"/>
          </w:tcPr>
          <w:p w14:paraId="71B18BC0">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不组织</w:t>
            </w:r>
          </w:p>
        </w:tc>
        <w:tc>
          <w:tcPr>
            <w:tcW w:w="1100" w:type="dxa"/>
            <w:tcBorders>
              <w:top w:val="single" w:color="auto" w:sz="4" w:space="0"/>
              <w:left w:val="single" w:color="auto" w:sz="4" w:space="0"/>
              <w:bottom w:val="single" w:color="auto" w:sz="4" w:space="0"/>
              <w:right w:val="single" w:color="auto" w:sz="4" w:space="0"/>
            </w:tcBorders>
            <w:vAlign w:val="center"/>
          </w:tcPr>
          <w:p w14:paraId="3E7A7B63">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7.1</w:t>
            </w:r>
          </w:p>
        </w:tc>
      </w:tr>
      <w:tr w14:paraId="629F4484">
        <w:tblPrEx>
          <w:tblCellMar>
            <w:top w:w="0" w:type="dxa"/>
            <w:left w:w="108" w:type="dxa"/>
            <w:bottom w:w="0" w:type="dxa"/>
            <w:right w:w="108" w:type="dxa"/>
          </w:tblCellMar>
        </w:tblPrEx>
        <w:trPr>
          <w:trHeight w:val="568" w:hRule="atLeast"/>
        </w:trPr>
        <w:tc>
          <w:tcPr>
            <w:tcW w:w="562" w:type="dxa"/>
            <w:tcBorders>
              <w:top w:val="single" w:color="auto" w:sz="4" w:space="0"/>
              <w:left w:val="single" w:color="auto" w:sz="4" w:space="0"/>
              <w:bottom w:val="single" w:color="auto" w:sz="4" w:space="0"/>
              <w:right w:val="single" w:color="auto" w:sz="4" w:space="0"/>
            </w:tcBorders>
            <w:vAlign w:val="center"/>
          </w:tcPr>
          <w:p w14:paraId="1BE81EE3">
            <w:pPr>
              <w:spacing w:line="360" w:lineRule="exact"/>
              <w:jc w:val="center"/>
              <w:rPr>
                <w:rFonts w:ascii="宋体"/>
                <w:color w:val="auto"/>
                <w:szCs w:val="21"/>
                <w:highlight w:val="none"/>
              </w:rPr>
            </w:pPr>
            <w:r>
              <w:rPr>
                <w:rFonts w:hint="eastAsia" w:ascii="宋体"/>
                <w:color w:val="auto"/>
                <w:szCs w:val="21"/>
                <w:highlight w:val="none"/>
              </w:rPr>
              <w:t>12</w:t>
            </w:r>
          </w:p>
        </w:tc>
        <w:tc>
          <w:tcPr>
            <w:tcW w:w="2100" w:type="dxa"/>
            <w:tcBorders>
              <w:top w:val="single" w:color="auto" w:sz="4" w:space="0"/>
              <w:left w:val="single" w:color="auto" w:sz="4" w:space="0"/>
              <w:bottom w:val="single" w:color="auto" w:sz="4" w:space="0"/>
              <w:right w:val="single" w:color="auto" w:sz="4" w:space="0"/>
            </w:tcBorders>
            <w:vAlign w:val="center"/>
          </w:tcPr>
          <w:p w14:paraId="5D5EAF25">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竞争性磋商文件的询问时间</w:t>
            </w:r>
          </w:p>
        </w:tc>
        <w:tc>
          <w:tcPr>
            <w:tcW w:w="5116" w:type="dxa"/>
            <w:tcBorders>
              <w:top w:val="single" w:color="auto" w:sz="4" w:space="0"/>
              <w:left w:val="single" w:color="auto" w:sz="4" w:space="0"/>
              <w:bottom w:val="single" w:color="auto" w:sz="4" w:space="0"/>
              <w:right w:val="single" w:color="auto" w:sz="4" w:space="0"/>
            </w:tcBorders>
            <w:vAlign w:val="center"/>
          </w:tcPr>
          <w:p w14:paraId="0C8FA68B">
            <w:pPr>
              <w:wordWrap w:val="0"/>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供应商应认真阅读竞争性磋商文件，如有疑问的，供应商可以向采购人或采购代理机构提出询问，采购人或者采购代理机构在接到询问后的3个工作日内对供应商依法提出的询问作出答复，但答复的内容不涉及商业秘密。如对电子采购流程不清楚可查阅政采云（https://e-learning.zcygov.cn/index）“秒懂政采云项目采购”学习。</w:t>
            </w:r>
          </w:p>
        </w:tc>
        <w:tc>
          <w:tcPr>
            <w:tcW w:w="1100" w:type="dxa"/>
            <w:tcBorders>
              <w:top w:val="single" w:color="auto" w:sz="4" w:space="0"/>
              <w:left w:val="single" w:color="auto" w:sz="4" w:space="0"/>
              <w:bottom w:val="single" w:color="auto" w:sz="4" w:space="0"/>
              <w:right w:val="single" w:color="auto" w:sz="4" w:space="0"/>
            </w:tcBorders>
            <w:vAlign w:val="center"/>
          </w:tcPr>
          <w:p w14:paraId="0B225531">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11.1</w:t>
            </w:r>
          </w:p>
        </w:tc>
      </w:tr>
      <w:tr w14:paraId="1F139F98">
        <w:tblPrEx>
          <w:tblCellMar>
            <w:top w:w="0" w:type="dxa"/>
            <w:left w:w="108" w:type="dxa"/>
            <w:bottom w:w="0" w:type="dxa"/>
            <w:right w:w="108" w:type="dxa"/>
          </w:tblCellMar>
        </w:tblPrEx>
        <w:trPr>
          <w:trHeight w:val="485" w:hRule="atLeast"/>
        </w:trPr>
        <w:tc>
          <w:tcPr>
            <w:tcW w:w="562" w:type="dxa"/>
            <w:tcBorders>
              <w:top w:val="single" w:color="auto" w:sz="4" w:space="0"/>
              <w:left w:val="single" w:color="auto" w:sz="4" w:space="0"/>
              <w:bottom w:val="single" w:color="auto" w:sz="4" w:space="0"/>
              <w:right w:val="single" w:color="auto" w:sz="4" w:space="0"/>
            </w:tcBorders>
            <w:vAlign w:val="center"/>
          </w:tcPr>
          <w:p w14:paraId="6FA63989">
            <w:pPr>
              <w:spacing w:line="360" w:lineRule="exact"/>
              <w:jc w:val="center"/>
              <w:rPr>
                <w:rFonts w:ascii="宋体"/>
                <w:color w:val="auto"/>
                <w:szCs w:val="21"/>
                <w:highlight w:val="none"/>
              </w:rPr>
            </w:pPr>
            <w:r>
              <w:rPr>
                <w:rFonts w:hint="eastAsia" w:ascii="宋体"/>
                <w:color w:val="auto"/>
                <w:szCs w:val="21"/>
                <w:highlight w:val="none"/>
              </w:rPr>
              <w:t>13</w:t>
            </w:r>
          </w:p>
        </w:tc>
        <w:tc>
          <w:tcPr>
            <w:tcW w:w="2100" w:type="dxa"/>
            <w:tcBorders>
              <w:top w:val="single" w:color="auto" w:sz="4" w:space="0"/>
              <w:left w:val="single" w:color="auto" w:sz="4" w:space="0"/>
              <w:bottom w:val="single" w:color="auto" w:sz="4" w:space="0"/>
              <w:right w:val="single" w:color="auto" w:sz="4" w:space="0"/>
            </w:tcBorders>
            <w:vAlign w:val="center"/>
          </w:tcPr>
          <w:p w14:paraId="2B23079F">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竞争性磋商文件询问联系方式</w:t>
            </w:r>
          </w:p>
        </w:tc>
        <w:tc>
          <w:tcPr>
            <w:tcW w:w="5116" w:type="dxa"/>
            <w:tcBorders>
              <w:top w:val="single" w:color="auto" w:sz="4" w:space="0"/>
              <w:left w:val="single" w:color="auto" w:sz="4" w:space="0"/>
              <w:bottom w:val="single" w:color="auto" w:sz="4" w:space="0"/>
              <w:right w:val="single" w:color="auto" w:sz="4" w:space="0"/>
            </w:tcBorders>
            <w:vAlign w:val="center"/>
          </w:tcPr>
          <w:p w14:paraId="5606AAFA">
            <w:pPr>
              <w:autoSpaceDE w:val="0"/>
              <w:autoSpaceDN w:val="0"/>
              <w:snapToGrid w:val="0"/>
              <w:textAlignment w:val="bottom"/>
              <w:rPr>
                <w:rFonts w:ascii="宋体" w:hAnsi="宋体" w:cs="宋体"/>
                <w:color w:val="auto"/>
                <w:szCs w:val="21"/>
                <w:highlight w:val="none"/>
              </w:rPr>
            </w:pPr>
            <w:r>
              <w:rPr>
                <w:rFonts w:hint="eastAsia" w:ascii="宋体" w:hAnsi="宋体" w:cs="宋体"/>
                <w:color w:val="auto"/>
                <w:szCs w:val="21"/>
                <w:highlight w:val="none"/>
              </w:rPr>
              <w:t>询问联系人：</w:t>
            </w:r>
            <w:r>
              <w:rPr>
                <w:rFonts w:hint="eastAsia" w:ascii="宋体"/>
                <w:snapToGrid w:val="0"/>
                <w:color w:val="auto"/>
                <w:kern w:val="21"/>
                <w:szCs w:val="21"/>
                <w:highlight w:val="none"/>
              </w:rPr>
              <w:t>肖枝莲、王彦飞、李腾芳、王国玺、吴翊</w:t>
            </w:r>
          </w:p>
          <w:p w14:paraId="3ABA0D9D">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电话：0871-65511240、0871-65511241</w:t>
            </w:r>
          </w:p>
        </w:tc>
        <w:tc>
          <w:tcPr>
            <w:tcW w:w="1100" w:type="dxa"/>
            <w:tcBorders>
              <w:top w:val="single" w:color="auto" w:sz="4" w:space="0"/>
              <w:left w:val="single" w:color="auto" w:sz="4" w:space="0"/>
              <w:bottom w:val="single" w:color="auto" w:sz="4" w:space="0"/>
              <w:right w:val="single" w:color="auto" w:sz="4" w:space="0"/>
            </w:tcBorders>
            <w:vAlign w:val="center"/>
          </w:tcPr>
          <w:p w14:paraId="0828598C">
            <w:pPr>
              <w:spacing w:before="40" w:after="40" w:line="360" w:lineRule="exact"/>
              <w:jc w:val="center"/>
              <w:rPr>
                <w:rFonts w:ascii="宋体" w:hAnsi="宋体" w:cs="宋体"/>
                <w:color w:val="auto"/>
                <w:highlight w:val="none"/>
              </w:rPr>
            </w:pPr>
            <w:r>
              <w:rPr>
                <w:rFonts w:hint="eastAsia" w:ascii="宋体" w:hAnsi="宋体" w:cs="宋体"/>
                <w:color w:val="auto"/>
                <w:szCs w:val="21"/>
                <w:highlight w:val="none"/>
              </w:rPr>
              <w:t>11.2</w:t>
            </w:r>
          </w:p>
        </w:tc>
      </w:tr>
      <w:tr w14:paraId="4A366215">
        <w:tblPrEx>
          <w:tblCellMar>
            <w:top w:w="0" w:type="dxa"/>
            <w:left w:w="108" w:type="dxa"/>
            <w:bottom w:w="0" w:type="dxa"/>
            <w:right w:w="108" w:type="dxa"/>
          </w:tblCellMar>
        </w:tblPrEx>
        <w:trPr>
          <w:trHeight w:val="796" w:hRule="atLeast"/>
        </w:trPr>
        <w:tc>
          <w:tcPr>
            <w:tcW w:w="562" w:type="dxa"/>
            <w:tcBorders>
              <w:top w:val="single" w:color="auto" w:sz="4" w:space="0"/>
              <w:left w:val="single" w:color="auto" w:sz="4" w:space="0"/>
              <w:bottom w:val="single" w:color="auto" w:sz="4" w:space="0"/>
              <w:right w:val="single" w:color="auto" w:sz="4" w:space="0"/>
            </w:tcBorders>
            <w:vAlign w:val="center"/>
          </w:tcPr>
          <w:p w14:paraId="7611A52D">
            <w:pPr>
              <w:spacing w:line="360" w:lineRule="exact"/>
              <w:jc w:val="center"/>
              <w:rPr>
                <w:rFonts w:ascii="宋体"/>
                <w:color w:val="auto"/>
                <w:szCs w:val="21"/>
                <w:highlight w:val="none"/>
              </w:rPr>
            </w:pPr>
            <w:r>
              <w:rPr>
                <w:rFonts w:hint="eastAsia" w:ascii="宋体"/>
                <w:color w:val="auto"/>
                <w:szCs w:val="21"/>
                <w:highlight w:val="none"/>
              </w:rPr>
              <w:t>14</w:t>
            </w:r>
          </w:p>
        </w:tc>
        <w:tc>
          <w:tcPr>
            <w:tcW w:w="2100" w:type="dxa"/>
            <w:tcBorders>
              <w:top w:val="single" w:color="auto" w:sz="4" w:space="0"/>
              <w:left w:val="single" w:color="auto" w:sz="4" w:space="0"/>
              <w:bottom w:val="single" w:color="auto" w:sz="4" w:space="0"/>
              <w:right w:val="single" w:color="auto" w:sz="4" w:space="0"/>
            </w:tcBorders>
            <w:vAlign w:val="center"/>
          </w:tcPr>
          <w:p w14:paraId="75DEB3EB">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竞争性磋商文件澄清、修改时间</w:t>
            </w:r>
          </w:p>
        </w:tc>
        <w:tc>
          <w:tcPr>
            <w:tcW w:w="5116" w:type="dxa"/>
            <w:tcBorders>
              <w:top w:val="single" w:color="auto" w:sz="4" w:space="0"/>
              <w:left w:val="single" w:color="auto" w:sz="4" w:space="0"/>
              <w:bottom w:val="single" w:color="auto" w:sz="4" w:space="0"/>
              <w:right w:val="single" w:color="auto" w:sz="4" w:space="0"/>
            </w:tcBorders>
            <w:vAlign w:val="center"/>
          </w:tcPr>
          <w:p w14:paraId="0768D961">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澄清或者修改的内容可能影响响应文件编制的，采购人、采购代理机构将在提交首次响应文件截止时间至少5日前，以书面形式通知所有获取竞争性磋商文件的供应商；不足5日的，采购人、采购代理机构将顺延提交首次响应文件截止时间。</w:t>
            </w:r>
          </w:p>
        </w:tc>
        <w:tc>
          <w:tcPr>
            <w:tcW w:w="1100" w:type="dxa"/>
            <w:tcBorders>
              <w:top w:val="single" w:color="auto" w:sz="4" w:space="0"/>
              <w:left w:val="single" w:color="auto" w:sz="4" w:space="0"/>
              <w:bottom w:val="single" w:color="auto" w:sz="4" w:space="0"/>
              <w:right w:val="single" w:color="auto" w:sz="4" w:space="0"/>
            </w:tcBorders>
            <w:vAlign w:val="center"/>
          </w:tcPr>
          <w:p w14:paraId="2655B441">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r>
      <w:tr w14:paraId="3FDE18C4">
        <w:tblPrEx>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14:paraId="3FF62B9F">
            <w:pPr>
              <w:spacing w:line="360" w:lineRule="exact"/>
              <w:jc w:val="center"/>
              <w:rPr>
                <w:rFonts w:ascii="宋体"/>
                <w:color w:val="auto"/>
                <w:szCs w:val="21"/>
                <w:highlight w:val="none"/>
              </w:rPr>
            </w:pPr>
            <w:r>
              <w:rPr>
                <w:rFonts w:hint="eastAsia" w:ascii="宋体"/>
                <w:color w:val="auto"/>
                <w:szCs w:val="21"/>
                <w:highlight w:val="none"/>
              </w:rPr>
              <w:t>15</w:t>
            </w:r>
          </w:p>
        </w:tc>
        <w:tc>
          <w:tcPr>
            <w:tcW w:w="2100" w:type="dxa"/>
            <w:tcBorders>
              <w:top w:val="single" w:color="auto" w:sz="4" w:space="0"/>
              <w:left w:val="single" w:color="auto" w:sz="4" w:space="0"/>
              <w:bottom w:val="single" w:color="auto" w:sz="4" w:space="0"/>
              <w:right w:val="single" w:color="auto" w:sz="4" w:space="0"/>
            </w:tcBorders>
            <w:vAlign w:val="center"/>
          </w:tcPr>
          <w:p w14:paraId="4AAC5890">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供应商确认收到竞争性磋商文件澄清、修改时间</w:t>
            </w:r>
          </w:p>
        </w:tc>
        <w:tc>
          <w:tcPr>
            <w:tcW w:w="5116" w:type="dxa"/>
            <w:tcBorders>
              <w:top w:val="single" w:color="auto" w:sz="4" w:space="0"/>
              <w:left w:val="single" w:color="auto" w:sz="4" w:space="0"/>
              <w:bottom w:val="single" w:color="auto" w:sz="4" w:space="0"/>
              <w:right w:val="single" w:color="auto" w:sz="4" w:space="0"/>
            </w:tcBorders>
            <w:vAlign w:val="center"/>
          </w:tcPr>
          <w:p w14:paraId="404B17F3">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供应商确认收到竞争性磋商文件澄清、修改后，应在收到澄清、修改后24小时内以书面形式通知采购人或采购代理机构，确认已收到该澄清、修改。</w:t>
            </w:r>
          </w:p>
        </w:tc>
        <w:tc>
          <w:tcPr>
            <w:tcW w:w="1100" w:type="dxa"/>
            <w:tcBorders>
              <w:top w:val="single" w:color="auto" w:sz="4" w:space="0"/>
              <w:left w:val="single" w:color="auto" w:sz="4" w:space="0"/>
              <w:bottom w:val="single" w:color="auto" w:sz="4" w:space="0"/>
              <w:right w:val="single" w:color="auto" w:sz="4" w:space="0"/>
            </w:tcBorders>
            <w:vAlign w:val="center"/>
          </w:tcPr>
          <w:p w14:paraId="500AC98D">
            <w:pPr>
              <w:spacing w:before="40" w:after="40" w:line="360" w:lineRule="exact"/>
              <w:jc w:val="center"/>
              <w:rPr>
                <w:rFonts w:ascii="Times New Roman" w:hAnsi="宋体" w:cs="宋体"/>
                <w:color w:val="auto"/>
                <w:highlight w:val="none"/>
              </w:rPr>
            </w:pPr>
            <w:r>
              <w:rPr>
                <w:rFonts w:hint="eastAsia" w:ascii="宋体" w:hAnsi="宋体" w:cs="宋体"/>
                <w:color w:val="auto"/>
                <w:szCs w:val="21"/>
                <w:highlight w:val="none"/>
              </w:rPr>
              <w:t>11.5</w:t>
            </w:r>
          </w:p>
        </w:tc>
      </w:tr>
      <w:tr w14:paraId="5618F135">
        <w:tblPrEx>
          <w:tblCellMar>
            <w:top w:w="0" w:type="dxa"/>
            <w:left w:w="108" w:type="dxa"/>
            <w:bottom w:w="0" w:type="dxa"/>
            <w:right w:w="108" w:type="dxa"/>
          </w:tblCellMar>
        </w:tblPrEx>
        <w:trPr>
          <w:trHeight w:val="416" w:hRule="atLeast"/>
        </w:trPr>
        <w:tc>
          <w:tcPr>
            <w:tcW w:w="562" w:type="dxa"/>
            <w:tcBorders>
              <w:top w:val="single" w:color="auto" w:sz="4" w:space="0"/>
              <w:left w:val="single" w:color="auto" w:sz="4" w:space="0"/>
              <w:bottom w:val="single" w:color="auto" w:sz="4" w:space="0"/>
              <w:right w:val="single" w:color="auto" w:sz="4" w:space="0"/>
            </w:tcBorders>
            <w:vAlign w:val="center"/>
          </w:tcPr>
          <w:p w14:paraId="2986C0A9">
            <w:pPr>
              <w:spacing w:line="360" w:lineRule="exact"/>
              <w:jc w:val="center"/>
              <w:rPr>
                <w:rFonts w:ascii="宋体"/>
                <w:color w:val="auto"/>
                <w:szCs w:val="21"/>
                <w:highlight w:val="none"/>
              </w:rPr>
            </w:pPr>
            <w:r>
              <w:rPr>
                <w:rFonts w:hint="eastAsia" w:ascii="宋体"/>
                <w:color w:val="auto"/>
                <w:szCs w:val="21"/>
                <w:highlight w:val="none"/>
              </w:rPr>
              <w:t>16</w:t>
            </w:r>
          </w:p>
        </w:tc>
        <w:tc>
          <w:tcPr>
            <w:tcW w:w="2100" w:type="dxa"/>
            <w:tcBorders>
              <w:top w:val="single" w:color="auto" w:sz="4" w:space="0"/>
              <w:left w:val="single" w:color="auto" w:sz="4" w:space="0"/>
              <w:bottom w:val="single" w:color="auto" w:sz="4" w:space="0"/>
              <w:right w:val="single" w:color="auto" w:sz="4" w:space="0"/>
            </w:tcBorders>
            <w:vAlign w:val="center"/>
          </w:tcPr>
          <w:p w14:paraId="43259B5B">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磋商小组可以根据竞争性磋商文件和磋商情况实质性变动的内容</w:t>
            </w:r>
          </w:p>
        </w:tc>
        <w:tc>
          <w:tcPr>
            <w:tcW w:w="5116" w:type="dxa"/>
            <w:tcBorders>
              <w:top w:val="single" w:color="auto" w:sz="4" w:space="0"/>
              <w:left w:val="single" w:color="auto" w:sz="4" w:space="0"/>
              <w:bottom w:val="single" w:color="auto" w:sz="4" w:space="0"/>
              <w:right w:val="single" w:color="auto" w:sz="4" w:space="0"/>
            </w:tcBorders>
            <w:vAlign w:val="center"/>
          </w:tcPr>
          <w:p w14:paraId="2DA869B2">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w:t>
            </w:r>
          </w:p>
        </w:tc>
        <w:tc>
          <w:tcPr>
            <w:tcW w:w="1100" w:type="dxa"/>
            <w:tcBorders>
              <w:top w:val="single" w:color="auto" w:sz="4" w:space="0"/>
              <w:left w:val="single" w:color="auto" w:sz="4" w:space="0"/>
              <w:bottom w:val="single" w:color="auto" w:sz="4" w:space="0"/>
              <w:right w:val="single" w:color="auto" w:sz="4" w:space="0"/>
            </w:tcBorders>
            <w:vAlign w:val="center"/>
          </w:tcPr>
          <w:p w14:paraId="7EBCD177">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11.6</w:t>
            </w:r>
          </w:p>
        </w:tc>
      </w:tr>
      <w:tr w14:paraId="53741F79">
        <w:tblPrEx>
          <w:tblCellMar>
            <w:top w:w="0" w:type="dxa"/>
            <w:left w:w="108" w:type="dxa"/>
            <w:bottom w:w="0" w:type="dxa"/>
            <w:right w:w="108" w:type="dxa"/>
          </w:tblCellMar>
        </w:tblPrEx>
        <w:trPr>
          <w:trHeight w:val="704" w:hRule="atLeast"/>
        </w:trPr>
        <w:tc>
          <w:tcPr>
            <w:tcW w:w="562" w:type="dxa"/>
            <w:tcBorders>
              <w:top w:val="single" w:color="auto" w:sz="4" w:space="0"/>
              <w:left w:val="single" w:color="auto" w:sz="4" w:space="0"/>
              <w:bottom w:val="single" w:color="auto" w:sz="4" w:space="0"/>
              <w:right w:val="single" w:color="auto" w:sz="4" w:space="0"/>
            </w:tcBorders>
            <w:vAlign w:val="center"/>
          </w:tcPr>
          <w:p w14:paraId="7525FFA6">
            <w:pPr>
              <w:spacing w:line="360" w:lineRule="exact"/>
              <w:jc w:val="center"/>
              <w:rPr>
                <w:rFonts w:ascii="宋体"/>
                <w:color w:val="auto"/>
                <w:szCs w:val="21"/>
                <w:highlight w:val="none"/>
              </w:rPr>
            </w:pPr>
            <w:r>
              <w:rPr>
                <w:rFonts w:hint="eastAsia" w:ascii="宋体"/>
                <w:color w:val="auto"/>
                <w:szCs w:val="21"/>
                <w:highlight w:val="none"/>
              </w:rPr>
              <w:t>17</w:t>
            </w:r>
          </w:p>
        </w:tc>
        <w:tc>
          <w:tcPr>
            <w:tcW w:w="2100" w:type="dxa"/>
            <w:tcBorders>
              <w:top w:val="single" w:color="auto" w:sz="4" w:space="0"/>
              <w:left w:val="single" w:color="auto" w:sz="4" w:space="0"/>
              <w:bottom w:val="single" w:color="auto" w:sz="4" w:space="0"/>
              <w:right w:val="single" w:color="auto" w:sz="4" w:space="0"/>
            </w:tcBorders>
            <w:vAlign w:val="center"/>
          </w:tcPr>
          <w:p w14:paraId="49949D14">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语言文字</w:t>
            </w:r>
          </w:p>
        </w:tc>
        <w:tc>
          <w:tcPr>
            <w:tcW w:w="5116" w:type="dxa"/>
            <w:tcBorders>
              <w:top w:val="single" w:color="auto" w:sz="4" w:space="0"/>
              <w:left w:val="single" w:color="auto" w:sz="4" w:space="0"/>
              <w:bottom w:val="single" w:color="auto" w:sz="4" w:space="0"/>
              <w:right w:val="single" w:color="auto" w:sz="4" w:space="0"/>
            </w:tcBorders>
            <w:vAlign w:val="center"/>
          </w:tcPr>
          <w:p w14:paraId="7ADAE861">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供应商的响应文件以及供应商与采购人、采购代理机构、磋商小组就有关磋商的所有来往函电统一使用中文（特别规定除外）。</w:t>
            </w:r>
          </w:p>
        </w:tc>
        <w:tc>
          <w:tcPr>
            <w:tcW w:w="1100" w:type="dxa"/>
            <w:tcBorders>
              <w:top w:val="single" w:color="auto" w:sz="4" w:space="0"/>
              <w:left w:val="single" w:color="auto" w:sz="4" w:space="0"/>
              <w:bottom w:val="single" w:color="auto" w:sz="4" w:space="0"/>
              <w:right w:val="single" w:color="auto" w:sz="4" w:space="0"/>
            </w:tcBorders>
            <w:vAlign w:val="center"/>
          </w:tcPr>
          <w:p w14:paraId="2B2FF010">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13.1</w:t>
            </w:r>
          </w:p>
        </w:tc>
      </w:tr>
      <w:tr w14:paraId="61F19451">
        <w:tblPrEx>
          <w:tblCellMar>
            <w:top w:w="0" w:type="dxa"/>
            <w:left w:w="108" w:type="dxa"/>
            <w:bottom w:w="0" w:type="dxa"/>
            <w:right w:w="108" w:type="dxa"/>
          </w:tblCellMar>
        </w:tblPrEx>
        <w:trPr>
          <w:trHeight w:val="897" w:hRule="atLeast"/>
        </w:trPr>
        <w:tc>
          <w:tcPr>
            <w:tcW w:w="562" w:type="dxa"/>
            <w:tcBorders>
              <w:top w:val="single" w:color="auto" w:sz="4" w:space="0"/>
              <w:left w:val="single" w:color="auto" w:sz="4" w:space="0"/>
              <w:bottom w:val="single" w:color="auto" w:sz="4" w:space="0"/>
              <w:right w:val="single" w:color="auto" w:sz="4" w:space="0"/>
            </w:tcBorders>
            <w:vAlign w:val="center"/>
          </w:tcPr>
          <w:p w14:paraId="2E00AB09">
            <w:pPr>
              <w:spacing w:line="360" w:lineRule="exact"/>
              <w:jc w:val="center"/>
              <w:rPr>
                <w:rFonts w:ascii="宋体"/>
                <w:color w:val="auto"/>
                <w:szCs w:val="21"/>
                <w:highlight w:val="none"/>
              </w:rPr>
            </w:pPr>
            <w:r>
              <w:rPr>
                <w:rFonts w:hint="eastAsia" w:ascii="宋体"/>
                <w:color w:val="auto"/>
                <w:szCs w:val="21"/>
                <w:highlight w:val="none"/>
              </w:rPr>
              <w:t>18</w:t>
            </w:r>
          </w:p>
        </w:tc>
        <w:tc>
          <w:tcPr>
            <w:tcW w:w="2100" w:type="dxa"/>
            <w:tcBorders>
              <w:top w:val="single" w:color="auto" w:sz="4" w:space="0"/>
              <w:left w:val="single" w:color="auto" w:sz="4" w:space="0"/>
              <w:bottom w:val="single" w:color="auto" w:sz="4" w:space="0"/>
              <w:right w:val="single" w:color="auto" w:sz="4" w:space="0"/>
            </w:tcBorders>
            <w:vAlign w:val="center"/>
          </w:tcPr>
          <w:p w14:paraId="1B421515">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计量单位</w:t>
            </w:r>
          </w:p>
        </w:tc>
        <w:tc>
          <w:tcPr>
            <w:tcW w:w="5116" w:type="dxa"/>
            <w:tcBorders>
              <w:top w:val="single" w:color="auto" w:sz="4" w:space="0"/>
              <w:left w:val="single" w:color="auto" w:sz="4" w:space="0"/>
              <w:bottom w:val="single" w:color="auto" w:sz="4" w:space="0"/>
              <w:right w:val="single" w:color="auto" w:sz="4" w:space="0"/>
            </w:tcBorders>
            <w:vAlign w:val="center"/>
          </w:tcPr>
          <w:p w14:paraId="0D388D8F">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响应文件中使用的计量单位除竞争性磋商文件中有特殊规定外，一律使用中国法定计量单位。</w:t>
            </w:r>
          </w:p>
        </w:tc>
        <w:tc>
          <w:tcPr>
            <w:tcW w:w="1100" w:type="dxa"/>
            <w:tcBorders>
              <w:top w:val="single" w:color="auto" w:sz="4" w:space="0"/>
              <w:left w:val="single" w:color="auto" w:sz="4" w:space="0"/>
              <w:bottom w:val="single" w:color="auto" w:sz="4" w:space="0"/>
              <w:right w:val="single" w:color="auto" w:sz="4" w:space="0"/>
            </w:tcBorders>
            <w:vAlign w:val="center"/>
          </w:tcPr>
          <w:p w14:paraId="214F6AF7">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14.1</w:t>
            </w:r>
          </w:p>
        </w:tc>
      </w:tr>
      <w:tr w14:paraId="7B79F651">
        <w:tblPrEx>
          <w:tblCellMar>
            <w:top w:w="0" w:type="dxa"/>
            <w:left w:w="108" w:type="dxa"/>
            <w:bottom w:w="0" w:type="dxa"/>
            <w:right w:w="108" w:type="dxa"/>
          </w:tblCellMar>
        </w:tblPrEx>
        <w:trPr>
          <w:trHeight w:val="515" w:hRule="atLeast"/>
        </w:trPr>
        <w:tc>
          <w:tcPr>
            <w:tcW w:w="562" w:type="dxa"/>
            <w:tcBorders>
              <w:top w:val="single" w:color="auto" w:sz="4" w:space="0"/>
              <w:left w:val="single" w:color="auto" w:sz="4" w:space="0"/>
              <w:bottom w:val="single" w:color="auto" w:sz="4" w:space="0"/>
              <w:right w:val="single" w:color="auto" w:sz="4" w:space="0"/>
            </w:tcBorders>
            <w:vAlign w:val="center"/>
          </w:tcPr>
          <w:p w14:paraId="45BFAB1A">
            <w:pPr>
              <w:spacing w:line="360" w:lineRule="exact"/>
              <w:jc w:val="center"/>
              <w:rPr>
                <w:rFonts w:ascii="宋体"/>
                <w:color w:val="auto"/>
                <w:szCs w:val="21"/>
                <w:highlight w:val="none"/>
              </w:rPr>
            </w:pPr>
            <w:r>
              <w:rPr>
                <w:rFonts w:hint="eastAsia" w:ascii="宋体"/>
                <w:color w:val="auto"/>
                <w:szCs w:val="21"/>
                <w:highlight w:val="none"/>
              </w:rPr>
              <w:t>19</w:t>
            </w:r>
          </w:p>
        </w:tc>
        <w:tc>
          <w:tcPr>
            <w:tcW w:w="2100" w:type="dxa"/>
            <w:tcBorders>
              <w:top w:val="single" w:color="auto" w:sz="4" w:space="0"/>
              <w:left w:val="single" w:color="auto" w:sz="4" w:space="0"/>
              <w:bottom w:val="single" w:color="auto" w:sz="4" w:space="0"/>
              <w:right w:val="single" w:color="auto" w:sz="4" w:space="0"/>
            </w:tcBorders>
            <w:vAlign w:val="center"/>
          </w:tcPr>
          <w:p w14:paraId="5E92DA10">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构成响应文件的其他资料</w:t>
            </w:r>
          </w:p>
        </w:tc>
        <w:tc>
          <w:tcPr>
            <w:tcW w:w="5116" w:type="dxa"/>
            <w:tcBorders>
              <w:top w:val="single" w:color="auto" w:sz="4" w:space="0"/>
              <w:left w:val="single" w:color="auto" w:sz="4" w:space="0"/>
              <w:bottom w:val="single" w:color="auto" w:sz="4" w:space="0"/>
              <w:right w:val="single" w:color="auto" w:sz="4" w:space="0"/>
            </w:tcBorders>
            <w:vAlign w:val="center"/>
          </w:tcPr>
          <w:p w14:paraId="44513399">
            <w:pPr>
              <w:autoSpaceDE w:val="0"/>
              <w:autoSpaceDN w:val="0"/>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1.第五章《采购需求》中要求提供的其他资料；</w:t>
            </w:r>
          </w:p>
          <w:p w14:paraId="33EF288B">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2.竞争性磋商文件中所涉及到的相关资料及证明文件或供应商认为必须提供的其他相关资料。</w:t>
            </w:r>
          </w:p>
        </w:tc>
        <w:tc>
          <w:tcPr>
            <w:tcW w:w="1100" w:type="dxa"/>
            <w:tcBorders>
              <w:top w:val="single" w:color="auto" w:sz="4" w:space="0"/>
              <w:left w:val="single" w:color="auto" w:sz="4" w:space="0"/>
              <w:bottom w:val="single" w:color="auto" w:sz="4" w:space="0"/>
              <w:right w:val="single" w:color="auto" w:sz="4" w:space="0"/>
            </w:tcBorders>
            <w:vAlign w:val="center"/>
          </w:tcPr>
          <w:p w14:paraId="66ED8161">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15.2</w:t>
            </w:r>
          </w:p>
        </w:tc>
      </w:tr>
      <w:tr w14:paraId="700F4984">
        <w:tblPrEx>
          <w:tblCellMar>
            <w:top w:w="0" w:type="dxa"/>
            <w:left w:w="108" w:type="dxa"/>
            <w:bottom w:w="0" w:type="dxa"/>
            <w:right w:w="108" w:type="dxa"/>
          </w:tblCellMar>
        </w:tblPrEx>
        <w:trPr>
          <w:trHeight w:val="412" w:hRule="atLeast"/>
        </w:trPr>
        <w:tc>
          <w:tcPr>
            <w:tcW w:w="562" w:type="dxa"/>
            <w:tcBorders>
              <w:top w:val="single" w:color="auto" w:sz="4" w:space="0"/>
              <w:left w:val="single" w:color="auto" w:sz="4" w:space="0"/>
              <w:bottom w:val="single" w:color="auto" w:sz="4" w:space="0"/>
              <w:right w:val="single" w:color="auto" w:sz="4" w:space="0"/>
            </w:tcBorders>
            <w:vAlign w:val="center"/>
          </w:tcPr>
          <w:p w14:paraId="481EF3A7">
            <w:pPr>
              <w:spacing w:line="360" w:lineRule="exact"/>
              <w:jc w:val="center"/>
              <w:rPr>
                <w:rFonts w:ascii="宋体"/>
                <w:color w:val="auto"/>
                <w:szCs w:val="21"/>
                <w:highlight w:val="none"/>
              </w:rPr>
            </w:pPr>
            <w:r>
              <w:rPr>
                <w:rFonts w:hint="eastAsia" w:ascii="宋体"/>
                <w:color w:val="auto"/>
                <w:szCs w:val="21"/>
                <w:highlight w:val="none"/>
              </w:rPr>
              <w:t>20</w:t>
            </w:r>
          </w:p>
        </w:tc>
        <w:tc>
          <w:tcPr>
            <w:tcW w:w="2100" w:type="dxa"/>
            <w:tcBorders>
              <w:top w:val="single" w:color="auto" w:sz="4" w:space="0"/>
              <w:left w:val="single" w:color="auto" w:sz="4" w:space="0"/>
              <w:bottom w:val="single" w:color="auto" w:sz="4" w:space="0"/>
              <w:right w:val="single" w:color="auto" w:sz="4" w:space="0"/>
            </w:tcBorders>
            <w:vAlign w:val="center"/>
          </w:tcPr>
          <w:p w14:paraId="70A709FA">
            <w:pPr>
              <w:pStyle w:val="9"/>
              <w:spacing w:before="40" w:after="40" w:line="360" w:lineRule="exact"/>
              <w:ind w:left="120" w:leftChars="57"/>
              <w:jc w:val="center"/>
              <w:rPr>
                <w:color w:val="auto"/>
                <w:szCs w:val="21"/>
                <w:highlight w:val="none"/>
              </w:rPr>
            </w:pPr>
            <w:r>
              <w:rPr>
                <w:rFonts w:hint="eastAsia" w:cs="宋体"/>
                <w:color w:val="auto"/>
                <w:sz w:val="21"/>
                <w:szCs w:val="21"/>
                <w:highlight w:val="none"/>
              </w:rPr>
              <w:t>响应文件有效期</w:t>
            </w:r>
          </w:p>
        </w:tc>
        <w:tc>
          <w:tcPr>
            <w:tcW w:w="5116" w:type="dxa"/>
            <w:tcBorders>
              <w:top w:val="single" w:color="auto" w:sz="4" w:space="0"/>
              <w:left w:val="single" w:color="auto" w:sz="4" w:space="0"/>
              <w:bottom w:val="single" w:color="auto" w:sz="4" w:space="0"/>
              <w:right w:val="single" w:color="auto" w:sz="4" w:space="0"/>
            </w:tcBorders>
            <w:vAlign w:val="center"/>
          </w:tcPr>
          <w:p w14:paraId="4D86C257">
            <w:pPr>
              <w:pStyle w:val="9"/>
              <w:spacing w:before="40" w:after="40" w:line="360" w:lineRule="exact"/>
              <w:rPr>
                <w:b/>
                <w:color w:val="auto"/>
                <w:szCs w:val="21"/>
                <w:highlight w:val="none"/>
              </w:rPr>
            </w:pPr>
            <w:r>
              <w:rPr>
                <w:rFonts w:hint="eastAsia" w:cs="宋体"/>
                <w:color w:val="auto"/>
                <w:sz w:val="21"/>
                <w:szCs w:val="21"/>
                <w:highlight w:val="none"/>
              </w:rPr>
              <w:t>响应文件提交截止之日起90天</w:t>
            </w:r>
          </w:p>
        </w:tc>
        <w:tc>
          <w:tcPr>
            <w:tcW w:w="1100" w:type="dxa"/>
            <w:tcBorders>
              <w:top w:val="single" w:color="auto" w:sz="4" w:space="0"/>
              <w:left w:val="single" w:color="auto" w:sz="4" w:space="0"/>
              <w:bottom w:val="single" w:color="auto" w:sz="4" w:space="0"/>
              <w:right w:val="single" w:color="auto" w:sz="4" w:space="0"/>
            </w:tcBorders>
            <w:vAlign w:val="center"/>
          </w:tcPr>
          <w:p w14:paraId="41545549">
            <w:pPr>
              <w:spacing w:before="40" w:after="40" w:line="360" w:lineRule="exact"/>
              <w:jc w:val="center"/>
              <w:rPr>
                <w:rFonts w:ascii="宋体" w:hAnsi="宋体" w:cs="宋体"/>
                <w:color w:val="auto"/>
                <w:highlight w:val="none"/>
              </w:rPr>
            </w:pPr>
            <w:r>
              <w:rPr>
                <w:rFonts w:hint="eastAsia" w:ascii="宋体" w:hAnsi="宋体" w:cs="宋体"/>
                <w:color w:val="auto"/>
                <w:szCs w:val="21"/>
                <w:highlight w:val="none"/>
              </w:rPr>
              <w:t>17.1</w:t>
            </w:r>
          </w:p>
        </w:tc>
      </w:tr>
      <w:tr w14:paraId="5CE7DE6A">
        <w:tblPrEx>
          <w:tblCellMar>
            <w:top w:w="0" w:type="dxa"/>
            <w:left w:w="108" w:type="dxa"/>
            <w:bottom w:w="0" w:type="dxa"/>
            <w:right w:w="108" w:type="dxa"/>
          </w:tblCellMar>
        </w:tblPrEx>
        <w:trPr>
          <w:trHeight w:val="231" w:hRule="atLeast"/>
        </w:trPr>
        <w:tc>
          <w:tcPr>
            <w:tcW w:w="562" w:type="dxa"/>
            <w:tcBorders>
              <w:top w:val="single" w:color="auto" w:sz="4" w:space="0"/>
              <w:left w:val="single" w:color="auto" w:sz="4" w:space="0"/>
              <w:bottom w:val="single" w:color="auto" w:sz="4" w:space="0"/>
              <w:right w:val="single" w:color="auto" w:sz="4" w:space="0"/>
            </w:tcBorders>
            <w:vAlign w:val="center"/>
          </w:tcPr>
          <w:p w14:paraId="32E32F48">
            <w:pPr>
              <w:spacing w:line="360" w:lineRule="exact"/>
              <w:jc w:val="center"/>
              <w:rPr>
                <w:rFonts w:ascii="宋体"/>
                <w:color w:val="auto"/>
                <w:szCs w:val="21"/>
                <w:highlight w:val="none"/>
              </w:rPr>
            </w:pPr>
            <w:r>
              <w:rPr>
                <w:rFonts w:hint="eastAsia" w:ascii="宋体" w:hAnsi="宋体"/>
                <w:color w:val="auto"/>
                <w:szCs w:val="21"/>
                <w:highlight w:val="none"/>
              </w:rPr>
              <w:t>21</w:t>
            </w:r>
          </w:p>
        </w:tc>
        <w:tc>
          <w:tcPr>
            <w:tcW w:w="2100" w:type="dxa"/>
            <w:tcBorders>
              <w:top w:val="single" w:color="auto" w:sz="4" w:space="0"/>
              <w:left w:val="single" w:color="auto" w:sz="4" w:space="0"/>
              <w:bottom w:val="single" w:color="auto" w:sz="4" w:space="0"/>
              <w:right w:val="single" w:color="auto" w:sz="4" w:space="0"/>
            </w:tcBorders>
            <w:vAlign w:val="center"/>
          </w:tcPr>
          <w:p w14:paraId="63F73133">
            <w:pPr>
              <w:spacing w:before="40" w:after="40" w:line="360" w:lineRule="exact"/>
              <w:jc w:val="center"/>
              <w:rPr>
                <w:rFonts w:ascii="宋体"/>
                <w:color w:val="auto"/>
                <w:szCs w:val="21"/>
                <w:highlight w:val="none"/>
              </w:rPr>
            </w:pPr>
            <w:r>
              <w:rPr>
                <w:rFonts w:hint="eastAsia" w:hAnsi="宋体"/>
                <w:color w:val="auto"/>
                <w:szCs w:val="21"/>
                <w:highlight w:val="none"/>
              </w:rPr>
              <w:t>磋商保证金</w:t>
            </w:r>
          </w:p>
        </w:tc>
        <w:tc>
          <w:tcPr>
            <w:tcW w:w="5116" w:type="dxa"/>
            <w:tcBorders>
              <w:top w:val="single" w:color="auto" w:sz="4" w:space="0"/>
              <w:left w:val="single" w:color="auto" w:sz="4" w:space="0"/>
              <w:bottom w:val="single" w:color="auto" w:sz="4" w:space="0"/>
              <w:right w:val="single" w:color="auto" w:sz="4" w:space="0"/>
            </w:tcBorders>
            <w:vAlign w:val="center"/>
          </w:tcPr>
          <w:p w14:paraId="546374E7">
            <w:pPr>
              <w:autoSpaceDE w:val="0"/>
              <w:autoSpaceDN w:val="0"/>
              <w:adjustRightInd w:val="0"/>
              <w:spacing w:line="400" w:lineRule="exact"/>
              <w:jc w:val="left"/>
              <w:rPr>
                <w:rFonts w:ascii="宋体"/>
                <w:color w:val="auto"/>
                <w:szCs w:val="21"/>
                <w:highlight w:val="none"/>
              </w:rPr>
            </w:pPr>
            <w:r>
              <w:rPr>
                <w:rFonts w:hint="eastAsia" w:ascii="宋体" w:cs="宋体"/>
                <w:color w:val="auto"/>
                <w:szCs w:val="21"/>
                <w:highlight w:val="none"/>
                <w:lang w:val="en-US" w:eastAsia="zh-CN"/>
              </w:rPr>
              <w:t>本项目不收取磋商保证金</w:t>
            </w:r>
          </w:p>
        </w:tc>
        <w:tc>
          <w:tcPr>
            <w:tcW w:w="1100" w:type="dxa"/>
            <w:tcBorders>
              <w:top w:val="single" w:color="auto" w:sz="4" w:space="0"/>
              <w:left w:val="single" w:color="auto" w:sz="4" w:space="0"/>
              <w:bottom w:val="single" w:color="auto" w:sz="4" w:space="0"/>
              <w:right w:val="single" w:color="auto" w:sz="4" w:space="0"/>
            </w:tcBorders>
            <w:vAlign w:val="center"/>
          </w:tcPr>
          <w:p w14:paraId="0122FDA2">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18.1</w:t>
            </w:r>
          </w:p>
        </w:tc>
      </w:tr>
      <w:tr w14:paraId="1FB820D1">
        <w:tblPrEx>
          <w:tblCellMar>
            <w:top w:w="0" w:type="dxa"/>
            <w:left w:w="108" w:type="dxa"/>
            <w:bottom w:w="0" w:type="dxa"/>
            <w:right w:w="108" w:type="dxa"/>
          </w:tblCellMar>
        </w:tblPrEx>
        <w:trPr>
          <w:trHeight w:val="231" w:hRule="atLeast"/>
        </w:trPr>
        <w:tc>
          <w:tcPr>
            <w:tcW w:w="562" w:type="dxa"/>
            <w:tcBorders>
              <w:top w:val="single" w:color="auto" w:sz="4" w:space="0"/>
              <w:left w:val="single" w:color="auto" w:sz="4" w:space="0"/>
              <w:bottom w:val="single" w:color="auto" w:sz="4" w:space="0"/>
              <w:right w:val="single" w:color="auto" w:sz="4" w:space="0"/>
            </w:tcBorders>
            <w:vAlign w:val="center"/>
          </w:tcPr>
          <w:p w14:paraId="7B95A1A5">
            <w:pPr>
              <w:spacing w:line="360" w:lineRule="exact"/>
              <w:jc w:val="center"/>
              <w:rPr>
                <w:rFonts w:ascii="宋体" w:hAnsi="宋体"/>
                <w:color w:val="auto"/>
                <w:szCs w:val="21"/>
                <w:highlight w:val="none"/>
              </w:rPr>
            </w:pPr>
            <w:r>
              <w:rPr>
                <w:rFonts w:hint="eastAsia" w:ascii="宋体"/>
                <w:color w:val="auto"/>
                <w:szCs w:val="21"/>
                <w:highlight w:val="none"/>
              </w:rPr>
              <w:t>22</w:t>
            </w:r>
          </w:p>
        </w:tc>
        <w:tc>
          <w:tcPr>
            <w:tcW w:w="2100" w:type="dxa"/>
            <w:tcBorders>
              <w:top w:val="single" w:color="auto" w:sz="4" w:space="0"/>
              <w:left w:val="single" w:color="auto" w:sz="4" w:space="0"/>
              <w:bottom w:val="single" w:color="auto" w:sz="4" w:space="0"/>
              <w:right w:val="single" w:color="auto" w:sz="4" w:space="0"/>
            </w:tcBorders>
            <w:vAlign w:val="center"/>
          </w:tcPr>
          <w:p w14:paraId="341B32A2">
            <w:pPr>
              <w:spacing w:before="40" w:after="40" w:line="360" w:lineRule="exact"/>
              <w:jc w:val="center"/>
              <w:rPr>
                <w:rFonts w:hAnsi="宋体"/>
                <w:color w:val="auto"/>
                <w:szCs w:val="21"/>
                <w:highlight w:val="none"/>
              </w:rPr>
            </w:pPr>
            <w:r>
              <w:rPr>
                <w:rFonts w:hint="eastAsia" w:hAnsi="宋体"/>
                <w:color w:val="auto"/>
                <w:szCs w:val="21"/>
                <w:highlight w:val="none"/>
              </w:rPr>
              <w:t>磋商保证金退还</w:t>
            </w:r>
          </w:p>
        </w:tc>
        <w:tc>
          <w:tcPr>
            <w:tcW w:w="5116" w:type="dxa"/>
            <w:tcBorders>
              <w:top w:val="single" w:color="auto" w:sz="4" w:space="0"/>
              <w:left w:val="single" w:color="auto" w:sz="4" w:space="0"/>
              <w:bottom w:val="single" w:color="auto" w:sz="4" w:space="0"/>
              <w:right w:val="single" w:color="auto" w:sz="4" w:space="0"/>
            </w:tcBorders>
            <w:vAlign w:val="center"/>
          </w:tcPr>
          <w:p w14:paraId="3A015B2A">
            <w:pPr>
              <w:autoSpaceDE w:val="0"/>
              <w:autoSpaceDN w:val="0"/>
              <w:adjustRightInd w:val="0"/>
              <w:spacing w:line="400" w:lineRule="exact"/>
              <w:jc w:val="left"/>
              <w:rPr>
                <w:rFonts w:ascii="宋体"/>
                <w:bCs/>
                <w:color w:val="auto"/>
                <w:szCs w:val="21"/>
                <w:highlight w:val="none"/>
              </w:rPr>
            </w:pPr>
            <w:r>
              <w:rPr>
                <w:rFonts w:hint="eastAsia" w:ascii="宋体"/>
                <w:bCs/>
                <w:color w:val="auto"/>
                <w:szCs w:val="21"/>
                <w:highlight w:val="none"/>
              </w:rPr>
              <w:t>采购代理机构在成交通知书发出后3个工作日内原路退还未成交供应商的磋商保证金，成交供应商的磋商保证金在采购合同签订后5个工作日内原路退还，但因供应商自身原因导致无法及时退还的除外。</w:t>
            </w:r>
          </w:p>
        </w:tc>
        <w:tc>
          <w:tcPr>
            <w:tcW w:w="1100" w:type="dxa"/>
            <w:tcBorders>
              <w:top w:val="single" w:color="auto" w:sz="4" w:space="0"/>
              <w:left w:val="single" w:color="auto" w:sz="4" w:space="0"/>
              <w:bottom w:val="single" w:color="auto" w:sz="4" w:space="0"/>
              <w:right w:val="single" w:color="auto" w:sz="4" w:space="0"/>
            </w:tcBorders>
            <w:vAlign w:val="center"/>
          </w:tcPr>
          <w:p w14:paraId="3102B12D">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18.2</w:t>
            </w:r>
          </w:p>
        </w:tc>
      </w:tr>
      <w:tr w14:paraId="4346FB43">
        <w:tblPrEx>
          <w:tblCellMar>
            <w:top w:w="0" w:type="dxa"/>
            <w:left w:w="108" w:type="dxa"/>
            <w:bottom w:w="0" w:type="dxa"/>
            <w:right w:w="108" w:type="dxa"/>
          </w:tblCellMar>
        </w:tblPrEx>
        <w:trPr>
          <w:trHeight w:val="231" w:hRule="atLeast"/>
        </w:trPr>
        <w:tc>
          <w:tcPr>
            <w:tcW w:w="562" w:type="dxa"/>
            <w:tcBorders>
              <w:top w:val="single" w:color="auto" w:sz="4" w:space="0"/>
              <w:left w:val="single" w:color="auto" w:sz="4" w:space="0"/>
              <w:bottom w:val="single" w:color="auto" w:sz="4" w:space="0"/>
              <w:right w:val="single" w:color="auto" w:sz="4" w:space="0"/>
            </w:tcBorders>
            <w:vAlign w:val="center"/>
          </w:tcPr>
          <w:p w14:paraId="20CA4965">
            <w:pPr>
              <w:spacing w:line="360" w:lineRule="exact"/>
              <w:jc w:val="center"/>
              <w:rPr>
                <w:rFonts w:ascii="宋体"/>
                <w:color w:val="auto"/>
                <w:szCs w:val="21"/>
                <w:highlight w:val="none"/>
              </w:rPr>
            </w:pPr>
            <w:r>
              <w:rPr>
                <w:rFonts w:hint="eastAsia" w:ascii="宋体"/>
                <w:color w:val="auto"/>
                <w:szCs w:val="21"/>
                <w:highlight w:val="none"/>
              </w:rPr>
              <w:t>23</w:t>
            </w:r>
          </w:p>
        </w:tc>
        <w:tc>
          <w:tcPr>
            <w:tcW w:w="2100" w:type="dxa"/>
            <w:tcBorders>
              <w:top w:val="single" w:color="auto" w:sz="4" w:space="0"/>
              <w:left w:val="single" w:color="auto" w:sz="4" w:space="0"/>
              <w:bottom w:val="single" w:color="auto" w:sz="4" w:space="0"/>
              <w:right w:val="single" w:color="auto" w:sz="4" w:space="0"/>
            </w:tcBorders>
            <w:vAlign w:val="center"/>
          </w:tcPr>
          <w:p w14:paraId="6D414CAB">
            <w:pPr>
              <w:spacing w:line="400" w:lineRule="exact"/>
              <w:jc w:val="center"/>
              <w:rPr>
                <w:rFonts w:ascii="宋体" w:hAnsi="宋体"/>
                <w:color w:val="auto"/>
                <w:szCs w:val="21"/>
                <w:highlight w:val="none"/>
              </w:rPr>
            </w:pPr>
            <w:r>
              <w:rPr>
                <w:rFonts w:hint="eastAsia" w:ascii="宋体" w:hAnsi="宋体" w:cs="宋体"/>
                <w:color w:val="auto"/>
                <w:highlight w:val="none"/>
              </w:rPr>
              <w:t>响应文件签署</w:t>
            </w:r>
          </w:p>
        </w:tc>
        <w:tc>
          <w:tcPr>
            <w:tcW w:w="5116" w:type="dxa"/>
            <w:tcBorders>
              <w:top w:val="single" w:color="auto" w:sz="4" w:space="0"/>
              <w:left w:val="single" w:color="auto" w:sz="4" w:space="0"/>
              <w:bottom w:val="single" w:color="auto" w:sz="4" w:space="0"/>
              <w:right w:val="single" w:color="auto" w:sz="4" w:space="0"/>
            </w:tcBorders>
            <w:vAlign w:val="center"/>
          </w:tcPr>
          <w:p w14:paraId="180EEBF9">
            <w:pPr>
              <w:spacing w:line="400" w:lineRule="exact"/>
              <w:jc w:val="left"/>
              <w:rPr>
                <w:rFonts w:ascii="宋体" w:hAnsi="宋体"/>
                <w:color w:val="auto"/>
                <w:szCs w:val="21"/>
                <w:highlight w:val="none"/>
              </w:rPr>
            </w:pPr>
            <w:r>
              <w:rPr>
                <w:rFonts w:hint="eastAsia" w:ascii="宋体" w:hAnsi="宋体" w:cs="宋体"/>
                <w:color w:val="auto"/>
                <w:highlight w:val="none"/>
              </w:rPr>
              <w:t>响应文件编制完成后须用数字证书（CA）按格式进行电子签章，在所要求的位置有法定代表人的电子签名或盖章，均使用数字证书（CA）按格式进行电子签章，联合体参加磋商的除格式要求外，可由联合体牵头单位签署。</w:t>
            </w:r>
          </w:p>
        </w:tc>
        <w:tc>
          <w:tcPr>
            <w:tcW w:w="1100" w:type="dxa"/>
            <w:tcBorders>
              <w:top w:val="single" w:color="auto" w:sz="4" w:space="0"/>
              <w:left w:val="single" w:color="auto" w:sz="4" w:space="0"/>
              <w:bottom w:val="single" w:color="auto" w:sz="4" w:space="0"/>
              <w:right w:val="single" w:color="auto" w:sz="4" w:space="0"/>
            </w:tcBorders>
            <w:vAlign w:val="center"/>
          </w:tcPr>
          <w:p w14:paraId="641F6B95">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19.1</w:t>
            </w:r>
          </w:p>
        </w:tc>
      </w:tr>
      <w:tr w14:paraId="6A9EB246">
        <w:tblPrEx>
          <w:tblCellMar>
            <w:top w:w="0" w:type="dxa"/>
            <w:left w:w="108" w:type="dxa"/>
            <w:bottom w:w="0" w:type="dxa"/>
            <w:right w:w="108" w:type="dxa"/>
          </w:tblCellMar>
        </w:tblPrEx>
        <w:trPr>
          <w:trHeight w:val="623" w:hRule="atLeast"/>
        </w:trPr>
        <w:tc>
          <w:tcPr>
            <w:tcW w:w="562" w:type="dxa"/>
            <w:tcBorders>
              <w:top w:val="single" w:color="auto" w:sz="4" w:space="0"/>
              <w:left w:val="single" w:color="auto" w:sz="4" w:space="0"/>
              <w:bottom w:val="single" w:color="auto" w:sz="4" w:space="0"/>
              <w:right w:val="single" w:color="auto" w:sz="4" w:space="0"/>
            </w:tcBorders>
            <w:vAlign w:val="center"/>
          </w:tcPr>
          <w:p w14:paraId="02828FC1">
            <w:pPr>
              <w:spacing w:line="360" w:lineRule="exact"/>
              <w:jc w:val="center"/>
              <w:rPr>
                <w:rFonts w:ascii="宋体"/>
                <w:color w:val="auto"/>
                <w:szCs w:val="21"/>
                <w:highlight w:val="none"/>
              </w:rPr>
            </w:pPr>
            <w:r>
              <w:rPr>
                <w:rFonts w:hint="eastAsia" w:ascii="宋体"/>
                <w:color w:val="auto"/>
                <w:szCs w:val="21"/>
                <w:highlight w:val="none"/>
              </w:rPr>
              <w:t>24</w:t>
            </w:r>
          </w:p>
        </w:tc>
        <w:tc>
          <w:tcPr>
            <w:tcW w:w="2100" w:type="dxa"/>
            <w:tcBorders>
              <w:top w:val="single" w:color="auto" w:sz="4" w:space="0"/>
              <w:left w:val="single" w:color="auto" w:sz="4" w:space="0"/>
              <w:bottom w:val="single" w:color="auto" w:sz="4" w:space="0"/>
              <w:right w:val="single" w:color="auto" w:sz="4" w:space="0"/>
            </w:tcBorders>
            <w:vAlign w:val="center"/>
          </w:tcPr>
          <w:p w14:paraId="1AE7B870">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响应文件份数</w:t>
            </w:r>
          </w:p>
        </w:tc>
        <w:tc>
          <w:tcPr>
            <w:tcW w:w="5116" w:type="dxa"/>
            <w:tcBorders>
              <w:top w:val="single" w:color="auto" w:sz="4" w:space="0"/>
              <w:left w:val="single" w:color="auto" w:sz="4" w:space="0"/>
              <w:bottom w:val="single" w:color="auto" w:sz="4" w:space="0"/>
              <w:right w:val="single" w:color="auto" w:sz="4" w:space="0"/>
            </w:tcBorders>
            <w:vAlign w:val="center"/>
          </w:tcPr>
          <w:p w14:paraId="750C238F">
            <w:pPr>
              <w:spacing w:before="40" w:after="40" w:line="360" w:lineRule="exact"/>
              <w:rPr>
                <w:rFonts w:ascii="宋体" w:hAnsi="宋体" w:cs="宋体"/>
                <w:color w:val="auto"/>
                <w:szCs w:val="21"/>
                <w:highlight w:val="none"/>
              </w:rPr>
            </w:pPr>
            <w:r>
              <w:rPr>
                <w:rFonts w:hint="eastAsia" w:ascii="宋体" w:hAnsi="宋体" w:cs="宋体"/>
                <w:color w:val="auto"/>
                <w:szCs w:val="21"/>
                <w:highlight w:val="none"/>
              </w:rPr>
              <w:t>按“政采云”要求，上传电子响应文件壹份。供应商应安装“政采云”投标客户端，根据采购文件格式编制响应文件，生成加密标书后进行上传（详见政采云供应商操作指南及申领数字证书（CA）操作手册）。</w:t>
            </w:r>
          </w:p>
        </w:tc>
        <w:tc>
          <w:tcPr>
            <w:tcW w:w="1100" w:type="dxa"/>
            <w:tcBorders>
              <w:top w:val="single" w:color="auto" w:sz="4" w:space="0"/>
              <w:left w:val="single" w:color="auto" w:sz="4" w:space="0"/>
              <w:bottom w:val="single" w:color="auto" w:sz="4" w:space="0"/>
              <w:right w:val="single" w:color="auto" w:sz="4" w:space="0"/>
            </w:tcBorders>
            <w:vAlign w:val="center"/>
          </w:tcPr>
          <w:p w14:paraId="3630AEFE">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19.8</w:t>
            </w:r>
          </w:p>
        </w:tc>
      </w:tr>
      <w:tr w14:paraId="6FDBFEB0">
        <w:tblPrEx>
          <w:tblCellMar>
            <w:top w:w="0" w:type="dxa"/>
            <w:left w:w="108" w:type="dxa"/>
            <w:bottom w:w="0" w:type="dxa"/>
            <w:right w:w="108" w:type="dxa"/>
          </w:tblCellMar>
        </w:tblPrEx>
        <w:trPr>
          <w:trHeight w:val="296" w:hRule="atLeast"/>
        </w:trPr>
        <w:tc>
          <w:tcPr>
            <w:tcW w:w="562" w:type="dxa"/>
            <w:tcBorders>
              <w:top w:val="single" w:color="auto" w:sz="4" w:space="0"/>
              <w:left w:val="single" w:color="auto" w:sz="4" w:space="0"/>
              <w:bottom w:val="single" w:color="auto" w:sz="4" w:space="0"/>
              <w:right w:val="single" w:color="auto" w:sz="4" w:space="0"/>
            </w:tcBorders>
            <w:vAlign w:val="center"/>
          </w:tcPr>
          <w:p w14:paraId="46D23F50">
            <w:pPr>
              <w:spacing w:line="360" w:lineRule="exact"/>
              <w:jc w:val="center"/>
              <w:rPr>
                <w:rFonts w:ascii="宋体"/>
                <w:color w:val="auto"/>
                <w:szCs w:val="21"/>
                <w:highlight w:val="none"/>
              </w:rPr>
            </w:pPr>
            <w:r>
              <w:rPr>
                <w:rFonts w:hint="eastAsia" w:ascii="宋体"/>
                <w:color w:val="auto"/>
                <w:szCs w:val="21"/>
                <w:highlight w:val="none"/>
              </w:rPr>
              <w:t>25</w:t>
            </w:r>
          </w:p>
        </w:tc>
        <w:tc>
          <w:tcPr>
            <w:tcW w:w="2100" w:type="dxa"/>
            <w:tcBorders>
              <w:top w:val="single" w:color="auto" w:sz="4" w:space="0"/>
              <w:left w:val="single" w:color="auto" w:sz="4" w:space="0"/>
              <w:bottom w:val="single" w:color="auto" w:sz="4" w:space="0"/>
              <w:right w:val="single" w:color="auto" w:sz="4" w:space="0"/>
            </w:tcBorders>
            <w:vAlign w:val="center"/>
          </w:tcPr>
          <w:p w14:paraId="40F536BA">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最后报价</w:t>
            </w:r>
          </w:p>
        </w:tc>
        <w:tc>
          <w:tcPr>
            <w:tcW w:w="5116" w:type="dxa"/>
            <w:tcBorders>
              <w:top w:val="single" w:color="auto" w:sz="4" w:space="0"/>
              <w:left w:val="single" w:color="auto" w:sz="4" w:space="0"/>
              <w:bottom w:val="single" w:color="auto" w:sz="4" w:space="0"/>
              <w:right w:val="single" w:color="auto" w:sz="4" w:space="0"/>
            </w:tcBorders>
            <w:vAlign w:val="center"/>
          </w:tcPr>
          <w:p w14:paraId="45457805">
            <w:pPr>
              <w:spacing w:before="40" w:after="40" w:line="360" w:lineRule="exact"/>
              <w:rPr>
                <w:rFonts w:ascii="宋体"/>
                <w:color w:val="auto"/>
                <w:szCs w:val="21"/>
                <w:highlight w:val="none"/>
              </w:rPr>
            </w:pPr>
            <w:r>
              <w:rPr>
                <w:rFonts w:hint="eastAsia" w:ascii="宋体" w:hAnsi="宋体" w:cs="宋体"/>
                <w:color w:val="auto"/>
                <w:szCs w:val="21"/>
                <w:highlight w:val="none"/>
              </w:rPr>
              <w:t>提交响应文件的供应商，按照“政采云”平台的顺序进行磋商、承诺及最后报价，操作流程详见政采云（https://e-learning.zcygov.cn/index）供应商操作指南。</w:t>
            </w:r>
          </w:p>
        </w:tc>
        <w:tc>
          <w:tcPr>
            <w:tcW w:w="1100" w:type="dxa"/>
            <w:tcBorders>
              <w:top w:val="single" w:color="auto" w:sz="4" w:space="0"/>
              <w:left w:val="single" w:color="auto" w:sz="4" w:space="0"/>
              <w:bottom w:val="single" w:color="auto" w:sz="4" w:space="0"/>
              <w:right w:val="single" w:color="auto" w:sz="4" w:space="0"/>
            </w:tcBorders>
            <w:vAlign w:val="center"/>
          </w:tcPr>
          <w:p w14:paraId="5BE97415">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20.5</w:t>
            </w:r>
          </w:p>
        </w:tc>
      </w:tr>
      <w:tr w14:paraId="3958DA93">
        <w:tblPrEx>
          <w:tblCellMar>
            <w:top w:w="0" w:type="dxa"/>
            <w:left w:w="108" w:type="dxa"/>
            <w:bottom w:w="0" w:type="dxa"/>
            <w:right w:w="108" w:type="dxa"/>
          </w:tblCellMar>
        </w:tblPrEx>
        <w:trPr>
          <w:trHeight w:val="203" w:hRule="atLeast"/>
        </w:trPr>
        <w:tc>
          <w:tcPr>
            <w:tcW w:w="562" w:type="dxa"/>
            <w:tcBorders>
              <w:top w:val="single" w:color="auto" w:sz="4" w:space="0"/>
              <w:left w:val="single" w:color="auto" w:sz="4" w:space="0"/>
              <w:bottom w:val="single" w:color="auto" w:sz="4" w:space="0"/>
              <w:right w:val="single" w:color="auto" w:sz="4" w:space="0"/>
            </w:tcBorders>
            <w:vAlign w:val="center"/>
          </w:tcPr>
          <w:p w14:paraId="71925191">
            <w:pPr>
              <w:spacing w:line="360" w:lineRule="exact"/>
              <w:jc w:val="center"/>
              <w:rPr>
                <w:rFonts w:ascii="宋体"/>
                <w:color w:val="auto"/>
                <w:szCs w:val="21"/>
                <w:highlight w:val="none"/>
              </w:rPr>
            </w:pPr>
            <w:r>
              <w:rPr>
                <w:rFonts w:hint="eastAsia" w:ascii="宋体"/>
                <w:color w:val="auto"/>
                <w:szCs w:val="21"/>
                <w:highlight w:val="none"/>
              </w:rPr>
              <w:t>26</w:t>
            </w:r>
          </w:p>
        </w:tc>
        <w:tc>
          <w:tcPr>
            <w:tcW w:w="2100" w:type="dxa"/>
            <w:tcBorders>
              <w:top w:val="single" w:color="auto" w:sz="4" w:space="0"/>
              <w:left w:val="single" w:color="auto" w:sz="4" w:space="0"/>
              <w:bottom w:val="single" w:color="auto" w:sz="4" w:space="0"/>
              <w:right w:val="single" w:color="auto" w:sz="4" w:space="0"/>
            </w:tcBorders>
            <w:vAlign w:val="center"/>
          </w:tcPr>
          <w:p w14:paraId="3ED5EFF1">
            <w:pPr>
              <w:spacing w:line="360" w:lineRule="exact"/>
              <w:jc w:val="center"/>
              <w:rPr>
                <w:rFonts w:ascii="宋体"/>
                <w:color w:val="auto"/>
                <w:szCs w:val="21"/>
                <w:highlight w:val="none"/>
              </w:rPr>
            </w:pPr>
            <w:r>
              <w:rPr>
                <w:rFonts w:hint="eastAsia" w:ascii="宋体" w:hAnsi="宋体" w:cs="宋体"/>
                <w:color w:val="auto"/>
                <w:szCs w:val="21"/>
                <w:highlight w:val="none"/>
              </w:rPr>
              <w:t>报价货币</w:t>
            </w:r>
          </w:p>
        </w:tc>
        <w:tc>
          <w:tcPr>
            <w:tcW w:w="5116" w:type="dxa"/>
            <w:tcBorders>
              <w:top w:val="single" w:color="auto" w:sz="4" w:space="0"/>
              <w:left w:val="single" w:color="auto" w:sz="4" w:space="0"/>
              <w:bottom w:val="single" w:color="auto" w:sz="4" w:space="0"/>
              <w:right w:val="single" w:color="auto" w:sz="4" w:space="0"/>
            </w:tcBorders>
            <w:vAlign w:val="center"/>
          </w:tcPr>
          <w:p w14:paraId="0D14FB28">
            <w:pPr>
              <w:spacing w:line="360" w:lineRule="exact"/>
              <w:rPr>
                <w:rFonts w:hAnsi="宋体"/>
                <w:color w:val="auto"/>
                <w:szCs w:val="21"/>
                <w:highlight w:val="none"/>
              </w:rPr>
            </w:pPr>
            <w:r>
              <w:rPr>
                <w:rFonts w:hint="eastAsia" w:ascii="宋体" w:hAnsi="宋体" w:cs="宋体"/>
                <w:color w:val="auto"/>
                <w:szCs w:val="21"/>
                <w:highlight w:val="none"/>
              </w:rPr>
              <w:t>人民币</w:t>
            </w:r>
          </w:p>
        </w:tc>
        <w:tc>
          <w:tcPr>
            <w:tcW w:w="1100" w:type="dxa"/>
            <w:tcBorders>
              <w:top w:val="single" w:color="auto" w:sz="4" w:space="0"/>
              <w:left w:val="single" w:color="auto" w:sz="4" w:space="0"/>
              <w:bottom w:val="single" w:color="auto" w:sz="4" w:space="0"/>
              <w:right w:val="single" w:color="auto" w:sz="4" w:space="0"/>
            </w:tcBorders>
            <w:vAlign w:val="center"/>
          </w:tcPr>
          <w:p w14:paraId="636B2C99">
            <w:pPr>
              <w:spacing w:before="40" w:after="40" w:line="360" w:lineRule="exact"/>
              <w:jc w:val="center"/>
              <w:rPr>
                <w:rFonts w:hAnsi="宋体"/>
                <w:color w:val="auto"/>
                <w:szCs w:val="21"/>
                <w:highlight w:val="none"/>
              </w:rPr>
            </w:pPr>
            <w:r>
              <w:rPr>
                <w:rFonts w:hint="eastAsia" w:ascii="宋体" w:hAnsi="宋体" w:cs="宋体"/>
                <w:color w:val="auto"/>
                <w:szCs w:val="21"/>
                <w:highlight w:val="none"/>
              </w:rPr>
              <w:t>20.10</w:t>
            </w:r>
          </w:p>
        </w:tc>
      </w:tr>
      <w:tr w14:paraId="1A71755B">
        <w:tblPrEx>
          <w:tblCellMar>
            <w:top w:w="0" w:type="dxa"/>
            <w:left w:w="108" w:type="dxa"/>
            <w:bottom w:w="0" w:type="dxa"/>
            <w:right w:w="108" w:type="dxa"/>
          </w:tblCellMar>
        </w:tblPrEx>
        <w:trPr>
          <w:trHeight w:val="706" w:hRule="atLeast"/>
        </w:trPr>
        <w:tc>
          <w:tcPr>
            <w:tcW w:w="562" w:type="dxa"/>
            <w:tcBorders>
              <w:top w:val="single" w:color="auto" w:sz="4" w:space="0"/>
              <w:left w:val="single" w:color="auto" w:sz="4" w:space="0"/>
              <w:bottom w:val="single" w:color="auto" w:sz="4" w:space="0"/>
              <w:right w:val="single" w:color="auto" w:sz="4" w:space="0"/>
            </w:tcBorders>
            <w:vAlign w:val="center"/>
          </w:tcPr>
          <w:p w14:paraId="2D4CC2C2">
            <w:pPr>
              <w:spacing w:line="360" w:lineRule="exact"/>
              <w:jc w:val="center"/>
              <w:rPr>
                <w:rFonts w:ascii="宋体"/>
                <w:color w:val="auto"/>
                <w:szCs w:val="21"/>
                <w:highlight w:val="none"/>
              </w:rPr>
            </w:pPr>
            <w:r>
              <w:rPr>
                <w:rFonts w:hint="eastAsia" w:ascii="宋体"/>
                <w:color w:val="auto"/>
                <w:szCs w:val="21"/>
                <w:highlight w:val="none"/>
              </w:rPr>
              <w:t>27</w:t>
            </w:r>
          </w:p>
        </w:tc>
        <w:tc>
          <w:tcPr>
            <w:tcW w:w="2100" w:type="dxa"/>
            <w:tcBorders>
              <w:top w:val="single" w:color="auto" w:sz="4" w:space="0"/>
              <w:left w:val="single" w:color="auto" w:sz="4" w:space="0"/>
              <w:bottom w:val="single" w:color="auto" w:sz="4" w:space="0"/>
              <w:right w:val="single" w:color="auto" w:sz="4" w:space="0"/>
            </w:tcBorders>
            <w:vAlign w:val="center"/>
          </w:tcPr>
          <w:p w14:paraId="04EF311D">
            <w:pPr>
              <w:spacing w:line="360" w:lineRule="exact"/>
              <w:jc w:val="center"/>
              <w:rPr>
                <w:rFonts w:hAnsi="宋体"/>
                <w:color w:val="auto"/>
                <w:szCs w:val="21"/>
                <w:highlight w:val="none"/>
              </w:rPr>
            </w:pPr>
            <w:r>
              <w:rPr>
                <w:rFonts w:hint="eastAsia" w:ascii="宋体" w:hAnsi="宋体" w:cs="宋体"/>
                <w:color w:val="auto"/>
                <w:szCs w:val="21"/>
                <w:highlight w:val="none"/>
              </w:rPr>
              <w:t>响应文件的密封和标记</w:t>
            </w:r>
          </w:p>
        </w:tc>
        <w:tc>
          <w:tcPr>
            <w:tcW w:w="5116" w:type="dxa"/>
            <w:tcBorders>
              <w:top w:val="single" w:color="auto" w:sz="4" w:space="0"/>
              <w:left w:val="single" w:color="auto" w:sz="4" w:space="0"/>
              <w:bottom w:val="single" w:color="auto" w:sz="4" w:space="0"/>
              <w:right w:val="single" w:color="auto" w:sz="4" w:space="0"/>
            </w:tcBorders>
            <w:vAlign w:val="center"/>
          </w:tcPr>
          <w:p w14:paraId="245E27CC">
            <w:pPr>
              <w:spacing w:line="360" w:lineRule="exact"/>
              <w:jc w:val="left"/>
              <w:rPr>
                <w:rFonts w:hAnsi="宋体" w:cs="宋体"/>
                <w:color w:val="auto"/>
                <w:szCs w:val="21"/>
                <w:highlight w:val="none"/>
              </w:rPr>
            </w:pPr>
            <w:r>
              <w:rPr>
                <w:rFonts w:hint="eastAsia" w:ascii="宋体" w:hAnsi="宋体" w:cs="宋体"/>
                <w:color w:val="auto"/>
                <w:szCs w:val="21"/>
                <w:highlight w:val="none"/>
              </w:rPr>
              <w:t>按照“政采云”平台的要求编制、加密后在响应文件提交截止时间前上传至“政采云”平台，响应文件提交截止时间前未完成响应文件上传的，视为撤回响应文件。</w:t>
            </w:r>
          </w:p>
        </w:tc>
        <w:tc>
          <w:tcPr>
            <w:tcW w:w="1100" w:type="dxa"/>
            <w:tcBorders>
              <w:top w:val="single" w:color="auto" w:sz="4" w:space="0"/>
              <w:left w:val="single" w:color="auto" w:sz="4" w:space="0"/>
              <w:bottom w:val="single" w:color="auto" w:sz="4" w:space="0"/>
              <w:right w:val="single" w:color="auto" w:sz="4" w:space="0"/>
            </w:tcBorders>
            <w:vAlign w:val="center"/>
          </w:tcPr>
          <w:p w14:paraId="655A4775">
            <w:pPr>
              <w:spacing w:before="40" w:after="40" w:line="360" w:lineRule="exact"/>
              <w:jc w:val="center"/>
              <w:rPr>
                <w:rFonts w:hAnsi="宋体" w:cs="宋体"/>
                <w:color w:val="auto"/>
                <w:szCs w:val="21"/>
                <w:highlight w:val="none"/>
              </w:rPr>
            </w:pPr>
            <w:r>
              <w:rPr>
                <w:rFonts w:hint="eastAsia" w:ascii="宋体" w:hAnsi="宋体" w:cs="宋体"/>
                <w:color w:val="auto"/>
                <w:szCs w:val="21"/>
                <w:highlight w:val="none"/>
              </w:rPr>
              <w:t>21.1</w:t>
            </w:r>
          </w:p>
        </w:tc>
      </w:tr>
      <w:tr w14:paraId="315CB14B">
        <w:tblPrEx>
          <w:tblCellMar>
            <w:top w:w="0" w:type="dxa"/>
            <w:left w:w="108" w:type="dxa"/>
            <w:bottom w:w="0" w:type="dxa"/>
            <w:right w:w="108" w:type="dxa"/>
          </w:tblCellMar>
        </w:tblPrEx>
        <w:trPr>
          <w:trHeight w:val="462" w:hRule="atLeast"/>
        </w:trPr>
        <w:tc>
          <w:tcPr>
            <w:tcW w:w="562" w:type="dxa"/>
            <w:tcBorders>
              <w:top w:val="single" w:color="auto" w:sz="4" w:space="0"/>
              <w:left w:val="single" w:color="auto" w:sz="4" w:space="0"/>
              <w:bottom w:val="single" w:color="auto" w:sz="4" w:space="0"/>
              <w:right w:val="single" w:color="auto" w:sz="4" w:space="0"/>
            </w:tcBorders>
            <w:vAlign w:val="center"/>
          </w:tcPr>
          <w:p w14:paraId="587BD228">
            <w:pPr>
              <w:spacing w:line="360" w:lineRule="exact"/>
              <w:jc w:val="center"/>
              <w:rPr>
                <w:rFonts w:ascii="宋体"/>
                <w:color w:val="auto"/>
                <w:szCs w:val="21"/>
                <w:highlight w:val="none"/>
              </w:rPr>
            </w:pPr>
            <w:r>
              <w:rPr>
                <w:rFonts w:hint="eastAsia" w:ascii="宋体"/>
                <w:color w:val="auto"/>
                <w:szCs w:val="21"/>
                <w:highlight w:val="none"/>
              </w:rPr>
              <w:t>28</w:t>
            </w:r>
          </w:p>
        </w:tc>
        <w:tc>
          <w:tcPr>
            <w:tcW w:w="2100" w:type="dxa"/>
            <w:tcBorders>
              <w:top w:val="single" w:color="auto" w:sz="4" w:space="0"/>
              <w:left w:val="single" w:color="auto" w:sz="4" w:space="0"/>
              <w:bottom w:val="single" w:color="auto" w:sz="4" w:space="0"/>
              <w:right w:val="single" w:color="auto" w:sz="4" w:space="0"/>
            </w:tcBorders>
            <w:vAlign w:val="center"/>
          </w:tcPr>
          <w:p w14:paraId="568644C2">
            <w:pPr>
              <w:pStyle w:val="9"/>
              <w:spacing w:before="40" w:after="40" w:line="360" w:lineRule="exact"/>
              <w:ind w:left="120" w:leftChars="57"/>
              <w:jc w:val="center"/>
              <w:rPr>
                <w:color w:val="auto"/>
                <w:szCs w:val="21"/>
                <w:highlight w:val="none"/>
              </w:rPr>
            </w:pPr>
            <w:r>
              <w:rPr>
                <w:rFonts w:hint="eastAsia" w:cs="宋体"/>
                <w:color w:val="auto"/>
                <w:sz w:val="21"/>
                <w:szCs w:val="21"/>
                <w:highlight w:val="none"/>
              </w:rPr>
              <w:t>响应文件提交截止时间及地点</w:t>
            </w:r>
          </w:p>
        </w:tc>
        <w:tc>
          <w:tcPr>
            <w:tcW w:w="5116" w:type="dxa"/>
            <w:tcBorders>
              <w:top w:val="single" w:color="auto" w:sz="4" w:space="0"/>
              <w:left w:val="single" w:color="auto" w:sz="4" w:space="0"/>
              <w:bottom w:val="single" w:color="auto" w:sz="4" w:space="0"/>
              <w:right w:val="single" w:color="auto" w:sz="4" w:space="0"/>
            </w:tcBorders>
            <w:vAlign w:val="center"/>
          </w:tcPr>
          <w:p w14:paraId="18742FC8">
            <w:pPr>
              <w:pStyle w:val="9"/>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提交截止时间：详见竞争性磋商文件第一章《竞争性磋商公告》。</w:t>
            </w:r>
          </w:p>
          <w:p w14:paraId="28E2468C">
            <w:pPr>
              <w:pStyle w:val="9"/>
              <w:spacing w:before="0" w:beforeAutospacing="0" w:after="0" w:afterAutospacing="0" w:line="400" w:lineRule="exact"/>
              <w:jc w:val="both"/>
              <w:rPr>
                <w:color w:val="auto"/>
                <w:szCs w:val="21"/>
                <w:highlight w:val="none"/>
              </w:rPr>
            </w:pPr>
            <w:r>
              <w:rPr>
                <w:rFonts w:hint="eastAsia" w:cs="宋体"/>
                <w:color w:val="auto"/>
                <w:sz w:val="21"/>
                <w:szCs w:val="21"/>
                <w:highlight w:val="none"/>
              </w:rPr>
              <w:t>提交地点：详见竞争性磋商文件第一章《竞争性磋商公告》。</w:t>
            </w:r>
          </w:p>
        </w:tc>
        <w:tc>
          <w:tcPr>
            <w:tcW w:w="1100" w:type="dxa"/>
            <w:tcBorders>
              <w:top w:val="single" w:color="auto" w:sz="4" w:space="0"/>
              <w:left w:val="single" w:color="auto" w:sz="4" w:space="0"/>
              <w:bottom w:val="single" w:color="auto" w:sz="4" w:space="0"/>
              <w:right w:val="single" w:color="auto" w:sz="4" w:space="0"/>
            </w:tcBorders>
            <w:vAlign w:val="center"/>
          </w:tcPr>
          <w:p w14:paraId="3C44F4FB">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22.1</w:t>
            </w:r>
          </w:p>
        </w:tc>
      </w:tr>
      <w:tr w14:paraId="6B321FF7">
        <w:tblPrEx>
          <w:tblCellMar>
            <w:top w:w="0" w:type="dxa"/>
            <w:left w:w="108" w:type="dxa"/>
            <w:bottom w:w="0" w:type="dxa"/>
            <w:right w:w="108" w:type="dxa"/>
          </w:tblCellMar>
        </w:tblPrEx>
        <w:trPr>
          <w:trHeight w:val="320" w:hRule="atLeast"/>
        </w:trPr>
        <w:tc>
          <w:tcPr>
            <w:tcW w:w="562" w:type="dxa"/>
            <w:tcBorders>
              <w:top w:val="single" w:color="auto" w:sz="4" w:space="0"/>
              <w:left w:val="single" w:color="auto" w:sz="4" w:space="0"/>
              <w:bottom w:val="single" w:color="auto" w:sz="4" w:space="0"/>
              <w:right w:val="single" w:color="auto" w:sz="4" w:space="0"/>
            </w:tcBorders>
            <w:vAlign w:val="center"/>
          </w:tcPr>
          <w:p w14:paraId="29BE5120">
            <w:pPr>
              <w:spacing w:line="360" w:lineRule="exact"/>
              <w:jc w:val="center"/>
              <w:rPr>
                <w:rFonts w:ascii="宋体"/>
                <w:color w:val="auto"/>
                <w:szCs w:val="21"/>
                <w:highlight w:val="none"/>
              </w:rPr>
            </w:pPr>
            <w:r>
              <w:rPr>
                <w:rFonts w:hint="eastAsia" w:ascii="宋体"/>
                <w:color w:val="auto"/>
                <w:szCs w:val="21"/>
                <w:highlight w:val="none"/>
              </w:rPr>
              <w:t>29</w:t>
            </w:r>
          </w:p>
        </w:tc>
        <w:tc>
          <w:tcPr>
            <w:tcW w:w="2100" w:type="dxa"/>
            <w:tcBorders>
              <w:top w:val="single" w:color="auto" w:sz="4" w:space="0"/>
              <w:left w:val="single" w:color="auto" w:sz="4" w:space="0"/>
              <w:bottom w:val="single" w:color="auto" w:sz="4" w:space="0"/>
              <w:right w:val="single" w:color="auto" w:sz="4" w:space="0"/>
            </w:tcBorders>
            <w:vAlign w:val="center"/>
          </w:tcPr>
          <w:p w14:paraId="5FB18C00">
            <w:pPr>
              <w:pStyle w:val="9"/>
              <w:spacing w:before="40" w:after="40" w:line="360" w:lineRule="exact"/>
              <w:ind w:left="120" w:leftChars="57"/>
              <w:jc w:val="center"/>
              <w:rPr>
                <w:color w:val="auto"/>
                <w:szCs w:val="21"/>
                <w:highlight w:val="none"/>
              </w:rPr>
            </w:pPr>
            <w:r>
              <w:rPr>
                <w:rFonts w:hint="eastAsia" w:cs="宋体"/>
                <w:color w:val="auto"/>
                <w:sz w:val="21"/>
                <w:szCs w:val="21"/>
                <w:highlight w:val="none"/>
              </w:rPr>
              <w:t>响应文件是否退还</w:t>
            </w:r>
          </w:p>
        </w:tc>
        <w:tc>
          <w:tcPr>
            <w:tcW w:w="5116" w:type="dxa"/>
            <w:tcBorders>
              <w:top w:val="single" w:color="auto" w:sz="4" w:space="0"/>
              <w:left w:val="single" w:color="auto" w:sz="4" w:space="0"/>
              <w:bottom w:val="single" w:color="auto" w:sz="4" w:space="0"/>
              <w:right w:val="single" w:color="auto" w:sz="4" w:space="0"/>
            </w:tcBorders>
            <w:vAlign w:val="center"/>
          </w:tcPr>
          <w:p w14:paraId="4F3793CE">
            <w:pPr>
              <w:pStyle w:val="9"/>
              <w:spacing w:before="0" w:beforeAutospacing="0" w:after="0" w:afterAutospacing="0" w:line="400" w:lineRule="exact"/>
              <w:jc w:val="both"/>
              <w:rPr>
                <w:color w:val="auto"/>
                <w:szCs w:val="21"/>
                <w:highlight w:val="none"/>
              </w:rPr>
            </w:pPr>
            <w:r>
              <w:rPr>
                <w:rFonts w:hint="eastAsia" w:cs="宋体"/>
                <w:color w:val="auto"/>
                <w:sz w:val="21"/>
                <w:szCs w:val="21"/>
                <w:highlight w:val="none"/>
              </w:rPr>
              <w:t>否</w:t>
            </w:r>
          </w:p>
        </w:tc>
        <w:tc>
          <w:tcPr>
            <w:tcW w:w="1100" w:type="dxa"/>
            <w:tcBorders>
              <w:top w:val="single" w:color="auto" w:sz="4" w:space="0"/>
              <w:left w:val="single" w:color="auto" w:sz="4" w:space="0"/>
              <w:bottom w:val="single" w:color="auto" w:sz="4" w:space="0"/>
              <w:right w:val="single" w:color="auto" w:sz="4" w:space="0"/>
            </w:tcBorders>
            <w:vAlign w:val="center"/>
          </w:tcPr>
          <w:p w14:paraId="6942D48B">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22.2</w:t>
            </w:r>
          </w:p>
        </w:tc>
      </w:tr>
      <w:tr w14:paraId="6CE4F276">
        <w:tblPrEx>
          <w:tblCellMar>
            <w:top w:w="0" w:type="dxa"/>
            <w:left w:w="108" w:type="dxa"/>
            <w:bottom w:w="0" w:type="dxa"/>
            <w:right w:w="108" w:type="dxa"/>
          </w:tblCellMar>
        </w:tblPrEx>
        <w:trPr>
          <w:trHeight w:val="553" w:hRule="atLeast"/>
        </w:trPr>
        <w:tc>
          <w:tcPr>
            <w:tcW w:w="562" w:type="dxa"/>
            <w:tcBorders>
              <w:top w:val="single" w:color="auto" w:sz="4" w:space="0"/>
              <w:left w:val="single" w:color="auto" w:sz="4" w:space="0"/>
              <w:bottom w:val="single" w:color="auto" w:sz="4" w:space="0"/>
              <w:right w:val="single" w:color="auto" w:sz="4" w:space="0"/>
            </w:tcBorders>
            <w:vAlign w:val="center"/>
          </w:tcPr>
          <w:p w14:paraId="2C042CFC">
            <w:pPr>
              <w:spacing w:line="360" w:lineRule="exact"/>
              <w:jc w:val="center"/>
              <w:rPr>
                <w:rFonts w:ascii="宋体"/>
                <w:color w:val="auto"/>
                <w:szCs w:val="21"/>
                <w:highlight w:val="none"/>
              </w:rPr>
            </w:pPr>
            <w:r>
              <w:rPr>
                <w:rFonts w:hint="eastAsia" w:ascii="宋体"/>
                <w:color w:val="auto"/>
                <w:szCs w:val="21"/>
                <w:highlight w:val="none"/>
              </w:rPr>
              <w:t>30</w:t>
            </w:r>
          </w:p>
        </w:tc>
        <w:tc>
          <w:tcPr>
            <w:tcW w:w="2100" w:type="dxa"/>
            <w:tcBorders>
              <w:top w:val="single" w:color="auto" w:sz="4" w:space="0"/>
              <w:left w:val="single" w:color="auto" w:sz="4" w:space="0"/>
              <w:bottom w:val="single" w:color="auto" w:sz="4" w:space="0"/>
              <w:right w:val="single" w:color="auto" w:sz="4" w:space="0"/>
            </w:tcBorders>
            <w:vAlign w:val="center"/>
          </w:tcPr>
          <w:p w14:paraId="42ED1D03">
            <w:pPr>
              <w:pStyle w:val="9"/>
              <w:spacing w:before="40" w:after="40" w:line="360" w:lineRule="exact"/>
              <w:ind w:left="120" w:leftChars="57"/>
              <w:jc w:val="center"/>
              <w:rPr>
                <w:color w:val="auto"/>
                <w:szCs w:val="21"/>
                <w:highlight w:val="none"/>
              </w:rPr>
            </w:pPr>
            <w:r>
              <w:rPr>
                <w:rFonts w:hint="eastAsia" w:cs="宋体"/>
                <w:color w:val="auto"/>
                <w:sz w:val="21"/>
                <w:szCs w:val="21"/>
                <w:highlight w:val="none"/>
              </w:rPr>
              <w:t>响应文件的提交</w:t>
            </w:r>
          </w:p>
        </w:tc>
        <w:tc>
          <w:tcPr>
            <w:tcW w:w="5116" w:type="dxa"/>
            <w:tcBorders>
              <w:top w:val="single" w:color="auto" w:sz="4" w:space="0"/>
              <w:left w:val="single" w:color="auto" w:sz="4" w:space="0"/>
              <w:bottom w:val="single" w:color="auto" w:sz="4" w:space="0"/>
              <w:right w:val="single" w:color="auto" w:sz="4" w:space="0"/>
            </w:tcBorders>
            <w:vAlign w:val="center"/>
          </w:tcPr>
          <w:p w14:paraId="6D53A61F">
            <w:pPr>
              <w:pStyle w:val="9"/>
              <w:spacing w:before="0" w:beforeAutospacing="0" w:after="0" w:afterAutospacing="0" w:line="400" w:lineRule="exact"/>
              <w:jc w:val="both"/>
              <w:rPr>
                <w:color w:val="auto"/>
                <w:szCs w:val="21"/>
                <w:highlight w:val="none"/>
              </w:rPr>
            </w:pPr>
            <w:r>
              <w:rPr>
                <w:rFonts w:hint="eastAsia" w:cs="宋体"/>
                <w:color w:val="auto"/>
                <w:sz w:val="21"/>
                <w:szCs w:val="21"/>
                <w:highlight w:val="none"/>
              </w:rPr>
              <w:t>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tc>
        <w:tc>
          <w:tcPr>
            <w:tcW w:w="1100" w:type="dxa"/>
            <w:tcBorders>
              <w:top w:val="single" w:color="auto" w:sz="4" w:space="0"/>
              <w:left w:val="single" w:color="auto" w:sz="4" w:space="0"/>
              <w:bottom w:val="single" w:color="auto" w:sz="4" w:space="0"/>
              <w:right w:val="single" w:color="auto" w:sz="4" w:space="0"/>
            </w:tcBorders>
            <w:vAlign w:val="center"/>
          </w:tcPr>
          <w:p w14:paraId="6AECF4BF">
            <w:pPr>
              <w:spacing w:before="40" w:after="40" w:line="360" w:lineRule="exact"/>
              <w:jc w:val="center"/>
              <w:rPr>
                <w:rFonts w:hAnsi="宋体"/>
                <w:color w:val="auto"/>
                <w:highlight w:val="none"/>
              </w:rPr>
            </w:pPr>
            <w:r>
              <w:rPr>
                <w:rFonts w:hint="eastAsia" w:ascii="宋体" w:hAnsi="宋体" w:cs="宋体"/>
                <w:color w:val="auto"/>
                <w:szCs w:val="21"/>
                <w:highlight w:val="none"/>
              </w:rPr>
              <w:t>22.3</w:t>
            </w:r>
          </w:p>
        </w:tc>
      </w:tr>
      <w:tr w14:paraId="085C5BF0">
        <w:tblPrEx>
          <w:tblCellMar>
            <w:top w:w="0" w:type="dxa"/>
            <w:left w:w="108" w:type="dxa"/>
            <w:bottom w:w="0" w:type="dxa"/>
            <w:right w:w="108" w:type="dxa"/>
          </w:tblCellMar>
        </w:tblPrEx>
        <w:trPr>
          <w:trHeight w:val="398" w:hRule="atLeast"/>
        </w:trPr>
        <w:tc>
          <w:tcPr>
            <w:tcW w:w="562" w:type="dxa"/>
            <w:tcBorders>
              <w:top w:val="single" w:color="auto" w:sz="4" w:space="0"/>
              <w:left w:val="single" w:color="auto" w:sz="4" w:space="0"/>
              <w:bottom w:val="single" w:color="auto" w:sz="4" w:space="0"/>
              <w:right w:val="single" w:color="auto" w:sz="4" w:space="0"/>
            </w:tcBorders>
            <w:vAlign w:val="center"/>
          </w:tcPr>
          <w:p w14:paraId="06CA4830">
            <w:pPr>
              <w:spacing w:line="360" w:lineRule="exact"/>
              <w:jc w:val="center"/>
              <w:rPr>
                <w:rFonts w:ascii="宋体" w:hAnsi="宋体"/>
                <w:color w:val="auto"/>
                <w:szCs w:val="21"/>
                <w:highlight w:val="none"/>
              </w:rPr>
            </w:pPr>
            <w:r>
              <w:rPr>
                <w:rFonts w:hint="eastAsia" w:ascii="宋体" w:hAnsi="宋体"/>
                <w:color w:val="auto"/>
                <w:szCs w:val="21"/>
                <w:highlight w:val="none"/>
              </w:rPr>
              <w:t>31</w:t>
            </w:r>
          </w:p>
        </w:tc>
        <w:tc>
          <w:tcPr>
            <w:tcW w:w="2100" w:type="dxa"/>
            <w:tcBorders>
              <w:top w:val="single" w:color="auto" w:sz="4" w:space="0"/>
              <w:left w:val="single" w:color="auto" w:sz="4" w:space="0"/>
              <w:bottom w:val="single" w:color="auto" w:sz="4" w:space="0"/>
              <w:right w:val="single" w:color="auto" w:sz="4" w:space="0"/>
            </w:tcBorders>
            <w:vAlign w:val="center"/>
          </w:tcPr>
          <w:p w14:paraId="24F20225">
            <w:pPr>
              <w:pStyle w:val="9"/>
              <w:spacing w:before="40" w:after="40" w:line="360" w:lineRule="exact"/>
              <w:ind w:left="120" w:leftChars="57"/>
              <w:jc w:val="center"/>
              <w:rPr>
                <w:bCs/>
                <w:color w:val="auto"/>
                <w:szCs w:val="21"/>
                <w:highlight w:val="none"/>
              </w:rPr>
            </w:pPr>
            <w:r>
              <w:rPr>
                <w:rFonts w:hint="eastAsia" w:cs="宋体"/>
                <w:color w:val="auto"/>
                <w:sz w:val="21"/>
                <w:szCs w:val="21"/>
                <w:highlight w:val="none"/>
              </w:rPr>
              <w:t>响应文件的补充、修改或者撤回</w:t>
            </w:r>
          </w:p>
        </w:tc>
        <w:tc>
          <w:tcPr>
            <w:tcW w:w="5116" w:type="dxa"/>
            <w:tcBorders>
              <w:top w:val="single" w:color="auto" w:sz="4" w:space="0"/>
              <w:left w:val="single" w:color="auto" w:sz="4" w:space="0"/>
              <w:bottom w:val="single" w:color="auto" w:sz="4" w:space="0"/>
              <w:right w:val="single" w:color="auto" w:sz="4" w:space="0"/>
            </w:tcBorders>
            <w:vAlign w:val="center"/>
          </w:tcPr>
          <w:p w14:paraId="17F94673">
            <w:pPr>
              <w:pStyle w:val="9"/>
              <w:spacing w:before="0" w:beforeAutospacing="0" w:after="0" w:afterAutospacing="0" w:line="400" w:lineRule="exact"/>
              <w:jc w:val="both"/>
              <w:rPr>
                <w:rFonts w:cs="宋体"/>
                <w:color w:val="auto"/>
                <w:szCs w:val="21"/>
                <w:highlight w:val="none"/>
              </w:rPr>
            </w:pPr>
            <w:r>
              <w:rPr>
                <w:rFonts w:hint="eastAsia" w:cs="宋体"/>
                <w:color w:val="auto"/>
                <w:sz w:val="21"/>
                <w:szCs w:val="21"/>
                <w:highlight w:val="none"/>
              </w:rPr>
              <w:t>供应商递交修改或撤回的文件，应按照本项目采购文件和“政采云”平台的要求编制、加密后在响应文件提交截止时间前重新上传至“政采云”平台，响应文件提交截止时间前未完成响应文件上传的，视为撤回响应文件。</w:t>
            </w:r>
          </w:p>
        </w:tc>
        <w:tc>
          <w:tcPr>
            <w:tcW w:w="1100" w:type="dxa"/>
            <w:tcBorders>
              <w:top w:val="single" w:color="auto" w:sz="4" w:space="0"/>
              <w:left w:val="single" w:color="auto" w:sz="4" w:space="0"/>
              <w:bottom w:val="single" w:color="auto" w:sz="4" w:space="0"/>
              <w:right w:val="single" w:color="auto" w:sz="4" w:space="0"/>
            </w:tcBorders>
            <w:vAlign w:val="center"/>
          </w:tcPr>
          <w:p w14:paraId="559AAA73">
            <w:pPr>
              <w:spacing w:before="40" w:after="40" w:line="360" w:lineRule="exact"/>
              <w:jc w:val="center"/>
              <w:rPr>
                <w:rFonts w:ascii="宋体" w:cs="宋体"/>
                <w:color w:val="auto"/>
                <w:kern w:val="0"/>
                <w:szCs w:val="21"/>
                <w:highlight w:val="none"/>
              </w:rPr>
            </w:pPr>
            <w:r>
              <w:rPr>
                <w:rFonts w:hint="eastAsia" w:ascii="宋体" w:hAnsi="宋体" w:cs="宋体"/>
                <w:color w:val="auto"/>
                <w:szCs w:val="21"/>
                <w:highlight w:val="none"/>
              </w:rPr>
              <w:t>23.2</w:t>
            </w:r>
          </w:p>
        </w:tc>
      </w:tr>
      <w:tr w14:paraId="4DE04306">
        <w:tblPrEx>
          <w:tblCellMar>
            <w:top w:w="0" w:type="dxa"/>
            <w:left w:w="108" w:type="dxa"/>
            <w:bottom w:w="0" w:type="dxa"/>
            <w:right w:w="108" w:type="dxa"/>
          </w:tblCellMar>
        </w:tblPrEx>
        <w:trPr>
          <w:trHeight w:val="543" w:hRule="atLeast"/>
        </w:trPr>
        <w:tc>
          <w:tcPr>
            <w:tcW w:w="562" w:type="dxa"/>
            <w:tcBorders>
              <w:top w:val="single" w:color="auto" w:sz="4" w:space="0"/>
              <w:left w:val="single" w:color="auto" w:sz="4" w:space="0"/>
              <w:bottom w:val="single" w:color="auto" w:sz="4" w:space="0"/>
              <w:right w:val="single" w:color="auto" w:sz="4" w:space="0"/>
            </w:tcBorders>
            <w:vAlign w:val="center"/>
          </w:tcPr>
          <w:p w14:paraId="52311EC3">
            <w:pPr>
              <w:spacing w:line="360" w:lineRule="exact"/>
              <w:jc w:val="center"/>
              <w:rPr>
                <w:rFonts w:ascii="宋体" w:hAnsi="宋体" w:cs="宋体"/>
                <w:color w:val="auto"/>
                <w:highlight w:val="none"/>
              </w:rPr>
            </w:pPr>
            <w:r>
              <w:rPr>
                <w:rFonts w:hint="eastAsia" w:ascii="宋体" w:hAnsi="宋体" w:cs="宋体"/>
                <w:color w:val="auto"/>
                <w:highlight w:val="none"/>
              </w:rPr>
              <w:t>32</w:t>
            </w:r>
          </w:p>
        </w:tc>
        <w:tc>
          <w:tcPr>
            <w:tcW w:w="2100" w:type="dxa"/>
            <w:tcBorders>
              <w:top w:val="single" w:color="auto" w:sz="4" w:space="0"/>
              <w:left w:val="single" w:color="auto" w:sz="4" w:space="0"/>
              <w:bottom w:val="single" w:color="auto" w:sz="4" w:space="0"/>
              <w:right w:val="single" w:color="auto" w:sz="4" w:space="0"/>
            </w:tcBorders>
            <w:vAlign w:val="center"/>
          </w:tcPr>
          <w:p w14:paraId="3FC9241B">
            <w:pPr>
              <w:pStyle w:val="9"/>
              <w:spacing w:before="40" w:after="40" w:line="360" w:lineRule="exact"/>
              <w:ind w:left="120" w:leftChars="57"/>
              <w:jc w:val="center"/>
              <w:rPr>
                <w:color w:val="auto"/>
                <w:szCs w:val="21"/>
                <w:highlight w:val="none"/>
              </w:rPr>
            </w:pPr>
            <w:r>
              <w:rPr>
                <w:rFonts w:hint="eastAsia" w:cs="宋体"/>
                <w:color w:val="auto"/>
                <w:sz w:val="21"/>
                <w:szCs w:val="21"/>
                <w:highlight w:val="none"/>
              </w:rPr>
              <w:t>磋商小组</w:t>
            </w:r>
          </w:p>
        </w:tc>
        <w:tc>
          <w:tcPr>
            <w:tcW w:w="5116" w:type="dxa"/>
            <w:tcBorders>
              <w:top w:val="single" w:color="auto" w:sz="4" w:space="0"/>
              <w:left w:val="single" w:color="auto" w:sz="4" w:space="0"/>
              <w:bottom w:val="single" w:color="auto" w:sz="4" w:space="0"/>
              <w:right w:val="single" w:color="auto" w:sz="4" w:space="0"/>
            </w:tcBorders>
            <w:vAlign w:val="center"/>
          </w:tcPr>
          <w:p w14:paraId="728F17F5">
            <w:pPr>
              <w:pStyle w:val="9"/>
              <w:spacing w:before="0" w:beforeAutospacing="0" w:after="0" w:afterAutospacing="0" w:line="400" w:lineRule="exact"/>
              <w:jc w:val="both"/>
              <w:rPr>
                <w:color w:val="auto"/>
                <w:highlight w:val="none"/>
              </w:rPr>
            </w:pPr>
            <w:r>
              <w:rPr>
                <w:rFonts w:hint="eastAsia" w:cs="宋体"/>
                <w:color w:val="auto"/>
                <w:sz w:val="21"/>
                <w:szCs w:val="21"/>
                <w:highlight w:val="none"/>
              </w:rPr>
              <w:t>磋商小组由采购人依法组建，磋商由磋商小组负责。磋商小组由采购人代表和评审专家共3人以上单数组成，其中评审专家人数不得少于磋商小组成员总数的2/3。</w:t>
            </w:r>
          </w:p>
        </w:tc>
        <w:tc>
          <w:tcPr>
            <w:tcW w:w="1100" w:type="dxa"/>
            <w:tcBorders>
              <w:top w:val="single" w:color="auto" w:sz="4" w:space="0"/>
              <w:left w:val="single" w:color="auto" w:sz="4" w:space="0"/>
              <w:bottom w:val="single" w:color="auto" w:sz="4" w:space="0"/>
              <w:right w:val="single" w:color="auto" w:sz="4" w:space="0"/>
            </w:tcBorders>
            <w:vAlign w:val="center"/>
          </w:tcPr>
          <w:p w14:paraId="6BA9F7E0">
            <w:pPr>
              <w:spacing w:before="40" w:after="40" w:line="360" w:lineRule="exact"/>
              <w:jc w:val="center"/>
              <w:rPr>
                <w:rFonts w:hAnsi="宋体"/>
                <w:color w:val="auto"/>
                <w:szCs w:val="21"/>
                <w:highlight w:val="none"/>
              </w:rPr>
            </w:pPr>
            <w:r>
              <w:rPr>
                <w:rFonts w:hint="eastAsia" w:ascii="宋体" w:hAnsi="宋体" w:cs="宋体"/>
                <w:color w:val="auto"/>
                <w:szCs w:val="21"/>
                <w:highlight w:val="none"/>
              </w:rPr>
              <w:t>24.2</w:t>
            </w:r>
          </w:p>
        </w:tc>
      </w:tr>
      <w:tr w14:paraId="6D4346D7">
        <w:tblPrEx>
          <w:tblCellMar>
            <w:top w:w="0" w:type="dxa"/>
            <w:left w:w="108" w:type="dxa"/>
            <w:bottom w:w="0" w:type="dxa"/>
            <w:right w:w="108" w:type="dxa"/>
          </w:tblCellMar>
        </w:tblPrEx>
        <w:trPr>
          <w:trHeight w:val="23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E1A66ED">
            <w:pPr>
              <w:spacing w:line="360" w:lineRule="exact"/>
              <w:jc w:val="center"/>
              <w:rPr>
                <w:rFonts w:ascii="宋体" w:hAnsi="宋体" w:cs="宋体"/>
                <w:color w:val="auto"/>
                <w:highlight w:val="none"/>
              </w:rPr>
            </w:pPr>
            <w:bookmarkStart w:id="49" w:name="_Toc480817643"/>
            <w:bookmarkStart w:id="50" w:name="_Toc152042305"/>
            <w:bookmarkStart w:id="51" w:name="_Toc401342134"/>
            <w:bookmarkStart w:id="52" w:name="_Toc17909"/>
            <w:bookmarkStart w:id="53" w:name="_Toc152045529"/>
            <w:bookmarkStart w:id="54" w:name="_Toc489197807"/>
            <w:bookmarkStart w:id="55" w:name="_Toc179632546"/>
            <w:bookmarkStart w:id="56" w:name="_Toc378239170"/>
            <w:bookmarkStart w:id="57" w:name="_Toc247085689"/>
            <w:bookmarkStart w:id="58" w:name="_Toc296602420"/>
            <w:bookmarkStart w:id="59" w:name="_Toc489145703"/>
            <w:bookmarkStart w:id="60" w:name="_Toc246996175"/>
            <w:bookmarkStart w:id="61" w:name="_Toc488633604"/>
            <w:bookmarkStart w:id="62" w:name="_Toc246996918"/>
            <w:bookmarkStart w:id="63" w:name="_Toc144974497"/>
            <w:bookmarkStart w:id="64" w:name="_Toc378239078"/>
            <w:bookmarkStart w:id="65" w:name="_Toc378239351"/>
            <w:r>
              <w:rPr>
                <w:rFonts w:hint="eastAsia" w:ascii="宋体" w:hAnsi="宋体" w:cs="宋体"/>
                <w:color w:val="auto"/>
                <w:highlight w:val="none"/>
              </w:rPr>
              <w:t>33</w:t>
            </w:r>
          </w:p>
        </w:tc>
        <w:tc>
          <w:tcPr>
            <w:tcW w:w="2100" w:type="dxa"/>
            <w:tcBorders>
              <w:top w:val="single" w:color="auto" w:sz="4" w:space="0"/>
              <w:left w:val="single" w:color="auto" w:sz="4" w:space="0"/>
              <w:bottom w:val="single" w:color="auto" w:sz="4" w:space="0"/>
              <w:right w:val="single" w:color="auto" w:sz="4" w:space="0"/>
            </w:tcBorders>
            <w:vAlign w:val="center"/>
          </w:tcPr>
          <w:p w14:paraId="2C1D4DBB">
            <w:pPr>
              <w:pStyle w:val="9"/>
              <w:spacing w:before="40" w:after="40" w:line="360" w:lineRule="exact"/>
              <w:ind w:left="120" w:leftChars="57"/>
              <w:jc w:val="center"/>
              <w:rPr>
                <w:color w:val="auto"/>
                <w:szCs w:val="21"/>
                <w:highlight w:val="none"/>
              </w:rPr>
            </w:pPr>
            <w:r>
              <w:rPr>
                <w:rFonts w:hint="eastAsia" w:cs="宋体"/>
                <w:color w:val="auto"/>
                <w:sz w:val="21"/>
                <w:szCs w:val="21"/>
                <w:highlight w:val="none"/>
              </w:rPr>
              <w:t>评审方法</w:t>
            </w:r>
          </w:p>
        </w:tc>
        <w:tc>
          <w:tcPr>
            <w:tcW w:w="5116" w:type="dxa"/>
            <w:tcBorders>
              <w:top w:val="single" w:color="auto" w:sz="4" w:space="0"/>
              <w:left w:val="single" w:color="auto" w:sz="4" w:space="0"/>
              <w:bottom w:val="single" w:color="auto" w:sz="4" w:space="0"/>
              <w:right w:val="single" w:color="auto" w:sz="4" w:space="0"/>
            </w:tcBorders>
            <w:vAlign w:val="center"/>
          </w:tcPr>
          <w:p w14:paraId="769EC1B4">
            <w:pPr>
              <w:pStyle w:val="9"/>
              <w:spacing w:before="0" w:beforeAutospacing="0" w:after="0" w:afterAutospacing="0" w:line="400" w:lineRule="exact"/>
              <w:jc w:val="both"/>
              <w:rPr>
                <w:color w:val="auto"/>
                <w:szCs w:val="21"/>
                <w:highlight w:val="none"/>
              </w:rPr>
            </w:pPr>
            <w:r>
              <w:rPr>
                <w:rFonts w:hint="eastAsia" w:cs="宋体"/>
                <w:color w:val="auto"/>
                <w:sz w:val="21"/>
                <w:szCs w:val="21"/>
                <w:highlight w:val="none"/>
              </w:rPr>
              <w:t>综合评分法，是指响应文件满足磋商文件全部实质性要求且按评审因素的量化指标评审得分最高的供应商为成交候选供应商的评审方法。</w:t>
            </w:r>
          </w:p>
        </w:tc>
        <w:tc>
          <w:tcPr>
            <w:tcW w:w="1100" w:type="dxa"/>
            <w:tcBorders>
              <w:top w:val="single" w:color="auto" w:sz="4" w:space="0"/>
              <w:left w:val="single" w:color="auto" w:sz="4" w:space="0"/>
              <w:bottom w:val="single" w:color="auto" w:sz="4" w:space="0"/>
              <w:right w:val="single" w:color="auto" w:sz="4" w:space="0"/>
            </w:tcBorders>
            <w:vAlign w:val="center"/>
          </w:tcPr>
          <w:p w14:paraId="6DFD6AD9">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24.5</w:t>
            </w:r>
          </w:p>
        </w:tc>
      </w:tr>
      <w:tr w14:paraId="3C1B58F9">
        <w:tblPrEx>
          <w:tblCellMar>
            <w:top w:w="0" w:type="dxa"/>
            <w:left w:w="108" w:type="dxa"/>
            <w:bottom w:w="0" w:type="dxa"/>
            <w:right w:w="108" w:type="dxa"/>
          </w:tblCellMar>
        </w:tblPrEx>
        <w:trPr>
          <w:trHeight w:val="23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ED1C34A">
            <w:pPr>
              <w:spacing w:line="360" w:lineRule="exact"/>
              <w:jc w:val="center"/>
              <w:rPr>
                <w:rFonts w:ascii="宋体" w:hAnsi="宋体" w:cs="宋体"/>
                <w:color w:val="auto"/>
                <w:highlight w:val="none"/>
              </w:rPr>
            </w:pPr>
            <w:r>
              <w:rPr>
                <w:rFonts w:hint="eastAsia" w:ascii="宋体" w:hAnsi="宋体" w:cs="宋体"/>
                <w:color w:val="auto"/>
                <w:highlight w:val="none"/>
              </w:rPr>
              <w:t>34</w:t>
            </w:r>
          </w:p>
        </w:tc>
        <w:tc>
          <w:tcPr>
            <w:tcW w:w="2100" w:type="dxa"/>
            <w:tcBorders>
              <w:top w:val="single" w:color="auto" w:sz="4" w:space="0"/>
              <w:left w:val="single" w:color="auto" w:sz="4" w:space="0"/>
              <w:bottom w:val="single" w:color="auto" w:sz="4" w:space="0"/>
              <w:right w:val="single" w:color="auto" w:sz="4" w:space="0"/>
            </w:tcBorders>
            <w:vAlign w:val="center"/>
          </w:tcPr>
          <w:p w14:paraId="20797380">
            <w:pPr>
              <w:spacing w:line="360" w:lineRule="exact"/>
              <w:jc w:val="center"/>
              <w:rPr>
                <w:rFonts w:ascii="宋体" w:cs="宋体"/>
                <w:color w:val="auto"/>
                <w:szCs w:val="21"/>
                <w:highlight w:val="none"/>
              </w:rPr>
            </w:pPr>
            <w:r>
              <w:rPr>
                <w:rFonts w:hint="eastAsia" w:ascii="宋体" w:hAnsi="宋体"/>
                <w:color w:val="auto"/>
                <w:szCs w:val="21"/>
                <w:highlight w:val="none"/>
              </w:rPr>
              <w:t>履约保证金</w:t>
            </w:r>
          </w:p>
        </w:tc>
        <w:tc>
          <w:tcPr>
            <w:tcW w:w="5116" w:type="dxa"/>
            <w:tcBorders>
              <w:top w:val="single" w:color="auto" w:sz="4" w:space="0"/>
              <w:left w:val="single" w:color="auto" w:sz="4" w:space="0"/>
              <w:bottom w:val="single" w:color="auto" w:sz="4" w:space="0"/>
              <w:right w:val="single" w:color="auto" w:sz="4" w:space="0"/>
            </w:tcBorders>
            <w:vAlign w:val="center"/>
          </w:tcPr>
          <w:p w14:paraId="5911BA13">
            <w:pPr>
              <w:pStyle w:val="20"/>
              <w:spacing w:line="360" w:lineRule="auto"/>
              <w:rPr>
                <w:rFonts w:hAnsi="宋体"/>
                <w:color w:val="auto"/>
                <w:szCs w:val="21"/>
                <w:highlight w:val="none"/>
              </w:rPr>
            </w:pPr>
            <w:r>
              <w:rPr>
                <w:rFonts w:hint="eastAsia" w:hAnsi="宋体"/>
                <w:color w:val="auto"/>
                <w:highlight w:val="none"/>
              </w:rPr>
              <w:t>□</w:t>
            </w:r>
            <w:r>
              <w:rPr>
                <w:rFonts w:hint="eastAsia" w:hAnsi="宋体"/>
                <w:color w:val="auto"/>
                <w:szCs w:val="21"/>
                <w:highlight w:val="none"/>
              </w:rPr>
              <w:t>本项目要求提交履</w:t>
            </w:r>
            <w:r>
              <w:rPr>
                <w:rFonts w:hint="eastAsia" w:hAnsi="宋体" w:cs="微软雅黑"/>
                <w:color w:val="auto"/>
                <w:szCs w:val="21"/>
                <w:highlight w:val="none"/>
              </w:rPr>
              <w:t>约</w:t>
            </w:r>
            <w:r>
              <w:rPr>
                <w:rFonts w:hint="eastAsia" w:hAnsi="宋体" w:cs="Malgun Gothic"/>
                <w:color w:val="auto"/>
                <w:szCs w:val="21"/>
                <w:highlight w:val="none"/>
              </w:rPr>
              <w:t>保</w:t>
            </w:r>
            <w:r>
              <w:rPr>
                <w:rFonts w:hint="eastAsia" w:hAnsi="宋体" w:cs="微软雅黑"/>
                <w:color w:val="auto"/>
                <w:szCs w:val="21"/>
                <w:highlight w:val="none"/>
              </w:rPr>
              <w:t>证</w:t>
            </w:r>
            <w:r>
              <w:rPr>
                <w:rFonts w:hint="eastAsia" w:hAnsi="宋体" w:cs="Malgun Gothic"/>
                <w:color w:val="auto"/>
                <w:szCs w:val="21"/>
                <w:highlight w:val="none"/>
              </w:rPr>
              <w:t>金，金</w:t>
            </w:r>
            <w:r>
              <w:rPr>
                <w:rFonts w:hint="eastAsia" w:hAnsi="宋体" w:cs="微软雅黑"/>
                <w:color w:val="auto"/>
                <w:szCs w:val="21"/>
                <w:highlight w:val="none"/>
              </w:rPr>
              <w:t>额为</w:t>
            </w:r>
            <w:r>
              <w:rPr>
                <w:rFonts w:hint="eastAsia" w:hAnsi="宋体" w:cs="Malgun Gothic"/>
                <w:color w:val="auto"/>
                <w:szCs w:val="21"/>
                <w:highlight w:val="none"/>
              </w:rPr>
              <w:t>合同金</w:t>
            </w:r>
            <w:r>
              <w:rPr>
                <w:rFonts w:hint="eastAsia" w:hAnsi="宋体" w:cs="微软雅黑"/>
                <w:color w:val="auto"/>
                <w:szCs w:val="21"/>
                <w:highlight w:val="none"/>
              </w:rPr>
              <w:t>额</w:t>
            </w:r>
            <w:r>
              <w:rPr>
                <w:rFonts w:hint="eastAsia" w:hAnsi="宋体" w:cs="Malgun Gothic"/>
                <w:color w:val="auto"/>
                <w:szCs w:val="21"/>
                <w:highlight w:val="none"/>
              </w:rPr>
              <w:t>的10</w:t>
            </w:r>
            <w:r>
              <w:rPr>
                <w:rFonts w:hint="eastAsia" w:hAnsi="宋体"/>
                <w:color w:val="auto"/>
                <w:szCs w:val="21"/>
                <w:highlight w:val="none"/>
              </w:rPr>
              <w:t>%；履约保证金形式为：</w:t>
            </w:r>
            <w:r>
              <w:rPr>
                <w:rFonts w:hint="eastAsia" w:hAnsi="宋体"/>
                <w:color w:val="auto"/>
                <w:szCs w:val="21"/>
                <w:highlight w:val="none"/>
                <w:u w:val="single"/>
              </w:rPr>
              <w:t xml:space="preserve">   </w:t>
            </w:r>
            <w:r>
              <w:rPr>
                <w:rFonts w:hAnsi="宋体"/>
                <w:color w:val="auto"/>
                <w:szCs w:val="21"/>
                <w:highlight w:val="none"/>
                <w:u w:val="single"/>
              </w:rPr>
              <w:t>（</w:t>
            </w:r>
            <w:r>
              <w:rPr>
                <w:rFonts w:hint="eastAsia" w:hAnsi="宋体"/>
                <w:color w:val="auto"/>
                <w:szCs w:val="21"/>
                <w:highlight w:val="none"/>
                <w:u w:val="single"/>
              </w:rPr>
              <w:t>支票、汇票、本票或者金融机构、担保机构出具的保函等非现金形式提交</w:t>
            </w:r>
            <w:r>
              <w:rPr>
                <w:rFonts w:hAnsi="宋体"/>
                <w:color w:val="auto"/>
                <w:szCs w:val="21"/>
                <w:highlight w:val="none"/>
                <w:u w:val="single"/>
              </w:rPr>
              <w:t>）</w:t>
            </w:r>
          </w:p>
          <w:p w14:paraId="2841FC64">
            <w:pPr>
              <w:spacing w:line="360" w:lineRule="exact"/>
              <w:jc w:val="left"/>
              <w:rPr>
                <w:rFonts w:cs="宋体"/>
                <w:color w:val="auto"/>
                <w:szCs w:val="21"/>
                <w:highlight w:val="none"/>
              </w:rPr>
            </w:pPr>
            <w:r>
              <w:rPr>
                <w:rFonts w:hint="eastAsia" w:hAnsi="宋体"/>
                <w:color w:val="auto"/>
                <w:highlight w:val="none"/>
              </w:rPr>
              <w:t>☑</w:t>
            </w:r>
            <w:r>
              <w:rPr>
                <w:rFonts w:hint="eastAsia" w:hAnsi="宋体"/>
                <w:color w:val="auto"/>
                <w:szCs w:val="21"/>
                <w:highlight w:val="none"/>
              </w:rPr>
              <w:t>本项目不要求提交履</w:t>
            </w:r>
            <w:r>
              <w:rPr>
                <w:rFonts w:hint="eastAsia" w:hAnsi="宋体" w:cs="微软雅黑"/>
                <w:color w:val="auto"/>
                <w:szCs w:val="21"/>
                <w:highlight w:val="none"/>
              </w:rPr>
              <w:t>约</w:t>
            </w:r>
            <w:r>
              <w:rPr>
                <w:rFonts w:hint="eastAsia" w:hAnsi="宋体" w:cs="Malgun Gothic"/>
                <w:color w:val="auto"/>
                <w:szCs w:val="21"/>
                <w:highlight w:val="none"/>
              </w:rPr>
              <w:t>保</w:t>
            </w:r>
            <w:r>
              <w:rPr>
                <w:rFonts w:hint="eastAsia" w:hAnsi="宋体" w:cs="微软雅黑"/>
                <w:color w:val="auto"/>
                <w:szCs w:val="21"/>
                <w:highlight w:val="none"/>
              </w:rPr>
              <w:t>证</w:t>
            </w:r>
            <w:r>
              <w:rPr>
                <w:rFonts w:hint="eastAsia" w:hAnsi="宋体" w:cs="Malgun Gothic"/>
                <w:color w:val="auto"/>
                <w:szCs w:val="21"/>
                <w:highlight w:val="none"/>
              </w:rPr>
              <w:t>金。</w:t>
            </w:r>
          </w:p>
        </w:tc>
        <w:tc>
          <w:tcPr>
            <w:tcW w:w="1100" w:type="dxa"/>
            <w:tcBorders>
              <w:top w:val="single" w:color="auto" w:sz="4" w:space="0"/>
              <w:left w:val="single" w:color="auto" w:sz="4" w:space="0"/>
              <w:bottom w:val="single" w:color="auto" w:sz="4" w:space="0"/>
              <w:right w:val="single" w:color="auto" w:sz="4" w:space="0"/>
            </w:tcBorders>
            <w:vAlign w:val="center"/>
          </w:tcPr>
          <w:p w14:paraId="4E6B620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r>
      <w:tr w14:paraId="1641F3C8">
        <w:tblPrEx>
          <w:tblCellMar>
            <w:top w:w="0" w:type="dxa"/>
            <w:left w:w="108" w:type="dxa"/>
            <w:bottom w:w="0" w:type="dxa"/>
            <w:right w:w="108" w:type="dxa"/>
          </w:tblCellMar>
        </w:tblPrEx>
        <w:trPr>
          <w:trHeight w:val="23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07DB3FBC">
            <w:pPr>
              <w:spacing w:line="360" w:lineRule="exact"/>
              <w:jc w:val="center"/>
              <w:rPr>
                <w:rFonts w:ascii="宋体" w:hAnsi="宋体" w:cs="宋体"/>
                <w:color w:val="auto"/>
                <w:highlight w:val="none"/>
              </w:rPr>
            </w:pPr>
            <w:r>
              <w:rPr>
                <w:rFonts w:hint="eastAsia" w:ascii="宋体" w:hAnsi="宋体" w:cs="宋体"/>
                <w:color w:val="auto"/>
                <w:highlight w:val="none"/>
              </w:rPr>
              <w:t>35</w:t>
            </w:r>
          </w:p>
        </w:tc>
        <w:tc>
          <w:tcPr>
            <w:tcW w:w="2100" w:type="dxa"/>
            <w:tcBorders>
              <w:top w:val="single" w:color="auto" w:sz="4" w:space="0"/>
              <w:left w:val="single" w:color="auto" w:sz="4" w:space="0"/>
              <w:bottom w:val="single" w:color="auto" w:sz="4" w:space="0"/>
              <w:right w:val="single" w:color="auto" w:sz="4" w:space="0"/>
            </w:tcBorders>
            <w:vAlign w:val="center"/>
          </w:tcPr>
          <w:p w14:paraId="6CA7F61F">
            <w:pPr>
              <w:spacing w:line="360" w:lineRule="exact"/>
              <w:jc w:val="center"/>
              <w:rPr>
                <w:rFonts w:ascii="宋体" w:cs="宋体"/>
                <w:color w:val="auto"/>
                <w:szCs w:val="21"/>
                <w:highlight w:val="none"/>
              </w:rPr>
            </w:pPr>
            <w:r>
              <w:rPr>
                <w:rFonts w:hint="eastAsia" w:ascii="宋体" w:hAnsi="宋体" w:cs="宋体"/>
                <w:color w:val="auto"/>
                <w:szCs w:val="21"/>
                <w:highlight w:val="none"/>
              </w:rPr>
              <w:t>采购代理服务费</w:t>
            </w:r>
          </w:p>
        </w:tc>
        <w:tc>
          <w:tcPr>
            <w:tcW w:w="5116" w:type="dxa"/>
            <w:tcBorders>
              <w:top w:val="single" w:color="auto" w:sz="4" w:space="0"/>
              <w:left w:val="single" w:color="auto" w:sz="4" w:space="0"/>
              <w:bottom w:val="single" w:color="auto" w:sz="4" w:space="0"/>
              <w:right w:val="single" w:color="auto" w:sz="4" w:space="0"/>
            </w:tcBorders>
            <w:vAlign w:val="center"/>
          </w:tcPr>
          <w:p w14:paraId="584C94D9">
            <w:pPr>
              <w:pStyle w:val="9"/>
              <w:spacing w:before="0" w:beforeAutospacing="0" w:after="0" w:afterAutospacing="0" w:line="400" w:lineRule="exact"/>
              <w:jc w:val="both"/>
              <w:rPr>
                <w:rFonts w:cs="宋体"/>
                <w:color w:val="auto"/>
                <w:sz w:val="21"/>
                <w:szCs w:val="21"/>
                <w:highlight w:val="none"/>
              </w:rPr>
            </w:pPr>
            <w:r>
              <w:rPr>
                <w:rFonts w:hint="eastAsia"/>
                <w:color w:val="auto"/>
                <w:sz w:val="21"/>
                <w:szCs w:val="21"/>
                <w:highlight w:val="none"/>
              </w:rPr>
              <w:t>采购代理服务费</w:t>
            </w:r>
            <w:r>
              <w:rPr>
                <w:rFonts w:hint="eastAsia"/>
                <w:color w:val="auto"/>
                <w:sz w:val="21"/>
                <w:szCs w:val="21"/>
                <w:highlight w:val="none"/>
                <w:lang w:val="en-US" w:eastAsia="zh-CN"/>
              </w:rPr>
              <w:t>1</w:t>
            </w:r>
            <w:r>
              <w:rPr>
                <w:rFonts w:hint="eastAsia"/>
                <w:color w:val="auto"/>
                <w:sz w:val="21"/>
                <w:szCs w:val="21"/>
                <w:highlight w:val="none"/>
              </w:rPr>
              <w:t>000.00元（大写：</w:t>
            </w:r>
            <w:r>
              <w:rPr>
                <w:rFonts w:hint="eastAsia"/>
                <w:color w:val="auto"/>
                <w:sz w:val="21"/>
                <w:szCs w:val="21"/>
                <w:highlight w:val="none"/>
                <w:lang w:val="en-US" w:eastAsia="zh-CN"/>
              </w:rPr>
              <w:t>壹仟</w:t>
            </w:r>
            <w:r>
              <w:rPr>
                <w:rFonts w:hint="eastAsia"/>
                <w:color w:val="auto"/>
                <w:sz w:val="21"/>
                <w:szCs w:val="21"/>
                <w:highlight w:val="none"/>
              </w:rPr>
              <w:t>元整），由成交供应商在领取成交通知书一次性向采购代理机构交纳。</w:t>
            </w:r>
          </w:p>
        </w:tc>
        <w:tc>
          <w:tcPr>
            <w:tcW w:w="1100" w:type="dxa"/>
            <w:tcBorders>
              <w:top w:val="single" w:color="auto" w:sz="4" w:space="0"/>
              <w:left w:val="single" w:color="auto" w:sz="4" w:space="0"/>
              <w:bottom w:val="single" w:color="auto" w:sz="4" w:space="0"/>
              <w:right w:val="single" w:color="auto" w:sz="4" w:space="0"/>
            </w:tcBorders>
            <w:vAlign w:val="center"/>
          </w:tcPr>
          <w:p w14:paraId="483E359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29.1</w:t>
            </w:r>
          </w:p>
        </w:tc>
      </w:tr>
      <w:tr w14:paraId="10F8BFF8">
        <w:tblPrEx>
          <w:tblCellMar>
            <w:top w:w="0" w:type="dxa"/>
            <w:left w:w="108" w:type="dxa"/>
            <w:bottom w:w="0" w:type="dxa"/>
            <w:right w:w="108" w:type="dxa"/>
          </w:tblCellMar>
        </w:tblPrEx>
        <w:trPr>
          <w:trHeight w:val="95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5A1D553">
            <w:pPr>
              <w:spacing w:line="360" w:lineRule="exact"/>
              <w:jc w:val="center"/>
              <w:rPr>
                <w:rFonts w:ascii="宋体" w:hAnsi="宋体" w:cs="宋体"/>
                <w:color w:val="auto"/>
                <w:highlight w:val="none"/>
              </w:rPr>
            </w:pPr>
            <w:r>
              <w:rPr>
                <w:rFonts w:hint="eastAsia" w:ascii="宋体" w:hAnsi="宋体" w:cs="宋体"/>
                <w:color w:val="auto"/>
                <w:highlight w:val="none"/>
              </w:rPr>
              <w:t>36</w:t>
            </w:r>
          </w:p>
        </w:tc>
        <w:tc>
          <w:tcPr>
            <w:tcW w:w="7216" w:type="dxa"/>
            <w:gridSpan w:val="2"/>
            <w:tcBorders>
              <w:top w:val="single" w:color="auto" w:sz="4" w:space="0"/>
              <w:left w:val="single" w:color="auto" w:sz="4" w:space="0"/>
              <w:bottom w:val="single" w:color="auto" w:sz="4" w:space="0"/>
              <w:right w:val="single" w:color="auto" w:sz="4" w:space="0"/>
            </w:tcBorders>
            <w:vAlign w:val="center"/>
          </w:tcPr>
          <w:p w14:paraId="39AF5583">
            <w:pPr>
              <w:pStyle w:val="9"/>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本项目所属行业为修理和其他服务业，符合条件的供应商应根据《关于印发中小企业划型标准规定的通知》中其他未列明行业划型标准进行划型。</w:t>
            </w:r>
          </w:p>
        </w:tc>
        <w:tc>
          <w:tcPr>
            <w:tcW w:w="1100" w:type="dxa"/>
            <w:tcBorders>
              <w:top w:val="single" w:color="auto" w:sz="4" w:space="0"/>
              <w:left w:val="single" w:color="auto" w:sz="4" w:space="0"/>
              <w:bottom w:val="single" w:color="auto" w:sz="4" w:space="0"/>
              <w:right w:val="single" w:color="auto" w:sz="4" w:space="0"/>
            </w:tcBorders>
            <w:vAlign w:val="center"/>
          </w:tcPr>
          <w:p w14:paraId="64C72C8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31.1.8</w:t>
            </w:r>
          </w:p>
        </w:tc>
      </w:tr>
      <w:tr w14:paraId="2B6600D4">
        <w:tblPrEx>
          <w:tblCellMar>
            <w:top w:w="0" w:type="dxa"/>
            <w:left w:w="108" w:type="dxa"/>
            <w:bottom w:w="0" w:type="dxa"/>
            <w:right w:w="108" w:type="dxa"/>
          </w:tblCellMar>
        </w:tblPrEx>
        <w:trPr>
          <w:trHeight w:val="23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39C5E67">
            <w:pPr>
              <w:spacing w:line="360" w:lineRule="exact"/>
              <w:jc w:val="center"/>
              <w:rPr>
                <w:rFonts w:ascii="宋体" w:hAnsi="宋体" w:cs="宋体"/>
                <w:color w:val="auto"/>
                <w:highlight w:val="none"/>
              </w:rPr>
            </w:pPr>
            <w:r>
              <w:rPr>
                <w:rFonts w:hint="eastAsia" w:ascii="宋体"/>
                <w:color w:val="auto"/>
                <w:szCs w:val="21"/>
                <w:highlight w:val="none"/>
              </w:rPr>
              <w:t>37</w:t>
            </w:r>
          </w:p>
        </w:tc>
        <w:tc>
          <w:tcPr>
            <w:tcW w:w="2100" w:type="dxa"/>
            <w:tcBorders>
              <w:top w:val="single" w:color="auto" w:sz="4" w:space="0"/>
              <w:left w:val="single" w:color="auto" w:sz="4" w:space="0"/>
              <w:bottom w:val="single" w:color="auto" w:sz="4" w:space="0"/>
              <w:right w:val="single" w:color="auto" w:sz="4" w:space="0"/>
            </w:tcBorders>
            <w:vAlign w:val="center"/>
          </w:tcPr>
          <w:p w14:paraId="6901732A">
            <w:pPr>
              <w:pStyle w:val="9"/>
              <w:spacing w:before="0" w:beforeAutospacing="0" w:after="0" w:afterAutospacing="0" w:line="400" w:lineRule="exact"/>
              <w:jc w:val="center"/>
              <w:rPr>
                <w:rFonts w:cs="宋体"/>
                <w:color w:val="auto"/>
                <w:sz w:val="21"/>
                <w:szCs w:val="21"/>
                <w:highlight w:val="none"/>
              </w:rPr>
            </w:pPr>
            <w:r>
              <w:rPr>
                <w:rFonts w:hint="eastAsia" w:cs="宋体"/>
                <w:color w:val="auto"/>
                <w:sz w:val="21"/>
                <w:szCs w:val="21"/>
                <w:highlight w:val="none"/>
              </w:rPr>
              <w:t>其他注意事项</w:t>
            </w:r>
          </w:p>
        </w:tc>
        <w:tc>
          <w:tcPr>
            <w:tcW w:w="5116" w:type="dxa"/>
            <w:tcBorders>
              <w:top w:val="single" w:color="auto" w:sz="4" w:space="0"/>
              <w:left w:val="single" w:color="auto" w:sz="4" w:space="0"/>
              <w:bottom w:val="single" w:color="auto" w:sz="4" w:space="0"/>
              <w:right w:val="single" w:color="auto" w:sz="4" w:space="0"/>
            </w:tcBorders>
            <w:vAlign w:val="center"/>
          </w:tcPr>
          <w:p w14:paraId="0AA3E31D">
            <w:pPr>
              <w:pStyle w:val="9"/>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以下情况视为供应商同意撤回已上传系统的响应文件或其响应文件无效：</w:t>
            </w:r>
          </w:p>
          <w:p w14:paraId="617C5600">
            <w:pPr>
              <w:pStyle w:val="9"/>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（1）政采云电子平台显示供应商未上传响应文件；</w:t>
            </w:r>
          </w:p>
          <w:p w14:paraId="1CA6DD82">
            <w:pPr>
              <w:pStyle w:val="9"/>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（2）因供应商原因上传的响应文件在开启文件时无法解密。</w:t>
            </w:r>
          </w:p>
        </w:tc>
        <w:tc>
          <w:tcPr>
            <w:tcW w:w="1100" w:type="dxa"/>
            <w:tcBorders>
              <w:top w:val="single" w:color="auto" w:sz="4" w:space="0"/>
              <w:left w:val="single" w:color="auto" w:sz="4" w:space="0"/>
              <w:bottom w:val="single" w:color="auto" w:sz="4" w:space="0"/>
              <w:right w:val="single" w:color="auto" w:sz="4" w:space="0"/>
            </w:tcBorders>
            <w:vAlign w:val="center"/>
          </w:tcPr>
          <w:p w14:paraId="1567170E">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31.4</w:t>
            </w:r>
          </w:p>
        </w:tc>
      </w:tr>
    </w:tbl>
    <w:p w14:paraId="60434962">
      <w:pPr>
        <w:spacing w:line="360" w:lineRule="exact"/>
        <w:ind w:firstLine="280"/>
        <w:jc w:val="center"/>
        <w:rPr>
          <w:rFonts w:ascii="宋体" w:cs="宋体"/>
          <w:color w:val="auto"/>
          <w:kern w:val="0"/>
          <w:sz w:val="28"/>
          <w:szCs w:val="28"/>
          <w:highlight w:val="none"/>
        </w:rPr>
      </w:pP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5249A701">
      <w:pPr>
        <w:rPr>
          <w:rFonts w:ascii="宋体" w:hAnsi="宋体" w:cs="宋体"/>
          <w:b/>
          <w:color w:val="auto"/>
          <w:sz w:val="24"/>
          <w:highlight w:val="none"/>
        </w:rPr>
      </w:pPr>
      <w:bookmarkStart w:id="66" w:name="_Toc489145747"/>
      <w:r>
        <w:rPr>
          <w:rFonts w:hint="eastAsia" w:ascii="宋体" w:hAnsi="宋体" w:cs="宋体"/>
          <w:b/>
          <w:color w:val="auto"/>
          <w:sz w:val="24"/>
          <w:highlight w:val="none"/>
        </w:rPr>
        <w:br w:type="page"/>
      </w:r>
    </w:p>
    <w:p w14:paraId="41B7D1C3">
      <w:pPr>
        <w:spacing w:line="360" w:lineRule="auto"/>
        <w:jc w:val="center"/>
        <w:rPr>
          <w:rFonts w:ascii="宋体" w:hAnsi="宋体" w:cs="宋体"/>
          <w:b/>
          <w:color w:val="auto"/>
          <w:sz w:val="32"/>
          <w:szCs w:val="32"/>
          <w:highlight w:val="none"/>
        </w:rPr>
      </w:pPr>
      <w:r>
        <w:rPr>
          <w:rFonts w:hint="eastAsia" w:ascii="宋体" w:hAnsi="宋体" w:cs="宋体"/>
          <w:b/>
          <w:color w:val="auto"/>
          <w:sz w:val="24"/>
          <w:highlight w:val="none"/>
        </w:rPr>
        <w:t>一、总则</w:t>
      </w:r>
    </w:p>
    <w:p w14:paraId="2E665D69">
      <w:pPr>
        <w:tabs>
          <w:tab w:val="left" w:pos="3150"/>
          <w:tab w:val="center" w:pos="4734"/>
        </w:tabs>
        <w:spacing w:line="360" w:lineRule="auto"/>
        <w:jc w:val="left"/>
        <w:rPr>
          <w:rFonts w:ascii="宋体" w:hAnsi="宋体" w:cs="宋体"/>
          <w:b/>
          <w:color w:val="auto"/>
          <w:sz w:val="24"/>
          <w:highlight w:val="none"/>
        </w:rPr>
      </w:pPr>
      <w:r>
        <w:rPr>
          <w:rFonts w:hint="eastAsia" w:ascii="宋体" w:hAnsi="宋体" w:cs="宋体"/>
          <w:b/>
          <w:color w:val="auto"/>
          <w:sz w:val="24"/>
          <w:highlight w:val="none"/>
        </w:rPr>
        <w:t>1.项目概况</w:t>
      </w:r>
    </w:p>
    <w:p w14:paraId="350F6187">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根据《中华人民共和国政府采购法》《中华人民共和国政府采购法实施条例》《政府采购竞争性磋商采购方式管理暂行办法》等有关法律、法规和规章的规定,经相关主管部门批准，采购代理机构受采购人委托，采用竞争性磋商方式选定供应商承担本项目。</w:t>
      </w:r>
    </w:p>
    <w:p w14:paraId="5BF3FFDB">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1.2本项目采购人：详见《供应商须知前附表》。</w:t>
      </w:r>
    </w:p>
    <w:p w14:paraId="65FC68FA">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1.3本项目采购代理机构：详见《供应商须知前附表》。</w:t>
      </w:r>
    </w:p>
    <w:p w14:paraId="4C746F5C">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1.4项目名称及项目编号：详见《供应商须知前附表》。</w:t>
      </w:r>
    </w:p>
    <w:p w14:paraId="168A7570">
      <w:pPr>
        <w:tabs>
          <w:tab w:val="left" w:pos="3150"/>
          <w:tab w:val="center" w:pos="4734"/>
        </w:tabs>
        <w:spacing w:line="360" w:lineRule="auto"/>
        <w:jc w:val="left"/>
        <w:rPr>
          <w:rFonts w:ascii="宋体" w:hAnsi="宋体" w:cs="宋体"/>
          <w:b/>
          <w:color w:val="auto"/>
          <w:sz w:val="24"/>
          <w:highlight w:val="none"/>
        </w:rPr>
      </w:pPr>
      <w:r>
        <w:rPr>
          <w:rFonts w:hint="eastAsia" w:ascii="宋体" w:hAnsi="宋体" w:cs="宋体"/>
          <w:b/>
          <w:color w:val="auto"/>
          <w:sz w:val="24"/>
          <w:highlight w:val="none"/>
        </w:rPr>
        <w:t>2.预算金额、最高限价</w:t>
      </w:r>
    </w:p>
    <w:p w14:paraId="1BA484D4">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2.1预算金额、最高限价：详见《供应商须知前附表》。</w:t>
      </w:r>
    </w:p>
    <w:p w14:paraId="4BAC54DC">
      <w:pPr>
        <w:tabs>
          <w:tab w:val="left" w:pos="3150"/>
          <w:tab w:val="center" w:pos="4734"/>
        </w:tabs>
        <w:spacing w:line="360" w:lineRule="auto"/>
        <w:jc w:val="left"/>
        <w:rPr>
          <w:rFonts w:ascii="宋体" w:hAnsi="宋体" w:cs="宋体"/>
          <w:b/>
          <w:color w:val="auto"/>
          <w:sz w:val="24"/>
          <w:highlight w:val="none"/>
        </w:rPr>
      </w:pPr>
      <w:r>
        <w:rPr>
          <w:rFonts w:hint="eastAsia" w:ascii="宋体" w:hAnsi="宋体" w:cs="宋体"/>
          <w:b/>
          <w:color w:val="auto"/>
          <w:sz w:val="24"/>
          <w:highlight w:val="none"/>
        </w:rPr>
        <w:t>3.采购需求、项目实施期限及项目实施地点</w:t>
      </w:r>
    </w:p>
    <w:p w14:paraId="177C900E">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3.1采购需求：详见《供应商须知前附表》。</w:t>
      </w:r>
    </w:p>
    <w:p w14:paraId="43AF280F">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3.2项目实施期限及项目实施地点：详见《供应商须知前附表》。</w:t>
      </w:r>
    </w:p>
    <w:p w14:paraId="1A378C58">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3.3是否接受联合体参加：不接受。</w:t>
      </w:r>
    </w:p>
    <w:p w14:paraId="7A415BF6">
      <w:pPr>
        <w:tabs>
          <w:tab w:val="left" w:pos="105"/>
          <w:tab w:val="left" w:pos="735"/>
          <w:tab w:val="left" w:pos="945"/>
          <w:tab w:val="left" w:pos="3360"/>
        </w:tabs>
        <w:adjustRightInd w:val="0"/>
        <w:snapToGrid w:val="0"/>
        <w:spacing w:line="360" w:lineRule="auto"/>
        <w:rPr>
          <w:rFonts w:ascii="宋体" w:hAnsi="宋体" w:cs="宋体"/>
          <w:b/>
          <w:color w:val="auto"/>
          <w:sz w:val="24"/>
          <w:highlight w:val="none"/>
        </w:rPr>
      </w:pPr>
      <w:r>
        <w:rPr>
          <w:rFonts w:hint="eastAsia" w:ascii="宋体" w:hAnsi="宋体" w:cs="宋体"/>
          <w:b/>
          <w:bCs/>
          <w:color w:val="auto"/>
          <w:sz w:val="24"/>
          <w:highlight w:val="none"/>
        </w:rPr>
        <w:t>★4</w:t>
      </w:r>
      <w:r>
        <w:rPr>
          <w:rFonts w:hint="eastAsia" w:ascii="宋体" w:hAnsi="宋体" w:cs="宋体"/>
          <w:b/>
          <w:color w:val="auto"/>
          <w:sz w:val="24"/>
          <w:highlight w:val="none"/>
        </w:rPr>
        <w:t>.供应商资格要求</w:t>
      </w:r>
    </w:p>
    <w:p w14:paraId="41F4CCCB">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4.1供应商资格要求：详见《供应商须知前附表》。</w:t>
      </w:r>
    </w:p>
    <w:p w14:paraId="2C8EB7B2">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4.2采购人根据本项目的特殊要求规定供应商应具备的特定条件：详见《供应商须知前附表》。</w:t>
      </w:r>
    </w:p>
    <w:p w14:paraId="4E22B505">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4.3如供应商为满足供应商资格要求提供虚假材料，一经查实，视为未实质性响应竞争性磋商文件，供应商响应文件将按无效响应处理。</w:t>
      </w:r>
    </w:p>
    <w:p w14:paraId="6A28F4FD">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4.4单位负责人为同一人或者存在直接控股、管理关系的不同供应商，不得参加同一合同项下的政府采购活动。</w:t>
      </w:r>
    </w:p>
    <w:p w14:paraId="3F5B6DA9">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4.5供应商不得直接或间接地与为采购项目提供整体设计、规范编制和项目管理、监理、检测等服务。</w:t>
      </w:r>
    </w:p>
    <w:p w14:paraId="3C164F29">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4.6符合上述条件的供应商应承担投标及履约中应承担的全部责任与义务。</w:t>
      </w:r>
    </w:p>
    <w:p w14:paraId="4876A614">
      <w:pPr>
        <w:tabs>
          <w:tab w:val="left" w:pos="105"/>
          <w:tab w:val="left" w:pos="735"/>
          <w:tab w:val="left" w:pos="945"/>
          <w:tab w:val="left" w:pos="3360"/>
        </w:tabs>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5.费用承担</w:t>
      </w:r>
    </w:p>
    <w:p w14:paraId="7E32E4C3">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5.1无论是否成交，供应商自行承担所有与参加本次竞争性磋商采购活动所产生的全部费用。</w:t>
      </w:r>
    </w:p>
    <w:p w14:paraId="254DB2A3">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6</w:t>
      </w:r>
      <w:r>
        <w:rPr>
          <w:rFonts w:hint="eastAsia" w:ascii="宋体" w:hAnsi="宋体" w:cs="宋体"/>
          <w:b/>
          <w:color w:val="auto"/>
          <w:sz w:val="24"/>
          <w:highlight w:val="none"/>
        </w:rPr>
        <w:t>.</w:t>
      </w:r>
      <w:r>
        <w:rPr>
          <w:rFonts w:hint="eastAsia" w:ascii="宋体" w:hAnsi="宋体" w:cs="宋体"/>
          <w:b/>
          <w:bCs/>
          <w:color w:val="auto"/>
          <w:sz w:val="24"/>
          <w:highlight w:val="none"/>
        </w:rPr>
        <w:t>现场考察</w:t>
      </w:r>
    </w:p>
    <w:p w14:paraId="2CD5D670">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6.1本项目采购人不组织现场考察。</w:t>
      </w:r>
    </w:p>
    <w:p w14:paraId="5FDA415C">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7</w:t>
      </w:r>
      <w:r>
        <w:rPr>
          <w:rFonts w:hint="eastAsia" w:ascii="宋体" w:hAnsi="宋体" w:cs="宋体"/>
          <w:b/>
          <w:color w:val="auto"/>
          <w:sz w:val="24"/>
          <w:highlight w:val="none"/>
        </w:rPr>
        <w:t>.</w:t>
      </w:r>
      <w:r>
        <w:rPr>
          <w:rFonts w:hint="eastAsia" w:ascii="宋体" w:hAnsi="宋体" w:cs="宋体"/>
          <w:b/>
          <w:bCs/>
          <w:color w:val="auto"/>
          <w:sz w:val="24"/>
          <w:highlight w:val="none"/>
        </w:rPr>
        <w:t>磋商前答疑会</w:t>
      </w:r>
    </w:p>
    <w:p w14:paraId="546451D3">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7.1本项目采购人不组织磋商前答疑会。</w:t>
      </w:r>
    </w:p>
    <w:p w14:paraId="034DE47A">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8</w:t>
      </w:r>
      <w:r>
        <w:rPr>
          <w:rFonts w:hint="eastAsia" w:ascii="宋体" w:hAnsi="宋体" w:cs="宋体"/>
          <w:b/>
          <w:color w:val="auto"/>
          <w:sz w:val="24"/>
          <w:highlight w:val="none"/>
        </w:rPr>
        <w:t>.</w:t>
      </w:r>
      <w:r>
        <w:rPr>
          <w:rFonts w:hint="eastAsia" w:ascii="宋体" w:hAnsi="宋体" w:cs="宋体"/>
          <w:b/>
          <w:bCs/>
          <w:color w:val="auto"/>
          <w:sz w:val="24"/>
          <w:highlight w:val="none"/>
        </w:rPr>
        <w:t>质疑</w:t>
      </w:r>
    </w:p>
    <w:p w14:paraId="34F2D183">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供应商认为竞争性磋商文件、采购过程、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w:t>
      </w:r>
    </w:p>
    <w:p w14:paraId="4D0FDFD1">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8.2竞争性磋商文件第二章《供应商须知》8.1条中“知道或者应知其权益受到损害之日”是指：</w:t>
      </w:r>
    </w:p>
    <w:p w14:paraId="45DF19AE">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（一）对可以质疑的采购文件提出质疑的，为收到采购文件之日或者采购文件公告期限届满之日；</w:t>
      </w:r>
    </w:p>
    <w:p w14:paraId="1CEE8368">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（二）对采购过程提出质疑的，为各采购程序环节结束之日；</w:t>
      </w:r>
    </w:p>
    <w:p w14:paraId="7A8909E4">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（三）对中标或者成交结果提出质疑的，为中标或者成交结果公告期限届满之日。</w:t>
      </w:r>
    </w:p>
    <w:p w14:paraId="4D95817F">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供应商电子公章。代理人提出质疑，应当提交供应商签署的授权委托书。</w:t>
      </w:r>
    </w:p>
    <w:p w14:paraId="4F8214F4">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提出质疑的供应商应当是参与所质疑项目采购活动的供应商。</w:t>
      </w:r>
    </w:p>
    <w:p w14:paraId="0E666839">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78343948">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（一）供应商的姓名或者名称、地址、邮编、联系人及联系电话；</w:t>
      </w:r>
    </w:p>
    <w:p w14:paraId="13020C46">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（二）质疑项目的名称、编号；</w:t>
      </w:r>
    </w:p>
    <w:p w14:paraId="0745BC8D">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（三）具体、明确的质疑事项和与质疑事项相关的请求；</w:t>
      </w:r>
    </w:p>
    <w:p w14:paraId="21AFDA6F">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（四）事实依据；</w:t>
      </w:r>
    </w:p>
    <w:p w14:paraId="0160444B">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（五）必要的法律依据；</w:t>
      </w:r>
    </w:p>
    <w:p w14:paraId="646DF266">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（六）提出质疑的日期。</w:t>
      </w:r>
    </w:p>
    <w:p w14:paraId="70FBB712">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供应商为自然人的，应当由本人签字；供应商为法人或者其他组织的，应当由法定代表人、主要负责人，或者其授权代表签字或者盖章，并加盖供应商电子公章。</w:t>
      </w:r>
    </w:p>
    <w:p w14:paraId="0ED4AB78">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8.5供应商不得捏造事实、提供虚假材料或者以非法手段取得证明材料。</w:t>
      </w:r>
    </w:p>
    <w:p w14:paraId="2F47E81A">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8.6质疑函应当使用中文。相关当事人提供外文书证或者外国语视听资料的，应当附有中文译本，由翻译机构盖章或者翻译人员签名。</w:t>
      </w:r>
    </w:p>
    <w:p w14:paraId="2120E629">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8.7采购人、采购代理机构将在收到供应商质疑函后七个工作日内作出答复，但质疑答复的内容不涉及商业秘密。</w:t>
      </w:r>
    </w:p>
    <w:p w14:paraId="3E20F18B">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8.8供应商对评审过程、成交结果提出质疑的，采购人、采购代理机构可以组织原磋商小组协助答复质疑。质疑答复导致成交结果改变的，采购人或者采购代理机构会将有关情况书面报告本级财政部门。</w:t>
      </w:r>
    </w:p>
    <w:p w14:paraId="01965ACB">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8.9接收质疑函的方式：书面方式；接收质疑函的部门：云南冠睿咨询有限公司；联系人、联系电话：李腾芳、肖枝莲、王国玺、吴翊0871-65511240、0871-65511241；通讯地址：云南冠睿咨询有限公司（云南省昆明市西山区万达广场南塔32层3201号）。</w:t>
      </w:r>
    </w:p>
    <w:p w14:paraId="05FEC133">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9</w:t>
      </w:r>
      <w:r>
        <w:rPr>
          <w:rFonts w:hint="eastAsia" w:ascii="宋体" w:hAnsi="宋体" w:cs="宋体"/>
          <w:b/>
          <w:color w:val="auto"/>
          <w:sz w:val="24"/>
          <w:highlight w:val="none"/>
        </w:rPr>
        <w:t>.</w:t>
      </w:r>
      <w:r>
        <w:rPr>
          <w:rFonts w:hint="eastAsia" w:ascii="宋体" w:hAnsi="宋体" w:cs="宋体"/>
          <w:b/>
          <w:bCs/>
          <w:color w:val="auto"/>
          <w:sz w:val="24"/>
          <w:highlight w:val="none"/>
        </w:rPr>
        <w:t>投诉</w:t>
      </w:r>
    </w:p>
    <w:p w14:paraId="6585E2E7">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9.1投诉必须首先经过质疑程序。质疑供应商对采购人、采购代理机构的答复不满意，或者采购人、采购代理机构未在规定时间内作出答复的，可以在答复期满后十五个工作日内书面向本级财政部门提起投诉。</w:t>
      </w:r>
    </w:p>
    <w:p w14:paraId="62A4E55C">
      <w:pPr>
        <w:tabs>
          <w:tab w:val="left" w:pos="105"/>
          <w:tab w:val="left" w:pos="735"/>
          <w:tab w:val="left" w:pos="945"/>
          <w:tab w:val="left" w:pos="3360"/>
        </w:tabs>
        <w:adjustRightInd w:val="0"/>
        <w:snapToGrid w:val="0"/>
        <w:spacing w:line="360" w:lineRule="auto"/>
        <w:ind w:firstLine="241" w:firstLineChars="100"/>
        <w:jc w:val="center"/>
        <w:rPr>
          <w:rFonts w:ascii="宋体" w:hAnsi="宋体" w:cs="宋体"/>
          <w:b/>
          <w:color w:val="auto"/>
          <w:sz w:val="24"/>
          <w:highlight w:val="none"/>
        </w:rPr>
      </w:pPr>
      <w:bookmarkStart w:id="67" w:name="_Toc383175058"/>
      <w:bookmarkStart w:id="68" w:name="_Toc470507046"/>
      <w:bookmarkStart w:id="69" w:name="_Toc329810192"/>
      <w:bookmarkStart w:id="70" w:name="_Toc383175480"/>
      <w:bookmarkStart w:id="71" w:name="_Toc383175282"/>
      <w:bookmarkStart w:id="72" w:name="_Toc482343732"/>
      <w:bookmarkStart w:id="73" w:name="_Toc432106481"/>
      <w:bookmarkStart w:id="74" w:name="_Toc432194832"/>
      <w:r>
        <w:rPr>
          <w:rFonts w:hint="eastAsia" w:ascii="宋体" w:hAnsi="宋体" w:cs="宋体"/>
          <w:b/>
          <w:color w:val="auto"/>
          <w:sz w:val="24"/>
          <w:highlight w:val="none"/>
        </w:rPr>
        <w:t>二、竞争性磋商文件</w:t>
      </w:r>
    </w:p>
    <w:p w14:paraId="450A382E">
      <w:pPr>
        <w:tabs>
          <w:tab w:val="left" w:pos="105"/>
          <w:tab w:val="left" w:pos="735"/>
          <w:tab w:val="left" w:pos="945"/>
          <w:tab w:val="left" w:pos="3360"/>
        </w:tabs>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10.竞争性磋商文件的组成</w:t>
      </w:r>
      <w:bookmarkEnd w:id="67"/>
      <w:bookmarkEnd w:id="68"/>
      <w:bookmarkEnd w:id="69"/>
      <w:bookmarkEnd w:id="70"/>
      <w:bookmarkEnd w:id="71"/>
      <w:bookmarkEnd w:id="72"/>
      <w:bookmarkEnd w:id="73"/>
      <w:bookmarkEnd w:id="74"/>
    </w:p>
    <w:p w14:paraId="76882CA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采购人要求提供的</w:t>
      </w:r>
      <w:r>
        <w:rPr>
          <w:rFonts w:hint="eastAsia" w:ascii="宋体" w:hAnsi="宋体" w:cs="宋体"/>
          <w:color w:val="auto"/>
          <w:kern w:val="0"/>
          <w:szCs w:val="21"/>
          <w:highlight w:val="none"/>
        </w:rPr>
        <w:t>货物、工程或者服务、</w:t>
      </w:r>
      <w:r>
        <w:rPr>
          <w:rFonts w:hint="eastAsia" w:ascii="宋体" w:hAnsi="宋体" w:cs="宋体"/>
          <w:color w:val="auto"/>
          <w:szCs w:val="21"/>
          <w:highlight w:val="none"/>
        </w:rPr>
        <w:t>采购过程及合同条款在竞争性磋商文件中均有说明，竞争性磋商文件共六章，各章的内容如下：</w:t>
      </w:r>
    </w:p>
    <w:p w14:paraId="7F826EE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4C6ECE9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供应商须知</w:t>
      </w:r>
    </w:p>
    <w:p w14:paraId="3F5F59E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第三章  合同书样式及主要条款</w:t>
      </w:r>
    </w:p>
    <w:p w14:paraId="111FB55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响应文件格式</w:t>
      </w:r>
    </w:p>
    <w:p w14:paraId="07A26C9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采购需求</w:t>
      </w:r>
    </w:p>
    <w:p w14:paraId="6DD81CF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评审方法</w:t>
      </w:r>
    </w:p>
    <w:p w14:paraId="7941842F">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11</w:t>
      </w:r>
      <w:r>
        <w:rPr>
          <w:rFonts w:hint="eastAsia" w:ascii="宋体" w:hAnsi="宋体" w:cs="宋体"/>
          <w:b/>
          <w:color w:val="auto"/>
          <w:sz w:val="24"/>
          <w:highlight w:val="none"/>
        </w:rPr>
        <w:t>.</w:t>
      </w:r>
      <w:r>
        <w:rPr>
          <w:rFonts w:hint="eastAsia" w:ascii="宋体" w:hAnsi="宋体" w:cs="宋体"/>
          <w:b/>
          <w:bCs/>
          <w:color w:val="auto"/>
          <w:sz w:val="24"/>
          <w:highlight w:val="none"/>
        </w:rPr>
        <w:t>竞争性磋商文件的询问、澄清、修改</w:t>
      </w:r>
      <w:r>
        <w:rPr>
          <w:rFonts w:hint="eastAsia" w:ascii="宋体" w:hAnsi="宋体" w:cs="宋体"/>
          <w:b/>
          <w:bCs/>
          <w:color w:val="auto"/>
          <w:sz w:val="24"/>
          <w:highlight w:val="none"/>
        </w:rPr>
        <w:tab/>
      </w:r>
    </w:p>
    <w:p w14:paraId="1E44554A">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供应商应认真阅读竞争性磋商文件，如有疑问的，供应商可以向采购人或采购代理机构提出询问，采购人或者采购代理机构在接到询问后的3个工作日内对供应商依法提出的询问作出答复，但答复的内容不涉及商业秘密。如对电子采购流程不清楚可查阅政采云（https://e-learning.zcygov.cn/index）“秒懂政采云项目采购”学习。</w:t>
      </w:r>
    </w:p>
    <w:p w14:paraId="6C763DF5">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11.2竞争性磋商文件询问联系方式：详见《供应商须知前附表》。</w:t>
      </w:r>
    </w:p>
    <w:p w14:paraId="39A23441">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11.3提交首次响应文件截止之日前，采购人、采购代理机构或者磋商小组可以对已发出的竞争性磋商文件进行必要的澄清或者修改，澄清或者修改的内容作为竞争性磋商文件的组成部分。</w:t>
      </w:r>
    </w:p>
    <w:p w14:paraId="73401D7B">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澄清或者修改的内容可能影响响应文件编制的，采购人、采购代理机构将在提交首次响应文件截止时间至少5日前，以书面形式通知所有获取竞争性磋商文件的供应商；不足5日的，采购人、采购代理机构将顺延提交首次响应文件截止时间。</w:t>
      </w:r>
    </w:p>
    <w:p w14:paraId="16D3833D">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11.5供应商确认收到竞争性磋商文件澄清、修改后，应在收到澄清、修改后24小时内以书面形式通知采购人或采购代理机构，确认已收到该澄清、修改。</w:t>
      </w:r>
    </w:p>
    <w:p w14:paraId="6EEAE758">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11.6在磋商过程中，磋商小组可以根据竞争性磋商文件和磋商情况实质性变动采购需求中的技术、服务要求以及合同草案条款，但不得变动竞争性磋商文件中的其他内容。实质性变动的内容，须经采购人代表确认。</w:t>
      </w:r>
    </w:p>
    <w:p w14:paraId="267D16B6">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11.7实质性变动采购需求中的技术、服务要求以及合同草案条款不得对涉及对竞争性磋商文件公平、公正性内容进行修改、变动。</w:t>
      </w:r>
    </w:p>
    <w:p w14:paraId="30452B59">
      <w:pPr>
        <w:tabs>
          <w:tab w:val="left" w:pos="3150"/>
          <w:tab w:val="center" w:pos="4734"/>
        </w:tabs>
        <w:spacing w:line="360" w:lineRule="auto"/>
        <w:ind w:firstLine="241" w:firstLineChars="100"/>
        <w:jc w:val="center"/>
        <w:rPr>
          <w:rFonts w:ascii="宋体" w:hAnsi="宋体" w:cs="宋体"/>
          <w:b/>
          <w:color w:val="auto"/>
          <w:sz w:val="24"/>
          <w:highlight w:val="none"/>
        </w:rPr>
      </w:pPr>
      <w:r>
        <w:rPr>
          <w:rFonts w:hint="eastAsia" w:ascii="宋体" w:hAnsi="宋体" w:cs="宋体"/>
          <w:b/>
          <w:color w:val="auto"/>
          <w:sz w:val="24"/>
          <w:highlight w:val="none"/>
        </w:rPr>
        <w:t>三、响应文件</w:t>
      </w:r>
    </w:p>
    <w:p w14:paraId="56AC4B92">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12</w:t>
      </w:r>
      <w:bookmarkStart w:id="75" w:name="_Toc470507049"/>
      <w:bookmarkStart w:id="76" w:name="_Toc383175483"/>
      <w:bookmarkStart w:id="77" w:name="_Toc482343735"/>
      <w:bookmarkStart w:id="78" w:name="_Toc86124052"/>
      <w:bookmarkStart w:id="79" w:name="_Toc383175285"/>
      <w:bookmarkStart w:id="80" w:name="_Toc329810195"/>
      <w:bookmarkStart w:id="81" w:name="_Toc432194835"/>
      <w:bookmarkStart w:id="82" w:name="_Toc383175061"/>
      <w:bookmarkStart w:id="83" w:name="_Toc432106484"/>
      <w:r>
        <w:rPr>
          <w:rFonts w:hint="eastAsia" w:ascii="宋体" w:hAnsi="宋体" w:cs="宋体"/>
          <w:b/>
          <w:color w:val="auto"/>
          <w:sz w:val="24"/>
          <w:highlight w:val="none"/>
        </w:rPr>
        <w:t>.</w:t>
      </w:r>
      <w:r>
        <w:rPr>
          <w:rFonts w:hint="eastAsia" w:ascii="宋体" w:hAnsi="宋体" w:cs="宋体"/>
          <w:b/>
          <w:bCs/>
          <w:color w:val="auto"/>
          <w:sz w:val="24"/>
          <w:highlight w:val="none"/>
        </w:rPr>
        <w:t>响应文件编写注意事项</w:t>
      </w:r>
      <w:bookmarkEnd w:id="75"/>
      <w:bookmarkEnd w:id="76"/>
      <w:bookmarkEnd w:id="77"/>
      <w:bookmarkEnd w:id="78"/>
      <w:bookmarkEnd w:id="79"/>
      <w:bookmarkEnd w:id="80"/>
      <w:bookmarkEnd w:id="81"/>
      <w:bookmarkEnd w:id="82"/>
      <w:bookmarkEnd w:id="83"/>
    </w:p>
    <w:p w14:paraId="5B0EE87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12.1供应商应仔细阅读竞争性磋商文件，在完全了解采购的内容、技术性能要求（见第五章《采购需求》）和商务条件后，根据竞争性磋商文件要求编写响应文件。</w:t>
      </w:r>
    </w:p>
    <w:p w14:paraId="18A7225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对竞争性磋商文件提出的实质性要求和条件作出响应是指供应商的响应文件必须对竞争性磋商文件中规定的成交实质性要求和条件作出满足或者优于原要求和条件的承诺，并提供相应的证明材料，否则按无效响应处理。</w:t>
      </w:r>
    </w:p>
    <w:p w14:paraId="48CD5759">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13</w:t>
      </w:r>
      <w:r>
        <w:rPr>
          <w:rFonts w:hint="eastAsia" w:ascii="宋体" w:hAnsi="宋体" w:cs="宋体"/>
          <w:b/>
          <w:color w:val="auto"/>
          <w:sz w:val="24"/>
          <w:highlight w:val="none"/>
        </w:rPr>
        <w:t>.</w:t>
      </w:r>
      <w:r>
        <w:rPr>
          <w:rFonts w:hint="eastAsia" w:ascii="宋体" w:hAnsi="宋体" w:cs="宋体"/>
          <w:b/>
          <w:bCs/>
          <w:color w:val="auto"/>
          <w:sz w:val="24"/>
          <w:highlight w:val="none"/>
        </w:rPr>
        <w:t>语言文字</w:t>
      </w:r>
    </w:p>
    <w:p w14:paraId="240F953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13.1供应商的响应文件以及供应商与采购人、采购代理机构、磋商小组就有关磋商的所有来往函电统一使用中文（特别规定除外）。</w:t>
      </w:r>
    </w:p>
    <w:p w14:paraId="0E287E47">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14</w:t>
      </w:r>
      <w:r>
        <w:rPr>
          <w:rFonts w:hint="eastAsia" w:ascii="宋体" w:hAnsi="宋体" w:cs="宋体"/>
          <w:b/>
          <w:color w:val="auto"/>
          <w:sz w:val="24"/>
          <w:highlight w:val="none"/>
        </w:rPr>
        <w:t>.</w:t>
      </w:r>
      <w:r>
        <w:rPr>
          <w:rFonts w:hint="eastAsia" w:ascii="宋体" w:hAnsi="宋体" w:cs="宋体"/>
          <w:b/>
          <w:bCs/>
          <w:color w:val="auto"/>
          <w:sz w:val="24"/>
          <w:highlight w:val="none"/>
        </w:rPr>
        <w:t>计量单位</w:t>
      </w:r>
    </w:p>
    <w:p w14:paraId="2D39C34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14.1响应文件中使用的计量单位除竞争性磋商文件中有特殊规定外，一律使用中国法定计量单位。</w:t>
      </w:r>
    </w:p>
    <w:p w14:paraId="480B6EE6">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15</w:t>
      </w:r>
      <w:r>
        <w:rPr>
          <w:rFonts w:hint="eastAsia" w:ascii="宋体" w:hAnsi="宋体" w:cs="宋体"/>
          <w:b/>
          <w:color w:val="auto"/>
          <w:sz w:val="24"/>
          <w:highlight w:val="none"/>
        </w:rPr>
        <w:t>.</w:t>
      </w:r>
      <w:r>
        <w:rPr>
          <w:rFonts w:hint="eastAsia" w:ascii="宋体" w:hAnsi="宋体" w:cs="宋体"/>
          <w:b/>
          <w:bCs/>
          <w:color w:val="auto"/>
          <w:sz w:val="24"/>
          <w:highlight w:val="none"/>
        </w:rPr>
        <w:t>响应文件的组成</w:t>
      </w:r>
    </w:p>
    <w:p w14:paraId="7A3476F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15.1供应商编写的响应文件应按第四章《响应文件格式》要求填写。有关文件的提交如未特别注明需提供原件的，可提供复印件。</w:t>
      </w:r>
    </w:p>
    <w:p w14:paraId="07896E3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15.2构成响应文件的其他资料：详见《供应商须知前附表》。</w:t>
      </w:r>
    </w:p>
    <w:p w14:paraId="62546E1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15.3供应商同时参加多个标段（若分标段时）的，响应文件应按标段分别编制，单独成册。</w:t>
      </w:r>
    </w:p>
    <w:p w14:paraId="241F82D2">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★16</w:t>
      </w:r>
      <w:r>
        <w:rPr>
          <w:rFonts w:hint="eastAsia" w:ascii="宋体" w:hAnsi="宋体" w:cs="宋体"/>
          <w:b/>
          <w:color w:val="auto"/>
          <w:sz w:val="24"/>
          <w:highlight w:val="none"/>
        </w:rPr>
        <w:t>.</w:t>
      </w:r>
      <w:r>
        <w:rPr>
          <w:rFonts w:hint="eastAsia" w:ascii="宋体" w:hAnsi="宋体" w:cs="宋体"/>
          <w:b/>
          <w:bCs/>
          <w:color w:val="auto"/>
          <w:sz w:val="24"/>
          <w:highlight w:val="none"/>
        </w:rPr>
        <w:t>响应文件的格式要求</w:t>
      </w:r>
    </w:p>
    <w:p w14:paraId="023A303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16.1供应商应按第四章《响应文件格式》提供的格式完整地填写、签章或签字，未按竞争性磋商文件规定格式填写、签章或签字的响应文件按无效响应处理。</w:t>
      </w:r>
    </w:p>
    <w:p w14:paraId="3A369BAC">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★17</w:t>
      </w:r>
      <w:r>
        <w:rPr>
          <w:rFonts w:hint="eastAsia" w:ascii="宋体" w:hAnsi="宋体" w:cs="宋体"/>
          <w:b/>
          <w:color w:val="auto"/>
          <w:sz w:val="24"/>
          <w:highlight w:val="none"/>
        </w:rPr>
        <w:t>.</w:t>
      </w:r>
      <w:r>
        <w:rPr>
          <w:rFonts w:hint="eastAsia" w:ascii="宋体" w:hAnsi="宋体" w:cs="宋体"/>
          <w:b/>
          <w:bCs/>
          <w:color w:val="auto"/>
          <w:sz w:val="24"/>
          <w:highlight w:val="none"/>
        </w:rPr>
        <w:t>响应文件有效期</w:t>
      </w:r>
    </w:p>
    <w:p w14:paraId="4152362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17.1在《供应商须知前附表》规定的有效期内，供应商不得要求撤销或修改其响应文件。</w:t>
      </w:r>
    </w:p>
    <w:p w14:paraId="00183E0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17.2因特殊情况需要延长响应文件有效期的，采购代理机构以书面形式通知所有供应商延长有效期。供应商同意延长的，应相应延长其响应文件中所有内容及磋商保证金的有效期，但不得要求或被允许修改或撤销其响应文件；供应商拒绝延长的，其响应文件失效，但供应商有权收回其磋商保证金。</w:t>
      </w:r>
    </w:p>
    <w:p w14:paraId="65DA1B71">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★18</w:t>
      </w:r>
      <w:r>
        <w:rPr>
          <w:rFonts w:hint="eastAsia" w:ascii="宋体" w:hAnsi="宋体" w:cs="宋体"/>
          <w:b/>
          <w:color w:val="auto"/>
          <w:sz w:val="24"/>
          <w:highlight w:val="none"/>
        </w:rPr>
        <w:t>.</w:t>
      </w:r>
      <w:r>
        <w:rPr>
          <w:rFonts w:hint="eastAsia" w:ascii="宋体" w:hAnsi="宋体" w:cs="宋体"/>
          <w:b/>
          <w:bCs/>
          <w:color w:val="auto"/>
          <w:sz w:val="24"/>
          <w:highlight w:val="none"/>
        </w:rPr>
        <w:t>磋商保证金交纳及退还</w:t>
      </w:r>
    </w:p>
    <w:p w14:paraId="7DB01E3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供应商应按《供应商须知前附表》规定的金额、形式向采购代理机构交纳磋商保证金，磋商保证金须在响应文件提交截止时间前从供应商基本账户交纳到云南冠睿咨询有限公司指定的账户，供应商未按照竞争性磋商文件要求提交磋商保证金的，响应无效。</w:t>
      </w:r>
    </w:p>
    <w:p w14:paraId="14C6CDE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18.2采购代理机构在成交通知书发出后3个工作日内原路退还未成交供应商的磋商保证金，成交供应商的磋商保证金在采购合同签订后5个工作日内原路退还，但因供应商自身原因导致无法及时退还的除外。出现下列情形之一的，磋商保证金不予退还：</w:t>
      </w:r>
    </w:p>
    <w:p w14:paraId="2CA19EE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3C066DA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37AE76E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（3）除因不可抗力或竞争性磋商文件认可的情形以外，成交供应商不与采购人签订合同的；</w:t>
      </w:r>
    </w:p>
    <w:p w14:paraId="31725C5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6A22B95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（5）竞争性磋商文件规定的其他情形。</w:t>
      </w:r>
    </w:p>
    <w:p w14:paraId="024B3A0B">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19</w:t>
      </w:r>
      <w:r>
        <w:rPr>
          <w:rFonts w:hint="eastAsia" w:ascii="宋体" w:hAnsi="宋体" w:cs="宋体"/>
          <w:b/>
          <w:color w:val="auto"/>
          <w:sz w:val="24"/>
          <w:highlight w:val="none"/>
        </w:rPr>
        <w:t>.</w:t>
      </w:r>
      <w:r>
        <w:rPr>
          <w:rFonts w:hint="eastAsia" w:ascii="宋体" w:hAnsi="宋体" w:cs="宋体"/>
          <w:b/>
          <w:bCs/>
          <w:color w:val="auto"/>
          <w:sz w:val="24"/>
          <w:highlight w:val="none"/>
        </w:rPr>
        <w:t>响应文件的编制</w:t>
      </w:r>
    </w:p>
    <w:p w14:paraId="636414D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响应文件签署：响应文件编制完成后须用数字证书（CA）按格式进行电子签章，在所要求的位置有法定代表人的电子签名或签章，均使用数字证书（CA）按格式进行电子签章，联合体参加磋商的除格式要求外，可由联合体牵头单位签署。签章操作详见政采云官网。</w:t>
      </w:r>
    </w:p>
    <w:p w14:paraId="1B76E90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19.2响应文件应尽量避免涂改、行间插字或删除。如果出现上述情况，改动之处应加盖供应商的公章或供应商法定代表人签字确认。</w:t>
      </w:r>
    </w:p>
    <w:p w14:paraId="298ED69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响应文件应由法定代表人在竞争性磋商文件规定签字处逐一电子签名或签章，要求盖章处应加盖供应商电子公章，若以“投标专用章”或“合同专用章”代替的，须出具供应商单位公章对“投标专用章”或“合同专用章”的授权函。</w:t>
      </w:r>
    </w:p>
    <w:p w14:paraId="69A738B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19.4响应文件和来往函件均应采用中文书写，计量单位使用中国或国际标准单位。</w:t>
      </w:r>
    </w:p>
    <w:p w14:paraId="18821E5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19.5最后报价采用人民币进行报价，若中文文字形式表示的数值与数字形式表示的数值不一致，以中文文字形式表示的数值为准。</w:t>
      </w:r>
    </w:p>
    <w:p w14:paraId="1B0601F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19.6响应文件的组成应包括下列内容（但不限于）：详见第四章《响应文件格式》部分。</w:t>
      </w:r>
    </w:p>
    <w:p w14:paraId="11A728E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19.7响应文件中提供的资料（包括复印件）、关键内容必须清晰可辨，若出现字迹潦草、表达不清、未按要求填写而导致非唯一理解，视为未实质性响应竞争性磋商文件，供应商响应文件将按无效响应处理。</w:t>
      </w:r>
      <w:bookmarkStart w:id="84" w:name="_Toc86124056"/>
      <w:bookmarkStart w:id="85" w:name="_Toc383175485"/>
      <w:bookmarkStart w:id="86" w:name="_Toc432194837"/>
      <w:bookmarkStart w:id="87" w:name="_Toc470507051"/>
      <w:bookmarkStart w:id="88" w:name="_Toc432106486"/>
      <w:bookmarkStart w:id="89" w:name="_Toc383175287"/>
      <w:bookmarkStart w:id="90" w:name="_Toc329810197"/>
      <w:bookmarkStart w:id="91" w:name="_Toc482343737"/>
      <w:bookmarkStart w:id="92" w:name="_Toc383175063"/>
    </w:p>
    <w:p w14:paraId="76D0A93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19.8按“政采云”要求，上传电子响应文件壹份。供应商应安装“政采云”投标客户端，根据采购文件格式编制响应文件，生成加密标书后进行上传（详见政采云官网供应商操作指南及申领数字证书（CA）操作手册）。</w:t>
      </w:r>
    </w:p>
    <w:p w14:paraId="795E02CF">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20</w:t>
      </w:r>
      <w:r>
        <w:rPr>
          <w:rFonts w:hint="eastAsia" w:ascii="宋体" w:hAnsi="宋体" w:cs="宋体"/>
          <w:b/>
          <w:color w:val="auto"/>
          <w:sz w:val="24"/>
          <w:highlight w:val="none"/>
        </w:rPr>
        <w:t>.</w:t>
      </w:r>
      <w:r>
        <w:rPr>
          <w:rFonts w:hint="eastAsia" w:ascii="宋体" w:hAnsi="宋体" w:cs="宋体"/>
          <w:b/>
          <w:bCs/>
          <w:color w:val="auto"/>
          <w:sz w:val="24"/>
          <w:highlight w:val="none"/>
        </w:rPr>
        <w:t>报价</w:t>
      </w:r>
      <w:bookmarkEnd w:id="84"/>
      <w:r>
        <w:rPr>
          <w:rFonts w:hint="eastAsia" w:ascii="宋体" w:hAnsi="宋体" w:cs="宋体"/>
          <w:b/>
          <w:bCs/>
          <w:color w:val="auto"/>
          <w:sz w:val="24"/>
          <w:highlight w:val="none"/>
        </w:rPr>
        <w:t>和报价货币</w:t>
      </w:r>
      <w:bookmarkEnd w:id="85"/>
      <w:bookmarkEnd w:id="86"/>
      <w:bookmarkEnd w:id="87"/>
      <w:bookmarkEnd w:id="88"/>
      <w:bookmarkEnd w:id="89"/>
      <w:bookmarkEnd w:id="90"/>
      <w:bookmarkEnd w:id="91"/>
      <w:bookmarkEnd w:id="92"/>
    </w:p>
    <w:p w14:paraId="4AB0C31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20.1磋商结束后，磋商小组将要求所有实质性响应的供应商在规定时间内提交最后报价，提交最后报价的供应商不得少于3家。最后报价超过采购预算金额的供应商将被视为未实质性响应竞争性磋商文件要求，按无效响应处理。</w:t>
      </w:r>
    </w:p>
    <w:p w14:paraId="0DB1E2D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20.2供应商应依据磋商文件的要求及有关资料，执行国家或行业现行技术经济标准、定额及规范，自行测算出满足采购要求的货物、工程或者服务的竞争性报价，该报价应符合市场行情并能保证供应商完成履行合同所需的一切工作。合同一旦签订，此价格在合同实施期间将不因市场价格等的变化而调整。</w:t>
      </w:r>
    </w:p>
    <w:p w14:paraId="32BE398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20.3最后报价是供应商响应文件的有效组成部分，供应商必须对所参加项目内所有内容进行完整唯一报价，不得缺项、漏项，否则按无效响应处理。</w:t>
      </w:r>
    </w:p>
    <w:p w14:paraId="56D2D436">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20.4无论分项价格是否填报完全，供应商的最后报价将被视为已经包含了所有分项价格以及与项目相关的所有货物、工程或者服务费用。由于供应商分项报价填报不完整、不清楚或存在其他任何失误所导致的任何不利后果均由供应商自行承担。</w:t>
      </w:r>
    </w:p>
    <w:p w14:paraId="001E0C8E">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20.5提交响应文件的供应商，按照云南省政府采购电子交易平台（政采云）的顺序进行磋商、承诺及最后报价，操作流程详见政采云官网供应商操作指南。</w:t>
      </w:r>
    </w:p>
    <w:p w14:paraId="38BEE1B0">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20.6评审过程中中出现下列情形之一的，磋商小组应当启动异常低价投标（响应）审查程序：</w:t>
      </w:r>
    </w:p>
    <w:p w14:paraId="748A63BE">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（1）投标（响应）报价低于全部通过符合性审查供应商投标（响应）报价平均值50%的，即投标（响应）报价＜全部通过符合性审查供应商投标（响应）报价平均值×50%；</w:t>
      </w:r>
    </w:p>
    <w:p w14:paraId="47C747B9">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（2）投标（响应）报价低于通过符合性审查的次低报价供应商投标（响应）报价50%的，即投标（响应）报价＜通过符合性审查的次低报价供应商投标（响应）报价×50%；</w:t>
      </w:r>
    </w:p>
    <w:p w14:paraId="0A5AD745">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（3）投标（响应）报价低于采购项目最高限价45%的，即投标（响应）报价＜采购项目最高限价×45%；</w:t>
      </w:r>
    </w:p>
    <w:p w14:paraId="168D5D4B">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（4）磋商小组基于专业判断，认为供应商报价过低，有可能影响产品质量或者不能诚信履约的其他情形。</w:t>
      </w:r>
    </w:p>
    <w:p w14:paraId="108116EA">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20.7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F37F659">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处理。</w:t>
      </w:r>
    </w:p>
    <w:p w14:paraId="7DC74749">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20.8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38527B00">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异常低价投标（响应）审查的启动原因、审查意见和审查结果应当在评审报告中记录，并随供应商提供的相关书面说明及证明材料，以及磋商小组有关互联网浏览、查询历史一并归档。</w:t>
      </w:r>
    </w:p>
    <w:p w14:paraId="6A523E4C">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20.9供应商应保证其提供的货物、工程或者服务在采购人使用期间不受第三方可能提出的侵犯其所有权、知识产权、商标权、专利权、著作权等相关权利的起诉。</w:t>
      </w:r>
    </w:p>
    <w:p w14:paraId="44CD8F11">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20.10报价货币为人民币。</w:t>
      </w:r>
    </w:p>
    <w:p w14:paraId="1A8F9BAB">
      <w:pPr>
        <w:tabs>
          <w:tab w:val="left" w:pos="3150"/>
          <w:tab w:val="center" w:pos="4734"/>
        </w:tabs>
        <w:spacing w:line="360" w:lineRule="auto"/>
        <w:ind w:firstLine="241" w:firstLineChars="100"/>
        <w:jc w:val="center"/>
        <w:rPr>
          <w:rFonts w:ascii="宋体" w:hAnsi="宋体" w:cs="宋体"/>
          <w:b/>
          <w:color w:val="auto"/>
          <w:sz w:val="24"/>
          <w:highlight w:val="none"/>
        </w:rPr>
      </w:pPr>
      <w:r>
        <w:rPr>
          <w:rFonts w:hint="eastAsia" w:ascii="宋体" w:hAnsi="宋体" w:cs="宋体"/>
          <w:b/>
          <w:color w:val="auto"/>
          <w:sz w:val="24"/>
          <w:highlight w:val="none"/>
        </w:rPr>
        <w:t>四、提交响应文件</w:t>
      </w:r>
    </w:p>
    <w:p w14:paraId="472D432B">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21</w:t>
      </w:r>
      <w:r>
        <w:rPr>
          <w:rFonts w:hint="eastAsia" w:ascii="宋体" w:hAnsi="宋体" w:cs="宋体"/>
          <w:b/>
          <w:color w:val="auto"/>
          <w:sz w:val="24"/>
          <w:highlight w:val="none"/>
        </w:rPr>
        <w:t>.</w:t>
      </w:r>
      <w:r>
        <w:rPr>
          <w:rFonts w:hint="eastAsia" w:ascii="宋体" w:hAnsi="宋体" w:cs="宋体"/>
          <w:b/>
          <w:bCs/>
          <w:color w:val="auto"/>
          <w:sz w:val="24"/>
          <w:highlight w:val="none"/>
        </w:rPr>
        <w:t>响应文件的密封和标记</w:t>
      </w:r>
    </w:p>
    <w:p w14:paraId="3A34E99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21.1按照“政采云”平台的要求编制、加密后在响应文件提交截止时间前上传至“政采云”平台，响应文件提交截止时间前未完成响应文件上传的，视为撤回响应文件。</w:t>
      </w:r>
    </w:p>
    <w:p w14:paraId="20C28550">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22</w:t>
      </w:r>
      <w:r>
        <w:rPr>
          <w:rFonts w:hint="eastAsia" w:ascii="宋体" w:hAnsi="宋体" w:cs="宋体"/>
          <w:b/>
          <w:color w:val="auto"/>
          <w:sz w:val="24"/>
          <w:highlight w:val="none"/>
        </w:rPr>
        <w:t>.</w:t>
      </w:r>
      <w:r>
        <w:rPr>
          <w:rFonts w:hint="eastAsia" w:ascii="宋体" w:hAnsi="宋体" w:cs="宋体"/>
          <w:b/>
          <w:bCs/>
          <w:color w:val="auto"/>
          <w:sz w:val="24"/>
          <w:highlight w:val="none"/>
        </w:rPr>
        <w:t>响应文件的提交</w:t>
      </w:r>
    </w:p>
    <w:p w14:paraId="60806044">
      <w:pPr>
        <w:spacing w:line="360" w:lineRule="auto"/>
        <w:ind w:firstLine="420" w:firstLineChars="200"/>
        <w:jc w:val="left"/>
        <w:rPr>
          <w:rFonts w:ascii="宋体" w:hAnsi="宋体" w:cs="宋体"/>
          <w:color w:val="auto"/>
          <w:szCs w:val="21"/>
          <w:highlight w:val="none"/>
        </w:rPr>
      </w:pPr>
      <w:bookmarkStart w:id="93" w:name="_Toc296602445"/>
      <w:r>
        <w:rPr>
          <w:rFonts w:hint="eastAsia" w:ascii="宋体" w:hAnsi="宋体" w:cs="宋体"/>
          <w:color w:val="auto"/>
          <w:szCs w:val="21"/>
          <w:highlight w:val="none"/>
        </w:rPr>
        <w:t>22.1响应文件提</w:t>
      </w:r>
      <w:bookmarkEnd w:id="93"/>
      <w:r>
        <w:rPr>
          <w:rFonts w:hint="eastAsia" w:ascii="宋体" w:hAnsi="宋体" w:cs="宋体"/>
          <w:color w:val="auto"/>
          <w:szCs w:val="21"/>
          <w:highlight w:val="none"/>
        </w:rPr>
        <w:t>交截止时间、提交响应文件的地点：详见《供应商须知前附表》。</w:t>
      </w:r>
    </w:p>
    <w:p w14:paraId="7003857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22.2除《供应商须知前附表》另有规定外，供应商所提交的响应文件不予退还。</w:t>
      </w:r>
    </w:p>
    <w:p w14:paraId="4100E91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06C7BA58">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23</w:t>
      </w:r>
      <w:r>
        <w:rPr>
          <w:rFonts w:hint="eastAsia" w:ascii="宋体" w:hAnsi="宋体" w:cs="宋体"/>
          <w:b/>
          <w:color w:val="auto"/>
          <w:sz w:val="24"/>
          <w:highlight w:val="none"/>
        </w:rPr>
        <w:t>.</w:t>
      </w:r>
      <w:r>
        <w:rPr>
          <w:rFonts w:hint="eastAsia" w:ascii="宋体" w:hAnsi="宋体" w:cs="宋体"/>
          <w:b/>
          <w:bCs/>
          <w:color w:val="auto"/>
          <w:sz w:val="24"/>
          <w:highlight w:val="none"/>
        </w:rPr>
        <w:t>响应文件的补充、修改或者撤回</w:t>
      </w:r>
    </w:p>
    <w:p w14:paraId="6D86604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23.1供应商在提交响应文件截止时间前，可以对所提交的响应文件进行补充、修改或者撤回。补充、修改的内容作为响应文件的组成部分。补充、修改的内容与响应文件不一致的，以补充、修改的内容为准。</w:t>
      </w:r>
    </w:p>
    <w:p w14:paraId="5D4F675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供应商递交修改或撤回的文件，应按照本项目采购文件和“政采云”平台的要求编制、加密后在响应文件提交截止时间前重新上传至“政采云”平台，响应文件提交截止时间前未完成响应文件上传的，视为撤回响应文件。</w:t>
      </w:r>
    </w:p>
    <w:p w14:paraId="15E65199">
      <w:pPr>
        <w:tabs>
          <w:tab w:val="left" w:pos="3150"/>
          <w:tab w:val="center" w:pos="4734"/>
        </w:tabs>
        <w:spacing w:line="360" w:lineRule="auto"/>
        <w:ind w:firstLine="241" w:firstLineChars="100"/>
        <w:jc w:val="center"/>
        <w:rPr>
          <w:rFonts w:ascii="宋体" w:hAnsi="宋体" w:cs="宋体"/>
          <w:b/>
          <w:color w:val="auto"/>
          <w:sz w:val="24"/>
          <w:highlight w:val="none"/>
        </w:rPr>
      </w:pPr>
      <w:r>
        <w:rPr>
          <w:rFonts w:hint="eastAsia" w:ascii="宋体" w:hAnsi="宋体" w:cs="宋体"/>
          <w:b/>
          <w:color w:val="auto"/>
          <w:sz w:val="24"/>
          <w:highlight w:val="none"/>
        </w:rPr>
        <w:t>五、磋商</w:t>
      </w:r>
    </w:p>
    <w:p w14:paraId="7F4A19C7">
      <w:pPr>
        <w:autoSpaceDE w:val="0"/>
        <w:autoSpaceDN w:val="0"/>
        <w:adjustRightInd w:val="0"/>
        <w:spacing w:line="360" w:lineRule="auto"/>
        <w:rPr>
          <w:rFonts w:ascii="宋体" w:hAnsi="宋体" w:cs="宋体"/>
          <w:b/>
          <w:color w:val="auto"/>
          <w:sz w:val="24"/>
          <w:highlight w:val="none"/>
        </w:rPr>
      </w:pPr>
      <w:r>
        <w:rPr>
          <w:rFonts w:hint="eastAsia" w:ascii="宋体" w:hAnsi="宋体" w:cs="宋体"/>
          <w:b/>
          <w:bCs/>
          <w:color w:val="auto"/>
          <w:sz w:val="24"/>
          <w:highlight w:val="none"/>
        </w:rPr>
        <w:t>24</w:t>
      </w:r>
      <w:r>
        <w:rPr>
          <w:rFonts w:hint="eastAsia" w:ascii="宋体" w:hAnsi="宋体" w:cs="宋体"/>
          <w:b/>
          <w:color w:val="auto"/>
          <w:sz w:val="24"/>
          <w:highlight w:val="none"/>
        </w:rPr>
        <w:t>.磋商小组</w:t>
      </w:r>
    </w:p>
    <w:p w14:paraId="11BF3BE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24.1磋商小组将在规定的时间和地点进行磋商。</w:t>
      </w:r>
    </w:p>
    <w:p w14:paraId="56C5CB9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磋商小组由采购人依法组建，磋商由磋商小组负责。磋商小组由采购人代表和评审专家共3人以上单数组成，其中评审专家人数不得少于磋商小组成员总数的2/3。磋商小组应当推选组长，但采购人代表不得担任组长。</w:t>
      </w:r>
    </w:p>
    <w:p w14:paraId="48B0CED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24.3磋商小组成员人数及名单在磋商结束之前保密。</w:t>
      </w:r>
    </w:p>
    <w:p w14:paraId="796EF33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24.4采购人委派代表参加磋商会议的，要向采购代理机构出具授权函。除授权代表外，采购人可以委派纪检监察等相关人员进入磋商现场，对磋商工作实施监督，但不得超过2人。</w:t>
      </w:r>
    </w:p>
    <w:p w14:paraId="210AD44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24.5评审方法：综合评分法，是指响应文件满足磋商文件全部实质性要求且按评审因素的量化指标评审得分最高的供应商为成交候选供应商的评审方法。</w:t>
      </w:r>
    </w:p>
    <w:p w14:paraId="2627BFE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34E13A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24.7供应商的澄清、说明或者更正应当由法定代表人或其授权代表签字或者加盖供应商电子公章。由授权代表签字的，应当附法定代表人授权书。供应商为自然人的，应当由本人签字并附身份证明。</w:t>
      </w:r>
    </w:p>
    <w:p w14:paraId="57BAAC4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24.8在磋商中，磋商的任何一方不得透露与磋商有关的其他供应商的技术资料、价格和其他信息。评审结束后，至确定成交供应商与采购人签订合同后止，凡与审查、澄清、评价、比较、推荐成交候选供应商意见有关的内容，任何人均不得向供应商及与磋商无关的其他人透露。</w:t>
      </w:r>
    </w:p>
    <w:p w14:paraId="0D8416B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24.9从响应文件提交截止日起到确定成交供应商之日止，供应商不得与参加磋商的有关人员私下接触。在磋商过程中，如果供应商试图在响应文件审查、澄清、比较及推荐方面向参与磋商的有关人员施加任何影响，其响应文件按无效响应处理。</w:t>
      </w:r>
    </w:p>
    <w:p w14:paraId="5BFD00B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24.10磋商小组根据竞争性磋商文件规定的磋商程序和方法对各供应商的响应文件进行综合评分，按照评审得分由高到低顺序推荐3名以上成交候选供应商，评审得分相同的，按照最后报价由低到高的顺序推荐。评审得分且最后报价相同的，按照技术指标优劣顺序推荐。</w:t>
      </w:r>
    </w:p>
    <w:p w14:paraId="672B7C1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w:t>
      </w:r>
      <w:bookmarkStart w:id="94" w:name="_Toc482343747"/>
      <w:bookmarkStart w:id="95" w:name="_Toc378499713"/>
      <w:bookmarkStart w:id="96" w:name="_Toc470507061"/>
      <w:bookmarkStart w:id="97" w:name="_Toc329810208"/>
      <w:bookmarkStart w:id="98" w:name="_Toc383175495"/>
      <w:bookmarkStart w:id="99" w:name="_Toc432194847"/>
      <w:bookmarkStart w:id="100" w:name="_Toc383175297"/>
      <w:bookmarkStart w:id="101" w:name="_Toc432106496"/>
      <w:bookmarkStart w:id="102" w:name="_Toc383175073"/>
      <w:bookmarkStart w:id="103" w:name="_Toc86124068"/>
      <w:r>
        <w:rPr>
          <w:rFonts w:hint="eastAsia" w:ascii="宋体" w:hAnsi="宋体" w:cs="宋体"/>
          <w:color w:val="auto"/>
          <w:szCs w:val="21"/>
          <w:highlight w:val="none"/>
        </w:rPr>
        <w:t>11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bookmarkEnd w:id="94"/>
      <w:bookmarkEnd w:id="95"/>
      <w:bookmarkEnd w:id="96"/>
      <w:bookmarkEnd w:id="97"/>
      <w:bookmarkEnd w:id="98"/>
      <w:bookmarkEnd w:id="99"/>
      <w:bookmarkEnd w:id="100"/>
      <w:bookmarkEnd w:id="101"/>
      <w:bookmarkEnd w:id="102"/>
      <w:bookmarkEnd w:id="103"/>
    </w:p>
    <w:p w14:paraId="5ADD11C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24.12出现下列情形之一的，将终止竞争性磋商采购活动，并发布项目终止公告并说明原因，重新开展采购活动：</w:t>
      </w:r>
    </w:p>
    <w:p w14:paraId="2A0318A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0C574B8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63A717D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（3）通过实质性响应供应商不足三家的。</w:t>
      </w:r>
    </w:p>
    <w:p w14:paraId="2A074A7C">
      <w:pPr>
        <w:tabs>
          <w:tab w:val="left" w:pos="3150"/>
          <w:tab w:val="center" w:pos="4734"/>
        </w:tabs>
        <w:spacing w:line="360" w:lineRule="auto"/>
        <w:ind w:firstLine="241" w:firstLineChars="100"/>
        <w:jc w:val="center"/>
        <w:rPr>
          <w:rFonts w:ascii="宋体" w:hAnsi="宋体" w:cs="宋体"/>
          <w:b/>
          <w:color w:val="auto"/>
          <w:sz w:val="24"/>
          <w:highlight w:val="none"/>
        </w:rPr>
      </w:pPr>
      <w:r>
        <w:rPr>
          <w:rFonts w:hint="eastAsia" w:ascii="宋体" w:hAnsi="宋体" w:cs="宋体"/>
          <w:b/>
          <w:color w:val="auto"/>
          <w:sz w:val="24"/>
          <w:highlight w:val="none"/>
        </w:rPr>
        <w:t>六、成交结果</w:t>
      </w:r>
    </w:p>
    <w:p w14:paraId="66E17E80">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25.成交供应商的确定</w:t>
      </w:r>
    </w:p>
    <w:p w14:paraId="49A0314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25.1采购代理机构在评审结束后2个工作日内将评审报告送采购人确认。</w:t>
      </w:r>
    </w:p>
    <w:p w14:paraId="5AE3D48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25.2采购人应当在收到评审报告后5个工作日内，从评审报告提出的成交候选供应商中，按照排序由高到低的原则确定成交供应商。本次竞争性磋商不保证合同授予最低报价的供应商。</w:t>
      </w:r>
    </w:p>
    <w:p w14:paraId="394C55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25.3采购代理机构无义务向未成交供应商解释未成交原因和退回响应文件。</w:t>
      </w:r>
    </w:p>
    <w:p w14:paraId="4140EB92">
      <w:pPr>
        <w:snapToGrid w:val="0"/>
        <w:spacing w:line="360" w:lineRule="auto"/>
        <w:rPr>
          <w:rFonts w:ascii="宋体" w:hAnsi="宋体" w:cs="宋体"/>
          <w:b/>
          <w:color w:val="auto"/>
          <w:sz w:val="24"/>
          <w:highlight w:val="none"/>
        </w:rPr>
      </w:pPr>
      <w:bookmarkStart w:id="104" w:name="_Toc112595555"/>
      <w:bookmarkStart w:id="105" w:name="_Toc497127308"/>
      <w:bookmarkStart w:id="106" w:name="_Toc320890573"/>
      <w:r>
        <w:rPr>
          <w:rFonts w:hint="eastAsia" w:ascii="宋体" w:hAnsi="宋体" w:cs="宋体"/>
          <w:b/>
          <w:color w:val="auto"/>
          <w:sz w:val="24"/>
          <w:highlight w:val="none"/>
        </w:rPr>
        <w:t>26</w:t>
      </w:r>
      <w:bookmarkEnd w:id="104"/>
      <w:bookmarkEnd w:id="105"/>
      <w:bookmarkEnd w:id="106"/>
      <w:r>
        <w:rPr>
          <w:rFonts w:hint="eastAsia" w:ascii="宋体" w:hAnsi="宋体" w:cs="宋体"/>
          <w:b/>
          <w:color w:val="auto"/>
          <w:sz w:val="24"/>
          <w:highlight w:val="none"/>
        </w:rPr>
        <w:t>.成交通知书</w:t>
      </w:r>
    </w:p>
    <w:p w14:paraId="555C805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26.1成交供应商确定之日起2个工作日内，采购代理机构向成交供应商发出成交通知书，并在财政部门指定的政府采购信息发布媒体上公告成交结果。成交公告期限为1个工作日。</w:t>
      </w:r>
    </w:p>
    <w:p w14:paraId="088B164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26.2成交通知书是合同的一个组成部分。</w:t>
      </w:r>
    </w:p>
    <w:p w14:paraId="367C149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27.签订合同</w:t>
      </w:r>
    </w:p>
    <w:p w14:paraId="4263530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27.1采购人与成交供应商应当在成交通知书发出之日起30日内，按照竞争性磋商文件确定的合同文本以及采购标的、规格型号、采购金额、采购数量、技术和服务要求等事项签订政府采购合同。</w:t>
      </w:r>
    </w:p>
    <w:p w14:paraId="53BE8E6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27.2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14:paraId="2197600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27.3除采购人与成交供应商在合同中另行商定将中标项目的非主体、非关键性工作分包的，成交供应商在中标后将中标项目分包的，采购人取消其中标资格，其磋商保证金不予退还；给采购人造成的损失超过磋商保证金数额的，成交供应商还应当对超过部分予以赔偿。</w:t>
      </w:r>
    </w:p>
    <w:p w14:paraId="76AAA1A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27.4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F75509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27.5除不可抗力等因素外，成交通知书发出后，采购人改变成交结果，或者成交供应商拒绝签订政府采购合同的，应当承担相应的法律责任。</w:t>
      </w:r>
    </w:p>
    <w:p w14:paraId="02C0259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27.6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p>
    <w:p w14:paraId="35ED2F71">
      <w:pPr>
        <w:snapToGrid w:val="0"/>
        <w:spacing w:line="360" w:lineRule="auto"/>
        <w:rPr>
          <w:rFonts w:ascii="宋体" w:hAnsi="宋体" w:cs="宋体"/>
          <w:b/>
          <w:color w:val="auto"/>
          <w:sz w:val="24"/>
          <w:highlight w:val="none"/>
        </w:rPr>
      </w:pPr>
      <w:bookmarkStart w:id="107" w:name="_Toc246996956"/>
      <w:bookmarkStart w:id="108" w:name="_Toc247085727"/>
      <w:bookmarkStart w:id="109" w:name="_Toc296602459"/>
      <w:bookmarkStart w:id="110" w:name="_Toc246996213"/>
      <w:bookmarkStart w:id="111" w:name="_Toc144974537"/>
      <w:bookmarkStart w:id="112" w:name="_Toc488184244"/>
      <w:bookmarkStart w:id="113" w:name="_Toc461115644"/>
      <w:bookmarkStart w:id="114" w:name="_Toc152042345"/>
      <w:bookmarkStart w:id="115" w:name="_Toc152045569"/>
      <w:bookmarkStart w:id="116" w:name="_Toc179632587"/>
      <w:r>
        <w:rPr>
          <w:rFonts w:hint="eastAsia" w:ascii="宋体" w:hAnsi="宋体" w:cs="宋体"/>
          <w:b/>
          <w:color w:val="auto"/>
          <w:sz w:val="24"/>
          <w:highlight w:val="none"/>
        </w:rPr>
        <w:t>28</w:t>
      </w:r>
      <w:bookmarkEnd w:id="107"/>
      <w:bookmarkEnd w:id="108"/>
      <w:bookmarkEnd w:id="109"/>
      <w:bookmarkEnd w:id="110"/>
      <w:bookmarkEnd w:id="111"/>
      <w:bookmarkEnd w:id="112"/>
      <w:bookmarkEnd w:id="113"/>
      <w:bookmarkEnd w:id="114"/>
      <w:bookmarkEnd w:id="115"/>
      <w:bookmarkEnd w:id="116"/>
      <w:bookmarkStart w:id="117" w:name="_Toc482343752"/>
      <w:r>
        <w:rPr>
          <w:rFonts w:hint="eastAsia" w:ascii="宋体" w:hAnsi="宋体" w:cs="宋体"/>
          <w:b/>
          <w:color w:val="auto"/>
          <w:sz w:val="24"/>
          <w:highlight w:val="none"/>
        </w:rPr>
        <w:t>.履约保证金</w:t>
      </w:r>
      <w:bookmarkEnd w:id="117"/>
    </w:p>
    <w:p w14:paraId="77BD17B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28.1在签订政府采购合同后，成交供应商应向采购人提交履约保证金，履约保证金递交的金额及形式详见《供应商须知前附表》。</w:t>
      </w:r>
    </w:p>
    <w:p w14:paraId="2273AD3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28.2签订合同后，除因不可抗力或竞争性磋商文件认可的情形以外，成交供应商不与采购人签订合同的，视为自动放弃，采购人将没收其全部履约保证金，履约保证金不足以赔偿损失的，按实际损失赔偿。</w:t>
      </w:r>
    </w:p>
    <w:p w14:paraId="0773754C">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29.采购代理服务费</w:t>
      </w:r>
    </w:p>
    <w:p w14:paraId="0EFB7640">
      <w:pPr>
        <w:tabs>
          <w:tab w:val="left" w:pos="105"/>
          <w:tab w:val="left" w:pos="945"/>
          <w:tab w:val="left" w:pos="3360"/>
        </w:tabs>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rPr>
        <w:t>29.1</w:t>
      </w:r>
      <w:r>
        <w:rPr>
          <w:rFonts w:hint="eastAsia" w:ascii="宋体" w:hAnsi="宋体" w:eastAsia="宋体" w:cs="宋体"/>
          <w:color w:val="auto"/>
          <w:szCs w:val="21"/>
          <w:highlight w:val="none"/>
          <w:lang w:eastAsia="zh-CN"/>
        </w:rPr>
        <w:t>采购代理服务费1000.00元（大写：壹仟元整），由成交供应商在领取成交通知书一次性向采购代理机构交纳</w:t>
      </w:r>
      <w:r>
        <w:rPr>
          <w:rFonts w:hint="eastAsia" w:ascii="宋体" w:hAnsi="宋体" w:eastAsia="宋体" w:cs="宋体"/>
          <w:color w:val="auto"/>
          <w:szCs w:val="21"/>
          <w:highlight w:val="none"/>
        </w:rPr>
        <w:t>。</w:t>
      </w:r>
    </w:p>
    <w:p w14:paraId="598CB7AE">
      <w:pPr>
        <w:tabs>
          <w:tab w:val="left" w:pos="105"/>
          <w:tab w:val="left" w:pos="945"/>
          <w:tab w:val="left" w:pos="3360"/>
        </w:tabs>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请各供应商在进行磋商报价时充分考虑此部分费用，该项费用包含在磋商报价中但不单独列项。</w:t>
      </w:r>
    </w:p>
    <w:p w14:paraId="0C3131D9">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30.竞争性磋商文件编制依据</w:t>
      </w:r>
    </w:p>
    <w:p w14:paraId="6D90351D">
      <w:pPr>
        <w:tabs>
          <w:tab w:val="left" w:pos="105"/>
          <w:tab w:val="left" w:pos="945"/>
          <w:tab w:val="left" w:pos="3360"/>
        </w:tabs>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30.1本竞争性磋商文件根据《中华人民共和国政府采购法》《中华人民共和国政府采购法实施条例》《政府采购竞争性磋商采购方式管理暂行办法》等有关法律、法规和规章进行编制，解释权属于采购人、采购代理机构。</w:t>
      </w:r>
    </w:p>
    <w:p w14:paraId="1EC354A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31.需要补充的其他内容</w:t>
      </w:r>
    </w:p>
    <w:p w14:paraId="0888350F">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31.1关于中小企业：</w:t>
      </w:r>
    </w:p>
    <w:p w14:paraId="7367B970">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6B65FD0D">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31.1.2符合中小企业划分标准的个体工商户，在政府采购活动中视同中小企业。</w:t>
      </w:r>
    </w:p>
    <w:p w14:paraId="483407E3">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31.1.3在政府采购活动中，供应商提供的货物、工程或者服务符合下列情形的，享受《关于印发&lt;政府采购促进中小企业发展管理办法&gt;的通知》（财库〔2020〕46号）规定的中小企业扶持政策：</w:t>
      </w:r>
    </w:p>
    <w:p w14:paraId="00FE2992">
      <w:pPr>
        <w:numPr>
          <w:ilvl w:val="0"/>
          <w:numId w:val="3"/>
        </w:num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在货物采购项目中，货物由中小企业制造，即货物由中小企业生产且使用该中小企业商号或者注册商标；</w:t>
      </w:r>
    </w:p>
    <w:p w14:paraId="4C961E65">
      <w:pPr>
        <w:numPr>
          <w:ilvl w:val="0"/>
          <w:numId w:val="3"/>
        </w:num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在工程采购项目中，工程由中小企业承建，即工程施工单位为中小企业；</w:t>
      </w:r>
    </w:p>
    <w:p w14:paraId="3F7795D4">
      <w:pPr>
        <w:numPr>
          <w:ilvl w:val="0"/>
          <w:numId w:val="3"/>
        </w:num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在服务采购项目中，服务由中小企业承接，即提供服务的人员为中小企业依照《中华人民共和国劳动合同法》订立劳动合同的从业人员。</w:t>
      </w:r>
    </w:p>
    <w:p w14:paraId="78CC5DEF">
      <w:pPr>
        <w:tabs>
          <w:tab w:val="left" w:pos="105"/>
          <w:tab w:val="left" w:pos="945"/>
          <w:tab w:val="left" w:pos="3360"/>
        </w:tabs>
        <w:adjustRightInd w:val="0"/>
        <w:snapToGrid w:val="0"/>
        <w:spacing w:line="480" w:lineRule="exact"/>
        <w:ind w:left="420"/>
        <w:rPr>
          <w:rFonts w:ascii="宋体" w:hAnsi="宋体" w:cs="宋体"/>
          <w:color w:val="auto"/>
          <w:szCs w:val="21"/>
          <w:highlight w:val="none"/>
        </w:rPr>
      </w:pPr>
      <w:r>
        <w:rPr>
          <w:rFonts w:hint="eastAsia" w:ascii="宋体" w:hAnsi="宋体" w:cs="宋体"/>
          <w:color w:val="auto"/>
          <w:szCs w:val="21"/>
          <w:highlight w:val="none"/>
        </w:rPr>
        <w:t>31.1.4在货物采购项目中，供应商提供的货物既有中小企业制造货物，也有大型企业制造货物的，不享受本办法规定的中小企业扶持政策。</w:t>
      </w:r>
    </w:p>
    <w:p w14:paraId="09B6E839">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31.1.5以联合体形式参加政府采购活动，联合体各方均为中小企业的，联合体视同中小企业。其中，联合体各方均为小微企业的,联合体视同小微企业。</w:t>
      </w:r>
    </w:p>
    <w:p w14:paraId="744110E7">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31.1.6中小企业参加政府采购活动，应当出具《关于印发&lt;政府采购促进中小企业发展管理办法&gt;的通知》（财库〔2020〕46号）规定的《中小企业声明函》，否则不得享受相关中小企业扶持政策。</w:t>
      </w:r>
    </w:p>
    <w:p w14:paraId="43ED0CB0">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31.1.7规定依据《关于印发&lt;政府采购促进中小企业发展管理办法&gt;的通知》（财库〔2020〕46号）规定享受扶持政策获得政府采购合同的，小微企业不得将合同分包给大中型企业，中型企业不得将合同分包给大型企业。</w:t>
      </w:r>
    </w:p>
    <w:p w14:paraId="0233BCE3">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31.1.8</w:t>
      </w:r>
      <w:r>
        <w:rPr>
          <w:rFonts w:hint="eastAsia" w:cs="宋体"/>
          <w:color w:val="auto"/>
          <w:szCs w:val="21"/>
          <w:highlight w:val="none"/>
        </w:rPr>
        <w:t>本项目所属行业为修理和其他服务业，符合条件的供应商应根据《关于印发中小企业划型标准规定的通知》中其他未列明行业划型标准进行划型。</w:t>
      </w:r>
    </w:p>
    <w:p w14:paraId="343D5EE9">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31.1.9</w:t>
      </w:r>
      <w:r>
        <w:rPr>
          <w:rFonts w:hint="eastAsia" w:ascii="宋体" w:cs="宋体"/>
          <w:color w:val="auto"/>
          <w:szCs w:val="21"/>
          <w:highlight w:val="none"/>
        </w:rPr>
        <w:t>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14:paraId="5D796D84">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31.2关于监狱企业：</w:t>
      </w:r>
    </w:p>
    <w:p w14:paraId="3AD34544">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D08BF0">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31.2.2监狱企业参加政府采购活动时，应当提供由省级以上监狱管理局、戒毒管理局（含新疆生产建设兵团）出具的属于监狱企业的证明文件。</w:t>
      </w:r>
    </w:p>
    <w:p w14:paraId="19D23779">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31.2.3在政府采购活动中，监狱企业视同小型、微型企业，享受预留份额、评审中价格扣除等政府采购促进中小企业发展的政府采购政策。</w:t>
      </w:r>
    </w:p>
    <w:p w14:paraId="7F0A719C">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31.3关于残疾人福利性单位：</w:t>
      </w:r>
    </w:p>
    <w:p w14:paraId="7A16FBA7">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31.3.1根据《三部门联合发布关于促进残疾人就业政府采购政策的通知》（财库〔2017〕141号）的规定，享受政府采购支持政策的残疾人福利性单位应当同时满足以下条件：</w:t>
      </w:r>
    </w:p>
    <w:p w14:paraId="284DE35D">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（一）安置的残疾人占本单位在职职工人数的比例不低于25%（含25%），并且安置的残疾人人数不少于10人（含10人）；</w:t>
      </w:r>
    </w:p>
    <w:p w14:paraId="5AAF3E9F">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（二）依法与安置的每位残疾人签订了一年以上（含一年）的劳动合同或服务协议；</w:t>
      </w:r>
    </w:p>
    <w:p w14:paraId="340CB335">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（三）为安置的每位残疾人按月足额缴纳了基本养老保险、基本医疗保险、失业保险、工伤保险和生育保险等社会保险费；</w:t>
      </w:r>
    </w:p>
    <w:p w14:paraId="24085513">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（四）通过银行等金融机构向安置的每位残疾人，按月支付了不低于单位所在区县适用的经省级人民政府批准的月最低工资标准的工资；</w:t>
      </w:r>
    </w:p>
    <w:p w14:paraId="5D5F07E5">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（五）提供本单位制造的货物、承担的工程或者服务（以下简称产品），或者提供其他残疾人福利性单位制造的货物（不包括使用非残疾人福利性单位注册商标的货物）。</w:t>
      </w:r>
    </w:p>
    <w:p w14:paraId="69C1581F">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4368302">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31.3.2符合条件的残疾人福利性单位在参加政府采购活动时，应当按《三部门联合发布关于促进残疾人就业政府采购政策的通知》（财库〔2017〕141号）提供规定的《残疾人福利性单位声明函》，并对声明的真实性负责。</w:t>
      </w:r>
    </w:p>
    <w:p w14:paraId="736627B9">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31.4其它注意事项：以下情况视为供应商同意撤回已上传系统的响应文件或其响应文件无效：</w:t>
      </w:r>
    </w:p>
    <w:p w14:paraId="0C6D5D56">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（1）政采云电子平台显示供应商未上传响应文件；</w:t>
      </w:r>
    </w:p>
    <w:p w14:paraId="516D57A2">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（2）因供应商原因上传的响应文件在开启文件时无法解密。</w:t>
      </w:r>
    </w:p>
    <w:p w14:paraId="63B6D84A">
      <w:pPr>
        <w:rPr>
          <w:rFonts w:ascii="宋体" w:hAnsi="宋体" w:cs="宋体"/>
          <w:color w:val="auto"/>
          <w:szCs w:val="21"/>
          <w:highlight w:val="none"/>
        </w:rPr>
      </w:pPr>
      <w:r>
        <w:rPr>
          <w:rFonts w:hint="eastAsia" w:ascii="宋体" w:hAnsi="宋体" w:cs="宋体"/>
          <w:color w:val="auto"/>
          <w:szCs w:val="21"/>
          <w:highlight w:val="none"/>
        </w:rPr>
        <w:br w:type="page"/>
      </w:r>
    </w:p>
    <w:p w14:paraId="5A029D71">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w:t>
      </w:r>
    </w:p>
    <w:p w14:paraId="06FC3708">
      <w:pPr>
        <w:pStyle w:val="9"/>
        <w:shd w:val="clear" w:color="auto" w:fill="FFFFFF"/>
        <w:adjustRightInd w:val="0"/>
        <w:snapToGrid w:val="0"/>
        <w:spacing w:before="0" w:beforeAutospacing="0" w:after="0" w:afterAutospacing="0" w:line="480" w:lineRule="exact"/>
        <w:jc w:val="center"/>
        <w:rPr>
          <w:rFonts w:cs="宋体"/>
          <w:color w:val="auto"/>
          <w:highlight w:val="none"/>
        </w:rPr>
      </w:pPr>
      <w:r>
        <w:rPr>
          <w:rFonts w:hint="eastAsia" w:cs="宋体"/>
          <w:b/>
          <w:bCs/>
          <w:color w:val="auto"/>
          <w:highlight w:val="none"/>
          <w:shd w:val="clear" w:color="auto" w:fill="FFFFFF"/>
        </w:rPr>
        <w:t>《中小企业划型标准规定》</w:t>
      </w:r>
    </w:p>
    <w:p w14:paraId="7BAA79ED">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一、根据《中华人民共和国中小企业促进法》和《国务院关于进一步促进中小企业发展的若干意见》（国发〔2009〕36号），制定本规定。</w:t>
      </w:r>
    </w:p>
    <w:p w14:paraId="4FA46AEC">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二、中小企业划分为中型、小型、微型三种类型，具体标准根据企业从业人员、营业收入、资产总额等指标，结合行业特点制定。</w:t>
      </w:r>
    </w:p>
    <w:p w14:paraId="0EA1323F">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3553627">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四、各行业划型标准为：</w:t>
      </w:r>
    </w:p>
    <w:p w14:paraId="209A7996">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5779C7FA">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45E59D">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CD1D7BA">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B33208B">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4331B5D">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935CD6">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431588C">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43938BC">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63BEBC">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FF8072">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FFEFC6E">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C8283B">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BBBD6F">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C64BF0">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94CA593">
      <w:pPr>
        <w:pStyle w:val="9"/>
        <w:shd w:val="clear" w:color="auto" w:fill="FFFFFF"/>
        <w:adjustRightInd w:val="0"/>
        <w:snapToGrid w:val="0"/>
        <w:spacing w:before="0" w:beforeAutospacing="0" w:after="0" w:afterAutospacing="0" w:line="360" w:lineRule="auto"/>
        <w:ind w:firstLine="422" w:firstLineChars="200"/>
        <w:jc w:val="both"/>
        <w:rPr>
          <w:rFonts w:cs="宋体"/>
          <w:b/>
          <w:bCs/>
          <w:color w:val="auto"/>
          <w:sz w:val="21"/>
          <w:szCs w:val="21"/>
          <w:highlight w:val="none"/>
        </w:rPr>
      </w:pPr>
      <w:r>
        <w:rPr>
          <w:rFonts w:hint="eastAsia" w:cs="宋体"/>
          <w:b/>
          <w:bCs/>
          <w:color w:val="auto"/>
          <w:sz w:val="21"/>
          <w:szCs w:val="21"/>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5CD78519">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五、企业类型的划分以统计部门的统计数据为依据。</w:t>
      </w:r>
    </w:p>
    <w:p w14:paraId="2236772A">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六、本规定适用于在中华人民共和国境内依法设立的各类所有制和各种组织形式的企业。个体工商户和本规定以外的行业，参照本规定进行划型。</w:t>
      </w:r>
    </w:p>
    <w:p w14:paraId="75ED4D8B">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10702750">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shd w:val="clear" w:color="auto" w:fill="FFFFFF"/>
        </w:rPr>
      </w:pPr>
      <w:r>
        <w:rPr>
          <w:rFonts w:hint="eastAsia" w:cs="宋体"/>
          <w:color w:val="auto"/>
          <w:sz w:val="21"/>
          <w:szCs w:val="21"/>
          <w:highlight w:val="none"/>
          <w:shd w:val="clear" w:color="auto" w:fill="FFFFFF"/>
        </w:rPr>
        <w:t>八、本规定由工业和信息化部、国家统计局会同有关部门根据《国民经济行业分类》修订情况和企业发展变化情况适时修订。</w:t>
      </w:r>
    </w:p>
    <w:p w14:paraId="7746EE53">
      <w:pPr>
        <w:pStyle w:val="9"/>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shd w:val="clear" w:color="auto" w:fill="FFFFFF"/>
        </w:rPr>
      </w:pPr>
      <w:r>
        <w:rPr>
          <w:rFonts w:hint="eastAsia" w:cs="宋体"/>
          <w:color w:val="auto"/>
          <w:sz w:val="21"/>
          <w:szCs w:val="21"/>
          <w:highlight w:val="none"/>
          <w:shd w:val="clear" w:color="auto" w:fill="FFFFFF"/>
        </w:rPr>
        <w:t>九、本规定由工业和信息化部、国家统计局会同有关部门负责解释。</w:t>
      </w:r>
    </w:p>
    <w:p w14:paraId="4CB63669">
      <w:pPr>
        <w:pStyle w:val="9"/>
        <w:shd w:val="clear" w:color="auto" w:fill="FFFFFF"/>
        <w:adjustRightInd w:val="0"/>
        <w:snapToGrid w:val="0"/>
        <w:spacing w:before="0" w:beforeAutospacing="0" w:after="0" w:afterAutospacing="0" w:line="360" w:lineRule="auto"/>
        <w:ind w:firstLine="420" w:firstLineChars="200"/>
        <w:jc w:val="both"/>
        <w:rPr>
          <w:rFonts w:cs="黑体"/>
          <w:color w:val="auto"/>
          <w:szCs w:val="32"/>
          <w:highlight w:val="none"/>
        </w:rPr>
      </w:pPr>
      <w:r>
        <w:rPr>
          <w:rFonts w:hint="eastAsia" w:cs="宋体"/>
          <w:color w:val="auto"/>
          <w:sz w:val="21"/>
          <w:szCs w:val="21"/>
          <w:highlight w:val="none"/>
          <w:shd w:val="clear" w:color="auto" w:fill="FFFFFF"/>
        </w:rPr>
        <w:t>十、本规定自发布之日起执行，原国家经贸委、原国家计委、财政部和国家统计局2003年颁布的《中小企业标准暂行规定》国经贸中小企〔2003〕143号同时废止。</w:t>
      </w:r>
      <w:r>
        <w:rPr>
          <w:rFonts w:cs="黑体"/>
          <w:color w:val="auto"/>
          <w:szCs w:val="32"/>
          <w:highlight w:val="none"/>
        </w:rPr>
        <w:br w:type="page"/>
      </w:r>
    </w:p>
    <w:p w14:paraId="2488276F">
      <w:pPr>
        <w:widowControl/>
        <w:jc w:val="center"/>
        <w:rPr>
          <w:rFonts w:ascii="宋体" w:cs="黑体"/>
          <w:color w:val="auto"/>
          <w:szCs w:val="32"/>
          <w:highlight w:val="none"/>
        </w:rPr>
      </w:pPr>
    </w:p>
    <w:p w14:paraId="071687E9">
      <w:pPr>
        <w:widowControl/>
        <w:jc w:val="center"/>
        <w:outlineLvl w:val="0"/>
        <w:rPr>
          <w:rFonts w:hAnsi="宋体"/>
          <w:color w:val="auto"/>
          <w:szCs w:val="21"/>
          <w:highlight w:val="none"/>
        </w:rPr>
      </w:pPr>
      <w:bookmarkStart w:id="118" w:name="_Toc14634"/>
      <w:r>
        <w:rPr>
          <w:rFonts w:hint="eastAsia" w:ascii="宋体" w:hAnsi="宋体" w:cs="黑体"/>
          <w:b/>
          <w:bCs/>
          <w:color w:val="auto"/>
          <w:sz w:val="32"/>
          <w:szCs w:val="32"/>
          <w:highlight w:val="none"/>
        </w:rPr>
        <w:t>第三章</w:t>
      </w:r>
      <w:r>
        <w:rPr>
          <w:rFonts w:ascii="宋体" w:hAnsi="宋体" w:cs="黑体"/>
          <w:b/>
          <w:bCs/>
          <w:color w:val="auto"/>
          <w:sz w:val="32"/>
          <w:szCs w:val="32"/>
          <w:highlight w:val="none"/>
        </w:rPr>
        <w:t xml:space="preserve"> </w:t>
      </w:r>
      <w:r>
        <w:rPr>
          <w:rFonts w:hint="eastAsia" w:hAnsi="宋体"/>
          <w:b/>
          <w:bCs/>
          <w:color w:val="auto"/>
          <w:sz w:val="32"/>
          <w:szCs w:val="32"/>
          <w:highlight w:val="none"/>
        </w:rPr>
        <w:t>合同书样式及主要条款</w:t>
      </w:r>
      <w:bookmarkEnd w:id="66"/>
      <w:bookmarkEnd w:id="118"/>
    </w:p>
    <w:p w14:paraId="4D290D0C">
      <w:pPr>
        <w:pStyle w:val="4"/>
        <w:jc w:val="center"/>
        <w:rPr>
          <w:rFonts w:ascii="宋体"/>
          <w:bCs/>
          <w:color w:val="auto"/>
          <w:sz w:val="28"/>
          <w:szCs w:val="28"/>
          <w:highlight w:val="none"/>
        </w:rPr>
      </w:pPr>
      <w:bookmarkStart w:id="119" w:name="_Toc213141091"/>
      <w:bookmarkStart w:id="120" w:name="_Toc4954"/>
      <w:bookmarkStart w:id="121" w:name="_Toc481694842"/>
      <w:bookmarkStart w:id="122" w:name="_Toc489145748"/>
      <w:bookmarkStart w:id="123" w:name="_Toc488633613"/>
      <w:r>
        <w:rPr>
          <w:rFonts w:hint="eastAsia" w:ascii="宋体" w:hAnsi="宋体"/>
          <w:bCs/>
          <w:color w:val="auto"/>
          <w:sz w:val="28"/>
          <w:szCs w:val="28"/>
          <w:highlight w:val="none"/>
        </w:rPr>
        <w:t>合同条款前附表</w:t>
      </w:r>
      <w:bookmarkEnd w:id="119"/>
      <w:bookmarkEnd w:id="120"/>
      <w:bookmarkEnd w:id="121"/>
      <w:bookmarkEnd w:id="122"/>
      <w:bookmarkEnd w:id="123"/>
    </w:p>
    <w:tbl>
      <w:tblPr>
        <w:tblStyle w:val="37"/>
        <w:tblW w:w="87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145"/>
      </w:tblGrid>
      <w:tr w14:paraId="55D6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654" w:type="dxa"/>
            <w:vAlign w:val="center"/>
          </w:tcPr>
          <w:p w14:paraId="3B4C194E">
            <w:pPr>
              <w:pStyle w:val="20"/>
              <w:spacing w:line="480" w:lineRule="auto"/>
              <w:jc w:val="center"/>
              <w:rPr>
                <w:rFonts w:hAnsi="宋体" w:cs="宋体"/>
                <w:b/>
                <w:bCs/>
                <w:color w:val="auto"/>
                <w:szCs w:val="21"/>
                <w:highlight w:val="none"/>
              </w:rPr>
            </w:pPr>
            <w:r>
              <w:rPr>
                <w:rFonts w:hint="eastAsia" w:hAnsi="宋体" w:cs="宋体"/>
                <w:b/>
                <w:bCs/>
                <w:color w:val="auto"/>
                <w:szCs w:val="21"/>
                <w:highlight w:val="none"/>
              </w:rPr>
              <w:t>序号</w:t>
            </w:r>
          </w:p>
        </w:tc>
        <w:tc>
          <w:tcPr>
            <w:tcW w:w="8145" w:type="dxa"/>
            <w:vAlign w:val="center"/>
          </w:tcPr>
          <w:p w14:paraId="5B4C0FF6">
            <w:pPr>
              <w:pStyle w:val="20"/>
              <w:spacing w:line="480" w:lineRule="auto"/>
              <w:ind w:firstLine="211" w:firstLineChars="100"/>
              <w:jc w:val="center"/>
              <w:rPr>
                <w:rFonts w:hAnsi="宋体" w:cs="宋体"/>
                <w:b/>
                <w:bCs/>
                <w:color w:val="auto"/>
                <w:szCs w:val="21"/>
                <w:highlight w:val="none"/>
              </w:rPr>
            </w:pPr>
            <w:r>
              <w:rPr>
                <w:rFonts w:hint="eastAsia" w:hAnsi="宋体" w:cs="宋体"/>
                <w:b/>
                <w:bCs/>
                <w:color w:val="auto"/>
                <w:szCs w:val="21"/>
                <w:highlight w:val="none"/>
              </w:rPr>
              <w:t>内      容</w:t>
            </w:r>
          </w:p>
        </w:tc>
      </w:tr>
      <w:tr w14:paraId="6305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54" w:type="dxa"/>
            <w:vAlign w:val="center"/>
          </w:tcPr>
          <w:p w14:paraId="09CB505F">
            <w:pPr>
              <w:pStyle w:val="20"/>
              <w:spacing w:line="480" w:lineRule="auto"/>
              <w:jc w:val="center"/>
              <w:rPr>
                <w:rFonts w:hAnsi="宋体" w:cs="宋体"/>
                <w:color w:val="auto"/>
                <w:szCs w:val="21"/>
                <w:highlight w:val="none"/>
              </w:rPr>
            </w:pPr>
            <w:r>
              <w:rPr>
                <w:rFonts w:hint="eastAsia" w:hAnsi="宋体" w:cs="宋体"/>
                <w:color w:val="auto"/>
                <w:szCs w:val="21"/>
                <w:highlight w:val="none"/>
              </w:rPr>
              <w:t>★1</w:t>
            </w:r>
          </w:p>
        </w:tc>
        <w:tc>
          <w:tcPr>
            <w:tcW w:w="8145" w:type="dxa"/>
            <w:vAlign w:val="center"/>
          </w:tcPr>
          <w:p w14:paraId="4B6AFF44">
            <w:pPr>
              <w:pStyle w:val="20"/>
              <w:spacing w:line="480" w:lineRule="auto"/>
              <w:rPr>
                <w:rFonts w:hint="eastAsia" w:hAnsi="宋体" w:eastAsia="宋体" w:cs="宋体"/>
                <w:color w:val="auto"/>
                <w:szCs w:val="21"/>
                <w:highlight w:val="none"/>
                <w:lang w:eastAsia="zh-CN"/>
              </w:rPr>
            </w:pPr>
            <w:r>
              <w:rPr>
                <w:rFonts w:hint="eastAsia" w:hAnsi="宋体" w:cs="宋体"/>
                <w:b/>
                <w:bCs/>
                <w:color w:val="auto"/>
                <w:szCs w:val="21"/>
                <w:highlight w:val="none"/>
              </w:rPr>
              <w:t>项目实施期限：</w:t>
            </w:r>
            <w:r>
              <w:rPr>
                <w:rFonts w:hint="eastAsia" w:hAnsi="宋体" w:cs="宋体"/>
                <w:color w:val="auto"/>
                <w:szCs w:val="21"/>
                <w:highlight w:val="none"/>
                <w:lang w:eastAsia="zh-CN"/>
              </w:rPr>
              <w:t>自合同签订之日起60个日历天，验收合格后维修质保期365个日历天。</w:t>
            </w:r>
          </w:p>
          <w:p w14:paraId="5676292E">
            <w:pPr>
              <w:pStyle w:val="20"/>
              <w:spacing w:line="480" w:lineRule="auto"/>
              <w:rPr>
                <w:rFonts w:hAnsi="宋体" w:cs="宋体"/>
                <w:color w:val="auto"/>
                <w:szCs w:val="21"/>
                <w:highlight w:val="none"/>
              </w:rPr>
            </w:pPr>
            <w:r>
              <w:rPr>
                <w:rFonts w:hint="eastAsia" w:hAnsi="宋体" w:cs="宋体"/>
                <w:b/>
                <w:bCs/>
                <w:color w:val="auto"/>
                <w:szCs w:val="21"/>
                <w:highlight w:val="none"/>
              </w:rPr>
              <w:t>项目实施地点：</w:t>
            </w:r>
            <w:r>
              <w:rPr>
                <w:rFonts w:hint="eastAsia" w:hAnsi="宋体" w:cs="宋体"/>
                <w:color w:val="auto"/>
                <w:szCs w:val="21"/>
                <w:highlight w:val="none"/>
              </w:rPr>
              <w:t>云南省基础测绘技术中心指定地点。</w:t>
            </w:r>
          </w:p>
        </w:tc>
      </w:tr>
      <w:tr w14:paraId="2E1C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54" w:type="dxa"/>
            <w:vAlign w:val="center"/>
          </w:tcPr>
          <w:p w14:paraId="1383917E">
            <w:pPr>
              <w:pStyle w:val="20"/>
              <w:spacing w:line="480" w:lineRule="auto"/>
              <w:jc w:val="center"/>
              <w:rPr>
                <w:rFonts w:hAnsi="宋体"/>
                <w:color w:val="auto"/>
                <w:szCs w:val="21"/>
                <w:highlight w:val="none"/>
              </w:rPr>
            </w:pPr>
            <w:r>
              <w:rPr>
                <w:rFonts w:hint="eastAsia" w:hAnsi="宋体"/>
                <w:color w:val="auto"/>
                <w:szCs w:val="21"/>
                <w:highlight w:val="none"/>
              </w:rPr>
              <w:t>2</w:t>
            </w:r>
          </w:p>
        </w:tc>
        <w:tc>
          <w:tcPr>
            <w:tcW w:w="8145" w:type="dxa"/>
            <w:vAlign w:val="center"/>
          </w:tcPr>
          <w:p w14:paraId="07A4735C">
            <w:pPr>
              <w:pStyle w:val="20"/>
              <w:spacing w:line="480" w:lineRule="auto"/>
              <w:rPr>
                <w:rStyle w:val="72"/>
                <w:color w:val="auto"/>
                <w:highlight w:val="none"/>
              </w:rPr>
            </w:pPr>
            <w:r>
              <w:rPr>
                <w:rFonts w:hint="eastAsia" w:hAnsi="宋体"/>
                <w:b/>
                <w:color w:val="auto"/>
                <w:szCs w:val="21"/>
                <w:highlight w:val="none"/>
              </w:rPr>
              <w:t>付款方式：</w:t>
            </w:r>
            <w:r>
              <w:rPr>
                <w:rFonts w:hint="eastAsia" w:ascii="宋体" w:hAnsi="宋体" w:cs="宋体"/>
                <w:b w:val="0"/>
                <w:bCs/>
                <w:color w:val="auto"/>
                <w:szCs w:val="21"/>
                <w:highlight w:val="none"/>
                <w:lang w:val="en-US" w:eastAsia="zh-CN"/>
              </w:rPr>
              <w:t>合同签订后一次性支付服务费用；合同期满10个工作日内进行验收，若验收不合格，乙方须在合同期满后1个月内整改至验收合格，否则乙方须退还甲方已支付的全部服务费用。</w:t>
            </w:r>
          </w:p>
        </w:tc>
      </w:tr>
    </w:tbl>
    <w:p w14:paraId="2345A3B3">
      <w:pPr>
        <w:rPr>
          <w:color w:val="auto"/>
          <w:highlight w:val="none"/>
        </w:rPr>
      </w:pPr>
      <w:r>
        <w:rPr>
          <w:color w:val="auto"/>
          <w:highlight w:val="none"/>
        </w:rPr>
        <w:br w:type="page"/>
      </w:r>
    </w:p>
    <w:p w14:paraId="08452904">
      <w:pPr>
        <w:widowControl/>
        <w:jc w:val="center"/>
        <w:rPr>
          <w:rFonts w:ascii="黑体" w:hAnsi="宋体" w:eastAsia="黑体" w:cs="黑体"/>
          <w:color w:val="auto"/>
          <w:kern w:val="0"/>
          <w:sz w:val="46"/>
          <w:szCs w:val="46"/>
          <w:highlight w:val="none"/>
          <w:lang w:bidi="ar"/>
        </w:rPr>
      </w:pPr>
    </w:p>
    <w:p w14:paraId="5E8DA829">
      <w:pPr>
        <w:widowControl/>
        <w:jc w:val="center"/>
        <w:rPr>
          <w:rFonts w:ascii="黑体" w:hAnsi="宋体" w:eastAsia="黑体" w:cs="黑体"/>
          <w:color w:val="auto"/>
          <w:kern w:val="0"/>
          <w:sz w:val="56"/>
          <w:szCs w:val="56"/>
          <w:highlight w:val="none"/>
          <w:lang w:bidi="ar"/>
        </w:rPr>
      </w:pPr>
    </w:p>
    <w:p w14:paraId="6D9DA42A">
      <w:pPr>
        <w:widowControl/>
        <w:jc w:val="center"/>
        <w:rPr>
          <w:rFonts w:ascii="黑体" w:hAnsi="宋体" w:eastAsia="黑体" w:cs="黑体"/>
          <w:color w:val="auto"/>
          <w:kern w:val="0"/>
          <w:sz w:val="40"/>
          <w:szCs w:val="40"/>
          <w:highlight w:val="none"/>
          <w:lang w:bidi="ar"/>
        </w:rPr>
      </w:pPr>
    </w:p>
    <w:p w14:paraId="061E6EEC">
      <w:pPr>
        <w:widowControl/>
        <w:jc w:val="center"/>
        <w:rPr>
          <w:color w:val="auto"/>
          <w:sz w:val="72"/>
          <w:szCs w:val="72"/>
          <w:highlight w:val="none"/>
        </w:rPr>
      </w:pPr>
      <w:r>
        <w:rPr>
          <w:rFonts w:ascii="黑体" w:hAnsi="宋体" w:eastAsia="黑体" w:cs="黑体"/>
          <w:color w:val="auto"/>
          <w:kern w:val="0"/>
          <w:sz w:val="72"/>
          <w:szCs w:val="72"/>
          <w:highlight w:val="none"/>
          <w:lang w:bidi="ar"/>
        </w:rPr>
        <w:t>政府采购合同</w:t>
      </w:r>
    </w:p>
    <w:p w14:paraId="585830F5">
      <w:pPr>
        <w:widowControl/>
        <w:spacing w:line="360" w:lineRule="auto"/>
        <w:jc w:val="center"/>
        <w:rPr>
          <w:rFonts w:ascii="微软雅黑" w:hAnsi="微软雅黑" w:eastAsia="微软雅黑" w:cs="微软雅黑"/>
          <w:color w:val="auto"/>
          <w:kern w:val="0"/>
          <w:sz w:val="32"/>
          <w:szCs w:val="32"/>
          <w:highlight w:val="none"/>
          <w:lang w:bidi="ar"/>
        </w:rPr>
      </w:pPr>
      <w:r>
        <w:rPr>
          <w:rFonts w:hint="eastAsia" w:ascii="微软雅黑" w:hAnsi="微软雅黑" w:eastAsia="微软雅黑" w:cs="微软雅黑"/>
          <w:color w:val="auto"/>
          <w:kern w:val="0"/>
          <w:sz w:val="32"/>
          <w:szCs w:val="32"/>
          <w:highlight w:val="none"/>
          <w:lang w:bidi="ar"/>
        </w:rPr>
        <w:t>（电子交易项目适用）</w:t>
      </w:r>
    </w:p>
    <w:p w14:paraId="12C54647">
      <w:pPr>
        <w:widowControl/>
        <w:spacing w:line="360" w:lineRule="auto"/>
        <w:jc w:val="center"/>
        <w:rPr>
          <w:rFonts w:ascii="微软雅黑" w:hAnsi="微软雅黑" w:eastAsia="微软雅黑" w:cs="微软雅黑"/>
          <w:color w:val="auto"/>
          <w:kern w:val="0"/>
          <w:sz w:val="22"/>
          <w:szCs w:val="22"/>
          <w:highlight w:val="none"/>
          <w:lang w:bidi="ar"/>
        </w:rPr>
      </w:pPr>
    </w:p>
    <w:p w14:paraId="3C7AB6C6">
      <w:pPr>
        <w:widowControl/>
        <w:spacing w:line="360" w:lineRule="auto"/>
        <w:jc w:val="center"/>
        <w:rPr>
          <w:rFonts w:ascii="微软雅黑" w:hAnsi="微软雅黑" w:eastAsia="微软雅黑" w:cs="微软雅黑"/>
          <w:color w:val="auto"/>
          <w:kern w:val="0"/>
          <w:sz w:val="22"/>
          <w:szCs w:val="22"/>
          <w:highlight w:val="none"/>
          <w:lang w:bidi="ar"/>
        </w:rPr>
      </w:pPr>
    </w:p>
    <w:p w14:paraId="2C3E7533">
      <w:pPr>
        <w:widowControl/>
        <w:spacing w:line="360" w:lineRule="auto"/>
        <w:jc w:val="center"/>
        <w:rPr>
          <w:rFonts w:ascii="微软雅黑" w:hAnsi="微软雅黑" w:eastAsia="微软雅黑" w:cs="微软雅黑"/>
          <w:color w:val="auto"/>
          <w:kern w:val="0"/>
          <w:sz w:val="22"/>
          <w:szCs w:val="22"/>
          <w:highlight w:val="none"/>
          <w:lang w:bidi="ar"/>
        </w:rPr>
      </w:pPr>
    </w:p>
    <w:p w14:paraId="4CF99F15">
      <w:pPr>
        <w:widowControl/>
        <w:spacing w:line="360" w:lineRule="auto"/>
        <w:jc w:val="center"/>
        <w:rPr>
          <w:rFonts w:hint="eastAsia" w:eastAsia="微软雅黑"/>
          <w:color w:val="auto"/>
          <w:sz w:val="32"/>
          <w:szCs w:val="32"/>
          <w:highlight w:val="none"/>
          <w:u w:val="single"/>
          <w:lang w:eastAsia="zh-CN"/>
        </w:rPr>
      </w:pPr>
      <w:r>
        <w:rPr>
          <w:rFonts w:ascii="微软雅黑" w:hAnsi="微软雅黑" w:eastAsia="微软雅黑" w:cs="微软雅黑"/>
          <w:color w:val="auto"/>
          <w:kern w:val="0"/>
          <w:sz w:val="32"/>
          <w:szCs w:val="32"/>
          <w:highlight w:val="none"/>
          <w:lang w:bidi="ar"/>
        </w:rPr>
        <w:t>项目名称：</w:t>
      </w:r>
      <w:r>
        <w:rPr>
          <w:rFonts w:hint="eastAsia" w:ascii="微软雅黑" w:hAnsi="微软雅黑" w:eastAsia="微软雅黑" w:cs="微软雅黑"/>
          <w:color w:val="auto"/>
          <w:kern w:val="0"/>
          <w:sz w:val="32"/>
          <w:szCs w:val="32"/>
          <w:highlight w:val="none"/>
          <w:u w:val="single"/>
          <w:lang w:eastAsia="zh-CN" w:bidi="ar"/>
        </w:rPr>
        <w:t>云南省基础测绘技术中心省级数据中心和基准站维修（护）项目</w:t>
      </w:r>
    </w:p>
    <w:p w14:paraId="76E91673">
      <w:pPr>
        <w:widowControl/>
        <w:spacing w:line="360" w:lineRule="auto"/>
        <w:jc w:val="center"/>
        <w:rPr>
          <w:color w:val="auto"/>
          <w:sz w:val="32"/>
          <w:szCs w:val="32"/>
          <w:highlight w:val="none"/>
        </w:rPr>
      </w:pPr>
      <w:r>
        <w:rPr>
          <w:rFonts w:hint="eastAsia" w:ascii="微软雅黑" w:hAnsi="微软雅黑" w:eastAsia="微软雅黑" w:cs="微软雅黑"/>
          <w:color w:val="auto"/>
          <w:kern w:val="0"/>
          <w:sz w:val="32"/>
          <w:szCs w:val="32"/>
          <w:highlight w:val="none"/>
          <w:lang w:bidi="ar"/>
        </w:rPr>
        <w:t>合同编号：</w:t>
      </w:r>
      <w:r>
        <w:rPr>
          <w:rFonts w:hint="eastAsia" w:ascii="微软雅黑" w:hAnsi="微软雅黑" w:eastAsia="微软雅黑" w:cs="微软雅黑"/>
          <w:color w:val="auto"/>
          <w:kern w:val="0"/>
          <w:sz w:val="32"/>
          <w:szCs w:val="32"/>
          <w:highlight w:val="none"/>
          <w:u w:val="single"/>
          <w:lang w:bidi="ar"/>
        </w:rPr>
        <w:t xml:space="preserve">                      </w:t>
      </w:r>
      <w:r>
        <w:rPr>
          <w:rFonts w:hint="eastAsia"/>
          <w:color w:val="auto"/>
          <w:sz w:val="32"/>
          <w:szCs w:val="32"/>
          <w:highlight w:val="none"/>
        </w:rPr>
        <w:t>（系统编号）</w:t>
      </w:r>
    </w:p>
    <w:p w14:paraId="5740845F">
      <w:pPr>
        <w:widowControl/>
        <w:spacing w:line="360" w:lineRule="auto"/>
        <w:jc w:val="center"/>
        <w:rPr>
          <w:rFonts w:ascii="Tahoma" w:hAnsi="Tahoma" w:eastAsia="Tahoma" w:cs="Tahoma"/>
          <w:color w:val="auto"/>
          <w:kern w:val="0"/>
          <w:sz w:val="32"/>
          <w:szCs w:val="32"/>
          <w:highlight w:val="none"/>
          <w:lang w:bidi="ar"/>
        </w:rPr>
      </w:pPr>
      <w:r>
        <w:rPr>
          <w:rFonts w:hint="eastAsia" w:ascii="Tahoma" w:hAnsi="Tahoma" w:eastAsia="Tahoma" w:cs="Tahoma"/>
          <w:color w:val="auto"/>
          <w:kern w:val="0"/>
          <w:sz w:val="32"/>
          <w:szCs w:val="32"/>
          <w:highlight w:val="none"/>
          <w:lang w:bidi="ar"/>
        </w:rPr>
        <w:t>（自编号，如有）</w:t>
      </w:r>
    </w:p>
    <w:p w14:paraId="272AF7AE">
      <w:pPr>
        <w:widowControl/>
        <w:spacing w:line="360" w:lineRule="auto"/>
        <w:jc w:val="center"/>
        <w:rPr>
          <w:rFonts w:ascii="微软雅黑" w:hAnsi="微软雅黑" w:eastAsia="微软雅黑" w:cs="微软雅黑"/>
          <w:color w:val="auto"/>
          <w:kern w:val="0"/>
          <w:sz w:val="22"/>
          <w:szCs w:val="22"/>
          <w:highlight w:val="none"/>
          <w:lang w:bidi="ar"/>
        </w:rPr>
      </w:pPr>
    </w:p>
    <w:p w14:paraId="4238182C">
      <w:pPr>
        <w:widowControl/>
        <w:spacing w:line="360" w:lineRule="auto"/>
        <w:jc w:val="center"/>
        <w:rPr>
          <w:rFonts w:ascii="微软雅黑" w:hAnsi="微软雅黑" w:eastAsia="微软雅黑" w:cs="微软雅黑"/>
          <w:color w:val="auto"/>
          <w:kern w:val="0"/>
          <w:sz w:val="22"/>
          <w:szCs w:val="22"/>
          <w:highlight w:val="none"/>
          <w:lang w:bidi="ar"/>
        </w:rPr>
      </w:pPr>
    </w:p>
    <w:p w14:paraId="37D54C60">
      <w:pPr>
        <w:widowControl/>
        <w:spacing w:line="360" w:lineRule="auto"/>
        <w:jc w:val="center"/>
        <w:rPr>
          <w:rFonts w:ascii="微软雅黑" w:hAnsi="微软雅黑" w:eastAsia="微软雅黑" w:cs="微软雅黑"/>
          <w:color w:val="auto"/>
          <w:kern w:val="0"/>
          <w:sz w:val="22"/>
          <w:szCs w:val="22"/>
          <w:highlight w:val="none"/>
          <w:lang w:bidi="ar"/>
        </w:rPr>
      </w:pPr>
    </w:p>
    <w:p w14:paraId="1D5A67A6">
      <w:pPr>
        <w:widowControl/>
        <w:spacing w:line="360" w:lineRule="auto"/>
        <w:jc w:val="center"/>
        <w:rPr>
          <w:rFonts w:ascii="微软雅黑" w:hAnsi="微软雅黑" w:eastAsia="微软雅黑" w:cs="微软雅黑"/>
          <w:color w:val="auto"/>
          <w:kern w:val="0"/>
          <w:sz w:val="22"/>
          <w:szCs w:val="22"/>
          <w:highlight w:val="none"/>
          <w:lang w:bidi="ar"/>
        </w:rPr>
      </w:pPr>
    </w:p>
    <w:p w14:paraId="008E7488">
      <w:pPr>
        <w:widowControl/>
        <w:jc w:val="center"/>
        <w:rPr>
          <w:rFonts w:ascii="微软雅黑" w:hAnsi="微软雅黑" w:eastAsia="微软雅黑" w:cs="微软雅黑"/>
          <w:color w:val="auto"/>
          <w:kern w:val="0"/>
          <w:sz w:val="32"/>
          <w:szCs w:val="32"/>
          <w:highlight w:val="none"/>
          <w:lang w:bidi="ar"/>
        </w:rPr>
      </w:pPr>
      <w:r>
        <w:rPr>
          <w:rFonts w:hint="eastAsia" w:ascii="微软雅黑" w:hAnsi="微软雅黑" w:eastAsia="微软雅黑" w:cs="微软雅黑"/>
          <w:color w:val="auto"/>
          <w:kern w:val="0"/>
          <w:sz w:val="32"/>
          <w:szCs w:val="32"/>
          <w:highlight w:val="none"/>
          <w:lang w:bidi="ar"/>
        </w:rPr>
        <w:t>甲  方：云南省基础测绘技术中心</w:t>
      </w:r>
    </w:p>
    <w:p w14:paraId="4B277C4E">
      <w:pPr>
        <w:widowControl/>
        <w:ind w:firstLine="2739" w:firstLineChars="856"/>
        <w:jc w:val="left"/>
        <w:rPr>
          <w:color w:val="auto"/>
          <w:sz w:val="32"/>
          <w:szCs w:val="32"/>
          <w:highlight w:val="none"/>
        </w:rPr>
      </w:pPr>
      <w:r>
        <w:rPr>
          <w:rFonts w:hint="eastAsia" w:ascii="微软雅黑" w:hAnsi="微软雅黑" w:eastAsia="微软雅黑" w:cs="微软雅黑"/>
          <w:color w:val="auto"/>
          <w:kern w:val="0"/>
          <w:sz w:val="32"/>
          <w:szCs w:val="32"/>
          <w:highlight w:val="none"/>
          <w:lang w:bidi="ar"/>
        </w:rPr>
        <w:t>乙  方：</w:t>
      </w:r>
    </w:p>
    <w:p w14:paraId="0246DB55">
      <w:pPr>
        <w:rPr>
          <w:color w:val="auto"/>
          <w:highlight w:val="none"/>
        </w:rPr>
      </w:pPr>
      <w:r>
        <w:rPr>
          <w:rFonts w:hint="eastAsia" w:ascii="宋体" w:hAnsi="宋体" w:cs="宋体"/>
          <w:bCs/>
          <w:color w:val="auto"/>
          <w:highlight w:val="none"/>
        </w:rPr>
        <w:br w:type="page"/>
      </w:r>
    </w:p>
    <w:p w14:paraId="0A637163">
      <w:pPr>
        <w:jc w:val="center"/>
        <w:rPr>
          <w:rFonts w:ascii="宋体" w:hAnsi="宋体" w:cs="宋体"/>
          <w:color w:val="auto"/>
          <w:szCs w:val="21"/>
          <w:highlight w:val="none"/>
        </w:rPr>
      </w:pPr>
      <w:r>
        <w:rPr>
          <w:rFonts w:hint="eastAsia" w:hAnsi="宋体"/>
          <w:b/>
          <w:bCs/>
          <w:color w:val="auto"/>
          <w:sz w:val="32"/>
          <w:szCs w:val="32"/>
          <w:highlight w:val="none"/>
        </w:rPr>
        <w:t>合同书样式</w:t>
      </w:r>
    </w:p>
    <w:p w14:paraId="7C42C61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w:t>
      </w:r>
      <w:r>
        <w:rPr>
          <w:rFonts w:hint="eastAsia" w:ascii="宋体" w:hAnsi="宋体" w:cs="宋体"/>
          <w:color w:val="auto"/>
          <w:szCs w:val="21"/>
          <w:highlight w:val="none"/>
          <w:u w:val="single"/>
        </w:rPr>
        <w:t>云南省基础测绘技术中心</w:t>
      </w:r>
    </w:p>
    <w:p w14:paraId="04734AF4">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p>
    <w:p w14:paraId="31D2BFB5">
      <w:pPr>
        <w:adjustRightInd w:val="0"/>
        <w:snapToGrid w:val="0"/>
        <w:spacing w:line="360" w:lineRule="auto"/>
        <w:ind w:firstLine="420" w:firstLineChars="200"/>
        <w:rPr>
          <w:rFonts w:ascii="宋体" w:hAnsi="宋体" w:cs="宋体"/>
          <w:color w:val="auto"/>
          <w:szCs w:val="21"/>
          <w:highlight w:val="none"/>
        </w:rPr>
      </w:pPr>
      <w:bookmarkStart w:id="124" w:name="_Toc26495"/>
      <w:bookmarkStart w:id="125" w:name="_Toc31840"/>
      <w:bookmarkStart w:id="126" w:name="_Toc2031"/>
      <w:bookmarkStart w:id="127" w:name="_Toc12196"/>
      <w:bookmarkStart w:id="128" w:name="_Toc8719"/>
      <w:r>
        <w:rPr>
          <w:rFonts w:hint="eastAsia" w:ascii="宋体" w:hAnsi="宋体" w:cs="宋体"/>
          <w:color w:val="auto"/>
          <w:szCs w:val="21"/>
          <w:highlight w:val="none"/>
        </w:rPr>
        <w:t>甲乙双方根据《中华人民共和国民法典》、《中华人民共和国政府采购法》及其实施条例、“</w:t>
      </w:r>
      <w:r>
        <w:rPr>
          <w:rFonts w:hint="eastAsia" w:ascii="宋体" w:hAnsi="宋体" w:cs="宋体"/>
          <w:color w:val="auto"/>
          <w:szCs w:val="21"/>
          <w:highlight w:val="none"/>
          <w:lang w:eastAsia="zh-CN"/>
        </w:rPr>
        <w:t>云南省基础测绘技术中心省级数据中心和基准站维修（护）项目</w:t>
      </w:r>
      <w:r>
        <w:rPr>
          <w:rFonts w:hint="eastAsia" w:ascii="宋体" w:hAnsi="宋体" w:cs="宋体"/>
          <w:b/>
          <w:bCs/>
          <w:color w:val="auto"/>
          <w:szCs w:val="21"/>
          <w:highlight w:val="none"/>
        </w:rPr>
        <w:t>(项目编号:</w:t>
      </w:r>
      <w:r>
        <w:rPr>
          <w:rFonts w:hint="eastAsia" w:ascii="宋体" w:hAnsi="宋体" w:cs="宋体"/>
          <w:b/>
          <w:bCs/>
          <w:color w:val="auto"/>
          <w:szCs w:val="21"/>
          <w:highlight w:val="none"/>
          <w:lang w:eastAsia="zh-CN"/>
        </w:rPr>
        <w:t>YNZC2026-C3-02733-YNGR-0201</w:t>
      </w:r>
      <w:r>
        <w:rPr>
          <w:rFonts w:hint="eastAsia" w:ascii="宋体" w:hAnsi="宋体" w:cs="宋体"/>
          <w:b/>
          <w:bCs/>
          <w:color w:val="auto"/>
          <w:szCs w:val="21"/>
          <w:highlight w:val="none"/>
        </w:rPr>
        <w:t>)</w:t>
      </w:r>
      <w:r>
        <w:rPr>
          <w:rFonts w:hint="eastAsia" w:ascii="宋体" w:hAnsi="宋体" w:cs="宋体"/>
          <w:color w:val="auto"/>
          <w:szCs w:val="21"/>
          <w:highlight w:val="none"/>
        </w:rPr>
        <w:t>”竞争性磋商结果，遵循平等、自愿、公平和诚实信用的原则，协定达成一致，签订以下内容:</w:t>
      </w:r>
    </w:p>
    <w:p w14:paraId="5A45E4D2">
      <w:pPr>
        <w:adjustRightInd w:val="0"/>
        <w:snapToGrid w:val="0"/>
        <w:spacing w:line="360" w:lineRule="auto"/>
        <w:ind w:firstLine="422" w:firstLineChars="200"/>
        <w:rPr>
          <w:rFonts w:ascii="宋体" w:hAnsi="宋体" w:cs="宋体"/>
          <w:b/>
          <w:color w:val="auto"/>
          <w:szCs w:val="21"/>
          <w:highlight w:val="none"/>
        </w:rPr>
      </w:pPr>
      <w:bookmarkStart w:id="129" w:name="_Toc25699"/>
      <w:r>
        <w:rPr>
          <w:rFonts w:hint="eastAsia" w:ascii="宋体" w:hAnsi="宋体" w:cs="宋体"/>
          <w:b/>
          <w:color w:val="auto"/>
          <w:szCs w:val="21"/>
          <w:highlight w:val="none"/>
        </w:rPr>
        <w:t>第一条  服务内容、服务期限、合同总价</w:t>
      </w:r>
      <w:bookmarkEnd w:id="124"/>
      <w:bookmarkEnd w:id="125"/>
      <w:bookmarkEnd w:id="126"/>
      <w:bookmarkEnd w:id="127"/>
      <w:bookmarkEnd w:id="128"/>
      <w:bookmarkEnd w:id="129"/>
    </w:p>
    <w:p w14:paraId="64DA3EC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1.服务内容</w:t>
      </w:r>
    </w:p>
    <w:p w14:paraId="3DCA5B7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对YNCORS数据中心故障、老化设备进行维修维护，包括柴油发电机、空调、综合布线整理、消防主机、电脑。</w:t>
      </w:r>
    </w:p>
    <w:p w14:paraId="045C35CF">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2.服务期限：</w:t>
      </w:r>
      <w:r>
        <w:rPr>
          <w:rFonts w:hint="eastAsia" w:ascii="宋体" w:hAnsi="宋体" w:cs="宋体"/>
          <w:color w:val="auto"/>
          <w:szCs w:val="21"/>
          <w:highlight w:val="none"/>
          <w:lang w:eastAsia="zh-CN"/>
        </w:rPr>
        <w:t>自合同签订之日起60个日历天，验收合格后维修质保期365个日历天。</w:t>
      </w:r>
    </w:p>
    <w:p w14:paraId="0A52A10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3.合同总价：大写人民币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 </w:t>
      </w:r>
    </w:p>
    <w:p w14:paraId="07989290">
      <w:pPr>
        <w:adjustRightInd w:val="0"/>
        <w:snapToGrid w:val="0"/>
        <w:spacing w:line="360" w:lineRule="auto"/>
        <w:ind w:firstLine="422" w:firstLineChars="200"/>
        <w:rPr>
          <w:rFonts w:ascii="宋体" w:hAnsi="宋体" w:cs="宋体"/>
          <w:b/>
          <w:color w:val="auto"/>
          <w:szCs w:val="21"/>
          <w:highlight w:val="none"/>
        </w:rPr>
      </w:pPr>
      <w:bookmarkStart w:id="130" w:name="_Toc9071"/>
      <w:bookmarkStart w:id="131" w:name="_Toc5546"/>
      <w:r>
        <w:rPr>
          <w:rFonts w:hint="eastAsia" w:ascii="宋体" w:hAnsi="宋体" w:cs="宋体"/>
          <w:b/>
          <w:color w:val="auto"/>
          <w:szCs w:val="21"/>
          <w:highlight w:val="none"/>
        </w:rPr>
        <w:t>第二条  甲方的权利和义务</w:t>
      </w:r>
      <w:bookmarkEnd w:id="130"/>
      <w:bookmarkEnd w:id="131"/>
    </w:p>
    <w:p w14:paraId="1F73B61F">
      <w:pPr>
        <w:adjustRightInd w:val="0"/>
        <w:snapToGrid w:val="0"/>
        <w:spacing w:line="360" w:lineRule="auto"/>
        <w:ind w:firstLine="420" w:firstLineChars="200"/>
        <w:rPr>
          <w:rFonts w:ascii="宋体" w:hAnsi="宋体" w:cs="宋体"/>
          <w:bCs/>
          <w:color w:val="auto"/>
          <w:szCs w:val="21"/>
          <w:highlight w:val="none"/>
        </w:rPr>
      </w:pPr>
      <w:bookmarkStart w:id="132" w:name="_Toc24911"/>
      <w:bookmarkStart w:id="133" w:name="_Toc28193"/>
      <w:bookmarkStart w:id="134" w:name="_Toc20059"/>
      <w:bookmarkStart w:id="135" w:name="_Toc18990"/>
      <w:bookmarkStart w:id="136" w:name="_Toc8234"/>
      <w:bookmarkStart w:id="137" w:name="_Toc2465"/>
      <w:r>
        <w:rPr>
          <w:rFonts w:hint="eastAsia" w:ascii="宋体" w:hAnsi="宋体" w:cs="宋体"/>
          <w:bCs/>
          <w:color w:val="auto"/>
          <w:szCs w:val="21"/>
          <w:highlight w:val="none"/>
        </w:rPr>
        <w:t>1.负责合同签订后项目实施的工作（如与乙方的具体联系和衔接，现场维护保养或项目建设施工时配备人员进行监管控制）；</w:t>
      </w:r>
    </w:p>
    <w:p w14:paraId="660ABB4B">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2.负责提供项目服务和维护保养或项目建设施工所必须的场地和环境；</w:t>
      </w:r>
    </w:p>
    <w:p w14:paraId="79E418BF">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3.负责组织成立验收组对项目进行验收并签署验收报告；</w:t>
      </w:r>
    </w:p>
    <w:p w14:paraId="493E3CF5">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4.甲方应向乙方指定专人负责与乙方联络、协调，配合乙方部署实施工作的顺利开展；</w:t>
      </w:r>
    </w:p>
    <w:p w14:paraId="2AF898E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5.按合同规定享有乙方提供的整套服务；</w:t>
      </w:r>
    </w:p>
    <w:p w14:paraId="219D5B0A">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6.按政府采购规范落实采购资金并办理采购资金划拨手续。</w:t>
      </w:r>
    </w:p>
    <w:p w14:paraId="55C4C7E6">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乙方的权利和义务</w:t>
      </w:r>
      <w:bookmarkEnd w:id="132"/>
    </w:p>
    <w:p w14:paraId="07B7340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1.严格依据有关法律、法规和合同规定之条款执行项目。</w:t>
      </w:r>
    </w:p>
    <w:p w14:paraId="71FE8A2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保证实施本项目团队成员、技术条件和相关装备应当满足项目的需求,并符合本合同及附件、招标文件、投标文件等规定的要求。未经甲方同意，乙方不得将本合同项目的部分或者全部维护工作转包给第三方承担。乙方将本合同约定的工作内容部分或全部转包、分包给第三方的，甲方有权解除合同并要求乙方退还已支付的全部款项。</w:t>
      </w:r>
    </w:p>
    <w:p w14:paraId="10AD944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3.乙方工作人员未经甲方授权，擅自使用、存储、篡改甲方业务数据，或利用甲方现有业务数据获取非法利益，造成甲方或任何第三方损失的，由乙方承担法律责任并负责赔偿全部损失。</w:t>
      </w:r>
    </w:p>
    <w:p w14:paraId="410E38C8">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4.向甲方提供项目痕迹资料。</w:t>
      </w:r>
    </w:p>
    <w:p w14:paraId="2DD9F075">
      <w:pPr>
        <w:adjustRightInd w:val="0"/>
        <w:snapToGrid w:val="0"/>
        <w:spacing w:line="360" w:lineRule="auto"/>
        <w:ind w:firstLine="422" w:firstLineChars="200"/>
        <w:rPr>
          <w:rFonts w:ascii="宋体" w:hAnsi="宋体" w:cs="宋体"/>
          <w:b/>
          <w:color w:val="auto"/>
          <w:szCs w:val="21"/>
          <w:highlight w:val="none"/>
        </w:rPr>
      </w:pPr>
      <w:bookmarkStart w:id="138" w:name="_Toc10067"/>
      <w:r>
        <w:rPr>
          <w:rFonts w:hint="eastAsia" w:ascii="宋体" w:hAnsi="宋体" w:cs="宋体"/>
          <w:b/>
          <w:color w:val="auto"/>
          <w:szCs w:val="21"/>
          <w:highlight w:val="none"/>
        </w:rPr>
        <w:t>第四条、付款方式及合同金额</w:t>
      </w:r>
      <w:bookmarkEnd w:id="138"/>
    </w:p>
    <w:p w14:paraId="704E1DF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1.合同金额：小写：¥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 （大写：人民币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00DEBCF">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2.付款方式：</w:t>
      </w:r>
      <w:r>
        <w:rPr>
          <w:rFonts w:hint="eastAsia" w:ascii="宋体" w:hAnsi="宋体" w:cs="宋体"/>
          <w:b w:val="0"/>
          <w:bCs/>
          <w:color w:val="auto"/>
          <w:szCs w:val="21"/>
          <w:highlight w:val="none"/>
          <w:lang w:val="en-US" w:eastAsia="zh-CN"/>
        </w:rPr>
        <w:t>合同签订后一次性支付服务费用；合同期满10个工作日内进行验收，若验收不合格，乙方须在合同期满后1个月内整改至验收合格，否则乙方须退还甲方已支付的全部服务费用。</w:t>
      </w:r>
    </w:p>
    <w:p w14:paraId="3BF92DC6">
      <w:pPr>
        <w:adjustRightInd w:val="0"/>
        <w:snapToGrid w:val="0"/>
        <w:spacing w:line="360" w:lineRule="auto"/>
        <w:ind w:firstLine="422" w:firstLineChars="200"/>
        <w:rPr>
          <w:rFonts w:ascii="宋体" w:hAnsi="宋体" w:cs="宋体"/>
          <w:b/>
          <w:color w:val="auto"/>
          <w:szCs w:val="21"/>
          <w:highlight w:val="none"/>
        </w:rPr>
      </w:pPr>
      <w:bookmarkStart w:id="139" w:name="_Toc17488"/>
      <w:r>
        <w:rPr>
          <w:rFonts w:hint="eastAsia" w:ascii="宋体" w:hAnsi="宋体" w:cs="宋体"/>
          <w:b/>
          <w:color w:val="auto"/>
          <w:szCs w:val="21"/>
          <w:highlight w:val="none"/>
        </w:rPr>
        <w:t xml:space="preserve">第五条  </w:t>
      </w:r>
      <w:bookmarkEnd w:id="133"/>
      <w:bookmarkEnd w:id="134"/>
      <w:bookmarkEnd w:id="135"/>
      <w:bookmarkEnd w:id="136"/>
      <w:bookmarkEnd w:id="137"/>
      <w:bookmarkEnd w:id="139"/>
      <w:r>
        <w:rPr>
          <w:rFonts w:hint="eastAsia" w:ascii="宋体" w:hAnsi="宋体" w:cs="宋体"/>
          <w:b/>
          <w:color w:val="auto"/>
          <w:szCs w:val="21"/>
          <w:highlight w:val="none"/>
        </w:rPr>
        <w:t>双方账号信息</w:t>
      </w:r>
    </w:p>
    <w:p w14:paraId="5CDD4B24">
      <w:pPr>
        <w:adjustRightInd w:val="0"/>
        <w:snapToGrid w:val="0"/>
        <w:spacing w:line="360" w:lineRule="auto"/>
        <w:ind w:firstLine="422" w:firstLineChars="200"/>
        <w:rPr>
          <w:rFonts w:ascii="宋体" w:hAnsi="宋体" w:cs="宋体"/>
          <w:b/>
          <w:color w:val="auto"/>
          <w:szCs w:val="21"/>
          <w:highlight w:val="none"/>
        </w:rPr>
      </w:pPr>
      <w:bookmarkStart w:id="140" w:name="_Toc17982"/>
      <w:bookmarkStart w:id="141" w:name="_Toc25701"/>
      <w:bookmarkStart w:id="142" w:name="_Toc6072"/>
      <w:bookmarkStart w:id="143" w:name="_Toc14796"/>
      <w:bookmarkStart w:id="144" w:name="_Toc25324"/>
      <w:bookmarkStart w:id="145" w:name="_Toc5746"/>
    </w:p>
    <w:p w14:paraId="305D2632">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第六条  </w:t>
      </w:r>
      <w:bookmarkEnd w:id="140"/>
      <w:bookmarkEnd w:id="141"/>
      <w:bookmarkEnd w:id="142"/>
      <w:bookmarkEnd w:id="143"/>
      <w:bookmarkEnd w:id="144"/>
      <w:r>
        <w:rPr>
          <w:rFonts w:hint="eastAsia" w:ascii="宋体" w:hAnsi="宋体" w:cs="宋体"/>
          <w:b/>
          <w:color w:val="auto"/>
          <w:szCs w:val="21"/>
          <w:highlight w:val="none"/>
        </w:rPr>
        <w:t>违约责任</w:t>
      </w:r>
      <w:bookmarkEnd w:id="145"/>
    </w:p>
    <w:p w14:paraId="67927EA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1.本合同生效后，甲、乙双方均应履行本合同所约定的义务。除本合同另有约定外，任何一方不履行合同义务或无正当理由要求解除合同的均为违约，违约方应当向守约方支付合同总金额【  】%的违约金，违约金不足以弥补守约方所受损失的，守约方有权要求违约方赔偿其全部损失(包含守约方因维护自身权益提诉讼产生的案件受理费、保全费、保险费、执行费、律师费等全部损失)。</w:t>
      </w:r>
    </w:p>
    <w:p w14:paraId="341A758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未按甲方要求的服务响应、故障修复完成时间、服务频次、服务方式等提供服务的，经甲方书面通知后，乙方应在该通知指定的期限内更正，并应在收到甲方的书面通知之日起【5】个工作日内向甲方支付合同总金额的【  】%作为违约金；若乙方在该通知指定的期限内仍未更正的，甲方有权解除合同，乙方应在收到甲方的书面解除通知之日起【5】个工作日内返还甲方已支付的合同金额并应赔偿甲方遭受的全部损失。乙方未按甲方要求的服务交付时间、项目实施要求完成服务的，甲方有权解除合同，乙方应在收到甲方的书面解除通知之日起【5】个工作日内返还甲方已支付的合同金额并应赔偿甲方遭受的全部损失。若因此造成事故的，由乙方承担因此造成的全部责任并返还甲方已支付的合同金额，同时应赔偿甲方遭受的全部损失。</w:t>
      </w:r>
    </w:p>
    <w:p w14:paraId="7F3E12A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3.乙方出现下列情形之一的，甲方有权单方解除合同，要求乙方在收到甲方解除通知之日起【5】个工作日内退还甲方已经支付的款项，并有权要求乙方按本合同总金额的【  】%向甲方支付违约金，并赔偿由此给甲方造成的全部损失：</w:t>
      </w:r>
    </w:p>
    <w:p w14:paraId="1CBC90C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（1）乙方提供服务不符合本合同约定及甲方的要求，经甲方要求乙方限期整改而乙方未在规定的期限内进行整改的；</w:t>
      </w:r>
    </w:p>
    <w:p w14:paraId="7B02C70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（2）乙方明确表示或以自己的行为表明不履行合同义务的；</w:t>
      </w:r>
    </w:p>
    <w:p w14:paraId="27D7D7F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（3）乙方未经甲方书面同意将本合同项下全部或者部分权利义务转让给第三人；</w:t>
      </w:r>
    </w:p>
    <w:p w14:paraId="7681D6E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（4）乙恶意串通第三方损害甲方利益；</w:t>
      </w:r>
    </w:p>
    <w:p w14:paraId="76840B0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（5）乙方及乙方工作人员有其他恶意损害甲方权益情形。</w:t>
      </w:r>
    </w:p>
    <w:p w14:paraId="565B542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有其他违约行为（包括但不限于未履行或未完全履行本合同约定或履行义务不符合本合同约定的），经甲方书面通知后，乙方应在该通知指定的期限内更正，并应在收到甲方的书面通知之日起【5】个工作日内向甲方支付合同总金额的【  】%作为违约金；若乙方在该通知指定的期限内仍未更正且致使本合同目的无法实现的，甲方有权解除合同，乙方应在收到甲方的书面解除通知之日起【5】个工作日内返还甲方已支付的合同金额并应赔偿甲方遭受的全部损失。</w:t>
      </w:r>
    </w:p>
    <w:p w14:paraId="52961E4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5.对于乙方应向甲方支付的违约金、损害赔偿金等，甲方有权从其应支付给乙方的本合同金额中扣除或者从其他项目中甲方对乙方的应付款项中扣除，不足部分，甲方保留继续追索的权利。</w:t>
      </w:r>
    </w:p>
    <w:p w14:paraId="395BFCC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6.甲方无正当理由拒绝验收使乙方造成经济损失的应依法赔偿。</w:t>
      </w:r>
    </w:p>
    <w:p w14:paraId="3E6886D9">
      <w:pPr>
        <w:adjustRightInd w:val="0"/>
        <w:snapToGrid w:val="0"/>
        <w:spacing w:line="360" w:lineRule="auto"/>
        <w:ind w:firstLine="422" w:firstLineChars="200"/>
        <w:rPr>
          <w:rFonts w:ascii="宋体" w:hAnsi="宋体" w:cs="宋体"/>
          <w:b/>
          <w:color w:val="auto"/>
          <w:szCs w:val="21"/>
          <w:highlight w:val="none"/>
        </w:rPr>
      </w:pPr>
      <w:bookmarkStart w:id="146" w:name="_Toc22086"/>
      <w:bookmarkStart w:id="147" w:name="_Toc29038"/>
      <w:bookmarkStart w:id="148" w:name="_Toc17139"/>
      <w:bookmarkStart w:id="149" w:name="_Toc28456"/>
      <w:bookmarkStart w:id="150" w:name="_Toc25565"/>
      <w:bookmarkStart w:id="151" w:name="_Toc561"/>
      <w:r>
        <w:rPr>
          <w:rFonts w:hint="eastAsia" w:ascii="宋体" w:hAnsi="宋体" w:cs="宋体"/>
          <w:b/>
          <w:color w:val="auto"/>
          <w:szCs w:val="21"/>
          <w:highlight w:val="none"/>
        </w:rPr>
        <w:t xml:space="preserve">第七条  </w:t>
      </w:r>
      <w:bookmarkEnd w:id="146"/>
      <w:bookmarkEnd w:id="147"/>
      <w:bookmarkEnd w:id="148"/>
      <w:bookmarkEnd w:id="149"/>
      <w:bookmarkEnd w:id="150"/>
      <w:r>
        <w:rPr>
          <w:rFonts w:hint="eastAsia" w:ascii="宋体" w:hAnsi="宋体" w:cs="宋体"/>
          <w:b/>
          <w:bCs/>
          <w:color w:val="auto"/>
          <w:kern w:val="0"/>
          <w:szCs w:val="21"/>
          <w:highlight w:val="none"/>
          <w:shd w:val="clear" w:color="auto" w:fill="FFFFFF"/>
        </w:rPr>
        <w:t>本合同因下列事由终止</w:t>
      </w:r>
      <w:bookmarkEnd w:id="151"/>
    </w:p>
    <w:p w14:paraId="66A8C34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1.本合同期限届满，双方不再续签合同的；</w:t>
      </w:r>
    </w:p>
    <w:p w14:paraId="5CA4146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2.双方通过书面协议解除本合同；</w:t>
      </w:r>
    </w:p>
    <w:p w14:paraId="5FD1975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3.因不可抗力致使合同目的不能实现的；</w:t>
      </w:r>
    </w:p>
    <w:p w14:paraId="08F902E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4.在委托期限届满之前，当事人一方明确表示或以自己的行为表明不履行合同主要义务的；</w:t>
      </w:r>
    </w:p>
    <w:p w14:paraId="59801D7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5.当事人一方迟延履行合同主要义务，经催告后在合理期限内仍未履行；</w:t>
      </w:r>
    </w:p>
    <w:p w14:paraId="286B1D9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6.当事人有其他违约或违法行为致使合同目的不能实现的。</w:t>
      </w:r>
    </w:p>
    <w:p w14:paraId="0D8FAD2F">
      <w:pPr>
        <w:pStyle w:val="15"/>
        <w:adjustRightInd w:val="0"/>
        <w:spacing w:line="360" w:lineRule="auto"/>
        <w:ind w:firstLine="422" w:firstLineChars="200"/>
        <w:rPr>
          <w:rFonts w:hAnsi="宋体" w:cs="宋体"/>
          <w:color w:val="auto"/>
          <w:sz w:val="21"/>
          <w:szCs w:val="21"/>
          <w:highlight w:val="none"/>
        </w:rPr>
      </w:pPr>
      <w:r>
        <w:rPr>
          <w:rFonts w:hint="eastAsia" w:hAnsi="宋体" w:cs="宋体"/>
          <w:b/>
          <w:color w:val="auto"/>
          <w:sz w:val="21"/>
          <w:szCs w:val="21"/>
          <w:highlight w:val="none"/>
        </w:rPr>
        <w:t xml:space="preserve">第八条  </w:t>
      </w:r>
      <w:r>
        <w:rPr>
          <w:rFonts w:hint="eastAsia" w:hAnsi="宋体" w:cs="宋体"/>
          <w:b/>
          <w:bCs/>
          <w:color w:val="auto"/>
          <w:kern w:val="0"/>
          <w:sz w:val="21"/>
          <w:szCs w:val="21"/>
          <w:highlight w:val="none"/>
          <w:shd w:val="clear" w:color="auto" w:fill="FFFFFF"/>
        </w:rPr>
        <w:t>声明及保证</w:t>
      </w:r>
    </w:p>
    <w:p w14:paraId="34EAD1BE">
      <w:pPr>
        <w:adjustRightInd w:val="0"/>
        <w:snapToGrid w:val="0"/>
        <w:spacing w:line="360" w:lineRule="auto"/>
        <w:ind w:firstLine="420" w:firstLineChars="200"/>
        <w:rPr>
          <w:rFonts w:ascii="宋体" w:hAnsi="宋体" w:cs="宋体"/>
          <w:color w:val="auto"/>
          <w:szCs w:val="21"/>
          <w:highlight w:val="none"/>
        </w:rPr>
      </w:pPr>
      <w:bookmarkStart w:id="152" w:name="_Toc14834"/>
      <w:bookmarkStart w:id="153" w:name="_Toc26585"/>
      <w:bookmarkStart w:id="154" w:name="_Toc28244"/>
      <w:bookmarkStart w:id="155" w:name="_Toc14092"/>
      <w:bookmarkStart w:id="156" w:name="_Toc2571"/>
      <w:r>
        <w:rPr>
          <w:rFonts w:hint="eastAsia" w:ascii="宋体" w:hAnsi="宋体" w:cs="宋体"/>
          <w:color w:val="auto"/>
          <w:szCs w:val="21"/>
          <w:highlight w:val="none"/>
        </w:rPr>
        <w:t>甲方：</w:t>
      </w:r>
    </w:p>
    <w:p w14:paraId="6F32CA7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1.甲方有权签署并有能力履行本合同。</w:t>
      </w:r>
    </w:p>
    <w:p w14:paraId="55FC763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2.甲方签署和履行本合同所需的一切手续均已办妥并合法有效。</w:t>
      </w:r>
    </w:p>
    <w:p w14:paraId="7A61C31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w:t>
      </w:r>
    </w:p>
    <w:p w14:paraId="489EE9D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1.乙方有权签署并有能力履行本合同。</w:t>
      </w:r>
    </w:p>
    <w:p w14:paraId="5890718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2.乙方签署和履行本合同所需的一切手续均已办妥并合法有效。</w:t>
      </w:r>
    </w:p>
    <w:p w14:paraId="42B7E811">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3.在签署本合同时，任何法院、仲裁机构、行政机关或监管机构均未作出任何足以对乙方履行本合同产生重大不利影响的判决、裁定、裁决或具体行政行为。</w:t>
      </w:r>
    </w:p>
    <w:p w14:paraId="295BB0C7">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第九条  保密</w:t>
      </w:r>
    </w:p>
    <w:p w14:paraId="299D9DB0">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14:paraId="1EE10CB1">
      <w:pPr>
        <w:adjustRightInd w:val="0"/>
        <w:snapToGrid w:val="0"/>
        <w:spacing w:line="360" w:lineRule="auto"/>
        <w:ind w:firstLine="422" w:firstLineChars="200"/>
        <w:rPr>
          <w:rFonts w:ascii="宋体" w:hAnsi="宋体" w:cs="宋体"/>
          <w:b/>
          <w:color w:val="auto"/>
          <w:szCs w:val="21"/>
          <w:highlight w:val="none"/>
        </w:rPr>
      </w:pPr>
      <w:bookmarkStart w:id="157" w:name="_Toc16431"/>
      <w:r>
        <w:rPr>
          <w:rFonts w:hint="eastAsia" w:ascii="宋体" w:hAnsi="宋体" w:cs="宋体"/>
          <w:b/>
          <w:color w:val="auto"/>
          <w:szCs w:val="21"/>
          <w:highlight w:val="none"/>
        </w:rPr>
        <w:t>第十条  验收及验收标准（按相关标准和实际使用需求拟定）</w:t>
      </w:r>
      <w:bookmarkEnd w:id="152"/>
      <w:bookmarkEnd w:id="153"/>
      <w:bookmarkEnd w:id="154"/>
      <w:bookmarkEnd w:id="155"/>
      <w:bookmarkEnd w:id="156"/>
      <w:bookmarkEnd w:id="157"/>
    </w:p>
    <w:p w14:paraId="161CAFDB">
      <w:pPr>
        <w:adjustRightInd w:val="0"/>
        <w:snapToGrid w:val="0"/>
        <w:spacing w:line="360" w:lineRule="auto"/>
        <w:ind w:firstLine="422" w:firstLineChars="200"/>
        <w:rPr>
          <w:rFonts w:ascii="宋体" w:hAnsi="宋体" w:cs="宋体"/>
          <w:b/>
          <w:color w:val="auto"/>
          <w:szCs w:val="21"/>
          <w:highlight w:val="none"/>
        </w:rPr>
      </w:pPr>
    </w:p>
    <w:p w14:paraId="3DDC8303">
      <w:pPr>
        <w:adjustRightInd w:val="0"/>
        <w:snapToGrid w:val="0"/>
        <w:spacing w:line="360" w:lineRule="auto"/>
        <w:ind w:firstLine="422" w:firstLineChars="200"/>
        <w:rPr>
          <w:rFonts w:ascii="宋体" w:hAnsi="宋体" w:cs="宋体"/>
          <w:b/>
          <w:color w:val="auto"/>
          <w:szCs w:val="21"/>
          <w:highlight w:val="none"/>
        </w:rPr>
      </w:pPr>
      <w:bookmarkStart w:id="158" w:name="_Toc1549"/>
      <w:bookmarkStart w:id="159" w:name="_Toc3435"/>
      <w:bookmarkStart w:id="160" w:name="_Toc25397"/>
      <w:bookmarkStart w:id="161" w:name="_Toc3534"/>
      <w:bookmarkStart w:id="162" w:name="_Toc14354"/>
      <w:bookmarkStart w:id="163" w:name="_Toc19309"/>
      <w:r>
        <w:rPr>
          <w:rFonts w:hint="eastAsia" w:ascii="宋体" w:hAnsi="宋体" w:cs="宋体"/>
          <w:b/>
          <w:color w:val="auto"/>
          <w:szCs w:val="21"/>
          <w:highlight w:val="none"/>
        </w:rPr>
        <w:t xml:space="preserve">第十一条  </w:t>
      </w:r>
      <w:bookmarkEnd w:id="158"/>
      <w:bookmarkEnd w:id="159"/>
      <w:bookmarkEnd w:id="160"/>
      <w:bookmarkEnd w:id="161"/>
      <w:bookmarkEnd w:id="162"/>
      <w:r>
        <w:rPr>
          <w:rFonts w:hint="eastAsia" w:ascii="宋体" w:hAnsi="宋体" w:cs="宋体"/>
          <w:b/>
          <w:color w:val="auto"/>
          <w:szCs w:val="21"/>
          <w:highlight w:val="none"/>
        </w:rPr>
        <w:t>合同的变更</w:t>
      </w:r>
      <w:bookmarkEnd w:id="163"/>
    </w:p>
    <w:p w14:paraId="69637FC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履行期间，发生特殊情况时，任何一方需变更本合同的，要求变更一方应及时书面通知对方，征得对方同意后，双方在规定的时限内（书面通知出5天内）签订书面变更协议，该协议将成为合同不可分割的部分。未经双方签署书面文件，任何一方无权变更本合同，否则，由此造成对方的经济损失，由责任方承担。</w:t>
      </w:r>
    </w:p>
    <w:p w14:paraId="0C7820DC">
      <w:pPr>
        <w:adjustRightInd w:val="0"/>
        <w:snapToGrid w:val="0"/>
        <w:spacing w:line="360" w:lineRule="auto"/>
        <w:ind w:firstLine="422" w:firstLineChars="200"/>
        <w:rPr>
          <w:rFonts w:ascii="宋体" w:hAnsi="宋体" w:cs="宋体"/>
          <w:b/>
          <w:color w:val="auto"/>
          <w:szCs w:val="21"/>
          <w:highlight w:val="none"/>
        </w:rPr>
      </w:pPr>
      <w:bookmarkStart w:id="164" w:name="_Toc16189"/>
      <w:r>
        <w:rPr>
          <w:rFonts w:hint="eastAsia" w:ascii="宋体" w:hAnsi="宋体" w:cs="宋体"/>
          <w:b/>
          <w:color w:val="auto"/>
          <w:szCs w:val="21"/>
          <w:highlight w:val="none"/>
        </w:rPr>
        <w:t>第十二条、合同的转让</w:t>
      </w:r>
      <w:bookmarkEnd w:id="164"/>
    </w:p>
    <w:p w14:paraId="4D72DE9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除合同中另有规定外或经双方协商同意外，本合同所规定双方的任何权利和义务，任何一方在未经征得另一方书面同意之前，不得转让给第三者。任何转让，未经另一方书面明确同意，均属无效。</w:t>
      </w:r>
    </w:p>
    <w:p w14:paraId="0880AA89">
      <w:pPr>
        <w:adjustRightInd w:val="0"/>
        <w:snapToGrid w:val="0"/>
        <w:spacing w:line="360" w:lineRule="auto"/>
        <w:ind w:firstLine="422" w:firstLineChars="200"/>
        <w:rPr>
          <w:rFonts w:ascii="宋体" w:hAnsi="宋体" w:cs="宋体"/>
          <w:b/>
          <w:color w:val="auto"/>
          <w:szCs w:val="21"/>
          <w:highlight w:val="none"/>
        </w:rPr>
      </w:pPr>
      <w:bookmarkStart w:id="165" w:name="_Toc13217"/>
      <w:r>
        <w:rPr>
          <w:rFonts w:hint="eastAsia" w:ascii="宋体" w:hAnsi="宋体" w:cs="宋体"/>
          <w:b/>
          <w:color w:val="auto"/>
          <w:szCs w:val="21"/>
          <w:highlight w:val="none"/>
        </w:rPr>
        <w:t>第十三条、合同的效力</w:t>
      </w:r>
      <w:bookmarkEnd w:id="165"/>
    </w:p>
    <w:p w14:paraId="523734A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本合同自双方或双方法定代表人或其授权代表人签字并加盖单位公章之日起生效。</w:t>
      </w:r>
    </w:p>
    <w:p w14:paraId="32F967E2">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本合同一式</w:t>
      </w:r>
      <w:r>
        <w:rPr>
          <w:rFonts w:hint="eastAsia" w:ascii="宋体" w:hAnsi="宋体" w:cs="宋体"/>
          <w:i/>
          <w:iCs/>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4E24C373">
      <w:pPr>
        <w:adjustRightInd w:val="0"/>
        <w:snapToGrid w:val="0"/>
        <w:spacing w:line="360" w:lineRule="auto"/>
        <w:ind w:firstLine="422" w:firstLineChars="200"/>
        <w:rPr>
          <w:rFonts w:ascii="宋体" w:hAnsi="宋体" w:cs="宋体"/>
          <w:b/>
          <w:color w:val="auto"/>
          <w:szCs w:val="21"/>
          <w:highlight w:val="none"/>
        </w:rPr>
      </w:pPr>
      <w:bookmarkStart w:id="166" w:name="_Toc6481"/>
      <w:bookmarkStart w:id="167" w:name="_Toc5051"/>
      <w:bookmarkStart w:id="168" w:name="_Toc30123"/>
      <w:bookmarkStart w:id="169" w:name="_Toc7377"/>
      <w:bookmarkStart w:id="170" w:name="_Toc21563"/>
      <w:bookmarkStart w:id="171" w:name="_Toc3782"/>
      <w:r>
        <w:rPr>
          <w:rFonts w:hint="eastAsia" w:ascii="宋体" w:hAnsi="宋体" w:cs="宋体"/>
          <w:b/>
          <w:color w:val="auto"/>
          <w:szCs w:val="21"/>
          <w:highlight w:val="none"/>
        </w:rPr>
        <w:t>第十四条  其它约定事项</w:t>
      </w:r>
      <w:bookmarkEnd w:id="166"/>
      <w:bookmarkEnd w:id="167"/>
      <w:bookmarkEnd w:id="168"/>
      <w:bookmarkEnd w:id="169"/>
      <w:bookmarkEnd w:id="170"/>
      <w:bookmarkEnd w:id="171"/>
    </w:p>
    <w:p w14:paraId="1283245C">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甲乙双方在履行合同过程中发生纠纷的，双方协商解决，有必要可签订补充合同，补充合同与本合同具有同等法律效力。若协商未果，应及时向有关管理部门反映，以便相关部门进行协调或处理，也可直接向甲方住所地人民法院起诉；</w:t>
      </w:r>
    </w:p>
    <w:p w14:paraId="47168AEF">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2.本合同其他未尽事宜，按国家《中华人民共和国民法典》有关规定处理。</w:t>
      </w:r>
    </w:p>
    <w:p w14:paraId="3BEB79FE">
      <w:pPr>
        <w:adjustRightInd w:val="0"/>
        <w:snapToGrid w:val="0"/>
        <w:spacing w:line="360" w:lineRule="auto"/>
        <w:ind w:firstLine="422" w:firstLineChars="200"/>
        <w:rPr>
          <w:rFonts w:ascii="宋体" w:hAnsi="宋体" w:cs="宋体"/>
          <w:b/>
          <w:color w:val="auto"/>
          <w:szCs w:val="21"/>
          <w:highlight w:val="none"/>
        </w:rPr>
      </w:pPr>
      <w:bookmarkStart w:id="172" w:name="_Toc26080"/>
      <w:bookmarkStart w:id="173" w:name="_Toc4320"/>
      <w:bookmarkStart w:id="174" w:name="_Toc25005"/>
      <w:bookmarkStart w:id="175" w:name="_Toc26609"/>
      <w:bookmarkStart w:id="176" w:name="_Toc9095"/>
      <w:bookmarkStart w:id="177" w:name="_Toc31315"/>
      <w:r>
        <w:rPr>
          <w:rFonts w:hint="eastAsia" w:ascii="宋体" w:hAnsi="宋体" w:cs="宋体"/>
          <w:b/>
          <w:color w:val="auto"/>
          <w:szCs w:val="21"/>
          <w:highlight w:val="none"/>
        </w:rPr>
        <w:t>第十五条  本合同不可分割之部分</w:t>
      </w:r>
      <w:bookmarkEnd w:id="172"/>
      <w:bookmarkEnd w:id="173"/>
      <w:bookmarkEnd w:id="174"/>
      <w:bookmarkEnd w:id="175"/>
      <w:bookmarkEnd w:id="176"/>
      <w:bookmarkEnd w:id="177"/>
    </w:p>
    <w:p w14:paraId="6332C6D5">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1.单一来源采购文件；</w:t>
      </w:r>
    </w:p>
    <w:p w14:paraId="2D2095F1">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2.中标人（乙方）的响应文件及其澄清文件；</w:t>
      </w:r>
    </w:p>
    <w:p w14:paraId="684C0B15">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3.招标人发出的《成交通知书》；</w:t>
      </w:r>
    </w:p>
    <w:p w14:paraId="4B2D9FC0">
      <w:pPr>
        <w:widowControl/>
        <w:kinsoku w:val="0"/>
        <w:autoSpaceDE w:val="0"/>
        <w:autoSpaceDN w:val="0"/>
        <w:adjustRightInd w:val="0"/>
        <w:snapToGrid w:val="0"/>
        <w:spacing w:line="360" w:lineRule="auto"/>
        <w:ind w:right="57" w:firstLine="479"/>
        <w:textAlignment w:val="baseline"/>
        <w:rPr>
          <w:rFonts w:asciiTheme="majorEastAsia" w:hAnsiTheme="majorEastAsia" w:eastAsiaTheme="majorEastAsia" w:cstheme="majorEastAsia"/>
          <w:color w:val="auto"/>
          <w:szCs w:val="21"/>
          <w:highlight w:val="none"/>
        </w:rPr>
      </w:pPr>
      <w:r>
        <w:rPr>
          <w:rFonts w:hint="eastAsia" w:ascii="宋体" w:hAnsi="宋体" w:cs="宋体"/>
          <w:bCs/>
          <w:color w:val="auto"/>
          <w:szCs w:val="21"/>
          <w:highlight w:val="none"/>
        </w:rPr>
        <w:t>4.合同书附件</w:t>
      </w:r>
      <w:r>
        <w:rPr>
          <w:rFonts w:hint="eastAsia" w:ascii="宋体" w:hAnsi="宋体" w:cs="宋体"/>
          <w:bCs/>
          <w:color w:val="auto"/>
          <w:sz w:val="24"/>
          <w:highlight w:val="none"/>
        </w:rPr>
        <w:t>。</w:t>
      </w:r>
    </w:p>
    <w:p w14:paraId="35F705EF">
      <w:pPr>
        <w:rPr>
          <w:rFonts w:ascii="宋体" w:hAnsi="宋体" w:cs="宋体"/>
          <w:b/>
          <w:color w:val="auto"/>
          <w:szCs w:val="21"/>
          <w:highlight w:val="none"/>
        </w:rPr>
      </w:pPr>
      <w:r>
        <w:rPr>
          <w:rFonts w:hint="eastAsia" w:ascii="宋体" w:hAnsi="宋体" w:cs="宋体"/>
          <w:b/>
          <w:color w:val="auto"/>
          <w:szCs w:val="21"/>
          <w:highlight w:val="none"/>
        </w:rPr>
        <w:br w:type="page"/>
      </w:r>
    </w:p>
    <w:p w14:paraId="5B7CCF19">
      <w:pPr>
        <w:widowControl/>
        <w:autoSpaceDE w:val="0"/>
        <w:autoSpaceDN w:val="0"/>
        <w:adjustRightInd w:val="0"/>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此页无正文</w:t>
      </w:r>
    </w:p>
    <w:p w14:paraId="2817804C">
      <w:pPr>
        <w:widowControl/>
        <w:autoSpaceDE w:val="0"/>
        <w:autoSpaceDN w:val="0"/>
        <w:adjustRightInd w:val="0"/>
        <w:spacing w:line="500" w:lineRule="exact"/>
        <w:rPr>
          <w:rFonts w:ascii="宋体" w:hAnsi="宋体" w:cs="宋体"/>
          <w:b/>
          <w:color w:val="auto"/>
          <w:szCs w:val="21"/>
          <w:highlight w:val="none"/>
          <w:lang w:val="zh-CN"/>
        </w:rPr>
      </w:pPr>
    </w:p>
    <w:p w14:paraId="66D98A34">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b/>
          <w:color w:val="auto"/>
          <w:szCs w:val="21"/>
          <w:highlight w:val="none"/>
          <w:lang w:val="zh-CN"/>
        </w:rPr>
        <w:t>甲方</w:t>
      </w:r>
      <w:r>
        <w:rPr>
          <w:rFonts w:hint="eastAsia" w:ascii="宋体" w:hAnsi="宋体" w:cs="宋体"/>
          <w:color w:val="auto"/>
          <w:szCs w:val="21"/>
          <w:highlight w:val="none"/>
          <w:lang w:val="zh-CN"/>
        </w:rPr>
        <w:t xml:space="preserve">：                             </w:t>
      </w:r>
      <w:r>
        <w:rPr>
          <w:rFonts w:hint="eastAsia" w:ascii="宋体" w:hAnsi="宋体" w:cs="宋体"/>
          <w:b/>
          <w:color w:val="auto"/>
          <w:szCs w:val="21"/>
          <w:highlight w:val="none"/>
          <w:lang w:val="zh-CN"/>
        </w:rPr>
        <w:t xml:space="preserve">      乙方</w:t>
      </w:r>
      <w:r>
        <w:rPr>
          <w:rFonts w:hint="eastAsia" w:ascii="宋体" w:hAnsi="宋体" w:cs="宋体"/>
          <w:color w:val="auto"/>
          <w:szCs w:val="21"/>
          <w:highlight w:val="none"/>
          <w:lang w:val="zh-CN"/>
        </w:rPr>
        <w:t>：</w:t>
      </w:r>
    </w:p>
    <w:p w14:paraId="72DD7E8F">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统一社会信用代码：                       统一社会信用代码或身份证号码：</w:t>
      </w:r>
    </w:p>
    <w:p w14:paraId="555FEE7C">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住所：                                   住所：</w:t>
      </w:r>
    </w:p>
    <w:p w14:paraId="49EAE6C4">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法定代表人或                             法定代表人</w:t>
      </w:r>
    </w:p>
    <w:p w14:paraId="35787B2E">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 xml:space="preserve">授权代表（签字）：                       或授权代表（签字）： </w:t>
      </w:r>
    </w:p>
    <w:p w14:paraId="11F4145B">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联系人：                                 联系人：</w:t>
      </w:r>
    </w:p>
    <w:p w14:paraId="36260530">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约定送达地址：                           约定送达地址：</w:t>
      </w:r>
    </w:p>
    <w:p w14:paraId="3C5BEF8C">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邮政编码：                               邮政编码：</w:t>
      </w:r>
    </w:p>
    <w:p w14:paraId="6D5EF3EA">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 xml:space="preserve">电话：                                   电话： </w:t>
      </w:r>
    </w:p>
    <w:p w14:paraId="0B99E236">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传真：                                   传真：</w:t>
      </w:r>
    </w:p>
    <w:p w14:paraId="7BEA419C">
      <w:pPr>
        <w:widowControl/>
        <w:autoSpaceDE w:val="0"/>
        <w:autoSpaceDN w:val="0"/>
        <w:adjustRightInd w:val="0"/>
        <w:spacing w:line="500" w:lineRule="exact"/>
        <w:rPr>
          <w:rFonts w:ascii="宋体" w:hAnsi="宋体" w:cs="宋体"/>
          <w:color w:val="auto"/>
          <w:szCs w:val="21"/>
          <w:highlight w:val="none"/>
        </w:rPr>
      </w:pPr>
      <w:r>
        <w:rPr>
          <w:rFonts w:hint="eastAsia" w:ascii="宋体" w:hAnsi="宋体" w:cs="宋体"/>
          <w:color w:val="auto"/>
          <w:szCs w:val="21"/>
          <w:highlight w:val="none"/>
          <w:lang w:val="zh-CN"/>
        </w:rPr>
        <w:t>电子邮箱：                               电子邮箱：</w:t>
      </w:r>
    </w:p>
    <w:p w14:paraId="51D755D6">
      <w:pPr>
        <w:widowControl/>
        <w:autoSpaceDE w:val="0"/>
        <w:autoSpaceDN w:val="0"/>
        <w:adjustRightIn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开户银行：                               开户银行： </w:t>
      </w:r>
    </w:p>
    <w:p w14:paraId="529218E5">
      <w:pPr>
        <w:widowControl/>
        <w:autoSpaceDE w:val="0"/>
        <w:autoSpaceDN w:val="0"/>
        <w:adjustRightIn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开户名称：                               开户名称： </w:t>
      </w:r>
    </w:p>
    <w:p w14:paraId="7447C6E6">
      <w:pPr>
        <w:widowControl/>
        <w:autoSpaceDE w:val="0"/>
        <w:autoSpaceDN w:val="0"/>
        <w:adjustRightInd w:val="0"/>
        <w:spacing w:line="500" w:lineRule="exact"/>
        <w:rPr>
          <w:rFonts w:ascii="宋体" w:hAnsi="宋体" w:cs="宋体"/>
          <w:color w:val="auto"/>
          <w:szCs w:val="21"/>
          <w:highlight w:val="none"/>
        </w:rPr>
      </w:pPr>
      <w:r>
        <w:rPr>
          <w:rFonts w:hint="eastAsia" w:ascii="宋体" w:hAnsi="宋体" w:cs="宋体"/>
          <w:color w:val="auto"/>
          <w:szCs w:val="21"/>
          <w:highlight w:val="none"/>
        </w:rPr>
        <w:t>开户账号：</w:t>
      </w:r>
      <w:r>
        <w:rPr>
          <w:rFonts w:hint="eastAsia" w:ascii="宋体" w:hAnsi="宋体" w:cs="宋体"/>
          <w:color w:val="auto"/>
          <w:szCs w:val="21"/>
          <w:highlight w:val="none"/>
          <w:lang w:val="zh-CN"/>
        </w:rPr>
        <w:t xml:space="preserve">                               </w:t>
      </w:r>
      <w:r>
        <w:rPr>
          <w:rFonts w:hint="eastAsia" w:ascii="宋体" w:hAnsi="宋体" w:cs="宋体"/>
          <w:color w:val="auto"/>
          <w:szCs w:val="21"/>
          <w:highlight w:val="none"/>
        </w:rPr>
        <w:t>开户账号：</w:t>
      </w:r>
    </w:p>
    <w:p w14:paraId="43CEB09E">
      <w:pPr>
        <w:spacing w:line="480" w:lineRule="exact"/>
        <w:jc w:val="left"/>
        <w:rPr>
          <w:rFonts w:hAnsi="宋体"/>
          <w:color w:val="auto"/>
          <w:szCs w:val="21"/>
          <w:highlight w:val="none"/>
        </w:rPr>
      </w:pPr>
      <w:r>
        <w:rPr>
          <w:rFonts w:hAnsi="宋体"/>
          <w:color w:val="auto"/>
          <w:szCs w:val="21"/>
          <w:highlight w:val="none"/>
        </w:rPr>
        <w:br w:type="page"/>
      </w:r>
    </w:p>
    <w:p w14:paraId="24F4271C">
      <w:pPr>
        <w:rPr>
          <w:rFonts w:hAnsi="宋体"/>
          <w:color w:val="auto"/>
          <w:szCs w:val="21"/>
          <w:highlight w:val="none"/>
        </w:rPr>
      </w:pPr>
      <w:bookmarkStart w:id="178" w:name="_Toc489145749"/>
    </w:p>
    <w:p w14:paraId="044A77DA">
      <w:pPr>
        <w:rPr>
          <w:rFonts w:hAnsi="宋体"/>
          <w:color w:val="auto"/>
          <w:szCs w:val="21"/>
          <w:highlight w:val="none"/>
        </w:rPr>
      </w:pPr>
    </w:p>
    <w:p w14:paraId="782F3DE0">
      <w:pPr>
        <w:rPr>
          <w:rFonts w:hAnsi="宋体"/>
          <w:color w:val="auto"/>
          <w:szCs w:val="21"/>
          <w:highlight w:val="none"/>
        </w:rPr>
      </w:pPr>
    </w:p>
    <w:p w14:paraId="1D9D0793">
      <w:pPr>
        <w:rPr>
          <w:rFonts w:hAnsi="宋体"/>
          <w:color w:val="auto"/>
          <w:szCs w:val="21"/>
          <w:highlight w:val="none"/>
        </w:rPr>
      </w:pPr>
    </w:p>
    <w:p w14:paraId="42E38537">
      <w:pPr>
        <w:rPr>
          <w:rFonts w:hAnsi="宋体"/>
          <w:color w:val="auto"/>
          <w:szCs w:val="21"/>
          <w:highlight w:val="none"/>
        </w:rPr>
      </w:pPr>
    </w:p>
    <w:p w14:paraId="4DB1D039">
      <w:pPr>
        <w:rPr>
          <w:rFonts w:hAnsi="宋体"/>
          <w:color w:val="auto"/>
          <w:szCs w:val="21"/>
          <w:highlight w:val="none"/>
        </w:rPr>
      </w:pPr>
    </w:p>
    <w:p w14:paraId="77041973">
      <w:pPr>
        <w:rPr>
          <w:rFonts w:hAnsi="宋体"/>
          <w:color w:val="auto"/>
          <w:szCs w:val="21"/>
          <w:highlight w:val="none"/>
        </w:rPr>
      </w:pPr>
    </w:p>
    <w:p w14:paraId="3A9F8797">
      <w:pPr>
        <w:rPr>
          <w:rFonts w:hAnsi="宋体"/>
          <w:color w:val="auto"/>
          <w:szCs w:val="21"/>
          <w:highlight w:val="none"/>
        </w:rPr>
      </w:pPr>
    </w:p>
    <w:p w14:paraId="2B0FD2E8">
      <w:pPr>
        <w:rPr>
          <w:rFonts w:hAnsi="宋体"/>
          <w:color w:val="auto"/>
          <w:szCs w:val="21"/>
          <w:highlight w:val="none"/>
        </w:rPr>
      </w:pPr>
    </w:p>
    <w:p w14:paraId="2D86E630">
      <w:pPr>
        <w:rPr>
          <w:rFonts w:hAnsi="宋体"/>
          <w:color w:val="auto"/>
          <w:szCs w:val="21"/>
          <w:highlight w:val="none"/>
        </w:rPr>
      </w:pPr>
    </w:p>
    <w:p w14:paraId="6FFEA046">
      <w:pPr>
        <w:rPr>
          <w:rFonts w:hAnsi="宋体"/>
          <w:color w:val="auto"/>
          <w:szCs w:val="21"/>
          <w:highlight w:val="none"/>
        </w:rPr>
      </w:pPr>
    </w:p>
    <w:p w14:paraId="011EE7DE">
      <w:pPr>
        <w:rPr>
          <w:rFonts w:hAnsi="宋体"/>
          <w:color w:val="auto"/>
          <w:szCs w:val="21"/>
          <w:highlight w:val="none"/>
        </w:rPr>
      </w:pPr>
    </w:p>
    <w:p w14:paraId="7344533D">
      <w:pPr>
        <w:rPr>
          <w:rFonts w:hAnsi="宋体"/>
          <w:color w:val="auto"/>
          <w:szCs w:val="21"/>
          <w:highlight w:val="none"/>
        </w:rPr>
      </w:pPr>
    </w:p>
    <w:p w14:paraId="1E8E3C27">
      <w:pPr>
        <w:rPr>
          <w:rFonts w:hAnsi="宋体"/>
          <w:color w:val="auto"/>
          <w:szCs w:val="21"/>
          <w:highlight w:val="none"/>
        </w:rPr>
      </w:pPr>
    </w:p>
    <w:p w14:paraId="332CE711">
      <w:pPr>
        <w:rPr>
          <w:rFonts w:hAnsi="宋体"/>
          <w:color w:val="auto"/>
          <w:szCs w:val="21"/>
          <w:highlight w:val="none"/>
        </w:rPr>
      </w:pPr>
    </w:p>
    <w:p w14:paraId="50C383C7">
      <w:pPr>
        <w:rPr>
          <w:rFonts w:hAnsi="宋体"/>
          <w:color w:val="auto"/>
          <w:szCs w:val="21"/>
          <w:highlight w:val="none"/>
        </w:rPr>
      </w:pPr>
    </w:p>
    <w:p w14:paraId="73E2AAF8">
      <w:pPr>
        <w:rPr>
          <w:rFonts w:hAnsi="宋体"/>
          <w:color w:val="auto"/>
          <w:szCs w:val="21"/>
          <w:highlight w:val="none"/>
        </w:rPr>
      </w:pPr>
    </w:p>
    <w:p w14:paraId="2F81EDFB">
      <w:pPr>
        <w:rPr>
          <w:rFonts w:hAnsi="宋体"/>
          <w:color w:val="auto"/>
          <w:szCs w:val="21"/>
          <w:highlight w:val="none"/>
        </w:rPr>
      </w:pPr>
    </w:p>
    <w:p w14:paraId="5F7A8953">
      <w:pPr>
        <w:rPr>
          <w:color w:val="auto"/>
          <w:highlight w:val="none"/>
        </w:rPr>
      </w:pPr>
    </w:p>
    <w:p w14:paraId="6C3B8D06">
      <w:pPr>
        <w:rPr>
          <w:color w:val="auto"/>
          <w:highlight w:val="none"/>
        </w:rPr>
      </w:pPr>
    </w:p>
    <w:p w14:paraId="45A69B72">
      <w:pPr>
        <w:rPr>
          <w:color w:val="auto"/>
          <w:highlight w:val="none"/>
        </w:rPr>
      </w:pPr>
    </w:p>
    <w:p w14:paraId="2EA89AAC">
      <w:pPr>
        <w:pStyle w:val="2"/>
        <w:rPr>
          <w:rFonts w:hAnsi="宋体"/>
          <w:color w:val="auto"/>
          <w:szCs w:val="21"/>
          <w:highlight w:val="none"/>
        </w:rPr>
      </w:pPr>
      <w:bookmarkStart w:id="179" w:name="_Toc30120"/>
      <w:r>
        <w:rPr>
          <w:rFonts w:hint="eastAsia" w:hAnsi="宋体"/>
          <w:color w:val="auto"/>
          <w:szCs w:val="21"/>
          <w:highlight w:val="none"/>
        </w:rPr>
        <w:t>第四章</w:t>
      </w:r>
      <w:r>
        <w:rPr>
          <w:rFonts w:hAnsi="宋体"/>
          <w:color w:val="auto"/>
          <w:szCs w:val="21"/>
          <w:highlight w:val="none"/>
        </w:rPr>
        <w:t xml:space="preserve">  </w:t>
      </w:r>
      <w:r>
        <w:rPr>
          <w:rFonts w:hint="eastAsia" w:hAnsi="宋体"/>
          <w:color w:val="auto"/>
          <w:szCs w:val="21"/>
          <w:highlight w:val="none"/>
        </w:rPr>
        <w:t>响应文件格式</w:t>
      </w:r>
      <w:bookmarkEnd w:id="178"/>
      <w:bookmarkEnd w:id="179"/>
    </w:p>
    <w:p w14:paraId="2689D75E">
      <w:pPr>
        <w:widowControl/>
        <w:rPr>
          <w:rFonts w:ascii="宋体"/>
          <w:b/>
          <w:color w:val="auto"/>
          <w:sz w:val="44"/>
          <w:szCs w:val="44"/>
          <w:highlight w:val="none"/>
        </w:rPr>
      </w:pPr>
      <w:r>
        <w:rPr>
          <w:rFonts w:ascii="宋体"/>
          <w:b/>
          <w:color w:val="auto"/>
          <w:sz w:val="44"/>
          <w:szCs w:val="44"/>
          <w:highlight w:val="none"/>
        </w:rPr>
        <w:br w:type="page"/>
      </w:r>
    </w:p>
    <w:p w14:paraId="41F0E185">
      <w:pPr>
        <w:pStyle w:val="4"/>
        <w:ind w:left="425"/>
        <w:jc w:val="center"/>
        <w:rPr>
          <w:rFonts w:ascii="宋体"/>
          <w:color w:val="auto"/>
          <w:highlight w:val="none"/>
        </w:rPr>
      </w:pPr>
      <w:bookmarkStart w:id="180" w:name="_Toc22005"/>
      <w:bookmarkStart w:id="181" w:name="_Toc489145763"/>
      <w:bookmarkStart w:id="182" w:name="_Toc213141103"/>
      <w:bookmarkStart w:id="183" w:name="_Toc29073"/>
      <w:bookmarkStart w:id="184" w:name="_Toc481694856"/>
      <w:bookmarkStart w:id="185" w:name="_Toc489197867"/>
      <w:bookmarkStart w:id="186" w:name="_Toc488633628"/>
      <w:bookmarkStart w:id="187" w:name="_Toc17715"/>
      <w:r>
        <w:rPr>
          <w:rFonts w:hint="eastAsia" w:ascii="宋体" w:hAnsi="宋体"/>
          <w:color w:val="auto"/>
          <w:highlight w:val="none"/>
        </w:rPr>
        <w:t>一、资格证明文件</w:t>
      </w:r>
      <w:bookmarkEnd w:id="180"/>
      <w:bookmarkEnd w:id="181"/>
      <w:bookmarkEnd w:id="182"/>
      <w:bookmarkEnd w:id="183"/>
      <w:bookmarkEnd w:id="184"/>
      <w:bookmarkEnd w:id="185"/>
      <w:bookmarkEnd w:id="186"/>
      <w:bookmarkEnd w:id="187"/>
    </w:p>
    <w:p w14:paraId="689CF25F">
      <w:pPr>
        <w:keepNext/>
        <w:keepLines/>
        <w:spacing w:after="120" w:line="360" w:lineRule="auto"/>
        <w:jc w:val="left"/>
        <w:outlineLvl w:val="1"/>
        <w:rPr>
          <w:rFonts w:ascii="宋体" w:hAnsi="宋体" w:cs="宋体"/>
          <w:b/>
          <w:snapToGrid w:val="0"/>
          <w:color w:val="auto"/>
          <w:kern w:val="21"/>
          <w:sz w:val="28"/>
          <w:szCs w:val="28"/>
          <w:highlight w:val="none"/>
        </w:rPr>
      </w:pPr>
      <w:bookmarkStart w:id="188" w:name="_Toc4800"/>
      <w:bookmarkStart w:id="189" w:name="_Toc29962"/>
      <w:r>
        <w:rPr>
          <w:rFonts w:hint="eastAsia" w:ascii="宋体" w:hAnsi="宋体" w:cs="宋体"/>
          <w:b/>
          <w:snapToGrid w:val="0"/>
          <w:color w:val="auto"/>
          <w:kern w:val="21"/>
          <w:sz w:val="28"/>
          <w:szCs w:val="28"/>
          <w:highlight w:val="none"/>
        </w:rPr>
        <w:t>格式1</w:t>
      </w:r>
      <w:bookmarkEnd w:id="188"/>
      <w:bookmarkEnd w:id="189"/>
    </w:p>
    <w:p w14:paraId="2081E32C">
      <w:pPr>
        <w:keepNext/>
        <w:keepLines/>
        <w:spacing w:after="120" w:line="360" w:lineRule="auto"/>
        <w:jc w:val="center"/>
        <w:outlineLvl w:val="1"/>
        <w:rPr>
          <w:rFonts w:ascii="宋体" w:hAnsi="宋体" w:cs="宋体"/>
          <w:b/>
          <w:snapToGrid w:val="0"/>
          <w:color w:val="auto"/>
          <w:kern w:val="21"/>
          <w:sz w:val="28"/>
          <w:szCs w:val="28"/>
          <w:highlight w:val="none"/>
        </w:rPr>
      </w:pPr>
      <w:bookmarkStart w:id="190" w:name="_Toc9717"/>
      <w:bookmarkStart w:id="191" w:name="_Toc12167"/>
      <w:r>
        <w:rPr>
          <w:rFonts w:hint="eastAsia" w:ascii="宋体" w:hAnsi="宋体" w:cs="宋体"/>
          <w:b/>
          <w:snapToGrid w:val="0"/>
          <w:color w:val="auto"/>
          <w:kern w:val="21"/>
          <w:sz w:val="28"/>
          <w:szCs w:val="28"/>
          <w:highlight w:val="none"/>
        </w:rPr>
        <w:t>资格证明文件</w:t>
      </w:r>
      <w:bookmarkEnd w:id="190"/>
      <w:bookmarkEnd w:id="191"/>
    </w:p>
    <w:p w14:paraId="12C8BBFB">
      <w:pPr>
        <w:pStyle w:val="20"/>
        <w:spacing w:line="360" w:lineRule="auto"/>
        <w:rPr>
          <w:color w:val="auto"/>
          <w:szCs w:val="21"/>
          <w:highlight w:val="none"/>
        </w:rPr>
      </w:pPr>
      <w:r>
        <w:rPr>
          <w:rFonts w:hint="eastAsia"/>
          <w:color w:val="auto"/>
          <w:szCs w:val="21"/>
          <w:highlight w:val="none"/>
        </w:rPr>
        <w:t>1.供应商应填写和提交下述规定的有关资料。</w:t>
      </w:r>
    </w:p>
    <w:p w14:paraId="20477FDE">
      <w:pPr>
        <w:pStyle w:val="20"/>
        <w:spacing w:line="360" w:lineRule="auto"/>
        <w:rPr>
          <w:color w:val="auto"/>
          <w:szCs w:val="21"/>
          <w:highlight w:val="none"/>
        </w:rPr>
      </w:pPr>
      <w:r>
        <w:rPr>
          <w:rFonts w:hint="eastAsia"/>
          <w:color w:val="auto"/>
          <w:szCs w:val="21"/>
          <w:highlight w:val="none"/>
        </w:rPr>
        <w:t>2.所附格式要求填写的全部内容都必须填写。</w:t>
      </w:r>
    </w:p>
    <w:p w14:paraId="52B45EEA">
      <w:pPr>
        <w:pStyle w:val="20"/>
        <w:spacing w:line="360" w:lineRule="auto"/>
        <w:rPr>
          <w:color w:val="auto"/>
          <w:szCs w:val="21"/>
          <w:highlight w:val="none"/>
        </w:rPr>
      </w:pPr>
      <w:r>
        <w:rPr>
          <w:rFonts w:hint="eastAsia"/>
          <w:color w:val="auto"/>
          <w:szCs w:val="21"/>
          <w:highlight w:val="none"/>
        </w:rPr>
        <w:t>3.供应商应保证全部声明和填写的内容是真实的和正确的。</w:t>
      </w:r>
    </w:p>
    <w:p w14:paraId="482BD4D8">
      <w:pPr>
        <w:pStyle w:val="20"/>
        <w:tabs>
          <w:tab w:val="left" w:pos="0"/>
        </w:tabs>
        <w:spacing w:line="360" w:lineRule="auto"/>
        <w:rPr>
          <w:color w:val="auto"/>
          <w:szCs w:val="21"/>
          <w:highlight w:val="none"/>
        </w:rPr>
      </w:pPr>
      <w:r>
        <w:rPr>
          <w:rFonts w:hint="eastAsia"/>
          <w:color w:val="auto"/>
          <w:szCs w:val="21"/>
          <w:highlight w:val="none"/>
        </w:rPr>
        <w:t>4.供应商提交的材料将被保密，但不退还。</w:t>
      </w:r>
    </w:p>
    <w:p w14:paraId="65D81605">
      <w:pPr>
        <w:widowControl/>
        <w:jc w:val="left"/>
        <w:rPr>
          <w:rFonts w:hAnsi="宋体"/>
          <w:b/>
          <w:color w:val="auto"/>
          <w:sz w:val="28"/>
          <w:szCs w:val="28"/>
          <w:highlight w:val="none"/>
        </w:rPr>
      </w:pPr>
      <w:r>
        <w:rPr>
          <w:rFonts w:hAnsi="宋体"/>
          <w:b/>
          <w:color w:val="auto"/>
          <w:sz w:val="28"/>
          <w:szCs w:val="28"/>
          <w:highlight w:val="none"/>
        </w:rPr>
        <w:br w:type="page"/>
      </w:r>
      <w:r>
        <w:rPr>
          <w:rFonts w:hint="eastAsia" w:ascii="宋体" w:hAnsi="宋体" w:cs="宋体"/>
          <w:b/>
          <w:color w:val="auto"/>
          <w:sz w:val="32"/>
          <w:szCs w:val="32"/>
          <w:highlight w:val="none"/>
        </w:rPr>
        <w:t>格式1-1</w:t>
      </w:r>
    </w:p>
    <w:p w14:paraId="176DC1A3">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具有独立承担民事责任的能力：供应商必须是独立法人或其他组织，能独立承担民事责任，须提供法人或者其他组织的营业执照（事业单位法人证书）等证明文件；若为自然人的，提供自然人的身份证明（扫描件加盖供应商电子公章）；</w:t>
      </w:r>
    </w:p>
    <w:p w14:paraId="167965A9">
      <w:pPr>
        <w:widowControl/>
        <w:spacing w:line="440" w:lineRule="exact"/>
        <w:jc w:val="left"/>
        <w:rPr>
          <w:rFonts w:ascii="宋体" w:hAnsi="宋体" w:cs="宋体"/>
          <w:b/>
          <w:color w:val="auto"/>
          <w:kern w:val="0"/>
          <w:sz w:val="24"/>
          <w:szCs w:val="24"/>
          <w:highlight w:val="none"/>
        </w:rPr>
      </w:pPr>
    </w:p>
    <w:p w14:paraId="2B9BBDE3">
      <w:pPr>
        <w:widowControl/>
        <w:spacing w:line="440" w:lineRule="exact"/>
        <w:jc w:val="left"/>
        <w:rPr>
          <w:rFonts w:hint="eastAsia" w:ascii="宋体" w:hAnsi="宋体" w:cs="宋体"/>
          <w:b/>
          <w:color w:val="auto"/>
          <w:sz w:val="32"/>
          <w:szCs w:val="32"/>
          <w:highlight w:val="none"/>
        </w:rPr>
      </w:pPr>
    </w:p>
    <w:p w14:paraId="48F0B3AB">
      <w:pPr>
        <w:widowControl/>
        <w:spacing w:line="440" w:lineRule="exact"/>
        <w:jc w:val="left"/>
        <w:rPr>
          <w:rFonts w:hAnsi="宋体"/>
          <w:b/>
          <w:color w:val="auto"/>
          <w:sz w:val="28"/>
          <w:szCs w:val="28"/>
          <w:highlight w:val="none"/>
        </w:rPr>
      </w:pPr>
      <w:r>
        <w:rPr>
          <w:rFonts w:hint="eastAsia" w:ascii="宋体" w:hAnsi="宋体" w:cs="宋体"/>
          <w:b/>
          <w:color w:val="auto"/>
          <w:sz w:val="32"/>
          <w:szCs w:val="32"/>
          <w:highlight w:val="none"/>
        </w:rPr>
        <w:t>格式1-2</w:t>
      </w:r>
    </w:p>
    <w:p w14:paraId="4E7BA012">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供应商须具有良好的商业信誉和健全的财务会计制度：提供供应商2023年至今任意一年度经第三方审计的财务报告及报表（报表至少应包括资产负债表、利润表（损益表）、现金流量表）或提供自提交响应文件截止时间前三个月内基本开户银行出具的资信证明（扫描件加盖供应商电子公章）；供应商成立不足一年的，可提供自成立至今的财务报表或提供自提交响应文件截止时间前三个月内基本开户银行出具的资信证明（扫描件加盖供应商电子公章）；</w:t>
      </w:r>
    </w:p>
    <w:p w14:paraId="79A44EEA">
      <w:pPr>
        <w:widowControl/>
        <w:spacing w:line="440" w:lineRule="exact"/>
        <w:jc w:val="left"/>
        <w:rPr>
          <w:rFonts w:ascii="宋体" w:hAnsi="宋体" w:cs="宋体"/>
          <w:b/>
          <w:color w:val="auto"/>
          <w:sz w:val="32"/>
          <w:szCs w:val="32"/>
          <w:highlight w:val="none"/>
        </w:rPr>
      </w:pPr>
    </w:p>
    <w:p w14:paraId="068291C4">
      <w:pPr>
        <w:widowControl/>
        <w:spacing w:line="440" w:lineRule="exact"/>
        <w:jc w:val="left"/>
        <w:rPr>
          <w:rFonts w:hint="eastAsia" w:ascii="宋体" w:hAnsi="宋体" w:cs="宋体"/>
          <w:b/>
          <w:color w:val="auto"/>
          <w:sz w:val="32"/>
          <w:szCs w:val="32"/>
          <w:highlight w:val="none"/>
        </w:rPr>
      </w:pPr>
    </w:p>
    <w:p w14:paraId="74C243D9">
      <w:pPr>
        <w:widowControl/>
        <w:spacing w:line="440" w:lineRule="exact"/>
        <w:jc w:val="left"/>
        <w:rPr>
          <w:rFonts w:hAnsi="宋体"/>
          <w:b/>
          <w:color w:val="auto"/>
          <w:sz w:val="28"/>
          <w:szCs w:val="28"/>
          <w:highlight w:val="none"/>
        </w:rPr>
      </w:pPr>
      <w:r>
        <w:rPr>
          <w:rFonts w:hint="eastAsia" w:ascii="宋体" w:hAnsi="宋体" w:cs="宋体"/>
          <w:b/>
          <w:color w:val="auto"/>
          <w:sz w:val="32"/>
          <w:szCs w:val="32"/>
          <w:highlight w:val="none"/>
        </w:rPr>
        <w:t>格式1-3</w:t>
      </w:r>
    </w:p>
    <w:p w14:paraId="47E495B4">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具有履行合同所必需的设备和专业技术能力：提供供应商具有履行合同所必需的设备和专业技术能力证明材料或书面声明（扫描件加盖供应商电子公章）；</w:t>
      </w:r>
    </w:p>
    <w:p w14:paraId="6851B643">
      <w:pPr>
        <w:widowControl/>
        <w:spacing w:line="440" w:lineRule="exact"/>
        <w:jc w:val="left"/>
        <w:rPr>
          <w:rFonts w:ascii="宋体" w:hAnsi="宋体" w:cs="宋体"/>
          <w:b/>
          <w:color w:val="auto"/>
          <w:kern w:val="0"/>
          <w:sz w:val="24"/>
          <w:szCs w:val="24"/>
          <w:highlight w:val="none"/>
        </w:rPr>
      </w:pPr>
    </w:p>
    <w:p w14:paraId="6641DA33">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308DAB90">
      <w:pPr>
        <w:widowControl/>
        <w:spacing w:line="440" w:lineRule="exact"/>
        <w:jc w:val="left"/>
        <w:rPr>
          <w:rFonts w:hAnsi="宋体"/>
          <w:b/>
          <w:color w:val="auto"/>
          <w:sz w:val="28"/>
          <w:szCs w:val="28"/>
          <w:highlight w:val="none"/>
        </w:rPr>
      </w:pPr>
      <w:r>
        <w:rPr>
          <w:rFonts w:hint="eastAsia" w:ascii="宋体" w:hAnsi="宋体" w:cs="宋体"/>
          <w:b/>
          <w:color w:val="auto"/>
          <w:sz w:val="32"/>
          <w:szCs w:val="32"/>
          <w:highlight w:val="none"/>
        </w:rPr>
        <w:t>格式1-4</w:t>
      </w:r>
    </w:p>
    <w:p w14:paraId="4FDBCCB3">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供应商须具有依法缴纳税收和社会保障资金的良好记录：</w:t>
      </w:r>
    </w:p>
    <w:p w14:paraId="192C7D04">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提供供应商缴税所属时间在2025年01月至本项目提交响应文件截止时间前任意2个月的税务局税收通用缴款书或银行电子缴税（费）凭证或税务局出具纳税情况的相关证明，依法免税或免缴的，应提供相关证明文件（扫描件加盖供应商电子公章）或说明（加盖供应商电子公章），新成立未满一年的供应商，依法免税或免缴的，应提供相关证明文件（扫描件加盖供应商电子公章）或说明（加盖供应商电子公章）；</w:t>
      </w:r>
    </w:p>
    <w:p w14:paraId="15521556">
      <w:pPr>
        <w:widowControl/>
        <w:spacing w:line="440" w:lineRule="exact"/>
        <w:jc w:val="left"/>
        <w:rPr>
          <w:rFonts w:hAnsi="宋体"/>
          <w:b/>
          <w:color w:val="auto"/>
          <w:sz w:val="28"/>
          <w:szCs w:val="28"/>
          <w:highlight w:val="none"/>
        </w:rPr>
      </w:pPr>
      <w:r>
        <w:rPr>
          <w:rFonts w:hint="eastAsia" w:ascii="宋体" w:hAnsi="宋体" w:cs="宋体"/>
          <w:b/>
          <w:color w:val="auto"/>
          <w:kern w:val="0"/>
          <w:sz w:val="24"/>
          <w:szCs w:val="24"/>
          <w:highlight w:val="none"/>
        </w:rPr>
        <w:t>2.提供供应商缴费所属时间在2025年01月至本项目提交响应文件截止时间前任意2个月的社会保险费缴款书或银行电子缴税（费）凭证或社保管理部门出具的有效的缴款证明，依法免缴的，应提供依法免缴的相关证明文件（扫描件加盖供应商电子公章）或说明（加盖供应商电子公章），新成立未满一年的供应商，依法免缴的，应提供依法免缴的相关证明文件（扫描件加盖供应商电子公章）或说明（加盖供应商电子公章）；</w:t>
      </w:r>
    </w:p>
    <w:p w14:paraId="523B273C">
      <w:pPr>
        <w:widowControl/>
        <w:spacing w:line="440" w:lineRule="exact"/>
        <w:jc w:val="left"/>
        <w:rPr>
          <w:rFonts w:hAnsi="宋体"/>
          <w:b/>
          <w:color w:val="auto"/>
          <w:sz w:val="28"/>
          <w:szCs w:val="28"/>
          <w:highlight w:val="none"/>
        </w:rPr>
      </w:pPr>
    </w:p>
    <w:p w14:paraId="5F89C044">
      <w:pPr>
        <w:widowControl/>
        <w:spacing w:line="440" w:lineRule="exact"/>
        <w:jc w:val="left"/>
        <w:rPr>
          <w:rFonts w:hint="eastAsia" w:ascii="宋体" w:hAnsi="宋体" w:cs="宋体"/>
          <w:b/>
          <w:color w:val="auto"/>
          <w:sz w:val="32"/>
          <w:szCs w:val="32"/>
          <w:highlight w:val="none"/>
        </w:rPr>
      </w:pPr>
    </w:p>
    <w:p w14:paraId="6348FC5E">
      <w:pPr>
        <w:widowControl/>
        <w:spacing w:line="440" w:lineRule="exact"/>
        <w:jc w:val="left"/>
        <w:rPr>
          <w:rFonts w:hAnsi="宋体"/>
          <w:b/>
          <w:color w:val="auto"/>
          <w:sz w:val="28"/>
          <w:szCs w:val="28"/>
          <w:highlight w:val="none"/>
        </w:rPr>
      </w:pPr>
      <w:r>
        <w:rPr>
          <w:rFonts w:hint="eastAsia" w:ascii="宋体" w:hAnsi="宋体" w:cs="宋体"/>
          <w:b/>
          <w:color w:val="auto"/>
          <w:sz w:val="32"/>
          <w:szCs w:val="32"/>
          <w:highlight w:val="none"/>
        </w:rPr>
        <w:t>格式1-5</w:t>
      </w:r>
    </w:p>
    <w:p w14:paraId="675FA917">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扫描件加盖供应商电子公章）；</w:t>
      </w:r>
    </w:p>
    <w:p w14:paraId="2E814404">
      <w:pPr>
        <w:widowControl/>
        <w:spacing w:line="440" w:lineRule="exact"/>
        <w:jc w:val="left"/>
        <w:rPr>
          <w:rFonts w:ascii="宋体" w:hAnsi="宋体" w:cs="宋体"/>
          <w:b/>
          <w:color w:val="auto"/>
          <w:sz w:val="32"/>
          <w:szCs w:val="32"/>
          <w:highlight w:val="none"/>
        </w:rPr>
      </w:pPr>
    </w:p>
    <w:p w14:paraId="7CFACAAB">
      <w:pPr>
        <w:widowControl/>
        <w:spacing w:line="440" w:lineRule="exact"/>
        <w:jc w:val="left"/>
        <w:rPr>
          <w:rFonts w:hint="eastAsia" w:ascii="宋体" w:hAnsi="宋体" w:cs="宋体"/>
          <w:b/>
          <w:color w:val="auto"/>
          <w:sz w:val="32"/>
          <w:szCs w:val="32"/>
          <w:highlight w:val="none"/>
        </w:rPr>
      </w:pPr>
    </w:p>
    <w:p w14:paraId="19CB145D">
      <w:pPr>
        <w:widowControl/>
        <w:spacing w:line="44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格式1-6</w:t>
      </w:r>
    </w:p>
    <w:p w14:paraId="03CD6F1A">
      <w:pPr>
        <w:widowControl/>
        <w:spacing w:line="440" w:lineRule="exact"/>
        <w:jc w:val="left"/>
        <w:rPr>
          <w:color w:val="auto"/>
          <w:highlight w:val="none"/>
        </w:rPr>
      </w:pPr>
      <w:r>
        <w:rPr>
          <w:rFonts w:hint="eastAsia" w:ascii="宋体" w:hAnsi="宋体" w:cs="宋体"/>
          <w:b/>
          <w:color w:val="auto"/>
          <w:kern w:val="0"/>
          <w:sz w:val="24"/>
          <w:szCs w:val="24"/>
          <w:highlight w:val="none"/>
        </w:rPr>
        <w:t>法律、行政法规规定的其他条件：单位负责人为同一人或者存在直接控股、管理关系的不同申请人，不得同时参与本项目的采购活动。为本项目提供过整体设计、规范编制或者项目管理、监理、检测等服务的供应商，不得再参加本次采购活动（提供承诺函加盖供应商电子公章）；</w:t>
      </w:r>
    </w:p>
    <w:p w14:paraId="585DE0A5">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07539346">
      <w:pPr>
        <w:rPr>
          <w:rFonts w:ascii="宋体" w:hAnsi="宋体" w:cs="宋体"/>
          <w:b/>
          <w:color w:val="auto"/>
          <w:sz w:val="32"/>
          <w:szCs w:val="32"/>
          <w:highlight w:val="none"/>
        </w:rPr>
      </w:pPr>
      <w:r>
        <w:rPr>
          <w:rFonts w:hint="eastAsia" w:ascii="宋体" w:hAnsi="宋体" w:cs="宋体"/>
          <w:b/>
          <w:color w:val="auto"/>
          <w:sz w:val="32"/>
          <w:szCs w:val="32"/>
          <w:highlight w:val="none"/>
        </w:rPr>
        <w:t>格式1-7</w:t>
      </w:r>
    </w:p>
    <w:p w14:paraId="39F051FB">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落实政府采购政策需满足的资格要求：</w:t>
      </w:r>
      <w:r>
        <w:rPr>
          <w:rFonts w:hint="eastAsia" w:ascii="宋体" w:hAnsi="宋体" w:cs="宋体"/>
          <w:b/>
          <w:color w:val="auto"/>
          <w:kern w:val="0"/>
          <w:sz w:val="24"/>
          <w:szCs w:val="24"/>
          <w:highlight w:val="none"/>
          <w:lang w:eastAsia="zh-CN"/>
        </w:rPr>
        <w:t>本项目专门面向</w:t>
      </w:r>
      <w:r>
        <w:rPr>
          <w:rFonts w:hint="eastAsia" w:ascii="宋体" w:hAnsi="宋体" w:cs="宋体"/>
          <w:b/>
          <w:color w:val="auto"/>
          <w:kern w:val="0"/>
          <w:sz w:val="24"/>
          <w:szCs w:val="24"/>
          <w:highlight w:val="none"/>
          <w:lang w:val="en-US" w:eastAsia="zh-CN"/>
        </w:rPr>
        <w:t>中小</w:t>
      </w:r>
      <w:r>
        <w:rPr>
          <w:rFonts w:hint="eastAsia" w:ascii="宋体" w:hAnsi="宋体" w:cs="宋体"/>
          <w:b/>
          <w:color w:val="auto"/>
          <w:kern w:val="0"/>
          <w:sz w:val="24"/>
          <w:szCs w:val="24"/>
          <w:highlight w:val="none"/>
          <w:lang w:eastAsia="zh-CN"/>
        </w:rPr>
        <w:t>企业采购，根据《政府采购促进中小企业发展管理办法》（财库〔2020〕46号）要求，供应商必须为</w:t>
      </w:r>
      <w:r>
        <w:rPr>
          <w:rFonts w:hint="eastAsia" w:ascii="宋体" w:hAnsi="宋体" w:cs="宋体"/>
          <w:b/>
          <w:color w:val="auto"/>
          <w:kern w:val="0"/>
          <w:sz w:val="24"/>
          <w:szCs w:val="24"/>
          <w:highlight w:val="none"/>
          <w:lang w:val="en-US" w:eastAsia="zh-CN"/>
        </w:rPr>
        <w:t>中</w:t>
      </w:r>
      <w:r>
        <w:rPr>
          <w:rFonts w:hint="eastAsia" w:ascii="宋体" w:hAnsi="宋体" w:cs="宋体"/>
          <w:b/>
          <w:color w:val="auto"/>
          <w:kern w:val="0"/>
          <w:sz w:val="24"/>
          <w:szCs w:val="24"/>
          <w:highlight w:val="none"/>
          <w:lang w:eastAsia="zh-CN"/>
        </w:rPr>
        <w:t>小微企业（监狱企业、残疾人福利性单位视同小微企业），本项目采购标的对应所属行业为修理和其他服务业，符合条件的供应商应根据《关于印发中小企业划型标准规定的通知》中其他未列明行业划型标准进行划型</w:t>
      </w:r>
      <w:r>
        <w:rPr>
          <w:rFonts w:hint="eastAsia" w:ascii="宋体" w:hAnsi="宋体" w:cs="宋体"/>
          <w:b/>
          <w:color w:val="auto"/>
          <w:kern w:val="0"/>
          <w:sz w:val="24"/>
          <w:szCs w:val="24"/>
          <w:highlight w:val="none"/>
        </w:rPr>
        <w:t>；</w:t>
      </w:r>
    </w:p>
    <w:p w14:paraId="48D04335">
      <w:pPr>
        <w:rPr>
          <w:rFonts w:ascii="宋体" w:hAnsi="宋体" w:cs="宋体"/>
          <w:b/>
          <w:color w:val="auto"/>
          <w:sz w:val="28"/>
          <w:highlight w:val="none"/>
        </w:rPr>
      </w:pPr>
      <w:bookmarkStart w:id="192" w:name="_Toc15971"/>
    </w:p>
    <w:p w14:paraId="1699D878">
      <w:pPr>
        <w:widowControl/>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格式1-7-1</w:t>
      </w:r>
    </w:p>
    <w:p w14:paraId="71C17A2E">
      <w:pPr>
        <w:keepNext/>
        <w:keepLines/>
        <w:spacing w:before="240" w:line="400" w:lineRule="exact"/>
        <w:ind w:left="425"/>
        <w:jc w:val="center"/>
        <w:outlineLvl w:val="0"/>
        <w:rPr>
          <w:rFonts w:ascii="Arial" w:hAnsi="Arial" w:cs="宋体"/>
          <w:b/>
          <w:color w:val="auto"/>
          <w:spacing w:val="40"/>
          <w:szCs w:val="21"/>
          <w:highlight w:val="none"/>
        </w:rPr>
      </w:pPr>
      <w:bookmarkStart w:id="193" w:name="_Toc30859"/>
      <w:bookmarkStart w:id="194" w:name="_Toc11786"/>
      <w:r>
        <w:rPr>
          <w:rFonts w:hint="eastAsia" w:ascii="宋体" w:hAnsi="宋体"/>
          <w:b/>
          <w:color w:val="auto"/>
          <w:spacing w:val="40"/>
          <w:sz w:val="32"/>
          <w:szCs w:val="32"/>
          <w:highlight w:val="none"/>
        </w:rPr>
        <w:t>中小企业声明函</w:t>
      </w:r>
      <w:bookmarkEnd w:id="193"/>
      <w:bookmarkEnd w:id="194"/>
    </w:p>
    <w:p w14:paraId="0BD93F41">
      <w:pPr>
        <w:widowControl/>
        <w:spacing w:line="360" w:lineRule="auto"/>
        <w:ind w:firstLine="420" w:firstLineChars="200"/>
        <w:jc w:val="left"/>
        <w:rPr>
          <w:rFonts w:ascii="宋体" w:hAnsi="宋体" w:cs="宋体"/>
          <w:bCs/>
          <w:color w:val="auto"/>
          <w:szCs w:val="21"/>
          <w:highlight w:val="none"/>
        </w:rPr>
      </w:pPr>
      <w:bookmarkStart w:id="195" w:name="_Toc419059324"/>
      <w:r>
        <w:rPr>
          <w:rFonts w:hint="eastAsia" w:ascii="宋体" w:hAnsi="宋体" w:cs="宋体"/>
          <w:bCs/>
          <w:snapToGrid w:val="0"/>
          <w:color w:val="auto"/>
          <w:kern w:val="0"/>
          <w:szCs w:val="21"/>
          <w:highlight w:val="none"/>
          <w:lang w:bidi="ar"/>
        </w:rPr>
        <w:t>本公司（联合体）郑重声明，根据《政府采购促进中小企业发展管理办法》（财库﹝2020﹞46 号）的规定，本公司（联合体）参加</w:t>
      </w:r>
      <w:r>
        <w:rPr>
          <w:rFonts w:hint="eastAsia" w:ascii="宋体" w:hAnsi="宋体" w:cs="宋体"/>
          <w:bCs/>
          <w:snapToGrid w:val="0"/>
          <w:color w:val="auto"/>
          <w:kern w:val="0"/>
          <w:szCs w:val="21"/>
          <w:highlight w:val="none"/>
          <w:u w:val="single"/>
          <w:lang w:bidi="ar"/>
        </w:rPr>
        <w:t xml:space="preserve"> 云南省基础测绘技术中心 </w:t>
      </w:r>
      <w:r>
        <w:rPr>
          <w:rFonts w:hint="eastAsia" w:ascii="宋体" w:hAnsi="宋体" w:cs="宋体"/>
          <w:bCs/>
          <w:snapToGrid w:val="0"/>
          <w:color w:val="auto"/>
          <w:kern w:val="0"/>
          <w:szCs w:val="21"/>
          <w:highlight w:val="none"/>
          <w:lang w:bidi="ar"/>
        </w:rPr>
        <w:t>的</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u w:val="single"/>
          <w:lang w:eastAsia="zh-CN" w:bidi="ar"/>
        </w:rPr>
        <w:t>云南省基础测绘技术中心省级数据中心和基准站维修（护）项目</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采购活动，服务全部由符合政策要求的中小企业承接。相关企业（含联合体中的中小企业、签订分包意向协议的中小企业）的具体情况如下：</w:t>
      </w:r>
    </w:p>
    <w:p w14:paraId="0CBC2F97">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1.</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u w:val="single"/>
          <w:lang w:eastAsia="zh-CN" w:bidi="ar"/>
        </w:rPr>
        <w:t>云南省基础测绘技术中心省级数据中心和基准站维修（护）项目</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，属于</w:t>
      </w:r>
      <w:r>
        <w:rPr>
          <w:rFonts w:hint="eastAsia" w:ascii="宋体" w:hAnsi="宋体" w:cs="宋体"/>
          <w:bCs/>
          <w:snapToGrid w:val="0"/>
          <w:color w:val="auto"/>
          <w:kern w:val="0"/>
          <w:szCs w:val="21"/>
          <w:highlight w:val="none"/>
          <w:u w:val="single"/>
          <w:lang w:bidi="ar"/>
        </w:rPr>
        <w:t>修理和其他服务业</w:t>
      </w:r>
      <w:r>
        <w:rPr>
          <w:rFonts w:hint="eastAsia" w:ascii="宋体" w:hAnsi="宋体" w:cs="宋体"/>
          <w:bCs/>
          <w:snapToGrid w:val="0"/>
          <w:color w:val="auto"/>
          <w:kern w:val="0"/>
          <w:szCs w:val="21"/>
          <w:highlight w:val="none"/>
          <w:lang w:bidi="ar"/>
        </w:rPr>
        <w:t>；承建（承接）企业为</w:t>
      </w:r>
      <w:r>
        <w:rPr>
          <w:rFonts w:hint="eastAsia" w:ascii="宋体" w:hAnsi="宋体" w:cs="宋体"/>
          <w:bCs/>
          <w:snapToGrid w:val="0"/>
          <w:color w:val="auto"/>
          <w:kern w:val="0"/>
          <w:szCs w:val="21"/>
          <w:highlight w:val="none"/>
          <w:u w:val="single"/>
          <w:lang w:bidi="ar"/>
        </w:rPr>
        <w:t xml:space="preserve">   （企业名称）   </w:t>
      </w:r>
      <w:r>
        <w:rPr>
          <w:rFonts w:hint="eastAsia" w:ascii="宋体" w:hAnsi="宋体" w:cs="宋体"/>
          <w:bCs/>
          <w:snapToGrid w:val="0"/>
          <w:color w:val="auto"/>
          <w:kern w:val="0"/>
          <w:szCs w:val="21"/>
          <w:highlight w:val="none"/>
          <w:lang w:bidi="ar"/>
        </w:rPr>
        <w:t>，从业人员</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人，营业收入为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万元，资产总额为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w:t>
      </w:r>
      <w:r>
        <w:rPr>
          <w:rFonts w:hint="eastAsia" w:ascii="宋体" w:hAnsi="宋体" w:cs="宋体"/>
          <w:bCs/>
          <w:snapToGrid w:val="0"/>
          <w:color w:val="auto"/>
          <w:kern w:val="0"/>
          <w:szCs w:val="21"/>
          <w:highlight w:val="none"/>
          <w:vertAlign w:val="superscript"/>
          <w:lang w:bidi="ar"/>
        </w:rPr>
        <w:t>1</w:t>
      </w:r>
      <w:r>
        <w:rPr>
          <w:rFonts w:hint="eastAsia" w:ascii="宋体" w:hAnsi="宋体" w:cs="宋体"/>
          <w:bCs/>
          <w:snapToGrid w:val="0"/>
          <w:color w:val="auto"/>
          <w:kern w:val="0"/>
          <w:szCs w:val="21"/>
          <w:highlight w:val="none"/>
          <w:lang w:bidi="ar"/>
        </w:rPr>
        <w:t>，属于</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（中型企业、小型企业、微型企业）</w:t>
      </w:r>
      <w:r>
        <w:rPr>
          <w:rFonts w:hint="eastAsia" w:ascii="宋体" w:hAnsi="宋体" w:cs="宋体"/>
          <w:bCs/>
          <w:snapToGrid w:val="0"/>
          <w:color w:val="auto"/>
          <w:kern w:val="0"/>
          <w:szCs w:val="21"/>
          <w:highlight w:val="none"/>
          <w:lang w:bidi="ar"/>
        </w:rPr>
        <w:t>；</w:t>
      </w:r>
    </w:p>
    <w:p w14:paraId="14BC3780">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2</w:t>
      </w:r>
      <w:r>
        <w:rPr>
          <w:rFonts w:hint="eastAsia" w:ascii="宋体" w:hAnsi="宋体" w:cs="宋体"/>
          <w:bCs/>
          <w:snapToGrid w:val="0"/>
          <w:color w:val="auto"/>
          <w:kern w:val="0"/>
          <w:szCs w:val="21"/>
          <w:highlight w:val="none"/>
          <w:u w:val="single"/>
          <w:lang w:bidi="ar"/>
        </w:rPr>
        <w:t xml:space="preserve">. （标的名称） </w:t>
      </w:r>
      <w:r>
        <w:rPr>
          <w:rFonts w:hint="eastAsia" w:ascii="宋体" w:hAnsi="宋体" w:cs="宋体"/>
          <w:bCs/>
          <w:snapToGrid w:val="0"/>
          <w:color w:val="auto"/>
          <w:kern w:val="0"/>
          <w:szCs w:val="21"/>
          <w:highlight w:val="none"/>
          <w:lang w:bidi="ar"/>
        </w:rPr>
        <w:t>，属于</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（采购文件中明确的所属行业）</w:t>
      </w:r>
      <w:r>
        <w:rPr>
          <w:rFonts w:hint="eastAsia" w:ascii="宋体" w:hAnsi="宋体" w:cs="宋体"/>
          <w:bCs/>
          <w:snapToGrid w:val="0"/>
          <w:color w:val="auto"/>
          <w:kern w:val="0"/>
          <w:szCs w:val="21"/>
          <w:highlight w:val="none"/>
          <w:lang w:bidi="ar"/>
        </w:rPr>
        <w:t>；承建（承接）企业为</w:t>
      </w:r>
      <w:r>
        <w:rPr>
          <w:rFonts w:hint="eastAsia" w:ascii="宋体" w:hAnsi="宋体" w:cs="宋体"/>
          <w:bCs/>
          <w:snapToGrid w:val="0"/>
          <w:color w:val="auto"/>
          <w:kern w:val="0"/>
          <w:szCs w:val="21"/>
          <w:highlight w:val="none"/>
          <w:u w:val="single"/>
          <w:lang w:bidi="ar"/>
        </w:rPr>
        <w:t xml:space="preserve">   （企业名称）</w:t>
      </w:r>
      <w:r>
        <w:rPr>
          <w:rFonts w:hint="eastAsia" w:ascii="宋体" w:hAnsi="宋体" w:cs="宋体"/>
          <w:bCs/>
          <w:snapToGrid w:val="0"/>
          <w:color w:val="auto"/>
          <w:kern w:val="0"/>
          <w:szCs w:val="21"/>
          <w:highlight w:val="none"/>
          <w:lang w:bidi="ar"/>
        </w:rPr>
        <w:t>，从业人员</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人，营业收入为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万元，资产总额为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万元，属于</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（中型企业、小型企业、微型企业）</w:t>
      </w:r>
      <w:r>
        <w:rPr>
          <w:rFonts w:hint="eastAsia" w:ascii="宋体" w:hAnsi="宋体" w:cs="宋体"/>
          <w:bCs/>
          <w:snapToGrid w:val="0"/>
          <w:color w:val="auto"/>
          <w:kern w:val="0"/>
          <w:szCs w:val="21"/>
          <w:highlight w:val="none"/>
          <w:lang w:bidi="ar"/>
        </w:rPr>
        <w:t>；</w:t>
      </w:r>
    </w:p>
    <w:p w14:paraId="558E29F4">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w:t>
      </w:r>
    </w:p>
    <w:p w14:paraId="72AD8C76">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以上企业，不属于大企业的分支机构，不存在控股股东为大企业的情形，也不存在与大企业的负责人为同一人的情形。</w:t>
      </w:r>
    </w:p>
    <w:p w14:paraId="0CD03CB5">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本企业对上述声明内容的真实性负责。如有虚假，将依法承担相应责任。</w:t>
      </w:r>
    </w:p>
    <w:p w14:paraId="1C289E33">
      <w:pPr>
        <w:widowControl/>
        <w:spacing w:line="360" w:lineRule="auto"/>
        <w:jc w:val="left"/>
        <w:rPr>
          <w:rFonts w:ascii="宋体" w:hAnsi="宋体" w:cs="宋体"/>
          <w:bCs/>
          <w:snapToGrid w:val="0"/>
          <w:color w:val="auto"/>
          <w:kern w:val="0"/>
          <w:szCs w:val="21"/>
          <w:highlight w:val="none"/>
          <w:lang w:bidi="ar"/>
        </w:rPr>
      </w:pPr>
    </w:p>
    <w:p w14:paraId="264E7AA7">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企业名称（盖章）：</w:t>
      </w:r>
    </w:p>
    <w:p w14:paraId="3B523E5A">
      <w:pPr>
        <w:widowControl/>
        <w:spacing w:line="360" w:lineRule="auto"/>
        <w:jc w:val="left"/>
        <w:rPr>
          <w:rFonts w:ascii="宋体" w:hAnsi="宋体" w:cs="宋体"/>
          <w:bCs/>
          <w:snapToGrid w:val="0"/>
          <w:color w:val="auto"/>
          <w:kern w:val="0"/>
          <w:szCs w:val="21"/>
          <w:highlight w:val="none"/>
          <w:lang w:bidi="ar"/>
        </w:rPr>
      </w:pPr>
    </w:p>
    <w:p w14:paraId="58624DE2">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日 期：</w:t>
      </w:r>
    </w:p>
    <w:p w14:paraId="45389BE9">
      <w:pPr>
        <w:widowControl/>
        <w:spacing w:line="360" w:lineRule="auto"/>
        <w:jc w:val="left"/>
        <w:rPr>
          <w:rFonts w:ascii="宋体" w:hAnsi="宋体" w:cs="宋体"/>
          <w:bCs/>
          <w:snapToGrid w:val="0"/>
          <w:color w:val="auto"/>
          <w:kern w:val="0"/>
          <w:szCs w:val="21"/>
          <w:highlight w:val="none"/>
          <w:vertAlign w:val="superscript"/>
          <w:lang w:bidi="ar"/>
        </w:rPr>
      </w:pPr>
    </w:p>
    <w:p w14:paraId="70CF4599">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vertAlign w:val="superscript"/>
          <w:lang w:bidi="ar"/>
        </w:rPr>
        <w:t>1</w:t>
      </w:r>
      <w:r>
        <w:rPr>
          <w:rFonts w:hint="eastAsia" w:ascii="宋体" w:hAnsi="宋体" w:cs="宋体"/>
          <w:bCs/>
          <w:snapToGrid w:val="0"/>
          <w:color w:val="auto"/>
          <w:kern w:val="0"/>
          <w:szCs w:val="21"/>
          <w:highlight w:val="none"/>
          <w:lang w:bidi="ar"/>
        </w:rPr>
        <w:t>从业人员、营业收入、资产总额填报上一年度数据，无上一年度数据的新成立企业可不填报。</w:t>
      </w:r>
    </w:p>
    <w:bookmarkEnd w:id="195"/>
    <w:p w14:paraId="5A22F2B8">
      <w:pPr>
        <w:widowControl/>
        <w:jc w:val="left"/>
        <w:rPr>
          <w:rFonts w:ascii="宋体" w:hAnsi="宋体" w:cs="宋体"/>
          <w:b/>
          <w:color w:val="auto"/>
          <w:sz w:val="28"/>
          <w:szCs w:val="28"/>
          <w:highlight w:val="none"/>
        </w:rPr>
      </w:pPr>
      <w:r>
        <w:rPr>
          <w:rFonts w:hint="eastAsia" w:hAnsi="宋体" w:cs="宋体"/>
          <w:b/>
          <w:color w:val="auto"/>
          <w:sz w:val="28"/>
          <w:szCs w:val="28"/>
          <w:highlight w:val="none"/>
        </w:rPr>
        <w:br w:type="page"/>
      </w:r>
      <w:bookmarkStart w:id="196" w:name="_Toc24589"/>
      <w:bookmarkStart w:id="197" w:name="_Toc4997"/>
      <w:bookmarkStart w:id="198" w:name="_Toc1359"/>
      <w:r>
        <w:rPr>
          <w:rFonts w:hint="eastAsia" w:ascii="宋体" w:hAnsi="宋体" w:cs="宋体"/>
          <w:b/>
          <w:color w:val="auto"/>
          <w:sz w:val="32"/>
          <w:szCs w:val="32"/>
          <w:highlight w:val="none"/>
        </w:rPr>
        <w:t>格式</w:t>
      </w:r>
      <w:bookmarkEnd w:id="196"/>
      <w:bookmarkEnd w:id="197"/>
      <w:bookmarkEnd w:id="198"/>
      <w:bookmarkStart w:id="199" w:name="_Toc507412336"/>
      <w:bookmarkStart w:id="200" w:name="_Toc507409073"/>
      <w:r>
        <w:rPr>
          <w:rFonts w:hint="eastAsia" w:ascii="宋体" w:hAnsi="宋体" w:cs="宋体"/>
          <w:b/>
          <w:color w:val="auto"/>
          <w:sz w:val="32"/>
          <w:szCs w:val="32"/>
          <w:highlight w:val="none"/>
        </w:rPr>
        <w:t>1-7-2</w:t>
      </w:r>
    </w:p>
    <w:p w14:paraId="41C11B7E">
      <w:pPr>
        <w:tabs>
          <w:tab w:val="left" w:pos="5580"/>
        </w:tabs>
        <w:spacing w:line="240" w:lineRule="atLeast"/>
        <w:jc w:val="center"/>
        <w:rPr>
          <w:rFonts w:ascii="宋体" w:hAnsi="宋体" w:cs="宋体"/>
          <w:b/>
          <w:color w:val="auto"/>
          <w:sz w:val="28"/>
          <w:highlight w:val="none"/>
        </w:rPr>
      </w:pPr>
      <w:r>
        <w:rPr>
          <w:rFonts w:hint="eastAsia" w:ascii="宋体" w:hAnsi="宋体" w:cs="宋体"/>
          <w:b/>
          <w:color w:val="auto"/>
          <w:sz w:val="28"/>
          <w:highlight w:val="none"/>
        </w:rPr>
        <w:t>《监狱企业证明文件》（扫描件加盖供应商电子公章，符合《财政部 司法部关于政府采购支持监狱企业发展有关问题的通知》（财库[2014]68号）的供应商需提交）</w:t>
      </w:r>
    </w:p>
    <w:p w14:paraId="3A3BCC16">
      <w:pPr>
        <w:pStyle w:val="4"/>
        <w:spacing w:line="360" w:lineRule="auto"/>
        <w:ind w:left="425"/>
        <w:jc w:val="center"/>
        <w:rPr>
          <w:rFonts w:ascii="宋体" w:hAnsi="宋体" w:cs="宋体"/>
          <w:color w:val="auto"/>
          <w:szCs w:val="32"/>
          <w:highlight w:val="none"/>
        </w:rPr>
      </w:pPr>
      <w:bookmarkStart w:id="201" w:name="_Toc23842"/>
      <w:bookmarkStart w:id="202" w:name="_Toc25923"/>
      <w:bookmarkStart w:id="203" w:name="_Toc38338334"/>
      <w:bookmarkStart w:id="204" w:name="_Toc37716414"/>
      <w:bookmarkStart w:id="205" w:name="_Toc26997"/>
      <w:bookmarkStart w:id="206" w:name="_Toc8865"/>
      <w:bookmarkStart w:id="207" w:name="_Toc27148"/>
      <w:r>
        <w:rPr>
          <w:rFonts w:hint="eastAsia" w:ascii="宋体" w:hAnsi="宋体" w:cs="宋体"/>
          <w:color w:val="auto"/>
          <w:szCs w:val="32"/>
          <w:highlight w:val="none"/>
        </w:rPr>
        <w:t>监狱企业证明文件</w:t>
      </w:r>
      <w:bookmarkEnd w:id="199"/>
      <w:bookmarkEnd w:id="200"/>
      <w:bookmarkEnd w:id="201"/>
      <w:bookmarkEnd w:id="202"/>
      <w:bookmarkEnd w:id="203"/>
      <w:bookmarkEnd w:id="204"/>
      <w:bookmarkEnd w:id="205"/>
      <w:bookmarkEnd w:id="206"/>
      <w:bookmarkEnd w:id="207"/>
    </w:p>
    <w:p w14:paraId="633239B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AF5763">
      <w:pPr>
        <w:widowControl/>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w:t>
      </w:r>
    </w:p>
    <w:p w14:paraId="4F9C5050">
      <w:pPr>
        <w:widowControl/>
        <w:spacing w:line="360" w:lineRule="auto"/>
        <w:jc w:val="left"/>
        <w:rPr>
          <w:rFonts w:ascii="宋体" w:hAnsi="宋体" w:cs="宋体"/>
          <w:b/>
          <w:color w:val="auto"/>
          <w:sz w:val="28"/>
          <w:szCs w:val="28"/>
          <w:highlight w:val="none"/>
        </w:rPr>
      </w:pPr>
    </w:p>
    <w:p w14:paraId="70D846CB">
      <w:pPr>
        <w:widowControl/>
        <w:spacing w:line="360" w:lineRule="auto"/>
        <w:jc w:val="left"/>
        <w:rPr>
          <w:rFonts w:hAnsi="宋体" w:cs="宋体"/>
          <w:b/>
          <w:color w:val="auto"/>
          <w:sz w:val="28"/>
          <w:szCs w:val="28"/>
          <w:highlight w:val="none"/>
        </w:rPr>
      </w:pPr>
      <w:r>
        <w:rPr>
          <w:rFonts w:hint="eastAsia" w:ascii="宋体" w:hAnsi="宋体" w:cs="宋体"/>
          <w:b/>
          <w:color w:val="auto"/>
          <w:szCs w:val="21"/>
          <w:highlight w:val="none"/>
        </w:rPr>
        <w:t>注：符合条件的监狱企业在参加政府采购活动时，应当按《财政部 司法部关于政府采购支持监狱企业发展有关问题的通知》（财库[2014]68号）提供规定的《监狱企业证明文件》，并对证明文件的真实性负责。</w:t>
      </w:r>
      <w:r>
        <w:rPr>
          <w:rFonts w:hint="eastAsia" w:ascii="宋体" w:hAnsi="宋体" w:cs="宋体"/>
          <w:b/>
          <w:color w:val="auto"/>
          <w:sz w:val="28"/>
          <w:szCs w:val="28"/>
          <w:highlight w:val="none"/>
        </w:rPr>
        <w:br w:type="page"/>
      </w:r>
      <w:r>
        <w:rPr>
          <w:rFonts w:hint="eastAsia" w:ascii="宋体" w:hAnsi="宋体" w:cs="宋体"/>
          <w:b/>
          <w:color w:val="auto"/>
          <w:sz w:val="32"/>
          <w:szCs w:val="32"/>
          <w:highlight w:val="none"/>
        </w:rPr>
        <w:t>格式1-7-3</w:t>
      </w:r>
    </w:p>
    <w:p w14:paraId="4C0DE310">
      <w:pPr>
        <w:tabs>
          <w:tab w:val="left" w:pos="5580"/>
        </w:tabs>
        <w:spacing w:line="240" w:lineRule="atLeast"/>
        <w:jc w:val="center"/>
        <w:rPr>
          <w:rFonts w:ascii="宋体" w:hAnsi="宋体" w:cs="宋体"/>
          <w:b/>
          <w:color w:val="auto"/>
          <w:sz w:val="28"/>
          <w:highlight w:val="none"/>
        </w:rPr>
      </w:pPr>
      <w:r>
        <w:rPr>
          <w:rFonts w:hint="eastAsia" w:ascii="宋体" w:hAnsi="宋体" w:cs="宋体"/>
          <w:b/>
          <w:color w:val="auto"/>
          <w:sz w:val="28"/>
          <w:highlight w:val="none"/>
        </w:rPr>
        <w:t>《残疾人福利性单位声明函》（符合《三部门联合发布关于促进残疾人就业政府采购政策的通知》（财库〔2017〕141号）的供应商需提交）</w:t>
      </w:r>
    </w:p>
    <w:p w14:paraId="0A33A04E">
      <w:pPr>
        <w:pStyle w:val="4"/>
        <w:ind w:left="425"/>
        <w:jc w:val="center"/>
        <w:rPr>
          <w:rFonts w:ascii="宋体" w:hAnsi="宋体" w:cs="宋体"/>
          <w:b w:val="0"/>
          <w:color w:val="auto"/>
          <w:spacing w:val="6"/>
          <w:szCs w:val="32"/>
          <w:highlight w:val="none"/>
        </w:rPr>
      </w:pPr>
      <w:bookmarkStart w:id="208" w:name="_Toc38338335"/>
      <w:bookmarkStart w:id="209" w:name="_Toc7725"/>
      <w:bookmarkStart w:id="210" w:name="_Toc13968"/>
      <w:bookmarkStart w:id="211" w:name="_Toc16768"/>
      <w:bookmarkStart w:id="212" w:name="_Toc37716415"/>
      <w:bookmarkStart w:id="213" w:name="_Toc893"/>
      <w:bookmarkStart w:id="214" w:name="_Toc1255"/>
      <w:bookmarkStart w:id="215" w:name="OLE_LINK14"/>
      <w:bookmarkStart w:id="216" w:name="OLE_LINK13"/>
      <w:r>
        <w:rPr>
          <w:rFonts w:hint="eastAsia" w:ascii="宋体" w:hAnsi="宋体" w:cs="宋体"/>
          <w:color w:val="auto"/>
          <w:szCs w:val="32"/>
          <w:highlight w:val="none"/>
        </w:rPr>
        <w:t>残疾人福利性单位声明函</w:t>
      </w:r>
      <w:bookmarkEnd w:id="208"/>
      <w:bookmarkEnd w:id="209"/>
      <w:bookmarkEnd w:id="210"/>
      <w:bookmarkEnd w:id="211"/>
      <w:bookmarkEnd w:id="212"/>
      <w:bookmarkEnd w:id="213"/>
      <w:bookmarkEnd w:id="214"/>
    </w:p>
    <w:bookmarkEnd w:id="215"/>
    <w:bookmarkEnd w:id="216"/>
    <w:p w14:paraId="4BA570BC">
      <w:pPr>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4D217B4">
      <w:pPr>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7D307DA9">
      <w:pPr>
        <w:spacing w:line="360" w:lineRule="auto"/>
        <w:ind w:firstLine="444" w:firstLineChars="200"/>
        <w:rPr>
          <w:rFonts w:ascii="宋体" w:hAnsi="宋体" w:cs="宋体"/>
          <w:color w:val="auto"/>
          <w:spacing w:val="6"/>
          <w:szCs w:val="21"/>
          <w:highlight w:val="none"/>
        </w:rPr>
      </w:pPr>
    </w:p>
    <w:p w14:paraId="621DB90A">
      <w:pPr>
        <w:spacing w:line="360" w:lineRule="auto"/>
        <w:ind w:firstLine="444" w:firstLineChars="200"/>
        <w:rPr>
          <w:rFonts w:ascii="宋体" w:hAnsi="宋体" w:cs="宋体"/>
          <w:color w:val="auto"/>
          <w:spacing w:val="6"/>
          <w:szCs w:val="21"/>
          <w:highlight w:val="none"/>
        </w:rPr>
      </w:pPr>
    </w:p>
    <w:p w14:paraId="3AD63837">
      <w:pPr>
        <w:tabs>
          <w:tab w:val="left" w:pos="4860"/>
        </w:tabs>
        <w:spacing w:line="360" w:lineRule="auto"/>
        <w:ind w:right="1560" w:firstLine="444" w:firstLineChars="200"/>
        <w:jc w:val="center"/>
        <w:rPr>
          <w:rFonts w:ascii="宋体" w:hAnsi="宋体" w:cs="宋体"/>
          <w:color w:val="auto"/>
          <w:spacing w:val="6"/>
          <w:szCs w:val="21"/>
          <w:highlight w:val="none"/>
        </w:rPr>
      </w:pPr>
      <w:r>
        <w:rPr>
          <w:rFonts w:hint="eastAsia" w:ascii="宋体" w:hAnsi="宋体" w:cs="宋体"/>
          <w:color w:val="auto"/>
          <w:spacing w:val="6"/>
          <w:szCs w:val="21"/>
          <w:highlight w:val="none"/>
        </w:rPr>
        <w:t xml:space="preserve">               单位名称（盖章）：</w:t>
      </w:r>
    </w:p>
    <w:p w14:paraId="7BB87EF0">
      <w:pPr>
        <w:tabs>
          <w:tab w:val="left" w:pos="4860"/>
        </w:tabs>
        <w:spacing w:line="360" w:lineRule="auto"/>
        <w:ind w:right="1560" w:firstLine="444" w:firstLineChars="200"/>
        <w:jc w:val="center"/>
        <w:rPr>
          <w:rFonts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74A21E71">
      <w:pPr>
        <w:spacing w:line="360" w:lineRule="auto"/>
        <w:rPr>
          <w:rFonts w:ascii="宋体" w:hAnsi="宋体" w:cs="宋体"/>
          <w:b/>
          <w:color w:val="auto"/>
          <w:szCs w:val="21"/>
          <w:highlight w:val="none"/>
        </w:rPr>
      </w:pPr>
    </w:p>
    <w:p w14:paraId="0374CC21">
      <w:pPr>
        <w:spacing w:line="360" w:lineRule="auto"/>
        <w:rPr>
          <w:rFonts w:ascii="宋体" w:hAnsi="宋体" w:cs="宋体"/>
          <w:b/>
          <w:color w:val="auto"/>
          <w:szCs w:val="21"/>
          <w:highlight w:val="none"/>
        </w:rPr>
      </w:pPr>
    </w:p>
    <w:p w14:paraId="1A440385">
      <w:pPr>
        <w:spacing w:line="360" w:lineRule="auto"/>
        <w:rPr>
          <w:rFonts w:ascii="宋体" w:hAnsi="宋体" w:cs="宋体"/>
          <w:b/>
          <w:color w:val="auto"/>
          <w:szCs w:val="21"/>
          <w:highlight w:val="none"/>
        </w:rPr>
      </w:pPr>
    </w:p>
    <w:p w14:paraId="399B1FFD">
      <w:pPr>
        <w:spacing w:line="360" w:lineRule="auto"/>
        <w:rPr>
          <w:rFonts w:ascii="宋体" w:hAnsi="宋体" w:cs="宋体"/>
          <w:b/>
          <w:color w:val="auto"/>
          <w:szCs w:val="21"/>
          <w:highlight w:val="none"/>
        </w:rPr>
      </w:pPr>
      <w:r>
        <w:rPr>
          <w:rFonts w:hint="eastAsia" w:ascii="宋体" w:hAnsi="宋体" w:cs="宋体"/>
          <w:b/>
          <w:color w:val="auto"/>
          <w:szCs w:val="21"/>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073F5ABD">
      <w:pPr>
        <w:rPr>
          <w:rFonts w:ascii="宋体" w:hAnsi="宋体" w:cs="宋体"/>
          <w:b/>
          <w:color w:val="auto"/>
          <w:sz w:val="32"/>
          <w:szCs w:val="32"/>
          <w:highlight w:val="none"/>
        </w:rPr>
      </w:pPr>
    </w:p>
    <w:p w14:paraId="37BA719E">
      <w:pPr>
        <w:rPr>
          <w:rFonts w:ascii="宋体" w:hAnsi="宋体" w:cs="宋体"/>
          <w:b/>
          <w:color w:val="auto"/>
          <w:sz w:val="32"/>
          <w:szCs w:val="32"/>
          <w:highlight w:val="none"/>
        </w:rPr>
      </w:pPr>
    </w:p>
    <w:p w14:paraId="434C45F0">
      <w:pPr>
        <w:rPr>
          <w:rFonts w:ascii="宋体" w:hAnsi="宋体" w:cs="宋体"/>
          <w:b/>
          <w:color w:val="auto"/>
          <w:sz w:val="32"/>
          <w:szCs w:val="32"/>
          <w:highlight w:val="none"/>
        </w:rPr>
      </w:pPr>
    </w:p>
    <w:p w14:paraId="627EB1C7">
      <w:pPr>
        <w:rPr>
          <w:rFonts w:ascii="宋体" w:hAnsi="宋体" w:cs="宋体"/>
          <w:b/>
          <w:color w:val="auto"/>
          <w:sz w:val="32"/>
          <w:szCs w:val="32"/>
          <w:highlight w:val="none"/>
        </w:rPr>
      </w:pPr>
      <w:r>
        <w:rPr>
          <w:rFonts w:hint="eastAsia" w:ascii="宋体" w:hAnsi="宋体" w:cs="宋体"/>
          <w:b/>
          <w:color w:val="auto"/>
          <w:sz w:val="32"/>
          <w:szCs w:val="32"/>
          <w:highlight w:val="none"/>
        </w:rPr>
        <w:t>格式1-</w:t>
      </w:r>
      <w:bookmarkEnd w:id="192"/>
      <w:r>
        <w:rPr>
          <w:rFonts w:hint="eastAsia" w:ascii="宋体" w:hAnsi="宋体" w:cs="宋体"/>
          <w:b/>
          <w:color w:val="auto"/>
          <w:sz w:val="32"/>
          <w:szCs w:val="32"/>
          <w:highlight w:val="none"/>
        </w:rPr>
        <w:t>8</w:t>
      </w:r>
    </w:p>
    <w:p w14:paraId="425DE86E">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本项目的特定资格要求：无。</w:t>
      </w:r>
    </w:p>
    <w:p w14:paraId="5A196E45">
      <w:pPr>
        <w:rPr>
          <w:color w:val="auto"/>
          <w:highlight w:val="none"/>
        </w:rPr>
      </w:pPr>
    </w:p>
    <w:p w14:paraId="376ABD76">
      <w:pPr>
        <w:widowControl/>
        <w:jc w:val="center"/>
        <w:rPr>
          <w:rFonts w:ascii="宋体"/>
          <w:b/>
          <w:color w:val="auto"/>
          <w:sz w:val="44"/>
          <w:szCs w:val="44"/>
          <w:highlight w:val="none"/>
        </w:rPr>
      </w:pPr>
      <w:r>
        <w:rPr>
          <w:rFonts w:ascii="宋体"/>
          <w:b/>
          <w:color w:val="auto"/>
          <w:sz w:val="44"/>
          <w:szCs w:val="44"/>
          <w:highlight w:val="none"/>
        </w:rPr>
        <w:br w:type="page"/>
      </w:r>
    </w:p>
    <w:p w14:paraId="54E8C808">
      <w:pPr>
        <w:pStyle w:val="4"/>
        <w:ind w:left="425"/>
        <w:jc w:val="center"/>
        <w:rPr>
          <w:rFonts w:ascii="宋体"/>
          <w:color w:val="auto"/>
          <w:sz w:val="40"/>
          <w:szCs w:val="40"/>
          <w:highlight w:val="none"/>
        </w:rPr>
      </w:pPr>
      <w:bookmarkStart w:id="217" w:name="_Toc7161"/>
      <w:bookmarkStart w:id="218" w:name="_Toc11295"/>
      <w:r>
        <w:rPr>
          <w:rFonts w:hint="eastAsia" w:ascii="宋体" w:hAnsi="宋体"/>
          <w:color w:val="auto"/>
          <w:szCs w:val="32"/>
          <w:highlight w:val="none"/>
        </w:rPr>
        <w:t>二、报价文件</w:t>
      </w:r>
      <w:bookmarkEnd w:id="217"/>
      <w:bookmarkEnd w:id="218"/>
    </w:p>
    <w:p w14:paraId="106B57EF">
      <w:pPr>
        <w:widowControl/>
        <w:jc w:val="left"/>
        <w:outlineLvl w:val="1"/>
        <w:rPr>
          <w:rFonts w:hAnsi="宋体"/>
          <w:b/>
          <w:color w:val="auto"/>
          <w:sz w:val="28"/>
          <w:szCs w:val="28"/>
          <w:highlight w:val="none"/>
        </w:rPr>
      </w:pPr>
      <w:bookmarkStart w:id="219" w:name="_Toc21338"/>
      <w:bookmarkStart w:id="220" w:name="_Toc21825"/>
      <w:r>
        <w:rPr>
          <w:rFonts w:hint="eastAsia" w:ascii="宋体" w:hAnsi="宋体" w:cs="宋体"/>
          <w:b/>
          <w:color w:val="auto"/>
          <w:sz w:val="32"/>
          <w:szCs w:val="32"/>
          <w:highlight w:val="none"/>
        </w:rPr>
        <w:t>格式</w:t>
      </w:r>
      <w:bookmarkEnd w:id="219"/>
      <w:r>
        <w:rPr>
          <w:rFonts w:hint="eastAsia" w:ascii="宋体" w:hAnsi="宋体" w:cs="宋体"/>
          <w:b/>
          <w:color w:val="auto"/>
          <w:sz w:val="32"/>
          <w:szCs w:val="32"/>
          <w:highlight w:val="none"/>
        </w:rPr>
        <w:t>2</w:t>
      </w:r>
      <w:bookmarkEnd w:id="220"/>
    </w:p>
    <w:p w14:paraId="4406FD88">
      <w:pPr>
        <w:pStyle w:val="4"/>
        <w:ind w:left="425"/>
        <w:jc w:val="center"/>
        <w:rPr>
          <w:rFonts w:ascii="宋体" w:hAnsi="宋体"/>
          <w:color w:val="auto"/>
          <w:szCs w:val="32"/>
          <w:highlight w:val="none"/>
        </w:rPr>
      </w:pPr>
      <w:bookmarkStart w:id="221" w:name="_Toc489197854"/>
      <w:bookmarkStart w:id="222" w:name="_Toc481694844"/>
      <w:bookmarkStart w:id="223" w:name="_Toc12849"/>
      <w:bookmarkStart w:id="224" w:name="_Toc488633615"/>
      <w:bookmarkStart w:id="225" w:name="_Toc489145750"/>
      <w:bookmarkStart w:id="226" w:name="_Toc213141093"/>
      <w:bookmarkStart w:id="227" w:name="_Toc7995"/>
      <w:bookmarkStart w:id="228" w:name="_Toc15981"/>
      <w:r>
        <w:rPr>
          <w:rFonts w:hint="eastAsia" w:ascii="宋体" w:hAnsi="宋体"/>
          <w:color w:val="auto"/>
          <w:szCs w:val="32"/>
          <w:highlight w:val="none"/>
        </w:rPr>
        <w:t>磋商报价一览表</w:t>
      </w:r>
      <w:bookmarkEnd w:id="221"/>
      <w:bookmarkEnd w:id="222"/>
      <w:bookmarkEnd w:id="223"/>
      <w:bookmarkEnd w:id="224"/>
      <w:bookmarkEnd w:id="225"/>
      <w:bookmarkEnd w:id="226"/>
      <w:bookmarkEnd w:id="227"/>
      <w:bookmarkEnd w:id="228"/>
    </w:p>
    <w:p w14:paraId="3AD8680E">
      <w:pPr>
        <w:pStyle w:val="20"/>
        <w:ind w:firstLine="211" w:firstLineChars="100"/>
        <w:rPr>
          <w:rFonts w:hAnsi="宋体"/>
          <w:b/>
          <w:color w:val="auto"/>
          <w:szCs w:val="21"/>
          <w:highlight w:val="none"/>
          <w:u w:val="single"/>
        </w:rPr>
      </w:pPr>
      <w:r>
        <w:rPr>
          <w:rFonts w:hint="eastAsia" w:hAnsi="宋体"/>
          <w:b/>
          <w:color w:val="auto"/>
          <w:szCs w:val="21"/>
          <w:highlight w:val="none"/>
        </w:rPr>
        <w:t>项目名称：</w:t>
      </w:r>
    </w:p>
    <w:p w14:paraId="2D251EAF">
      <w:pPr>
        <w:pStyle w:val="20"/>
        <w:ind w:firstLine="211" w:firstLineChars="100"/>
        <w:rPr>
          <w:rFonts w:hAnsi="宋体"/>
          <w:b/>
          <w:color w:val="auto"/>
          <w:szCs w:val="21"/>
          <w:highlight w:val="none"/>
        </w:rPr>
      </w:pPr>
      <w:r>
        <w:rPr>
          <w:rFonts w:hint="eastAsia" w:hAnsi="宋体"/>
          <w:b/>
          <w:color w:val="auto"/>
          <w:szCs w:val="21"/>
          <w:highlight w:val="none"/>
        </w:rPr>
        <w:t>项目编号：</w:t>
      </w:r>
    </w:p>
    <w:tbl>
      <w:tblPr>
        <w:tblStyle w:val="37"/>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6459"/>
      </w:tblGrid>
      <w:tr w14:paraId="58AC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114" w:type="dxa"/>
            <w:vAlign w:val="center"/>
          </w:tcPr>
          <w:p w14:paraId="1EE9211F">
            <w:pPr>
              <w:spacing w:line="320" w:lineRule="exact"/>
              <w:jc w:val="center"/>
              <w:rPr>
                <w:rFonts w:ascii="宋体" w:cs="宋体"/>
                <w:color w:val="auto"/>
                <w:szCs w:val="21"/>
                <w:highlight w:val="none"/>
              </w:rPr>
            </w:pPr>
            <w:r>
              <w:rPr>
                <w:rFonts w:hint="eastAsia" w:hAnsi="宋体"/>
                <w:color w:val="auto"/>
                <w:szCs w:val="21"/>
                <w:highlight w:val="none"/>
              </w:rPr>
              <w:t>供应商名称</w:t>
            </w:r>
          </w:p>
        </w:tc>
        <w:tc>
          <w:tcPr>
            <w:tcW w:w="6459" w:type="dxa"/>
            <w:vAlign w:val="center"/>
          </w:tcPr>
          <w:p w14:paraId="169611B3">
            <w:pPr>
              <w:spacing w:line="360" w:lineRule="auto"/>
              <w:jc w:val="center"/>
              <w:rPr>
                <w:rFonts w:ascii="宋体" w:cs="宋体"/>
                <w:color w:val="auto"/>
                <w:szCs w:val="21"/>
                <w:highlight w:val="none"/>
              </w:rPr>
            </w:pPr>
          </w:p>
        </w:tc>
      </w:tr>
      <w:tr w14:paraId="5634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114" w:type="dxa"/>
            <w:vAlign w:val="center"/>
          </w:tcPr>
          <w:p w14:paraId="61398B83">
            <w:pPr>
              <w:pStyle w:val="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磋商报价</w:t>
            </w:r>
          </w:p>
          <w:p w14:paraId="5F5E1F54">
            <w:pPr>
              <w:pStyle w:val="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（元）</w:t>
            </w:r>
          </w:p>
        </w:tc>
        <w:tc>
          <w:tcPr>
            <w:tcW w:w="6459" w:type="dxa"/>
            <w:vAlign w:val="center"/>
          </w:tcPr>
          <w:p w14:paraId="3675AB95">
            <w:pPr>
              <w:spacing w:line="360" w:lineRule="auto"/>
              <w:rPr>
                <w:rFonts w:ascii="宋体" w:hAnsi="宋体" w:cs="宋体"/>
                <w:color w:val="auto"/>
                <w:szCs w:val="21"/>
                <w:highlight w:val="none"/>
              </w:rPr>
            </w:pPr>
            <w:r>
              <w:rPr>
                <w:rFonts w:hint="eastAsia" w:ascii="宋体" w:hAnsi="宋体" w:cs="宋体"/>
                <w:color w:val="auto"/>
                <w:szCs w:val="21"/>
                <w:highlight w:val="none"/>
              </w:rPr>
              <w:t>小写：</w:t>
            </w:r>
          </w:p>
          <w:p w14:paraId="3F387158">
            <w:pPr>
              <w:spacing w:line="360" w:lineRule="auto"/>
              <w:rPr>
                <w:rFonts w:asciiTheme="minorEastAsia" w:hAnsiTheme="minorEastAsia" w:eastAsiaTheme="minorEastAsia"/>
                <w:color w:val="auto"/>
                <w:highlight w:val="none"/>
              </w:rPr>
            </w:pPr>
            <w:r>
              <w:rPr>
                <w:rFonts w:hint="eastAsia" w:ascii="宋体" w:hAnsi="宋体" w:cs="宋体"/>
                <w:color w:val="auto"/>
                <w:szCs w:val="21"/>
                <w:highlight w:val="none"/>
              </w:rPr>
              <w:t>大写：</w:t>
            </w:r>
          </w:p>
        </w:tc>
      </w:tr>
      <w:tr w14:paraId="44D6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114" w:type="dxa"/>
            <w:vAlign w:val="center"/>
          </w:tcPr>
          <w:p w14:paraId="17CD066E">
            <w:pPr>
              <w:jc w:val="center"/>
              <w:rPr>
                <w:rFonts w:asciiTheme="minorEastAsia" w:hAnsiTheme="minorEastAsia" w:eastAsiaTheme="minorEastAsia"/>
                <w:color w:val="auto"/>
                <w:szCs w:val="21"/>
                <w:highlight w:val="none"/>
              </w:rPr>
            </w:pPr>
            <w:r>
              <w:rPr>
                <w:rFonts w:hint="eastAsia" w:ascii="宋体" w:hAnsi="宋体" w:cs="宋体"/>
                <w:bCs/>
                <w:color w:val="auto"/>
                <w:szCs w:val="21"/>
                <w:highlight w:val="none"/>
              </w:rPr>
              <w:t>项目实施期限</w:t>
            </w:r>
            <w:r>
              <w:rPr>
                <w:rFonts w:hint="eastAsia" w:ascii="宋体" w:hAnsi="宋体" w:cs="宋体"/>
                <w:bCs/>
                <w:color w:val="auto"/>
                <w:szCs w:val="21"/>
                <w:highlight w:val="none"/>
                <w:lang w:eastAsia="zh-CN"/>
              </w:rPr>
              <w:t>（</w:t>
            </w:r>
            <w:r>
              <w:rPr>
                <w:rFonts w:hint="eastAsia" w:ascii="宋体" w:hAnsi="宋体"/>
                <w:bCs/>
                <w:color w:val="auto"/>
                <w:szCs w:val="21"/>
                <w:highlight w:val="none"/>
              </w:rPr>
              <w:t>合同履行期限</w:t>
            </w:r>
            <w:r>
              <w:rPr>
                <w:rFonts w:hint="eastAsia" w:ascii="宋体" w:hAnsi="宋体" w:cs="宋体"/>
                <w:bCs/>
                <w:color w:val="auto"/>
                <w:szCs w:val="21"/>
                <w:highlight w:val="none"/>
                <w:lang w:eastAsia="zh-CN"/>
              </w:rPr>
              <w:t>）</w:t>
            </w:r>
          </w:p>
        </w:tc>
        <w:tc>
          <w:tcPr>
            <w:tcW w:w="6459" w:type="dxa"/>
            <w:vAlign w:val="center"/>
          </w:tcPr>
          <w:p w14:paraId="176DFD35">
            <w:pPr>
              <w:spacing w:line="360" w:lineRule="auto"/>
              <w:rPr>
                <w:rFonts w:ascii="宋体" w:cs="宋体"/>
                <w:color w:val="auto"/>
                <w:szCs w:val="21"/>
                <w:highlight w:val="none"/>
              </w:rPr>
            </w:pPr>
          </w:p>
        </w:tc>
      </w:tr>
      <w:tr w14:paraId="3637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114" w:type="dxa"/>
            <w:vAlign w:val="center"/>
          </w:tcPr>
          <w:p w14:paraId="0A5872AE">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项目实施地点</w:t>
            </w:r>
          </w:p>
        </w:tc>
        <w:tc>
          <w:tcPr>
            <w:tcW w:w="6459" w:type="dxa"/>
            <w:vAlign w:val="center"/>
          </w:tcPr>
          <w:p w14:paraId="207D7CD4">
            <w:pPr>
              <w:spacing w:line="360" w:lineRule="auto"/>
              <w:rPr>
                <w:rFonts w:ascii="宋体" w:cs="宋体"/>
                <w:color w:val="auto"/>
                <w:szCs w:val="21"/>
                <w:highlight w:val="none"/>
              </w:rPr>
            </w:pPr>
          </w:p>
        </w:tc>
      </w:tr>
      <w:tr w14:paraId="1857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573" w:type="dxa"/>
            <w:gridSpan w:val="2"/>
            <w:vAlign w:val="center"/>
          </w:tcPr>
          <w:p w14:paraId="5D8D200B">
            <w:pPr>
              <w:spacing w:line="360" w:lineRule="auto"/>
              <w:jc w:val="left"/>
              <w:rPr>
                <w:rFonts w:ascii="宋体" w:cs="宋体"/>
                <w:color w:val="auto"/>
                <w:szCs w:val="21"/>
                <w:highlight w:val="none"/>
                <w:u w:val="single"/>
              </w:rPr>
            </w:pPr>
            <w:r>
              <w:rPr>
                <w:rFonts w:hint="eastAsia" w:ascii="宋体" w:hAnsi="宋体" w:cs="宋体"/>
                <w:color w:val="auto"/>
                <w:szCs w:val="21"/>
                <w:highlight w:val="none"/>
              </w:rPr>
              <w:t>备</w:t>
            </w:r>
            <w:r>
              <w:rPr>
                <w:rFonts w:ascii="宋体" w:hAnsi="宋体" w:cs="宋体"/>
                <w:color w:val="auto"/>
                <w:szCs w:val="21"/>
                <w:highlight w:val="none"/>
              </w:rPr>
              <w:t xml:space="preserve"> </w:t>
            </w:r>
            <w:r>
              <w:rPr>
                <w:rFonts w:hint="eastAsia" w:ascii="宋体" w:hAnsi="宋体" w:cs="宋体"/>
                <w:color w:val="auto"/>
                <w:szCs w:val="21"/>
                <w:highlight w:val="none"/>
              </w:rPr>
              <w:t>注：</w:t>
            </w:r>
          </w:p>
        </w:tc>
      </w:tr>
    </w:tbl>
    <w:p w14:paraId="7DA6212B">
      <w:pPr>
        <w:pStyle w:val="20"/>
        <w:spacing w:line="360" w:lineRule="auto"/>
        <w:rPr>
          <w:rFonts w:hAnsi="宋体" w:cs="宋体"/>
          <w:color w:val="auto"/>
          <w:szCs w:val="21"/>
          <w:highlight w:val="none"/>
        </w:rPr>
      </w:pPr>
      <w:r>
        <w:rPr>
          <w:rFonts w:hint="eastAsia" w:hAnsi="宋体" w:cs="宋体"/>
          <w:color w:val="auto"/>
          <w:highlight w:val="none"/>
        </w:rPr>
        <w:t>注：表中“磋商报价</w:t>
      </w:r>
      <w:r>
        <w:rPr>
          <w:rFonts w:hint="eastAsia" w:hAnsi="宋体" w:cs="宋体"/>
          <w:color w:val="auto"/>
          <w:szCs w:val="21"/>
          <w:highlight w:val="none"/>
        </w:rPr>
        <w:t>”应与</w:t>
      </w:r>
      <w:r>
        <w:rPr>
          <w:rFonts w:hint="eastAsia" w:hAnsi="宋体" w:cs="宋体"/>
          <w:color w:val="auto"/>
          <w:highlight w:val="none"/>
        </w:rPr>
        <w:t>格式3中“磋商报价”一致</w:t>
      </w:r>
      <w:r>
        <w:rPr>
          <w:rFonts w:hint="eastAsia" w:hAnsi="宋体" w:cs="宋体"/>
          <w:color w:val="auto"/>
          <w:szCs w:val="21"/>
          <w:highlight w:val="none"/>
        </w:rPr>
        <w:t>。</w:t>
      </w:r>
    </w:p>
    <w:p w14:paraId="350A0D8E">
      <w:pPr>
        <w:spacing w:line="360" w:lineRule="auto"/>
        <w:ind w:firstLine="2" w:firstLineChars="1"/>
        <w:rPr>
          <w:rFonts w:ascii="宋体" w:hAnsi="宋体"/>
          <w:color w:val="auto"/>
          <w:szCs w:val="21"/>
          <w:highlight w:val="none"/>
        </w:rPr>
      </w:pPr>
    </w:p>
    <w:p w14:paraId="7D0F4DE6">
      <w:pPr>
        <w:spacing w:line="360" w:lineRule="auto"/>
        <w:ind w:firstLine="2" w:firstLineChars="1"/>
        <w:rPr>
          <w:rFonts w:ascii="宋体"/>
          <w:color w:val="auto"/>
          <w:szCs w:val="21"/>
          <w:highlight w:val="none"/>
        </w:rPr>
      </w:pPr>
      <w:r>
        <w:rPr>
          <w:rFonts w:hint="eastAsia" w:ascii="宋体" w:hAnsi="宋体"/>
          <w:color w:val="auto"/>
          <w:szCs w:val="21"/>
          <w:highlight w:val="none"/>
        </w:rPr>
        <w:t>供应商（</w:t>
      </w:r>
      <w:r>
        <w:rPr>
          <w:rFonts w:hint="eastAsia" w:ascii="宋体" w:hAnsi="宋体" w:cs="宋体"/>
          <w:color w:val="auto"/>
          <w:szCs w:val="21"/>
          <w:highlight w:val="none"/>
        </w:rPr>
        <w:t>加盖供应商电子公章</w:t>
      </w:r>
      <w:r>
        <w:rPr>
          <w:rFonts w:hint="eastAsia" w:ascii="宋体" w:hAnsi="宋体"/>
          <w:color w:val="auto"/>
          <w:szCs w:val="21"/>
          <w:highlight w:val="none"/>
        </w:rPr>
        <w:t>）：</w:t>
      </w:r>
    </w:p>
    <w:p w14:paraId="193125AD">
      <w:pPr>
        <w:spacing w:line="360" w:lineRule="auto"/>
        <w:ind w:firstLine="2" w:firstLineChars="1"/>
        <w:rPr>
          <w:rFonts w:ascii="宋体" w:hAnsi="宋体"/>
          <w:color w:val="auto"/>
          <w:szCs w:val="21"/>
          <w:highlight w:val="none"/>
        </w:rPr>
      </w:pPr>
    </w:p>
    <w:p w14:paraId="569A28DB">
      <w:pPr>
        <w:spacing w:line="360" w:lineRule="auto"/>
        <w:ind w:firstLine="2" w:firstLineChars="1"/>
        <w:rPr>
          <w:rFonts w:ascii="宋体"/>
          <w:color w:val="auto"/>
          <w:szCs w:val="21"/>
          <w:highlight w:val="none"/>
        </w:rPr>
      </w:pPr>
      <w:r>
        <w:rPr>
          <w:rFonts w:hint="eastAsia" w:ascii="宋体" w:hAnsi="宋体"/>
          <w:color w:val="auto"/>
          <w:szCs w:val="21"/>
          <w:highlight w:val="none"/>
        </w:rPr>
        <w:t>法定代表人（电子签名或签章）：</w:t>
      </w:r>
    </w:p>
    <w:p w14:paraId="29DF4B0D">
      <w:pPr>
        <w:pStyle w:val="20"/>
        <w:rPr>
          <w:rFonts w:hAnsi="宋体"/>
          <w:color w:val="auto"/>
          <w:szCs w:val="21"/>
          <w:highlight w:val="none"/>
        </w:rPr>
      </w:pPr>
    </w:p>
    <w:p w14:paraId="238A1DFA">
      <w:pPr>
        <w:pStyle w:val="20"/>
        <w:rPr>
          <w:rFonts w:hAnsi="宋体"/>
          <w:color w:val="auto"/>
          <w:sz w:val="24"/>
          <w:szCs w:val="24"/>
          <w:highlight w:val="none"/>
        </w:rPr>
      </w:pPr>
      <w:r>
        <w:rPr>
          <w:rFonts w:hint="eastAsia" w:hAnsi="宋体"/>
          <w:color w:val="auto"/>
          <w:szCs w:val="21"/>
          <w:highlight w:val="none"/>
        </w:rPr>
        <w:t>日期：</w:t>
      </w:r>
    </w:p>
    <w:p w14:paraId="28632EB9">
      <w:pPr>
        <w:widowControl/>
        <w:jc w:val="left"/>
        <w:rPr>
          <w:rFonts w:ascii="宋体"/>
          <w:b/>
          <w:color w:val="auto"/>
          <w:sz w:val="28"/>
          <w:szCs w:val="28"/>
          <w:highlight w:val="none"/>
        </w:rPr>
      </w:pPr>
      <w:r>
        <w:rPr>
          <w:rFonts w:hAnsi="宋体"/>
          <w:b/>
          <w:color w:val="auto"/>
          <w:sz w:val="28"/>
          <w:szCs w:val="28"/>
          <w:highlight w:val="none"/>
        </w:rPr>
        <w:br w:type="page"/>
      </w:r>
    </w:p>
    <w:p w14:paraId="7484C325">
      <w:pPr>
        <w:widowControl/>
        <w:jc w:val="left"/>
        <w:outlineLvl w:val="1"/>
        <w:rPr>
          <w:rFonts w:hAnsi="宋体"/>
          <w:b/>
          <w:color w:val="auto"/>
          <w:sz w:val="28"/>
          <w:szCs w:val="28"/>
          <w:highlight w:val="none"/>
        </w:rPr>
      </w:pPr>
      <w:bookmarkStart w:id="229" w:name="_Toc23562"/>
      <w:bookmarkStart w:id="230" w:name="_Toc3498"/>
      <w:r>
        <w:rPr>
          <w:rFonts w:hint="eastAsia" w:ascii="宋体" w:hAnsi="宋体" w:cs="宋体"/>
          <w:b/>
          <w:color w:val="auto"/>
          <w:sz w:val="32"/>
          <w:szCs w:val="32"/>
          <w:highlight w:val="none"/>
        </w:rPr>
        <w:t>格式3</w:t>
      </w:r>
    </w:p>
    <w:p w14:paraId="7DD6A8AD">
      <w:pPr>
        <w:outlineLvl w:val="2"/>
        <w:rPr>
          <w:rFonts w:ascii="仿宋" w:hAnsi="仿宋" w:eastAsia="仿宋" w:cs="仿宋"/>
          <w:b/>
          <w:bCs/>
          <w:color w:val="auto"/>
          <w:sz w:val="32"/>
          <w:highlight w:val="none"/>
        </w:rPr>
      </w:pPr>
    </w:p>
    <w:bookmarkEnd w:id="229"/>
    <w:bookmarkEnd w:id="230"/>
    <w:p w14:paraId="41D1933E">
      <w:pPr>
        <w:pStyle w:val="4"/>
        <w:ind w:left="425"/>
        <w:jc w:val="center"/>
        <w:rPr>
          <w:rFonts w:ascii="宋体"/>
          <w:color w:val="auto"/>
          <w:szCs w:val="32"/>
          <w:highlight w:val="none"/>
        </w:rPr>
      </w:pPr>
      <w:bookmarkStart w:id="231" w:name="_Toc10711"/>
      <w:bookmarkStart w:id="232" w:name="_Toc9455"/>
      <w:bookmarkStart w:id="233" w:name="_Toc15202"/>
      <w:bookmarkStart w:id="234" w:name="_Toc3343"/>
      <w:bookmarkStart w:id="235" w:name="_Toc31055"/>
      <w:bookmarkStart w:id="236" w:name="_Toc5464"/>
      <w:bookmarkStart w:id="237" w:name="_Toc8410"/>
      <w:bookmarkStart w:id="238" w:name="_Toc5019"/>
      <w:bookmarkStart w:id="239" w:name="_Toc481694845"/>
      <w:bookmarkStart w:id="240" w:name="_Toc489145751"/>
      <w:bookmarkStart w:id="241" w:name="_Toc488633616"/>
      <w:bookmarkStart w:id="242" w:name="_Toc489197855"/>
      <w:bookmarkStart w:id="243" w:name="_Toc5556"/>
      <w:r>
        <w:rPr>
          <w:rFonts w:hint="eastAsia" w:ascii="宋体" w:hAnsi="宋体"/>
          <w:color w:val="auto"/>
          <w:szCs w:val="32"/>
          <w:highlight w:val="none"/>
        </w:rPr>
        <w:t>磋商申请</w:t>
      </w:r>
      <w:bookmarkEnd w:id="231"/>
      <w:bookmarkEnd w:id="232"/>
      <w:bookmarkEnd w:id="233"/>
      <w:bookmarkEnd w:id="234"/>
      <w:bookmarkEnd w:id="235"/>
      <w:bookmarkEnd w:id="236"/>
      <w:r>
        <w:rPr>
          <w:rFonts w:hint="eastAsia" w:ascii="宋体" w:hAnsi="宋体"/>
          <w:color w:val="auto"/>
          <w:szCs w:val="32"/>
          <w:highlight w:val="none"/>
        </w:rPr>
        <w:t>函</w:t>
      </w:r>
      <w:bookmarkEnd w:id="237"/>
      <w:bookmarkEnd w:id="238"/>
      <w:bookmarkEnd w:id="239"/>
      <w:bookmarkEnd w:id="240"/>
      <w:bookmarkEnd w:id="241"/>
      <w:bookmarkEnd w:id="242"/>
      <w:bookmarkEnd w:id="243"/>
    </w:p>
    <w:p w14:paraId="7F285556">
      <w:pPr>
        <w:pStyle w:val="20"/>
        <w:spacing w:line="276" w:lineRule="auto"/>
        <w:ind w:firstLine="482"/>
        <w:rPr>
          <w:rFonts w:hAnsi="宋体" w:cs="宋体"/>
          <w:color w:val="auto"/>
          <w:szCs w:val="21"/>
          <w:highlight w:val="none"/>
        </w:rPr>
      </w:pPr>
    </w:p>
    <w:p w14:paraId="4665AF7E">
      <w:pPr>
        <w:pStyle w:val="20"/>
        <w:spacing w:line="276" w:lineRule="auto"/>
        <w:rPr>
          <w:rFonts w:hAnsi="宋体" w:cs="宋体"/>
          <w:color w:val="auto"/>
          <w:szCs w:val="21"/>
          <w:highlight w:val="none"/>
        </w:rPr>
      </w:pPr>
      <w:r>
        <w:rPr>
          <w:rFonts w:hint="eastAsia" w:hAnsi="宋体" w:cs="宋体"/>
          <w:color w:val="auto"/>
          <w:szCs w:val="21"/>
          <w:highlight w:val="none"/>
        </w:rPr>
        <w:t>致：</w:t>
      </w:r>
      <w:r>
        <w:rPr>
          <w:rFonts w:hint="eastAsia" w:hAnsi="宋体" w:cs="宋体"/>
          <w:color w:val="auto"/>
          <w:szCs w:val="21"/>
          <w:highlight w:val="none"/>
          <w:u w:val="single"/>
        </w:rPr>
        <w:t>（采购人名称）</w:t>
      </w:r>
    </w:p>
    <w:p w14:paraId="53A37A9E">
      <w:pPr>
        <w:pStyle w:val="20"/>
        <w:spacing w:line="276" w:lineRule="auto"/>
        <w:ind w:firstLine="482"/>
        <w:rPr>
          <w:rFonts w:hAnsi="宋体" w:cs="宋体"/>
          <w:color w:val="auto"/>
          <w:szCs w:val="21"/>
          <w:highlight w:val="none"/>
        </w:rPr>
      </w:pPr>
    </w:p>
    <w:p w14:paraId="3A599FB4">
      <w:pPr>
        <w:pStyle w:val="20"/>
        <w:spacing w:line="276" w:lineRule="auto"/>
        <w:ind w:firstLine="482"/>
        <w:rPr>
          <w:rFonts w:hAnsi="宋体" w:cs="宋体"/>
          <w:color w:val="auto"/>
          <w:szCs w:val="21"/>
          <w:highlight w:val="none"/>
        </w:rPr>
      </w:pPr>
      <w:r>
        <w:rPr>
          <w:rFonts w:hint="eastAsia" w:hAnsi="宋体" w:cs="宋体"/>
          <w:color w:val="auto"/>
          <w:szCs w:val="21"/>
          <w:highlight w:val="none"/>
        </w:rPr>
        <w:t>我方仔细研究了</w:t>
      </w:r>
      <w:r>
        <w:rPr>
          <w:rFonts w:hint="eastAsia" w:hAnsi="宋体" w:cs="宋体"/>
          <w:color w:val="auto"/>
          <w:szCs w:val="21"/>
          <w:highlight w:val="none"/>
          <w:u w:val="single"/>
        </w:rPr>
        <w:t xml:space="preserve">（项目名称）   </w:t>
      </w:r>
      <w:r>
        <w:rPr>
          <w:rFonts w:hint="eastAsia" w:hAnsi="宋体" w:cs="宋体"/>
          <w:color w:val="auto"/>
          <w:szCs w:val="21"/>
          <w:highlight w:val="none"/>
        </w:rPr>
        <w:t>（项目编号：</w:t>
      </w:r>
      <w:r>
        <w:rPr>
          <w:rFonts w:hint="eastAsia" w:hAnsi="宋体" w:cs="宋体"/>
          <w:color w:val="auto"/>
          <w:szCs w:val="21"/>
          <w:highlight w:val="none"/>
          <w:u w:val="single"/>
        </w:rPr>
        <w:t xml:space="preserve">        </w:t>
      </w:r>
      <w:r>
        <w:rPr>
          <w:rFonts w:hint="eastAsia" w:hAnsi="宋体" w:cs="宋体"/>
          <w:color w:val="auto"/>
          <w:szCs w:val="21"/>
          <w:highlight w:val="none"/>
        </w:rPr>
        <w:t>）项目竞争性磋商文件的全部内容，正式授权</w:t>
      </w:r>
      <w:r>
        <w:rPr>
          <w:rFonts w:hint="eastAsia" w:hAnsi="宋体" w:cs="宋体"/>
          <w:color w:val="auto"/>
          <w:szCs w:val="21"/>
          <w:highlight w:val="none"/>
          <w:u w:val="single"/>
        </w:rPr>
        <w:t xml:space="preserve">   （姓名和职务）     </w:t>
      </w:r>
      <w:r>
        <w:rPr>
          <w:rFonts w:hint="eastAsia" w:hAnsi="宋体" w:cs="宋体"/>
          <w:color w:val="auto"/>
          <w:szCs w:val="21"/>
          <w:highlight w:val="none"/>
        </w:rPr>
        <w:t>全权代表供应商</w:t>
      </w:r>
      <w:r>
        <w:rPr>
          <w:rFonts w:hint="eastAsia" w:hAnsi="宋体" w:cs="宋体"/>
          <w:color w:val="auto"/>
          <w:szCs w:val="21"/>
          <w:highlight w:val="none"/>
          <w:u w:val="single"/>
        </w:rPr>
        <w:t xml:space="preserve">  （供应商全称）   </w:t>
      </w:r>
      <w:r>
        <w:rPr>
          <w:rFonts w:hint="eastAsia" w:hAnsi="宋体" w:cs="宋体"/>
          <w:color w:val="auto"/>
          <w:szCs w:val="21"/>
          <w:highlight w:val="none"/>
        </w:rPr>
        <w:t>参加磋商，并提交响应文件。</w:t>
      </w:r>
    </w:p>
    <w:p w14:paraId="4DF61FE6">
      <w:pPr>
        <w:pStyle w:val="20"/>
        <w:spacing w:line="276" w:lineRule="auto"/>
        <w:ind w:firstLine="420"/>
        <w:rPr>
          <w:rFonts w:hAnsi="宋体" w:cs="宋体"/>
          <w:color w:val="auto"/>
          <w:szCs w:val="21"/>
          <w:highlight w:val="none"/>
        </w:rPr>
      </w:pPr>
      <w:r>
        <w:rPr>
          <w:rFonts w:hint="eastAsia" w:hAnsi="宋体" w:cs="宋体"/>
          <w:color w:val="auto"/>
          <w:szCs w:val="21"/>
          <w:highlight w:val="none"/>
        </w:rPr>
        <w:t>据此函，我公司宣布同意如下：</w:t>
      </w:r>
    </w:p>
    <w:p w14:paraId="6BDC6FA9">
      <w:pPr>
        <w:pStyle w:val="20"/>
        <w:ind w:firstLine="420" w:firstLineChars="200"/>
        <w:rPr>
          <w:rFonts w:hAnsi="宋体" w:cs="宋体"/>
          <w:color w:val="auto"/>
          <w:szCs w:val="21"/>
          <w:highlight w:val="none"/>
        </w:rPr>
      </w:pPr>
      <w:r>
        <w:rPr>
          <w:rFonts w:hint="eastAsia" w:hAnsi="宋体" w:cs="宋体"/>
          <w:color w:val="auto"/>
          <w:szCs w:val="21"/>
          <w:highlight w:val="none"/>
        </w:rPr>
        <w:t>1.按竞争性磋商文件及采购需求，磋商报价（大写）</w:t>
      </w:r>
      <w:r>
        <w:rPr>
          <w:rFonts w:hint="eastAsia" w:hAnsi="宋体" w:cs="宋体"/>
          <w:color w:val="auto"/>
          <w:szCs w:val="21"/>
          <w:highlight w:val="none"/>
          <w:u w:val="single"/>
        </w:rPr>
        <w:t xml:space="preserve">       </w:t>
      </w:r>
      <w:r>
        <w:rPr>
          <w:rFonts w:hint="eastAsia" w:hAnsi="宋体" w:cs="宋体"/>
          <w:color w:val="auto"/>
          <w:szCs w:val="21"/>
          <w:highlight w:val="none"/>
        </w:rPr>
        <w:t>元，小写(￥</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)，项目实施期限：</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07829880">
      <w:pPr>
        <w:pStyle w:val="20"/>
        <w:spacing w:line="276" w:lineRule="auto"/>
        <w:ind w:firstLine="420"/>
        <w:rPr>
          <w:rFonts w:hAnsi="宋体" w:cs="宋体"/>
          <w:color w:val="auto"/>
          <w:spacing w:val="-10"/>
          <w:szCs w:val="21"/>
          <w:highlight w:val="none"/>
        </w:rPr>
      </w:pPr>
      <w:r>
        <w:rPr>
          <w:rFonts w:hint="eastAsia" w:hAnsi="宋体" w:cs="宋体"/>
          <w:color w:val="auto"/>
          <w:szCs w:val="21"/>
          <w:highlight w:val="none"/>
        </w:rPr>
        <w:t>2.</w:t>
      </w:r>
      <w:r>
        <w:rPr>
          <w:rFonts w:hint="eastAsia" w:hAnsi="宋体" w:cs="宋体"/>
          <w:color w:val="auto"/>
          <w:spacing w:val="-10"/>
          <w:szCs w:val="21"/>
          <w:highlight w:val="none"/>
        </w:rPr>
        <w:t>我方已详细审查竞争性磋商文件的全部内容，包括</w:t>
      </w:r>
      <w:r>
        <w:rPr>
          <w:rFonts w:hint="eastAsia" w:hAnsi="宋体" w:cs="宋体"/>
          <w:color w:val="auto"/>
          <w:spacing w:val="-10"/>
          <w:szCs w:val="21"/>
          <w:highlight w:val="none"/>
          <w:u w:val="single"/>
        </w:rPr>
        <w:t>（澄清文件）(如果有)</w:t>
      </w:r>
      <w:r>
        <w:rPr>
          <w:rFonts w:hint="eastAsia" w:hAnsi="宋体" w:cs="宋体"/>
          <w:color w:val="auto"/>
          <w:spacing w:val="-10"/>
          <w:szCs w:val="21"/>
          <w:highlight w:val="none"/>
        </w:rPr>
        <w:t>。我方完全理解竞争性磋商文件相关要求，并承担对竞争性磋商文件有不明及误解的后果。</w:t>
      </w:r>
    </w:p>
    <w:p w14:paraId="4B8C9459">
      <w:pPr>
        <w:pStyle w:val="20"/>
        <w:spacing w:line="276" w:lineRule="auto"/>
        <w:ind w:firstLine="420"/>
        <w:rPr>
          <w:rFonts w:hAnsi="宋体" w:cs="宋体"/>
          <w:color w:val="auto"/>
          <w:szCs w:val="21"/>
          <w:highlight w:val="none"/>
        </w:rPr>
      </w:pPr>
      <w:r>
        <w:rPr>
          <w:rFonts w:hint="eastAsia" w:hAnsi="宋体" w:cs="宋体"/>
          <w:color w:val="auto"/>
          <w:szCs w:val="21"/>
          <w:highlight w:val="none"/>
        </w:rPr>
        <w:t>3.在供应商须知规定的提交日期起遵循本竞争性磋商文件，并在供应商须知第17.1条规定的响应文件有效期届满之日前均具有约束力。</w:t>
      </w:r>
    </w:p>
    <w:p w14:paraId="03902B4E">
      <w:pPr>
        <w:pStyle w:val="20"/>
        <w:spacing w:line="276" w:lineRule="auto"/>
        <w:ind w:firstLine="420"/>
        <w:rPr>
          <w:rFonts w:hAnsi="宋体" w:cs="宋体"/>
          <w:color w:val="auto"/>
          <w:szCs w:val="21"/>
          <w:highlight w:val="none"/>
        </w:rPr>
      </w:pPr>
      <w:r>
        <w:rPr>
          <w:rFonts w:hint="eastAsia" w:hAnsi="宋体" w:cs="宋体"/>
          <w:color w:val="auto"/>
          <w:szCs w:val="21"/>
          <w:highlight w:val="none"/>
        </w:rPr>
        <w:t>4.同意竞争性磋商文件中关于没收磋商保证金的规定。</w:t>
      </w:r>
    </w:p>
    <w:p w14:paraId="1E8BC34D">
      <w:pPr>
        <w:pStyle w:val="20"/>
        <w:spacing w:line="276" w:lineRule="auto"/>
        <w:ind w:firstLine="420"/>
        <w:rPr>
          <w:rFonts w:hAnsi="宋体" w:cs="宋体"/>
          <w:color w:val="auto"/>
          <w:szCs w:val="21"/>
          <w:highlight w:val="none"/>
        </w:rPr>
      </w:pPr>
      <w:r>
        <w:rPr>
          <w:rFonts w:hint="eastAsia" w:hAnsi="宋体" w:cs="宋体"/>
          <w:color w:val="auto"/>
          <w:szCs w:val="21"/>
          <w:highlight w:val="none"/>
        </w:rPr>
        <w:t>5.同意应贵方要求提供与本项目有关的任何数据或资料，并保证数据和资料的完整性和真实性。</w:t>
      </w:r>
    </w:p>
    <w:p w14:paraId="466968CF">
      <w:pPr>
        <w:pStyle w:val="20"/>
        <w:spacing w:line="276" w:lineRule="auto"/>
        <w:ind w:firstLine="420"/>
        <w:rPr>
          <w:rFonts w:hAnsi="宋体" w:cs="宋体"/>
          <w:color w:val="auto"/>
          <w:szCs w:val="21"/>
          <w:highlight w:val="none"/>
        </w:rPr>
      </w:pPr>
      <w:r>
        <w:rPr>
          <w:rFonts w:hint="eastAsia" w:hAnsi="宋体" w:cs="宋体"/>
          <w:color w:val="auto"/>
          <w:szCs w:val="21"/>
          <w:highlight w:val="none"/>
        </w:rPr>
        <w:t>6.完全理解贵方不一定要接受最低报价的供应商为成交供应商的行为。</w:t>
      </w:r>
    </w:p>
    <w:p w14:paraId="3B191E6F">
      <w:pPr>
        <w:pStyle w:val="20"/>
        <w:spacing w:line="276" w:lineRule="auto"/>
        <w:ind w:firstLine="420"/>
        <w:rPr>
          <w:rFonts w:hAnsi="宋体" w:cs="宋体"/>
          <w:color w:val="auto"/>
          <w:szCs w:val="21"/>
          <w:highlight w:val="none"/>
        </w:rPr>
      </w:pPr>
      <w:r>
        <w:rPr>
          <w:rFonts w:hint="eastAsia" w:hAnsi="宋体" w:cs="宋体"/>
          <w:color w:val="auto"/>
          <w:szCs w:val="21"/>
          <w:highlight w:val="none"/>
        </w:rPr>
        <w:t>7.如我方成交：</w:t>
      </w:r>
    </w:p>
    <w:p w14:paraId="044828BE">
      <w:pPr>
        <w:pStyle w:val="20"/>
        <w:spacing w:line="276" w:lineRule="auto"/>
        <w:ind w:firstLine="420"/>
        <w:rPr>
          <w:rFonts w:hAnsi="宋体" w:cs="宋体"/>
          <w:color w:val="auto"/>
          <w:szCs w:val="21"/>
          <w:highlight w:val="none"/>
        </w:rPr>
      </w:pPr>
      <w:r>
        <w:rPr>
          <w:rFonts w:hint="eastAsia" w:hAnsi="宋体" w:cs="宋体"/>
          <w:color w:val="auto"/>
          <w:szCs w:val="21"/>
          <w:highlight w:val="none"/>
        </w:rPr>
        <w:t>（1）我方承诺在收到成交通知书后，在成交通知书规定的期限内与你方签订合同，并履行相应的合同责任和义务。</w:t>
      </w:r>
    </w:p>
    <w:p w14:paraId="1A16BE1A">
      <w:pPr>
        <w:pStyle w:val="20"/>
        <w:spacing w:line="276" w:lineRule="auto"/>
        <w:ind w:firstLine="420"/>
        <w:rPr>
          <w:rFonts w:hAnsi="宋体" w:cs="宋体"/>
          <w:color w:val="auto"/>
          <w:szCs w:val="21"/>
          <w:highlight w:val="none"/>
        </w:rPr>
      </w:pPr>
      <w:r>
        <w:rPr>
          <w:rFonts w:hint="eastAsia" w:hAnsi="宋体" w:cs="宋体"/>
          <w:color w:val="auto"/>
          <w:szCs w:val="21"/>
          <w:highlight w:val="none"/>
        </w:rPr>
        <w:t>（2）我方承诺按照竞争性磋商文件的规定向你方递交履约保证金。</w:t>
      </w:r>
    </w:p>
    <w:p w14:paraId="72846E51">
      <w:pPr>
        <w:pStyle w:val="20"/>
        <w:spacing w:line="276" w:lineRule="auto"/>
        <w:ind w:firstLine="420"/>
        <w:rPr>
          <w:rFonts w:hAnsi="宋体" w:cs="宋体"/>
          <w:color w:val="auto"/>
          <w:szCs w:val="21"/>
          <w:highlight w:val="none"/>
        </w:rPr>
      </w:pPr>
      <w:r>
        <w:rPr>
          <w:rFonts w:hint="eastAsia" w:hAnsi="宋体" w:cs="宋体"/>
          <w:color w:val="auto"/>
          <w:szCs w:val="21"/>
          <w:highlight w:val="none"/>
        </w:rPr>
        <w:t>（3）我方承诺将承担售后服务及质量责任。</w:t>
      </w:r>
    </w:p>
    <w:p w14:paraId="67FF5E7F">
      <w:pPr>
        <w:pStyle w:val="20"/>
        <w:spacing w:line="276" w:lineRule="auto"/>
        <w:ind w:firstLine="420"/>
        <w:rPr>
          <w:rFonts w:hAnsi="宋体" w:cs="宋体"/>
          <w:color w:val="auto"/>
          <w:szCs w:val="21"/>
          <w:highlight w:val="none"/>
        </w:rPr>
      </w:pPr>
      <w:r>
        <w:rPr>
          <w:rFonts w:hint="eastAsia" w:hAnsi="宋体" w:cs="宋体"/>
          <w:color w:val="auto"/>
          <w:szCs w:val="21"/>
          <w:highlight w:val="none"/>
        </w:rPr>
        <w:t>8.我方在此声明，所递交的响应文件及有关资料内容完整、真实和准确。</w:t>
      </w:r>
    </w:p>
    <w:p w14:paraId="3CF28F75">
      <w:pPr>
        <w:pStyle w:val="20"/>
        <w:spacing w:line="276" w:lineRule="auto"/>
        <w:ind w:firstLine="420"/>
        <w:rPr>
          <w:rFonts w:hAnsi="宋体" w:cs="宋体"/>
          <w:color w:val="auto"/>
          <w:szCs w:val="21"/>
          <w:highlight w:val="none"/>
        </w:rPr>
      </w:pPr>
      <w:r>
        <w:rPr>
          <w:rFonts w:hint="eastAsia" w:hAnsi="宋体" w:cs="宋体"/>
          <w:color w:val="auto"/>
          <w:szCs w:val="21"/>
          <w:highlight w:val="none"/>
        </w:rPr>
        <w:t>9.</w:t>
      </w:r>
      <w:r>
        <w:rPr>
          <w:rFonts w:hint="eastAsia" w:hAnsi="宋体" w:cs="宋体"/>
          <w:color w:val="auto"/>
          <w:szCs w:val="21"/>
          <w:highlight w:val="none"/>
          <w:u w:val="single"/>
        </w:rPr>
        <w:t xml:space="preserve">                                       </w:t>
      </w:r>
      <w:r>
        <w:rPr>
          <w:rFonts w:hint="eastAsia" w:hAnsi="宋体" w:cs="宋体"/>
          <w:color w:val="auto"/>
          <w:szCs w:val="21"/>
          <w:highlight w:val="none"/>
        </w:rPr>
        <w:t>（其他补充说明）。</w:t>
      </w:r>
    </w:p>
    <w:p w14:paraId="163882DB">
      <w:pPr>
        <w:pStyle w:val="20"/>
        <w:spacing w:line="276" w:lineRule="auto"/>
        <w:ind w:firstLine="420"/>
        <w:rPr>
          <w:rFonts w:hAnsi="宋体" w:cs="宋体"/>
          <w:color w:val="auto"/>
          <w:szCs w:val="21"/>
          <w:highlight w:val="none"/>
        </w:rPr>
      </w:pPr>
      <w:r>
        <w:rPr>
          <w:rFonts w:hint="eastAsia" w:hAnsi="宋体" w:cs="宋体"/>
          <w:color w:val="auto"/>
          <w:szCs w:val="21"/>
          <w:highlight w:val="none"/>
        </w:rPr>
        <w:t>我单位正式通讯地址为：</w:t>
      </w:r>
    </w:p>
    <w:p w14:paraId="4063F108">
      <w:pPr>
        <w:pStyle w:val="20"/>
        <w:spacing w:line="276" w:lineRule="auto"/>
        <w:ind w:firstLine="420"/>
        <w:rPr>
          <w:rFonts w:hAnsi="宋体" w:cs="宋体"/>
          <w:color w:val="auto"/>
          <w:szCs w:val="21"/>
          <w:highlight w:val="none"/>
          <w:u w:val="single"/>
        </w:rPr>
      </w:pPr>
      <w:r>
        <w:rPr>
          <w:rFonts w:hint="eastAsia" w:hAnsi="宋体" w:cs="宋体"/>
          <w:color w:val="auto"/>
          <w:szCs w:val="21"/>
          <w:highlight w:val="none"/>
        </w:rPr>
        <w:t>地址：</w:t>
      </w:r>
      <w:r>
        <w:rPr>
          <w:rFonts w:hint="eastAsia" w:hAnsi="宋体" w:cs="宋体"/>
          <w:color w:val="auto"/>
          <w:szCs w:val="21"/>
          <w:highlight w:val="none"/>
          <w:u w:val="single"/>
        </w:rPr>
        <w:t xml:space="preserve">                         </w:t>
      </w:r>
      <w:r>
        <w:rPr>
          <w:rFonts w:hint="eastAsia" w:hAnsi="宋体" w:cs="宋体"/>
          <w:color w:val="auto"/>
          <w:szCs w:val="21"/>
          <w:highlight w:val="none"/>
        </w:rPr>
        <w:t>邮政编码：</w:t>
      </w:r>
      <w:r>
        <w:rPr>
          <w:rFonts w:hint="eastAsia" w:hAnsi="宋体" w:cs="宋体"/>
          <w:color w:val="auto"/>
          <w:szCs w:val="21"/>
          <w:highlight w:val="none"/>
          <w:u w:val="single"/>
        </w:rPr>
        <w:t xml:space="preserve">                  .                                  </w:t>
      </w:r>
    </w:p>
    <w:p w14:paraId="28386CC3">
      <w:pPr>
        <w:pStyle w:val="20"/>
        <w:spacing w:line="276" w:lineRule="auto"/>
        <w:ind w:firstLine="420"/>
        <w:rPr>
          <w:rFonts w:hAnsi="宋体" w:cs="宋体"/>
          <w:color w:val="auto"/>
          <w:szCs w:val="21"/>
          <w:highlight w:val="none"/>
        </w:rPr>
      </w:pPr>
      <w:r>
        <w:rPr>
          <w:rFonts w:hint="eastAsia" w:hAnsi="宋体" w:cs="宋体"/>
          <w:color w:val="auto"/>
          <w:szCs w:val="21"/>
          <w:highlight w:val="none"/>
        </w:rPr>
        <w:t>电话：</w:t>
      </w:r>
      <w:r>
        <w:rPr>
          <w:rFonts w:hint="eastAsia" w:hAnsi="宋体" w:cs="宋体"/>
          <w:color w:val="auto"/>
          <w:szCs w:val="21"/>
          <w:highlight w:val="none"/>
          <w:u w:val="single"/>
        </w:rPr>
        <w:t xml:space="preserve">                         </w:t>
      </w:r>
      <w:r>
        <w:rPr>
          <w:rFonts w:hint="eastAsia" w:hAnsi="宋体" w:cs="宋体"/>
          <w:color w:val="auto"/>
          <w:szCs w:val="21"/>
          <w:highlight w:val="none"/>
        </w:rPr>
        <w:t>传真：</w:t>
      </w:r>
      <w:r>
        <w:rPr>
          <w:rFonts w:hint="eastAsia" w:hAnsi="宋体" w:cs="宋体"/>
          <w:color w:val="auto"/>
          <w:szCs w:val="21"/>
          <w:highlight w:val="none"/>
          <w:u w:val="single"/>
        </w:rPr>
        <w:t xml:space="preserve">                      .                      </w:t>
      </w:r>
    </w:p>
    <w:p w14:paraId="436C020A">
      <w:pPr>
        <w:pStyle w:val="20"/>
        <w:spacing w:line="276" w:lineRule="auto"/>
        <w:ind w:firstLine="420"/>
        <w:rPr>
          <w:rFonts w:hAnsi="宋体" w:cs="宋体"/>
          <w:color w:val="auto"/>
          <w:szCs w:val="21"/>
          <w:highlight w:val="none"/>
          <w:u w:val="singl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r>
        <w:rPr>
          <w:rFonts w:hint="eastAsia" w:hAnsi="宋体" w:cs="宋体"/>
          <w:color w:val="auto"/>
          <w:szCs w:val="21"/>
          <w:highlight w:val="none"/>
        </w:rPr>
        <w:t>开户银行：</w:t>
      </w:r>
      <w:r>
        <w:rPr>
          <w:rFonts w:hint="eastAsia" w:hAnsi="宋体" w:cs="宋体"/>
          <w:color w:val="auto"/>
          <w:szCs w:val="21"/>
          <w:highlight w:val="none"/>
          <w:u w:val="single"/>
        </w:rPr>
        <w:t xml:space="preserve">                  .                  </w:t>
      </w:r>
    </w:p>
    <w:p w14:paraId="64C25849">
      <w:pPr>
        <w:pStyle w:val="20"/>
        <w:spacing w:line="276" w:lineRule="auto"/>
        <w:ind w:firstLine="420"/>
        <w:rPr>
          <w:rFonts w:hAnsi="宋体" w:cs="宋体"/>
          <w:color w:val="auto"/>
          <w:szCs w:val="21"/>
          <w:highlight w:val="none"/>
          <w:u w:val="single"/>
        </w:rPr>
      </w:pPr>
      <w:r>
        <w:rPr>
          <w:rFonts w:hint="eastAsia" w:hAnsi="宋体" w:cs="宋体"/>
          <w:color w:val="auto"/>
          <w:szCs w:val="21"/>
          <w:highlight w:val="none"/>
        </w:rPr>
        <w:t>账    号：</w:t>
      </w:r>
      <w:r>
        <w:rPr>
          <w:rFonts w:hint="eastAsia" w:hAnsi="宋体" w:cs="宋体"/>
          <w:color w:val="auto"/>
          <w:szCs w:val="21"/>
          <w:highlight w:val="none"/>
          <w:u w:val="single"/>
        </w:rPr>
        <w:t xml:space="preserve">                  .                     </w:t>
      </w:r>
    </w:p>
    <w:p w14:paraId="7064887E">
      <w:pPr>
        <w:pStyle w:val="20"/>
        <w:spacing w:line="276" w:lineRule="auto"/>
        <w:ind w:firstLine="420"/>
        <w:rPr>
          <w:color w:val="auto"/>
          <w:szCs w:val="21"/>
          <w:highlight w:val="none"/>
          <w:u w:val="single"/>
        </w:rPr>
      </w:pPr>
    </w:p>
    <w:p w14:paraId="565D7F5A">
      <w:pPr>
        <w:rPr>
          <w:color w:val="auto"/>
          <w:highlight w:val="none"/>
        </w:rPr>
      </w:pPr>
    </w:p>
    <w:p w14:paraId="0DFA7350">
      <w:pPr>
        <w:pStyle w:val="20"/>
        <w:spacing w:line="276" w:lineRule="auto"/>
        <w:ind w:firstLine="420"/>
        <w:rPr>
          <w:color w:val="auto"/>
          <w:szCs w:val="21"/>
          <w:highlight w:val="none"/>
          <w:u w:val="single"/>
        </w:rPr>
      </w:pPr>
      <w:r>
        <w:rPr>
          <w:rFonts w:hint="eastAsia"/>
          <w:color w:val="auto"/>
          <w:szCs w:val="21"/>
          <w:highlight w:val="none"/>
        </w:rPr>
        <w:t>供应商（</w:t>
      </w:r>
      <w:r>
        <w:rPr>
          <w:rFonts w:hint="eastAsia" w:hAnsi="宋体" w:cs="宋体"/>
          <w:color w:val="auto"/>
          <w:szCs w:val="21"/>
          <w:highlight w:val="none"/>
        </w:rPr>
        <w:t>加盖供应商电子公章</w:t>
      </w:r>
      <w:r>
        <w:rPr>
          <w:rFonts w:hint="eastAsia"/>
          <w:color w:val="auto"/>
          <w:szCs w:val="21"/>
          <w:highlight w:val="none"/>
        </w:rPr>
        <w:t>）：</w:t>
      </w:r>
      <w:r>
        <w:rPr>
          <w:color w:val="auto"/>
          <w:szCs w:val="21"/>
          <w:highlight w:val="none"/>
          <w:u w:val="single"/>
        </w:rPr>
        <w:t xml:space="preserve"> </w:t>
      </w:r>
    </w:p>
    <w:p w14:paraId="291B674F">
      <w:pPr>
        <w:pStyle w:val="20"/>
        <w:spacing w:line="276" w:lineRule="auto"/>
        <w:ind w:firstLine="420"/>
        <w:rPr>
          <w:color w:val="auto"/>
          <w:szCs w:val="21"/>
          <w:highlight w:val="none"/>
        </w:rPr>
      </w:pPr>
      <w:r>
        <w:rPr>
          <w:rFonts w:hint="eastAsia"/>
          <w:color w:val="auto"/>
          <w:szCs w:val="21"/>
          <w:highlight w:val="none"/>
        </w:rPr>
        <w:t>法定代表人（电子签名或签章）：</w:t>
      </w:r>
    </w:p>
    <w:p w14:paraId="482A7141">
      <w:pPr>
        <w:pStyle w:val="20"/>
        <w:spacing w:line="276" w:lineRule="auto"/>
        <w:ind w:firstLine="420"/>
        <w:rPr>
          <w:color w:val="auto"/>
          <w:sz w:val="24"/>
          <w:szCs w:val="24"/>
          <w:highlight w:val="none"/>
        </w:rPr>
      </w:pPr>
      <w:r>
        <w:rPr>
          <w:rFonts w:hint="eastAsia" w:hAnsi="宋体"/>
          <w:color w:val="auto"/>
          <w:szCs w:val="21"/>
          <w:highlight w:val="none"/>
        </w:rPr>
        <w:t>日期：</w:t>
      </w:r>
      <w:r>
        <w:rPr>
          <w:color w:val="auto"/>
          <w:szCs w:val="21"/>
          <w:highlight w:val="none"/>
          <w:u w:val="single"/>
        </w:rPr>
        <w:t xml:space="preserve">       </w:t>
      </w:r>
      <w:r>
        <w:rPr>
          <w:color w:val="auto"/>
          <w:sz w:val="24"/>
          <w:szCs w:val="24"/>
          <w:highlight w:val="none"/>
          <w:u w:val="single"/>
        </w:rPr>
        <w:t xml:space="preserve">      </w:t>
      </w:r>
    </w:p>
    <w:p w14:paraId="5FC305FC">
      <w:pPr>
        <w:widowControl/>
        <w:jc w:val="left"/>
        <w:rPr>
          <w:rFonts w:hAnsi="宋体"/>
          <w:b/>
          <w:color w:val="auto"/>
          <w:sz w:val="28"/>
          <w:szCs w:val="28"/>
          <w:highlight w:val="none"/>
        </w:rPr>
      </w:pPr>
      <w:bookmarkStart w:id="244" w:name="_Toc327190555"/>
      <w:r>
        <w:rPr>
          <w:rFonts w:hAnsi="宋体"/>
          <w:b/>
          <w:color w:val="auto"/>
          <w:sz w:val="28"/>
          <w:szCs w:val="28"/>
          <w:highlight w:val="none"/>
        </w:rPr>
        <w:t xml:space="preserve"> </w:t>
      </w:r>
      <w:bookmarkStart w:id="245" w:name="_Toc497415953"/>
      <w:bookmarkStart w:id="246" w:name="_Toc488633617"/>
      <w:bookmarkStart w:id="247" w:name="_Toc518289512"/>
      <w:bookmarkStart w:id="248" w:name="_Toc525059478"/>
      <w:bookmarkStart w:id="249" w:name="_Toc11618"/>
      <w:bookmarkStart w:id="250" w:name="_Toc525058991"/>
      <w:bookmarkStart w:id="251" w:name="_Toc489145752"/>
      <w:bookmarkStart w:id="252" w:name="_Toc481694846"/>
      <w:bookmarkStart w:id="253" w:name="_Toc489197856"/>
    </w:p>
    <w:p w14:paraId="5976BAE5">
      <w:pPr>
        <w:rPr>
          <w:rFonts w:hAnsi="宋体"/>
          <w:b/>
          <w:color w:val="auto"/>
          <w:sz w:val="28"/>
          <w:szCs w:val="28"/>
          <w:highlight w:val="none"/>
        </w:rPr>
      </w:pPr>
      <w:r>
        <w:rPr>
          <w:rFonts w:hAnsi="宋体"/>
          <w:b/>
          <w:color w:val="auto"/>
          <w:sz w:val="28"/>
          <w:szCs w:val="28"/>
          <w:highlight w:val="none"/>
        </w:rPr>
        <w:br w:type="page"/>
      </w:r>
    </w:p>
    <w:p w14:paraId="30482B2C">
      <w:pPr>
        <w:spacing w:line="360" w:lineRule="auto"/>
        <w:outlineLvl w:val="1"/>
        <w:rPr>
          <w:rFonts w:ascii="宋体" w:hAnsi="宋体" w:cs="宋体"/>
          <w:b/>
          <w:color w:val="auto"/>
          <w:sz w:val="32"/>
          <w:szCs w:val="32"/>
          <w:highlight w:val="none"/>
        </w:rPr>
      </w:pPr>
      <w:bookmarkStart w:id="254" w:name="_Toc15973"/>
      <w:r>
        <w:rPr>
          <w:rFonts w:hint="eastAsia" w:ascii="宋体" w:hAnsi="宋体" w:cs="宋体"/>
          <w:b/>
          <w:color w:val="auto"/>
          <w:sz w:val="32"/>
          <w:szCs w:val="32"/>
          <w:highlight w:val="none"/>
        </w:rPr>
        <w:t>格式</w:t>
      </w:r>
      <w:bookmarkEnd w:id="254"/>
      <w:r>
        <w:rPr>
          <w:rFonts w:hint="eastAsia" w:ascii="宋体" w:hAnsi="宋体" w:cs="宋体"/>
          <w:b/>
          <w:color w:val="auto"/>
          <w:sz w:val="32"/>
          <w:szCs w:val="32"/>
          <w:highlight w:val="none"/>
        </w:rPr>
        <w:t>4</w:t>
      </w:r>
    </w:p>
    <w:p w14:paraId="0E41C55A">
      <w:pPr>
        <w:keepNext/>
        <w:keepLines/>
        <w:spacing w:before="120" w:after="120" w:line="360" w:lineRule="auto"/>
        <w:ind w:left="425"/>
        <w:jc w:val="center"/>
        <w:outlineLvl w:val="1"/>
        <w:rPr>
          <w:rFonts w:ascii="宋体" w:hAnsi="宋体" w:cs="宋体"/>
          <w:b/>
          <w:bCs/>
          <w:color w:val="auto"/>
          <w:sz w:val="32"/>
          <w:szCs w:val="32"/>
          <w:highlight w:val="none"/>
        </w:rPr>
      </w:pPr>
      <w:bookmarkStart w:id="255" w:name="_Toc18620"/>
      <w:bookmarkStart w:id="256" w:name="_Toc18287443"/>
      <w:bookmarkStart w:id="257" w:name="_Toc10452"/>
      <w:r>
        <w:rPr>
          <w:rFonts w:hint="eastAsia" w:ascii="宋体" w:hAnsi="宋体" w:cs="宋体"/>
          <w:b/>
          <w:bCs/>
          <w:color w:val="auto"/>
          <w:sz w:val="32"/>
          <w:szCs w:val="32"/>
          <w:highlight w:val="none"/>
        </w:rPr>
        <w:t>法定代表人身份证明书</w:t>
      </w:r>
      <w:bookmarkEnd w:id="255"/>
      <w:bookmarkEnd w:id="256"/>
      <w:bookmarkEnd w:id="257"/>
    </w:p>
    <w:p w14:paraId="3771284E">
      <w:pPr>
        <w:jc w:val="center"/>
        <w:rPr>
          <w:rFonts w:ascii="宋体" w:hAnsi="宋体" w:cs="宋体"/>
          <w:b/>
          <w:color w:val="auto"/>
          <w:sz w:val="30"/>
          <w:szCs w:val="30"/>
          <w:highlight w:val="none"/>
        </w:rPr>
      </w:pPr>
    </w:p>
    <w:p w14:paraId="521CE17E">
      <w:pPr>
        <w:spacing w:line="360" w:lineRule="auto"/>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19642A4B">
      <w:pPr>
        <w:spacing w:line="360" w:lineRule="auto"/>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100D4D48">
      <w:pPr>
        <w:spacing w:line="360" w:lineRule="auto"/>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26FF4B6">
      <w:pPr>
        <w:spacing w:line="360" w:lineRule="auto"/>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09A3479F">
      <w:pPr>
        <w:spacing w:line="360" w:lineRule="auto"/>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09FFC635">
      <w:pPr>
        <w:spacing w:line="360" w:lineRule="auto"/>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w:t>
      </w:r>
    </w:p>
    <w:p w14:paraId="65CC1499">
      <w:pPr>
        <w:spacing w:line="360" w:lineRule="auto"/>
        <w:rPr>
          <w:rFonts w:ascii="宋体" w:hAnsi="宋体" w:cs="宋体"/>
          <w:color w:val="auto"/>
          <w:szCs w:val="21"/>
          <w:highlight w:val="none"/>
        </w:rPr>
      </w:pPr>
    </w:p>
    <w:p w14:paraId="62014E9A">
      <w:pPr>
        <w:spacing w:line="360" w:lineRule="auto"/>
        <w:ind w:firstLine="420" w:firstLineChars="200"/>
        <w:rPr>
          <w:rFonts w:ascii="宋体" w:hAnsi="宋体" w:cs="宋体"/>
          <w:color w:val="auto"/>
          <w:szCs w:val="21"/>
          <w:highlight w:val="none"/>
        </w:rPr>
      </w:pPr>
    </w:p>
    <w:p w14:paraId="39CCC8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14:paraId="3FB70A4F">
      <w:pPr>
        <w:spacing w:line="360" w:lineRule="auto"/>
        <w:rPr>
          <w:rFonts w:ascii="宋体" w:hAnsi="宋体" w:cs="宋体"/>
          <w:color w:val="auto"/>
          <w:szCs w:val="21"/>
          <w:highlight w:val="none"/>
        </w:rPr>
      </w:pPr>
    </w:p>
    <w:p w14:paraId="4082B948">
      <w:pPr>
        <w:spacing w:line="360" w:lineRule="auto"/>
        <w:rPr>
          <w:rFonts w:ascii="宋体" w:hAnsi="宋体" w:cs="宋体"/>
          <w:color w:val="auto"/>
          <w:szCs w:val="21"/>
          <w:highlight w:val="none"/>
        </w:rPr>
      </w:pPr>
    </w:p>
    <w:p w14:paraId="45300125">
      <w:pPr>
        <w:spacing w:line="360" w:lineRule="auto"/>
        <w:rPr>
          <w:rFonts w:ascii="宋体" w:hAnsi="宋体" w:cs="宋体"/>
          <w:color w:val="auto"/>
          <w:szCs w:val="21"/>
          <w:highlight w:val="none"/>
        </w:rPr>
      </w:pPr>
    </w:p>
    <w:p w14:paraId="5EA8A46F">
      <w:pPr>
        <w:spacing w:line="360" w:lineRule="auto"/>
        <w:rPr>
          <w:rFonts w:ascii="宋体" w:hAnsi="宋体" w:cs="宋体"/>
          <w:color w:val="auto"/>
          <w:szCs w:val="21"/>
          <w:highlight w:val="none"/>
        </w:rPr>
      </w:pPr>
    </w:p>
    <w:p w14:paraId="47818E94">
      <w:pPr>
        <w:spacing w:line="360" w:lineRule="auto"/>
        <w:ind w:left="5397" w:leftChars="2570"/>
        <w:rPr>
          <w:rFonts w:ascii="宋体" w:hAnsi="宋体" w:cs="宋体"/>
          <w:color w:val="auto"/>
          <w:szCs w:val="21"/>
          <w:highlight w:val="none"/>
        </w:rPr>
      </w:pPr>
      <w:r>
        <w:rPr>
          <w:rFonts w:hint="eastAsia" w:ascii="宋体" w:hAnsi="宋体" w:cs="宋体"/>
          <w:color w:val="auto"/>
          <w:szCs w:val="21"/>
          <w:highlight w:val="none"/>
        </w:rPr>
        <w:t>供应商（加盖供应商电子公章）：</w:t>
      </w:r>
    </w:p>
    <w:p w14:paraId="137D1472">
      <w:pPr>
        <w:spacing w:line="360" w:lineRule="auto"/>
        <w:ind w:left="5397" w:leftChars="2570"/>
        <w:rPr>
          <w:rFonts w:ascii="宋体" w:hAnsi="宋体" w:cs="宋体"/>
          <w:color w:val="auto"/>
          <w:szCs w:val="21"/>
          <w:highlight w:val="none"/>
        </w:rPr>
      </w:pPr>
    </w:p>
    <w:p w14:paraId="37AB8D7B">
      <w:pPr>
        <w:spacing w:line="360" w:lineRule="auto"/>
        <w:ind w:left="5397" w:leftChars="2570"/>
        <w:rPr>
          <w:rFonts w:ascii="宋体" w:hAnsi="宋体" w:cs="宋体"/>
          <w:color w:val="auto"/>
          <w:szCs w:val="21"/>
          <w:highlight w:val="none"/>
        </w:rPr>
      </w:pPr>
      <w:r>
        <w:rPr>
          <w:rFonts w:hint="eastAsia" w:ascii="宋体" w:hAnsi="宋体" w:cs="宋体"/>
          <w:color w:val="auto"/>
          <w:szCs w:val="21"/>
          <w:highlight w:val="none"/>
        </w:rPr>
        <w:t>日期：</w:t>
      </w:r>
    </w:p>
    <w:p w14:paraId="07490EE2">
      <w:pPr>
        <w:pStyle w:val="20"/>
        <w:spacing w:line="500" w:lineRule="exact"/>
        <w:ind w:firstLine="420"/>
        <w:rPr>
          <w:rFonts w:hAnsi="宋体" w:cs="宋体"/>
          <w:b/>
          <w:bCs/>
          <w:color w:val="auto"/>
          <w:szCs w:val="21"/>
          <w:highlight w:val="none"/>
        </w:rPr>
      </w:pPr>
      <w:r>
        <w:rPr>
          <w:rFonts w:hint="eastAsia" w:hAnsi="宋体" w:cs="宋体"/>
          <w:b/>
          <w:bCs/>
          <w:color w:val="auto"/>
          <w:szCs w:val="21"/>
          <w:highlight w:val="none"/>
        </w:rPr>
        <w:t>注：附法定代表人居民身份证扫描件。</w:t>
      </w:r>
    </w:p>
    <w:p w14:paraId="4F693DEF">
      <w:pPr>
        <w:spacing w:line="360" w:lineRule="auto"/>
        <w:rPr>
          <w:rFonts w:ascii="宋体" w:hAnsi="宋体" w:cs="宋体"/>
          <w:color w:val="auto"/>
          <w:szCs w:val="21"/>
          <w:highlight w:val="none"/>
        </w:rPr>
      </w:pPr>
    </w:p>
    <w:p w14:paraId="2AB1F2E7">
      <w:pPr>
        <w:pStyle w:val="20"/>
        <w:spacing w:line="360" w:lineRule="auto"/>
        <w:rPr>
          <w:rFonts w:hAnsi="宋体" w:cs="宋体"/>
          <w:b/>
          <w:color w:val="auto"/>
          <w:sz w:val="28"/>
          <w:szCs w:val="28"/>
          <w:highlight w:val="none"/>
        </w:rPr>
      </w:pPr>
      <w:r>
        <w:rPr>
          <w:rFonts w:hint="eastAsia" w:hAnsi="宋体" w:cs="宋体"/>
          <w:b/>
          <w:color w:val="auto"/>
          <w:sz w:val="28"/>
          <w:szCs w:val="28"/>
          <w:highlight w:val="none"/>
        </w:rPr>
        <w:br w:type="page"/>
      </w:r>
      <w:r>
        <w:rPr>
          <w:rFonts w:hint="eastAsia" w:hAnsi="宋体" w:cs="宋体"/>
          <w:b/>
          <w:color w:val="auto"/>
          <w:sz w:val="32"/>
          <w:szCs w:val="32"/>
          <w:highlight w:val="none"/>
        </w:rPr>
        <w:t>格式5</w:t>
      </w:r>
    </w:p>
    <w:p w14:paraId="47E62F55">
      <w:pPr>
        <w:keepNext/>
        <w:keepLines/>
        <w:spacing w:before="120" w:after="120" w:line="360" w:lineRule="auto"/>
        <w:ind w:left="425"/>
        <w:jc w:val="center"/>
        <w:outlineLvl w:val="1"/>
        <w:rPr>
          <w:rFonts w:ascii="宋体" w:hAnsi="宋体" w:cs="宋体"/>
          <w:b/>
          <w:bCs/>
          <w:color w:val="auto"/>
          <w:sz w:val="32"/>
          <w:szCs w:val="32"/>
          <w:highlight w:val="none"/>
        </w:rPr>
      </w:pPr>
      <w:bookmarkStart w:id="258" w:name="_Toc489145765"/>
      <w:bookmarkStart w:id="259" w:name="_Toc213141107"/>
      <w:bookmarkStart w:id="260" w:name="_Toc18287444"/>
      <w:bookmarkStart w:id="261" w:name="_Toc4001"/>
      <w:bookmarkStart w:id="262" w:name="_Toc14603921"/>
      <w:bookmarkStart w:id="263" w:name="_Toc20663"/>
      <w:bookmarkStart w:id="264" w:name="_Toc19453"/>
      <w:bookmarkStart w:id="265" w:name="_Toc488633630"/>
      <w:bookmarkStart w:id="266" w:name="_Toc481694858"/>
      <w:bookmarkStart w:id="267" w:name="_Toc489197869"/>
      <w:bookmarkStart w:id="268" w:name="_Toc1109"/>
      <w:bookmarkStart w:id="269" w:name="_Toc25545"/>
      <w:r>
        <w:rPr>
          <w:rFonts w:hint="eastAsia" w:ascii="宋体" w:hAnsi="宋体" w:cs="宋体"/>
          <w:b/>
          <w:bCs/>
          <w:color w:val="auto"/>
          <w:sz w:val="32"/>
          <w:szCs w:val="32"/>
          <w:highlight w:val="none"/>
        </w:rPr>
        <w:t>法定代表人授权委托书</w:t>
      </w:r>
      <w:bookmarkEnd w:id="258"/>
      <w:bookmarkEnd w:id="259"/>
      <w:bookmarkEnd w:id="260"/>
      <w:bookmarkEnd w:id="261"/>
      <w:bookmarkEnd w:id="262"/>
      <w:bookmarkEnd w:id="263"/>
      <w:bookmarkEnd w:id="264"/>
      <w:bookmarkEnd w:id="265"/>
      <w:bookmarkEnd w:id="266"/>
      <w:bookmarkEnd w:id="267"/>
      <w:bookmarkEnd w:id="268"/>
      <w:bookmarkEnd w:id="269"/>
    </w:p>
    <w:p w14:paraId="778FFD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w:t>
      </w:r>
      <w:r>
        <w:rPr>
          <w:rFonts w:hint="eastAsia" w:ascii="宋体" w:hAnsi="宋体" w:cs="宋体"/>
          <w:color w:val="auto"/>
          <w:szCs w:val="21"/>
          <w:highlight w:val="none"/>
          <w:u w:val="single"/>
        </w:rPr>
        <w:t xml:space="preserve">  （供应商全称）  </w:t>
      </w:r>
      <w:r>
        <w:rPr>
          <w:rFonts w:hint="eastAsia" w:ascii="宋体" w:hAnsi="宋体" w:cs="宋体"/>
          <w:color w:val="auto"/>
          <w:szCs w:val="21"/>
          <w:highlight w:val="none"/>
        </w:rPr>
        <w:t>的法定代表人代表本公司/单位授权</w:t>
      </w:r>
      <w:r>
        <w:rPr>
          <w:rFonts w:hint="eastAsia" w:ascii="宋体" w:hAnsi="宋体" w:cs="宋体"/>
          <w:color w:val="auto"/>
          <w:szCs w:val="21"/>
          <w:highlight w:val="none"/>
          <w:u w:val="single"/>
        </w:rPr>
        <w:t>（委托代理人姓名）</w:t>
      </w:r>
      <w:r>
        <w:rPr>
          <w:rFonts w:hint="eastAsia" w:ascii="宋体" w:hAnsi="宋体" w:cs="宋体"/>
          <w:color w:val="auto"/>
          <w:szCs w:val="21"/>
          <w:highlight w:val="none"/>
        </w:rPr>
        <w:t>为本公司/单位合法代理人，就贵方组织的</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hAnsi="宋体" w:cs="宋体"/>
          <w:color w:val="auto"/>
          <w:szCs w:val="21"/>
          <w:highlight w:val="none"/>
          <w:u w:val="single"/>
        </w:rPr>
        <w:t xml:space="preserve">  </w:t>
      </w:r>
      <w:r>
        <w:rPr>
          <w:rFonts w:hint="eastAsia" w:ascii="宋体" w:hAnsi="宋体" w:cs="宋体"/>
          <w:color w:val="auto"/>
          <w:szCs w:val="21"/>
          <w:highlight w:val="none"/>
        </w:rPr>
        <w:t>）的竞争性磋商，以本公司/单位名义参加。代理人在本项目磋商过程中所签署的一切文件和处理与之有关的一切事务，我方均予承认。</w:t>
      </w:r>
    </w:p>
    <w:p w14:paraId="59A01103">
      <w:pPr>
        <w:pStyle w:val="20"/>
        <w:spacing w:line="500" w:lineRule="exact"/>
        <w:ind w:firstLine="420"/>
        <w:rPr>
          <w:rFonts w:hAnsi="宋体" w:cs="宋体"/>
          <w:color w:val="auto"/>
          <w:szCs w:val="21"/>
          <w:highlight w:val="none"/>
        </w:rPr>
      </w:pPr>
      <w:r>
        <w:rPr>
          <w:rFonts w:hint="eastAsia" w:hAnsi="宋体" w:cs="宋体"/>
          <w:color w:val="auto"/>
          <w:szCs w:val="21"/>
          <w:highlight w:val="none"/>
        </w:rPr>
        <w:t>代理人无转委托权。</w:t>
      </w:r>
    </w:p>
    <w:p w14:paraId="43071C31">
      <w:pPr>
        <w:spacing w:line="360" w:lineRule="auto"/>
        <w:ind w:firstLine="420" w:firstLineChars="200"/>
        <w:rPr>
          <w:rFonts w:ascii="宋体" w:hAnsi="宋体" w:cs="宋体"/>
          <w:color w:val="auto"/>
          <w:szCs w:val="21"/>
          <w:highlight w:val="none"/>
        </w:rPr>
      </w:pPr>
    </w:p>
    <w:p w14:paraId="7063D380">
      <w:pPr>
        <w:pStyle w:val="20"/>
        <w:spacing w:line="500" w:lineRule="exact"/>
        <w:jc w:val="left"/>
        <w:rPr>
          <w:rFonts w:hAnsi="宋体" w:cs="宋体"/>
          <w:color w:val="auto"/>
          <w:szCs w:val="21"/>
          <w:highlight w:val="none"/>
        </w:rPr>
      </w:pPr>
    </w:p>
    <w:p w14:paraId="1A226ABA">
      <w:pPr>
        <w:pStyle w:val="20"/>
        <w:spacing w:line="500" w:lineRule="exact"/>
        <w:jc w:val="left"/>
        <w:rPr>
          <w:rFonts w:hAnsi="宋体" w:cs="宋体"/>
          <w:color w:val="auto"/>
          <w:szCs w:val="21"/>
          <w:highlight w:val="none"/>
        </w:rPr>
      </w:pPr>
      <w:r>
        <w:rPr>
          <w:rFonts w:hint="eastAsia" w:hAnsi="宋体" w:cs="宋体"/>
          <w:color w:val="auto"/>
          <w:szCs w:val="21"/>
          <w:highlight w:val="none"/>
        </w:rPr>
        <w:t>供应商（加盖供应商电子公章）：</w:t>
      </w:r>
    </w:p>
    <w:p w14:paraId="7DF05ECA">
      <w:pPr>
        <w:pStyle w:val="20"/>
        <w:spacing w:line="500" w:lineRule="exact"/>
        <w:jc w:val="left"/>
        <w:rPr>
          <w:rFonts w:hAnsi="宋体" w:cs="宋体"/>
          <w:color w:val="auto"/>
          <w:szCs w:val="21"/>
          <w:highlight w:val="none"/>
        </w:rPr>
      </w:pPr>
    </w:p>
    <w:p w14:paraId="154400AB">
      <w:pPr>
        <w:pStyle w:val="20"/>
        <w:spacing w:line="500" w:lineRule="exact"/>
        <w:jc w:val="left"/>
        <w:rPr>
          <w:rFonts w:hAnsi="宋体" w:cs="宋体"/>
          <w:color w:val="auto"/>
          <w:szCs w:val="21"/>
          <w:highlight w:val="none"/>
          <w:u w:val="single"/>
        </w:rPr>
      </w:pPr>
      <w:r>
        <w:rPr>
          <w:rFonts w:hint="eastAsia" w:hAnsi="宋体" w:cs="宋体"/>
          <w:color w:val="auto"/>
          <w:szCs w:val="21"/>
          <w:highlight w:val="none"/>
        </w:rPr>
        <w:t>法定代表人（电子签名或签章）：</w:t>
      </w:r>
    </w:p>
    <w:p w14:paraId="3C36D6A4">
      <w:pPr>
        <w:pStyle w:val="20"/>
        <w:spacing w:line="500" w:lineRule="exact"/>
        <w:rPr>
          <w:rFonts w:hAnsi="宋体" w:cs="宋体"/>
          <w:color w:val="auto"/>
          <w:szCs w:val="21"/>
          <w:highlight w:val="none"/>
        </w:rPr>
      </w:pPr>
    </w:p>
    <w:p w14:paraId="08A59B2D">
      <w:pPr>
        <w:pStyle w:val="20"/>
        <w:spacing w:line="500" w:lineRule="exact"/>
        <w:rPr>
          <w:rFonts w:hAnsi="宋体" w:cs="宋体"/>
          <w:color w:val="auto"/>
          <w:szCs w:val="21"/>
          <w:highlight w:val="none"/>
        </w:rPr>
      </w:pPr>
      <w:r>
        <w:rPr>
          <w:rFonts w:hint="eastAsia" w:hAnsi="宋体" w:cs="宋体"/>
          <w:color w:val="auto"/>
          <w:szCs w:val="21"/>
          <w:highlight w:val="none"/>
        </w:rPr>
        <w:t>日期：</w:t>
      </w:r>
    </w:p>
    <w:tbl>
      <w:tblPr>
        <w:tblStyle w:val="37"/>
        <w:tblW w:w="0" w:type="auto"/>
        <w:tblInd w:w="0" w:type="dxa"/>
        <w:tblLayout w:type="fixed"/>
        <w:tblCellMar>
          <w:top w:w="0" w:type="dxa"/>
          <w:left w:w="108" w:type="dxa"/>
          <w:bottom w:w="0" w:type="dxa"/>
          <w:right w:w="108" w:type="dxa"/>
        </w:tblCellMar>
      </w:tblPr>
      <w:tblGrid>
        <w:gridCol w:w="2093"/>
        <w:gridCol w:w="4346"/>
      </w:tblGrid>
      <w:tr w14:paraId="13B55E6A">
        <w:tblPrEx>
          <w:tblCellMar>
            <w:top w:w="0" w:type="dxa"/>
            <w:left w:w="108" w:type="dxa"/>
            <w:bottom w:w="0" w:type="dxa"/>
            <w:right w:w="108" w:type="dxa"/>
          </w:tblCellMar>
        </w:tblPrEx>
        <w:tc>
          <w:tcPr>
            <w:tcW w:w="2093" w:type="dxa"/>
            <w:tcBorders>
              <w:top w:val="nil"/>
              <w:left w:val="nil"/>
              <w:bottom w:val="nil"/>
              <w:right w:val="nil"/>
            </w:tcBorders>
          </w:tcPr>
          <w:p w14:paraId="08DA5993">
            <w:pPr>
              <w:pStyle w:val="20"/>
              <w:spacing w:line="500" w:lineRule="exact"/>
              <w:rPr>
                <w:rFonts w:hAnsi="宋体" w:cs="宋体"/>
                <w:color w:val="auto"/>
                <w:szCs w:val="21"/>
                <w:highlight w:val="none"/>
              </w:rPr>
            </w:pPr>
            <w:r>
              <w:rPr>
                <w:rFonts w:hint="eastAsia" w:hAnsi="宋体" w:cs="宋体"/>
                <w:color w:val="auto"/>
                <w:szCs w:val="21"/>
                <w:highlight w:val="none"/>
              </w:rPr>
              <w:t xml:space="preserve">附： </w:t>
            </w:r>
          </w:p>
        </w:tc>
        <w:tc>
          <w:tcPr>
            <w:tcW w:w="4346" w:type="dxa"/>
            <w:tcBorders>
              <w:top w:val="nil"/>
              <w:left w:val="nil"/>
              <w:bottom w:val="nil"/>
              <w:right w:val="nil"/>
            </w:tcBorders>
          </w:tcPr>
          <w:p w14:paraId="6A18430E">
            <w:pPr>
              <w:pStyle w:val="20"/>
              <w:spacing w:line="500" w:lineRule="exact"/>
              <w:rPr>
                <w:rFonts w:hAnsi="宋体" w:cs="宋体"/>
                <w:color w:val="auto"/>
                <w:szCs w:val="21"/>
                <w:highlight w:val="none"/>
              </w:rPr>
            </w:pP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p>
        </w:tc>
      </w:tr>
      <w:tr w14:paraId="43EF687A">
        <w:tblPrEx>
          <w:tblCellMar>
            <w:top w:w="0" w:type="dxa"/>
            <w:left w:w="108" w:type="dxa"/>
            <w:bottom w:w="0" w:type="dxa"/>
            <w:right w:w="108" w:type="dxa"/>
          </w:tblCellMar>
        </w:tblPrEx>
        <w:tc>
          <w:tcPr>
            <w:tcW w:w="2093" w:type="dxa"/>
            <w:tcBorders>
              <w:top w:val="nil"/>
              <w:left w:val="nil"/>
              <w:bottom w:val="nil"/>
              <w:right w:val="nil"/>
            </w:tcBorders>
          </w:tcPr>
          <w:p w14:paraId="021B676B">
            <w:pPr>
              <w:pStyle w:val="20"/>
              <w:spacing w:line="500" w:lineRule="exact"/>
              <w:jc w:val="distribute"/>
              <w:rPr>
                <w:rFonts w:hAnsi="宋体" w:cs="宋体"/>
                <w:color w:val="auto"/>
                <w:szCs w:val="21"/>
                <w:highlight w:val="none"/>
              </w:rPr>
            </w:pPr>
            <w:r>
              <w:rPr>
                <w:rFonts w:hint="eastAsia" w:hAnsi="宋体" w:cs="宋体"/>
                <w:color w:val="auto"/>
                <w:szCs w:val="21"/>
                <w:highlight w:val="none"/>
              </w:rPr>
              <w:t>委托代理人姓名：</w:t>
            </w:r>
          </w:p>
        </w:tc>
        <w:tc>
          <w:tcPr>
            <w:tcW w:w="4346" w:type="dxa"/>
            <w:tcBorders>
              <w:top w:val="nil"/>
              <w:left w:val="nil"/>
              <w:bottom w:val="nil"/>
              <w:right w:val="nil"/>
            </w:tcBorders>
          </w:tcPr>
          <w:p w14:paraId="6D46A731">
            <w:pPr>
              <w:pStyle w:val="20"/>
              <w:spacing w:line="500" w:lineRule="exact"/>
              <w:rPr>
                <w:rFonts w:hAnsi="宋体" w:cs="宋体"/>
                <w:color w:val="auto"/>
                <w:szCs w:val="21"/>
                <w:highlight w:val="none"/>
              </w:rPr>
            </w:pPr>
          </w:p>
        </w:tc>
      </w:tr>
      <w:tr w14:paraId="462F5CAC">
        <w:tblPrEx>
          <w:tblCellMar>
            <w:top w:w="0" w:type="dxa"/>
            <w:left w:w="108" w:type="dxa"/>
            <w:bottom w:w="0" w:type="dxa"/>
            <w:right w:w="108" w:type="dxa"/>
          </w:tblCellMar>
        </w:tblPrEx>
        <w:tc>
          <w:tcPr>
            <w:tcW w:w="2093" w:type="dxa"/>
            <w:tcBorders>
              <w:top w:val="nil"/>
              <w:left w:val="nil"/>
              <w:bottom w:val="nil"/>
              <w:right w:val="nil"/>
            </w:tcBorders>
          </w:tcPr>
          <w:p w14:paraId="7CA2B246">
            <w:pPr>
              <w:pStyle w:val="20"/>
              <w:spacing w:line="500" w:lineRule="exact"/>
              <w:jc w:val="distribute"/>
              <w:rPr>
                <w:rFonts w:hAnsi="宋体" w:cs="宋体"/>
                <w:color w:val="auto"/>
                <w:szCs w:val="21"/>
                <w:highlight w:val="none"/>
              </w:rPr>
            </w:pPr>
            <w:r>
              <w:rPr>
                <w:rFonts w:hint="eastAsia" w:hAnsi="宋体" w:cs="宋体"/>
                <w:color w:val="auto"/>
                <w:szCs w:val="21"/>
                <w:highlight w:val="none"/>
              </w:rPr>
              <w:t>职       务：</w:t>
            </w:r>
          </w:p>
        </w:tc>
        <w:tc>
          <w:tcPr>
            <w:tcW w:w="4346" w:type="dxa"/>
            <w:tcBorders>
              <w:top w:val="nil"/>
              <w:left w:val="nil"/>
              <w:bottom w:val="nil"/>
              <w:right w:val="nil"/>
            </w:tcBorders>
          </w:tcPr>
          <w:p w14:paraId="2C3353A6">
            <w:pPr>
              <w:pStyle w:val="20"/>
              <w:spacing w:line="500" w:lineRule="exact"/>
              <w:rPr>
                <w:rFonts w:hAnsi="宋体" w:cs="宋体"/>
                <w:color w:val="auto"/>
                <w:szCs w:val="21"/>
                <w:highlight w:val="none"/>
              </w:rPr>
            </w:pPr>
          </w:p>
        </w:tc>
      </w:tr>
      <w:tr w14:paraId="6BFD8CD7">
        <w:tblPrEx>
          <w:tblCellMar>
            <w:top w:w="0" w:type="dxa"/>
            <w:left w:w="108" w:type="dxa"/>
            <w:bottom w:w="0" w:type="dxa"/>
            <w:right w:w="108" w:type="dxa"/>
          </w:tblCellMar>
        </w:tblPrEx>
        <w:tc>
          <w:tcPr>
            <w:tcW w:w="2093" w:type="dxa"/>
            <w:tcBorders>
              <w:top w:val="nil"/>
              <w:left w:val="nil"/>
              <w:bottom w:val="nil"/>
              <w:right w:val="nil"/>
            </w:tcBorders>
          </w:tcPr>
          <w:p w14:paraId="34766A4D">
            <w:pPr>
              <w:pStyle w:val="20"/>
              <w:spacing w:line="500" w:lineRule="exact"/>
              <w:jc w:val="distribute"/>
              <w:rPr>
                <w:rFonts w:hAnsi="宋体" w:cs="宋体"/>
                <w:color w:val="auto"/>
                <w:szCs w:val="21"/>
                <w:highlight w:val="none"/>
              </w:rPr>
            </w:pPr>
            <w:r>
              <w:rPr>
                <w:rFonts w:hint="eastAsia" w:hAnsi="宋体" w:cs="宋体"/>
                <w:color w:val="auto"/>
                <w:szCs w:val="21"/>
                <w:highlight w:val="none"/>
              </w:rPr>
              <w:t>居民身份证号码：</w:t>
            </w:r>
          </w:p>
        </w:tc>
        <w:tc>
          <w:tcPr>
            <w:tcW w:w="4346" w:type="dxa"/>
            <w:tcBorders>
              <w:top w:val="nil"/>
              <w:left w:val="nil"/>
              <w:bottom w:val="nil"/>
              <w:right w:val="nil"/>
            </w:tcBorders>
          </w:tcPr>
          <w:p w14:paraId="4D9AC845">
            <w:pPr>
              <w:pStyle w:val="20"/>
              <w:spacing w:line="500" w:lineRule="exact"/>
              <w:rPr>
                <w:rFonts w:hAnsi="宋体" w:cs="宋体"/>
                <w:color w:val="auto"/>
                <w:szCs w:val="21"/>
                <w:highlight w:val="none"/>
              </w:rPr>
            </w:pPr>
          </w:p>
        </w:tc>
      </w:tr>
      <w:tr w14:paraId="57126D00">
        <w:tblPrEx>
          <w:tblCellMar>
            <w:top w:w="0" w:type="dxa"/>
            <w:left w:w="108" w:type="dxa"/>
            <w:bottom w:w="0" w:type="dxa"/>
            <w:right w:w="108" w:type="dxa"/>
          </w:tblCellMar>
        </w:tblPrEx>
        <w:tc>
          <w:tcPr>
            <w:tcW w:w="2093" w:type="dxa"/>
            <w:tcBorders>
              <w:top w:val="nil"/>
              <w:left w:val="nil"/>
              <w:bottom w:val="nil"/>
              <w:right w:val="nil"/>
            </w:tcBorders>
          </w:tcPr>
          <w:p w14:paraId="6518B7C0">
            <w:pPr>
              <w:pStyle w:val="20"/>
              <w:spacing w:line="500" w:lineRule="exact"/>
              <w:jc w:val="distribute"/>
              <w:rPr>
                <w:rFonts w:hAnsi="宋体" w:cs="宋体"/>
                <w:color w:val="auto"/>
                <w:szCs w:val="21"/>
                <w:highlight w:val="none"/>
              </w:rPr>
            </w:pPr>
            <w:r>
              <w:rPr>
                <w:rFonts w:hint="eastAsia" w:hAnsi="宋体" w:cs="宋体"/>
                <w:color w:val="auto"/>
                <w:szCs w:val="21"/>
                <w:highlight w:val="none"/>
              </w:rPr>
              <w:t>详 细  地 址：</w:t>
            </w:r>
          </w:p>
        </w:tc>
        <w:tc>
          <w:tcPr>
            <w:tcW w:w="4346" w:type="dxa"/>
            <w:tcBorders>
              <w:top w:val="nil"/>
              <w:left w:val="nil"/>
              <w:bottom w:val="nil"/>
              <w:right w:val="nil"/>
            </w:tcBorders>
          </w:tcPr>
          <w:p w14:paraId="1C5FA7BA">
            <w:pPr>
              <w:pStyle w:val="20"/>
              <w:spacing w:line="500" w:lineRule="exact"/>
              <w:rPr>
                <w:rFonts w:hAnsi="宋体" w:cs="宋体"/>
                <w:color w:val="auto"/>
                <w:szCs w:val="21"/>
                <w:highlight w:val="none"/>
              </w:rPr>
            </w:pPr>
          </w:p>
        </w:tc>
      </w:tr>
      <w:tr w14:paraId="69A00778">
        <w:tblPrEx>
          <w:tblCellMar>
            <w:top w:w="0" w:type="dxa"/>
            <w:left w:w="108" w:type="dxa"/>
            <w:bottom w:w="0" w:type="dxa"/>
            <w:right w:w="108" w:type="dxa"/>
          </w:tblCellMar>
        </w:tblPrEx>
        <w:tc>
          <w:tcPr>
            <w:tcW w:w="2093" w:type="dxa"/>
            <w:tcBorders>
              <w:top w:val="nil"/>
              <w:left w:val="nil"/>
              <w:bottom w:val="nil"/>
              <w:right w:val="nil"/>
            </w:tcBorders>
          </w:tcPr>
          <w:p w14:paraId="7B3DB47F">
            <w:pPr>
              <w:pStyle w:val="20"/>
              <w:spacing w:line="500" w:lineRule="exact"/>
              <w:jc w:val="distribute"/>
              <w:rPr>
                <w:rFonts w:hAnsi="宋体" w:cs="宋体"/>
                <w:color w:val="auto"/>
                <w:szCs w:val="21"/>
                <w:highlight w:val="none"/>
              </w:rPr>
            </w:pPr>
            <w:r>
              <w:rPr>
                <w:rFonts w:hint="eastAsia" w:hAnsi="宋体" w:cs="宋体"/>
                <w:color w:val="auto"/>
                <w:szCs w:val="21"/>
                <w:highlight w:val="none"/>
              </w:rPr>
              <w:t>电       话：</w:t>
            </w:r>
          </w:p>
        </w:tc>
        <w:tc>
          <w:tcPr>
            <w:tcW w:w="4346" w:type="dxa"/>
            <w:tcBorders>
              <w:top w:val="nil"/>
              <w:left w:val="nil"/>
              <w:bottom w:val="nil"/>
              <w:right w:val="nil"/>
            </w:tcBorders>
          </w:tcPr>
          <w:p w14:paraId="20F933D2">
            <w:pPr>
              <w:pStyle w:val="20"/>
              <w:spacing w:line="500" w:lineRule="exact"/>
              <w:rPr>
                <w:rFonts w:hAnsi="宋体" w:cs="宋体"/>
                <w:color w:val="auto"/>
                <w:szCs w:val="21"/>
                <w:highlight w:val="none"/>
              </w:rPr>
            </w:pPr>
          </w:p>
        </w:tc>
      </w:tr>
      <w:tr w14:paraId="61431A44">
        <w:tblPrEx>
          <w:tblCellMar>
            <w:top w:w="0" w:type="dxa"/>
            <w:left w:w="108" w:type="dxa"/>
            <w:bottom w:w="0" w:type="dxa"/>
            <w:right w:w="108" w:type="dxa"/>
          </w:tblCellMar>
        </w:tblPrEx>
        <w:tc>
          <w:tcPr>
            <w:tcW w:w="2093" w:type="dxa"/>
            <w:tcBorders>
              <w:top w:val="nil"/>
              <w:left w:val="nil"/>
              <w:bottom w:val="nil"/>
              <w:right w:val="nil"/>
            </w:tcBorders>
          </w:tcPr>
          <w:p w14:paraId="50446B96">
            <w:pPr>
              <w:pStyle w:val="20"/>
              <w:spacing w:line="500" w:lineRule="exact"/>
              <w:jc w:val="distribute"/>
              <w:rPr>
                <w:rFonts w:hAnsi="宋体" w:cs="宋体"/>
                <w:color w:val="auto"/>
                <w:szCs w:val="21"/>
                <w:highlight w:val="none"/>
              </w:rPr>
            </w:pPr>
            <w:r>
              <w:rPr>
                <w:rFonts w:hint="eastAsia" w:hAnsi="宋体" w:cs="宋体"/>
                <w:color w:val="auto"/>
                <w:szCs w:val="21"/>
                <w:highlight w:val="none"/>
              </w:rPr>
              <w:t>电子邮箱：</w:t>
            </w:r>
          </w:p>
        </w:tc>
        <w:tc>
          <w:tcPr>
            <w:tcW w:w="4346" w:type="dxa"/>
            <w:tcBorders>
              <w:top w:val="nil"/>
              <w:left w:val="nil"/>
              <w:bottom w:val="nil"/>
              <w:right w:val="nil"/>
            </w:tcBorders>
          </w:tcPr>
          <w:p w14:paraId="4ECCD9AA">
            <w:pPr>
              <w:pStyle w:val="20"/>
              <w:spacing w:line="500" w:lineRule="exact"/>
              <w:rPr>
                <w:rFonts w:hAnsi="宋体" w:cs="宋体"/>
                <w:color w:val="auto"/>
                <w:szCs w:val="21"/>
                <w:highlight w:val="none"/>
              </w:rPr>
            </w:pPr>
          </w:p>
        </w:tc>
      </w:tr>
    </w:tbl>
    <w:p w14:paraId="39DD547E">
      <w:pPr>
        <w:pStyle w:val="20"/>
        <w:spacing w:line="500" w:lineRule="exact"/>
        <w:rPr>
          <w:rFonts w:hAnsi="宋体" w:cs="宋体"/>
          <w:b/>
          <w:bCs/>
          <w:color w:val="auto"/>
          <w:szCs w:val="21"/>
          <w:highlight w:val="none"/>
        </w:rPr>
      </w:pPr>
      <w:r>
        <w:rPr>
          <w:rFonts w:hint="eastAsia" w:hAnsi="宋体" w:cs="宋体"/>
          <w:b/>
          <w:bCs/>
          <w:color w:val="auto"/>
          <w:szCs w:val="21"/>
          <w:highlight w:val="none"/>
        </w:rPr>
        <w:t>注：附委托代理人居民身份证扫描件。</w:t>
      </w:r>
    </w:p>
    <w:p w14:paraId="7F141005">
      <w:pPr>
        <w:rPr>
          <w:rFonts w:hAnsi="宋体" w:cs="宋体"/>
          <w:b/>
          <w:color w:val="auto"/>
          <w:sz w:val="28"/>
          <w:szCs w:val="28"/>
          <w:highlight w:val="none"/>
        </w:rPr>
      </w:pPr>
      <w:r>
        <w:rPr>
          <w:rFonts w:hint="eastAsia" w:hAnsi="宋体" w:cs="宋体"/>
          <w:b/>
          <w:color w:val="auto"/>
          <w:sz w:val="28"/>
          <w:szCs w:val="28"/>
          <w:highlight w:val="none"/>
        </w:rPr>
        <w:br w:type="page"/>
      </w:r>
    </w:p>
    <w:p w14:paraId="6D626F58">
      <w:pPr>
        <w:pStyle w:val="4"/>
        <w:numPr>
          <w:ilvl w:val="0"/>
          <w:numId w:val="4"/>
        </w:numPr>
        <w:ind w:left="425"/>
        <w:jc w:val="center"/>
        <w:rPr>
          <w:rFonts w:ascii="宋体" w:hAnsi="宋体"/>
          <w:color w:val="auto"/>
          <w:highlight w:val="none"/>
        </w:rPr>
      </w:pPr>
      <w:bookmarkStart w:id="270" w:name="_Toc11622"/>
      <w:bookmarkStart w:id="271" w:name="_Toc12504"/>
      <w:bookmarkStart w:id="272" w:name="_Toc26339"/>
      <w:r>
        <w:rPr>
          <w:rFonts w:hint="eastAsia" w:ascii="宋体" w:hAnsi="宋体"/>
          <w:color w:val="auto"/>
          <w:highlight w:val="none"/>
        </w:rPr>
        <w:t>技术商务文件</w:t>
      </w:r>
      <w:bookmarkEnd w:id="270"/>
      <w:bookmarkEnd w:id="271"/>
    </w:p>
    <w:bookmarkEnd w:id="244"/>
    <w:bookmarkEnd w:id="245"/>
    <w:bookmarkEnd w:id="246"/>
    <w:bookmarkEnd w:id="247"/>
    <w:bookmarkEnd w:id="248"/>
    <w:bookmarkEnd w:id="249"/>
    <w:bookmarkEnd w:id="250"/>
    <w:bookmarkEnd w:id="251"/>
    <w:bookmarkEnd w:id="252"/>
    <w:bookmarkEnd w:id="253"/>
    <w:bookmarkEnd w:id="272"/>
    <w:p w14:paraId="546A76FD">
      <w:pPr>
        <w:spacing w:line="360" w:lineRule="auto"/>
        <w:outlineLvl w:val="1"/>
        <w:rPr>
          <w:rFonts w:ascii="宋体" w:hAnsi="宋体" w:cs="宋体"/>
          <w:b/>
          <w:color w:val="auto"/>
          <w:sz w:val="32"/>
          <w:szCs w:val="32"/>
          <w:highlight w:val="none"/>
        </w:rPr>
      </w:pPr>
      <w:bookmarkStart w:id="273" w:name="_Toc683"/>
      <w:r>
        <w:rPr>
          <w:rFonts w:hint="eastAsia" w:ascii="宋体" w:hAnsi="宋体" w:cs="宋体"/>
          <w:b/>
          <w:color w:val="auto"/>
          <w:sz w:val="32"/>
          <w:szCs w:val="32"/>
          <w:highlight w:val="none"/>
        </w:rPr>
        <w:t>格式7</w:t>
      </w:r>
    </w:p>
    <w:p w14:paraId="09CA6245">
      <w:pPr>
        <w:keepNext/>
        <w:keepLines/>
        <w:spacing w:before="120" w:after="120" w:line="360" w:lineRule="auto"/>
        <w:jc w:val="center"/>
        <w:outlineLvl w:val="1"/>
        <w:rPr>
          <w:rFonts w:ascii="宋体" w:hAnsi="宋体" w:cs="宋体"/>
          <w:b/>
          <w:bCs/>
          <w:color w:val="auto"/>
          <w:sz w:val="32"/>
          <w:szCs w:val="36"/>
          <w:highlight w:val="none"/>
        </w:rPr>
      </w:pPr>
      <w:bookmarkStart w:id="274" w:name="_Toc2553"/>
      <w:bookmarkStart w:id="275" w:name="_Toc213141100"/>
      <w:bookmarkStart w:id="276" w:name="_Toc489197861"/>
      <w:bookmarkStart w:id="277" w:name="_Toc24161"/>
      <w:bookmarkStart w:id="278" w:name="_Toc32717"/>
      <w:bookmarkStart w:id="279" w:name="_Toc488633622"/>
      <w:bookmarkStart w:id="280" w:name="_Toc489145757"/>
      <w:bookmarkStart w:id="281" w:name="_Toc14603914"/>
      <w:bookmarkStart w:id="282" w:name="_Toc20721"/>
      <w:bookmarkStart w:id="283" w:name="_Toc18287437"/>
      <w:bookmarkStart w:id="284" w:name="_Toc481694851"/>
      <w:r>
        <w:rPr>
          <w:rFonts w:hint="eastAsia" w:ascii="宋体" w:hAnsi="宋体" w:cs="宋体"/>
          <w:b/>
          <w:bCs/>
          <w:color w:val="auto"/>
          <w:sz w:val="32"/>
          <w:szCs w:val="36"/>
          <w:highlight w:val="none"/>
        </w:rPr>
        <w:t>需求分析</w:t>
      </w:r>
    </w:p>
    <w:p w14:paraId="67B554DD">
      <w:pPr>
        <w:pStyle w:val="20"/>
        <w:jc w:val="center"/>
        <w:rPr>
          <w:rFonts w:hAnsi="宋体" w:cs="宋体"/>
          <w:color w:val="auto"/>
          <w:szCs w:val="21"/>
          <w:highlight w:val="none"/>
        </w:rPr>
      </w:pPr>
      <w:r>
        <w:rPr>
          <w:rFonts w:hint="eastAsia" w:hAnsi="宋体" w:cs="宋体"/>
          <w:color w:val="auto"/>
          <w:szCs w:val="21"/>
          <w:highlight w:val="none"/>
        </w:rPr>
        <w:t>(内容自拟)</w:t>
      </w:r>
    </w:p>
    <w:p w14:paraId="22C67397">
      <w:pPr>
        <w:keepNext/>
        <w:keepLines/>
        <w:spacing w:before="120" w:after="120" w:line="360" w:lineRule="auto"/>
        <w:outlineLvl w:val="1"/>
        <w:rPr>
          <w:rFonts w:ascii="宋体" w:hAnsi="宋体" w:cs="宋体"/>
          <w:b/>
          <w:bCs/>
          <w:color w:val="auto"/>
          <w:sz w:val="32"/>
          <w:szCs w:val="36"/>
          <w:highlight w:val="none"/>
        </w:rPr>
      </w:pPr>
      <w:r>
        <w:rPr>
          <w:rFonts w:hint="eastAsia" w:ascii="宋体" w:hAnsi="宋体" w:cs="宋体"/>
          <w:b/>
          <w:color w:val="auto"/>
          <w:sz w:val="32"/>
          <w:szCs w:val="32"/>
          <w:highlight w:val="none"/>
        </w:rPr>
        <w:t>格式</w:t>
      </w:r>
      <w:bookmarkEnd w:id="274"/>
      <w:r>
        <w:rPr>
          <w:rFonts w:hint="eastAsia" w:ascii="宋体" w:hAnsi="宋体" w:cs="宋体"/>
          <w:b/>
          <w:color w:val="auto"/>
          <w:sz w:val="32"/>
          <w:szCs w:val="32"/>
          <w:highlight w:val="none"/>
        </w:rPr>
        <w:t>8</w:t>
      </w:r>
    </w:p>
    <w:bookmarkEnd w:id="275"/>
    <w:bookmarkEnd w:id="276"/>
    <w:bookmarkEnd w:id="277"/>
    <w:bookmarkEnd w:id="278"/>
    <w:bookmarkEnd w:id="279"/>
    <w:bookmarkEnd w:id="280"/>
    <w:bookmarkEnd w:id="281"/>
    <w:bookmarkEnd w:id="282"/>
    <w:bookmarkEnd w:id="283"/>
    <w:bookmarkEnd w:id="284"/>
    <w:p w14:paraId="518946E7">
      <w:pPr>
        <w:keepNext/>
        <w:keepLines/>
        <w:spacing w:before="120" w:after="120" w:line="360" w:lineRule="auto"/>
        <w:jc w:val="center"/>
        <w:outlineLvl w:val="1"/>
        <w:rPr>
          <w:rFonts w:ascii="宋体" w:hAnsi="宋体" w:cs="宋体"/>
          <w:b/>
          <w:bCs/>
          <w:color w:val="auto"/>
          <w:sz w:val="32"/>
          <w:szCs w:val="36"/>
          <w:highlight w:val="none"/>
        </w:rPr>
      </w:pPr>
      <w:bookmarkStart w:id="285" w:name="_Toc7395"/>
      <w:bookmarkStart w:id="286" w:name="_Toc481694862"/>
      <w:bookmarkStart w:id="287" w:name="_Toc489145769"/>
      <w:bookmarkStart w:id="288" w:name="_Toc488633634"/>
      <w:bookmarkStart w:id="289" w:name="_Toc489197873"/>
      <w:r>
        <w:rPr>
          <w:rFonts w:hint="eastAsia" w:ascii="宋体" w:hAnsi="宋体" w:cs="宋体"/>
          <w:b/>
          <w:bCs/>
          <w:color w:val="auto"/>
          <w:sz w:val="32"/>
          <w:szCs w:val="36"/>
          <w:highlight w:val="none"/>
        </w:rPr>
        <w:t>维护服务方案</w:t>
      </w:r>
    </w:p>
    <w:p w14:paraId="2FA3FB67">
      <w:pPr>
        <w:pStyle w:val="20"/>
        <w:jc w:val="center"/>
        <w:rPr>
          <w:rFonts w:hAnsi="宋体" w:cs="宋体"/>
          <w:color w:val="auto"/>
          <w:szCs w:val="21"/>
          <w:highlight w:val="none"/>
        </w:rPr>
      </w:pPr>
      <w:r>
        <w:rPr>
          <w:rFonts w:hint="eastAsia" w:hAnsi="宋体" w:cs="宋体"/>
          <w:color w:val="auto"/>
          <w:szCs w:val="21"/>
          <w:highlight w:val="none"/>
        </w:rPr>
        <w:t>(内容自拟)</w:t>
      </w:r>
    </w:p>
    <w:p w14:paraId="414F4A11">
      <w:pPr>
        <w:keepNext/>
        <w:keepLines/>
        <w:spacing w:after="120" w:line="360" w:lineRule="auto"/>
        <w:jc w:val="left"/>
        <w:outlineLvl w:val="1"/>
        <w:rPr>
          <w:rFonts w:ascii="宋体" w:hAnsi="宋体" w:cs="宋体"/>
          <w:bCs/>
          <w:color w:val="auto"/>
          <w:sz w:val="32"/>
          <w:szCs w:val="32"/>
          <w:highlight w:val="none"/>
        </w:rPr>
      </w:pPr>
      <w:r>
        <w:rPr>
          <w:rFonts w:hint="eastAsia" w:ascii="宋体" w:hAnsi="宋体" w:cs="宋体"/>
          <w:b/>
          <w:color w:val="auto"/>
          <w:sz w:val="32"/>
          <w:szCs w:val="32"/>
          <w:highlight w:val="none"/>
        </w:rPr>
        <w:t>格式</w:t>
      </w:r>
      <w:bookmarkEnd w:id="285"/>
      <w:r>
        <w:rPr>
          <w:rFonts w:hint="eastAsia" w:ascii="宋体" w:hAnsi="宋体" w:cs="宋体"/>
          <w:b/>
          <w:color w:val="auto"/>
          <w:sz w:val="32"/>
          <w:szCs w:val="32"/>
          <w:highlight w:val="none"/>
        </w:rPr>
        <w:t>9</w:t>
      </w:r>
    </w:p>
    <w:p w14:paraId="6395323D">
      <w:pPr>
        <w:keepNext/>
        <w:keepLines/>
        <w:spacing w:before="120" w:after="120" w:line="360" w:lineRule="auto"/>
        <w:jc w:val="center"/>
        <w:outlineLvl w:val="1"/>
        <w:rPr>
          <w:rFonts w:ascii="宋体" w:hAnsi="宋体" w:cs="宋体"/>
          <w:b/>
          <w:bCs/>
          <w:color w:val="auto"/>
          <w:sz w:val="32"/>
          <w:szCs w:val="36"/>
          <w:highlight w:val="none"/>
        </w:rPr>
      </w:pPr>
      <w:r>
        <w:rPr>
          <w:rFonts w:hint="eastAsia" w:ascii="宋体" w:hAnsi="宋体" w:cs="宋体"/>
          <w:b/>
          <w:bCs/>
          <w:color w:val="auto"/>
          <w:sz w:val="32"/>
          <w:szCs w:val="36"/>
          <w:highlight w:val="none"/>
        </w:rPr>
        <w:t>项目团队人员配备方案</w:t>
      </w:r>
    </w:p>
    <w:p w14:paraId="018E308F">
      <w:pPr>
        <w:pStyle w:val="20"/>
        <w:jc w:val="center"/>
        <w:rPr>
          <w:rFonts w:hAnsi="宋体" w:cs="宋体"/>
          <w:color w:val="auto"/>
          <w:szCs w:val="21"/>
          <w:highlight w:val="none"/>
        </w:rPr>
      </w:pPr>
      <w:r>
        <w:rPr>
          <w:rFonts w:hint="eastAsia" w:hAnsi="宋体" w:cs="宋体"/>
          <w:color w:val="auto"/>
          <w:szCs w:val="21"/>
          <w:highlight w:val="none"/>
        </w:rPr>
        <w:t>(内容自拟)</w:t>
      </w:r>
    </w:p>
    <w:p w14:paraId="70B939BC">
      <w:pPr>
        <w:keepNext/>
        <w:keepLines/>
        <w:spacing w:after="120" w:line="360" w:lineRule="auto"/>
        <w:jc w:val="left"/>
        <w:outlineLvl w:val="1"/>
        <w:rPr>
          <w:rFonts w:ascii="宋体" w:hAnsi="宋体" w:cs="宋体"/>
          <w:bCs/>
          <w:color w:val="auto"/>
          <w:sz w:val="32"/>
          <w:szCs w:val="32"/>
          <w:highlight w:val="none"/>
        </w:rPr>
      </w:pPr>
      <w:bookmarkStart w:id="290" w:name="_Toc3018"/>
      <w:bookmarkStart w:id="291" w:name="_Toc25241"/>
      <w:bookmarkStart w:id="292" w:name="_Toc15419"/>
      <w:r>
        <w:rPr>
          <w:rFonts w:hint="eastAsia" w:ascii="宋体" w:hAnsi="宋体" w:cs="宋体"/>
          <w:b/>
          <w:color w:val="auto"/>
          <w:sz w:val="32"/>
          <w:szCs w:val="32"/>
          <w:highlight w:val="none"/>
        </w:rPr>
        <w:t>格式10</w:t>
      </w:r>
    </w:p>
    <w:p w14:paraId="3BE5C526">
      <w:pPr>
        <w:keepNext/>
        <w:keepLines/>
        <w:spacing w:before="120" w:after="120" w:line="360" w:lineRule="auto"/>
        <w:jc w:val="center"/>
        <w:outlineLvl w:val="1"/>
        <w:rPr>
          <w:rFonts w:ascii="宋体" w:hAnsi="宋体" w:cs="宋体"/>
          <w:b/>
          <w:bCs/>
          <w:color w:val="auto"/>
          <w:sz w:val="32"/>
          <w:szCs w:val="36"/>
          <w:highlight w:val="none"/>
        </w:rPr>
      </w:pPr>
      <w:r>
        <w:rPr>
          <w:rFonts w:hint="eastAsia" w:ascii="宋体" w:hAnsi="宋体" w:cs="宋体"/>
          <w:b/>
          <w:bCs/>
          <w:color w:val="auto"/>
          <w:sz w:val="32"/>
          <w:szCs w:val="36"/>
          <w:highlight w:val="none"/>
        </w:rPr>
        <w:t>服务质量承诺及保障措施</w:t>
      </w:r>
    </w:p>
    <w:p w14:paraId="5C9AC80E">
      <w:pPr>
        <w:pStyle w:val="20"/>
        <w:jc w:val="center"/>
        <w:rPr>
          <w:rFonts w:hAnsi="宋体" w:cs="宋体"/>
          <w:color w:val="auto"/>
          <w:szCs w:val="21"/>
          <w:highlight w:val="none"/>
        </w:rPr>
      </w:pPr>
      <w:r>
        <w:rPr>
          <w:rFonts w:hint="eastAsia" w:hAnsi="宋体" w:cs="宋体"/>
          <w:color w:val="auto"/>
          <w:szCs w:val="21"/>
          <w:highlight w:val="none"/>
        </w:rPr>
        <w:t>(内容自拟)</w:t>
      </w:r>
    </w:p>
    <w:p w14:paraId="29ED3427">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5E3CC1CF">
      <w:pPr>
        <w:keepNext/>
        <w:keepLines/>
        <w:spacing w:after="120" w:line="360" w:lineRule="auto"/>
        <w:jc w:val="left"/>
        <w:outlineLvl w:val="1"/>
        <w:rPr>
          <w:rFonts w:ascii="宋体" w:hAnsi="宋体" w:cs="宋体"/>
          <w:bCs/>
          <w:color w:val="auto"/>
          <w:sz w:val="32"/>
          <w:szCs w:val="32"/>
          <w:highlight w:val="none"/>
        </w:rPr>
      </w:pPr>
      <w:r>
        <w:rPr>
          <w:rFonts w:hint="eastAsia" w:ascii="宋体" w:hAnsi="宋体" w:cs="宋体"/>
          <w:b/>
          <w:color w:val="auto"/>
          <w:sz w:val="32"/>
          <w:szCs w:val="32"/>
          <w:highlight w:val="none"/>
        </w:rPr>
        <w:t>格式11</w:t>
      </w:r>
    </w:p>
    <w:bookmarkEnd w:id="290"/>
    <w:bookmarkEnd w:id="291"/>
    <w:bookmarkEnd w:id="292"/>
    <w:p w14:paraId="1E90E5F7">
      <w:pPr>
        <w:keepNext/>
        <w:keepLines/>
        <w:spacing w:before="120" w:after="120"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供应商履约能力情况表</w:t>
      </w:r>
    </w:p>
    <w:tbl>
      <w:tblPr>
        <w:tblStyle w:val="37"/>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538"/>
        <w:gridCol w:w="1636"/>
        <w:gridCol w:w="1901"/>
        <w:gridCol w:w="2291"/>
      </w:tblGrid>
      <w:tr w14:paraId="76A8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8" w:type="dxa"/>
            <w:vAlign w:val="center"/>
          </w:tcPr>
          <w:p w14:paraId="15FA39EE">
            <w:pPr>
              <w:pStyle w:val="27"/>
              <w:tabs>
                <w:tab w:val="right" w:leader="dot" w:pos="8729"/>
                <w:tab w:val="right" w:leader="dot" w:pos="9240"/>
                <w:tab w:val="clear" w:pos="9663"/>
              </w:tabs>
              <w:snapToGrid w:val="0"/>
              <w:spacing w:line="360" w:lineRule="exact"/>
              <w:jc w:val="center"/>
              <w:rPr>
                <w:rFonts w:ascii="宋体" w:hAnsi="宋体" w:cs="宋体"/>
                <w:bCs w:val="0"/>
                <w:color w:val="auto"/>
                <w:sz w:val="21"/>
                <w:szCs w:val="21"/>
                <w:highlight w:val="none"/>
              </w:rPr>
            </w:pPr>
            <w:r>
              <w:rPr>
                <w:rFonts w:hint="eastAsia" w:ascii="宋体" w:hAnsi="宋体" w:cs="宋体"/>
                <w:bCs w:val="0"/>
                <w:color w:val="auto"/>
                <w:sz w:val="21"/>
                <w:szCs w:val="21"/>
                <w:highlight w:val="none"/>
              </w:rPr>
              <w:t>序号</w:t>
            </w:r>
          </w:p>
        </w:tc>
        <w:tc>
          <w:tcPr>
            <w:tcW w:w="2538" w:type="dxa"/>
            <w:vAlign w:val="center"/>
          </w:tcPr>
          <w:p w14:paraId="6F209F29">
            <w:pPr>
              <w:pStyle w:val="27"/>
              <w:tabs>
                <w:tab w:val="right" w:leader="dot" w:pos="8729"/>
                <w:tab w:val="right" w:leader="dot" w:pos="9240"/>
                <w:tab w:val="clear" w:pos="9663"/>
              </w:tabs>
              <w:snapToGrid w:val="0"/>
              <w:spacing w:line="360" w:lineRule="exact"/>
              <w:jc w:val="center"/>
              <w:rPr>
                <w:rFonts w:ascii="宋体" w:hAnsi="宋体" w:cs="宋体"/>
                <w:bCs w:val="0"/>
                <w:color w:val="auto"/>
                <w:sz w:val="21"/>
                <w:szCs w:val="21"/>
                <w:highlight w:val="none"/>
              </w:rPr>
            </w:pPr>
            <w:r>
              <w:rPr>
                <w:rFonts w:hint="eastAsia" w:ascii="宋体" w:hAnsi="宋体" w:cs="宋体"/>
                <w:bCs w:val="0"/>
                <w:color w:val="auto"/>
                <w:sz w:val="21"/>
                <w:szCs w:val="21"/>
                <w:highlight w:val="none"/>
              </w:rPr>
              <w:t>项目名称</w:t>
            </w:r>
          </w:p>
        </w:tc>
        <w:tc>
          <w:tcPr>
            <w:tcW w:w="1636" w:type="dxa"/>
            <w:vAlign w:val="center"/>
          </w:tcPr>
          <w:p w14:paraId="2EF6A6FD">
            <w:pPr>
              <w:pStyle w:val="27"/>
              <w:tabs>
                <w:tab w:val="right" w:leader="dot" w:pos="8729"/>
                <w:tab w:val="right" w:leader="dot" w:pos="9240"/>
                <w:tab w:val="clear" w:pos="9663"/>
              </w:tabs>
              <w:snapToGrid w:val="0"/>
              <w:spacing w:line="360" w:lineRule="exact"/>
              <w:jc w:val="center"/>
              <w:rPr>
                <w:rFonts w:ascii="宋体" w:hAnsi="宋体" w:cs="宋体"/>
                <w:bCs w:val="0"/>
                <w:color w:val="auto"/>
                <w:sz w:val="21"/>
                <w:szCs w:val="21"/>
                <w:highlight w:val="none"/>
              </w:rPr>
            </w:pPr>
            <w:r>
              <w:rPr>
                <w:rFonts w:hint="eastAsia" w:ascii="宋体" w:hAnsi="宋体" w:cs="宋体"/>
                <w:bCs w:val="0"/>
                <w:color w:val="auto"/>
                <w:sz w:val="21"/>
                <w:szCs w:val="21"/>
                <w:highlight w:val="none"/>
              </w:rPr>
              <w:t>用户</w:t>
            </w:r>
          </w:p>
        </w:tc>
        <w:tc>
          <w:tcPr>
            <w:tcW w:w="1901" w:type="dxa"/>
            <w:vAlign w:val="center"/>
          </w:tcPr>
          <w:p w14:paraId="3E9D4F0C">
            <w:pPr>
              <w:pStyle w:val="27"/>
              <w:tabs>
                <w:tab w:val="right" w:leader="dot" w:pos="8729"/>
                <w:tab w:val="right" w:leader="dot" w:pos="9240"/>
                <w:tab w:val="clear" w:pos="9663"/>
              </w:tabs>
              <w:snapToGrid w:val="0"/>
              <w:spacing w:line="360" w:lineRule="exact"/>
              <w:jc w:val="center"/>
              <w:rPr>
                <w:rFonts w:ascii="宋体" w:hAnsi="宋体" w:cs="宋体"/>
                <w:bCs w:val="0"/>
                <w:color w:val="auto"/>
                <w:sz w:val="21"/>
                <w:szCs w:val="21"/>
                <w:highlight w:val="none"/>
              </w:rPr>
            </w:pPr>
            <w:r>
              <w:rPr>
                <w:rFonts w:hint="eastAsia" w:ascii="宋体" w:hAnsi="宋体" w:cs="宋体"/>
                <w:bCs w:val="0"/>
                <w:color w:val="auto"/>
                <w:sz w:val="21"/>
                <w:szCs w:val="21"/>
                <w:highlight w:val="none"/>
              </w:rPr>
              <w:t>合同签订时间</w:t>
            </w:r>
          </w:p>
        </w:tc>
        <w:tc>
          <w:tcPr>
            <w:tcW w:w="2291" w:type="dxa"/>
            <w:vAlign w:val="center"/>
          </w:tcPr>
          <w:p w14:paraId="6CD009AC">
            <w:pPr>
              <w:pStyle w:val="27"/>
              <w:tabs>
                <w:tab w:val="right" w:leader="dot" w:pos="8729"/>
                <w:tab w:val="right" w:leader="dot" w:pos="9240"/>
                <w:tab w:val="clear" w:pos="9663"/>
              </w:tabs>
              <w:snapToGrid w:val="0"/>
              <w:spacing w:line="360" w:lineRule="exact"/>
              <w:jc w:val="center"/>
              <w:rPr>
                <w:rFonts w:ascii="宋体" w:hAnsi="宋体" w:cs="宋体"/>
                <w:bCs w:val="0"/>
                <w:color w:val="auto"/>
                <w:sz w:val="21"/>
                <w:szCs w:val="21"/>
                <w:highlight w:val="none"/>
              </w:rPr>
            </w:pPr>
            <w:r>
              <w:rPr>
                <w:rFonts w:hint="eastAsia" w:ascii="宋体" w:hAnsi="宋体" w:cs="宋体"/>
                <w:bCs w:val="0"/>
                <w:color w:val="auto"/>
                <w:sz w:val="21"/>
                <w:szCs w:val="21"/>
                <w:highlight w:val="none"/>
              </w:rPr>
              <w:t>备注（业主评价）</w:t>
            </w:r>
          </w:p>
        </w:tc>
      </w:tr>
      <w:tr w14:paraId="01B0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vAlign w:val="center"/>
          </w:tcPr>
          <w:p w14:paraId="1540342E">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r>
              <w:rPr>
                <w:rFonts w:hint="eastAsia" w:ascii="宋体" w:hAnsi="宋体" w:cs="宋体"/>
                <w:b w:val="0"/>
                <w:color w:val="auto"/>
                <w:sz w:val="21"/>
                <w:szCs w:val="21"/>
                <w:highlight w:val="none"/>
              </w:rPr>
              <w:t>1</w:t>
            </w:r>
          </w:p>
        </w:tc>
        <w:tc>
          <w:tcPr>
            <w:tcW w:w="2538" w:type="dxa"/>
            <w:vAlign w:val="center"/>
          </w:tcPr>
          <w:p w14:paraId="5BE7C3C1">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636" w:type="dxa"/>
            <w:vAlign w:val="center"/>
          </w:tcPr>
          <w:p w14:paraId="40C63F09">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901" w:type="dxa"/>
            <w:vAlign w:val="center"/>
          </w:tcPr>
          <w:p w14:paraId="0298FB48">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2291" w:type="dxa"/>
            <w:vAlign w:val="center"/>
          </w:tcPr>
          <w:p w14:paraId="61D1C6BC">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r>
      <w:tr w14:paraId="621B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vAlign w:val="center"/>
          </w:tcPr>
          <w:p w14:paraId="406AD0E4">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r>
              <w:rPr>
                <w:rFonts w:hint="eastAsia" w:ascii="宋体" w:hAnsi="宋体" w:cs="宋体"/>
                <w:b w:val="0"/>
                <w:color w:val="auto"/>
                <w:sz w:val="21"/>
                <w:szCs w:val="21"/>
                <w:highlight w:val="none"/>
              </w:rPr>
              <w:t>2</w:t>
            </w:r>
          </w:p>
        </w:tc>
        <w:tc>
          <w:tcPr>
            <w:tcW w:w="2538" w:type="dxa"/>
            <w:vAlign w:val="center"/>
          </w:tcPr>
          <w:p w14:paraId="22177460">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636" w:type="dxa"/>
            <w:vAlign w:val="center"/>
          </w:tcPr>
          <w:p w14:paraId="2547FFF9">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901" w:type="dxa"/>
            <w:vAlign w:val="center"/>
          </w:tcPr>
          <w:p w14:paraId="7DF41E3B">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2291" w:type="dxa"/>
            <w:vAlign w:val="center"/>
          </w:tcPr>
          <w:p w14:paraId="2B9B6C0F">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r>
      <w:tr w14:paraId="23F1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8" w:type="dxa"/>
            <w:vAlign w:val="center"/>
          </w:tcPr>
          <w:p w14:paraId="1C2FE2C0">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r>
              <w:rPr>
                <w:rFonts w:hint="eastAsia" w:ascii="宋体" w:hAnsi="宋体" w:cs="宋体"/>
                <w:b w:val="0"/>
                <w:color w:val="auto"/>
                <w:sz w:val="21"/>
                <w:szCs w:val="21"/>
                <w:highlight w:val="none"/>
              </w:rPr>
              <w:t>3</w:t>
            </w:r>
          </w:p>
        </w:tc>
        <w:tc>
          <w:tcPr>
            <w:tcW w:w="2538" w:type="dxa"/>
            <w:vAlign w:val="center"/>
          </w:tcPr>
          <w:p w14:paraId="4C39E94F">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636" w:type="dxa"/>
            <w:vAlign w:val="center"/>
          </w:tcPr>
          <w:p w14:paraId="76862A7A">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901" w:type="dxa"/>
            <w:vAlign w:val="center"/>
          </w:tcPr>
          <w:p w14:paraId="23049C00">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2291" w:type="dxa"/>
            <w:vAlign w:val="center"/>
          </w:tcPr>
          <w:p w14:paraId="60763B51">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r>
      <w:tr w14:paraId="6D31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vAlign w:val="center"/>
          </w:tcPr>
          <w:p w14:paraId="55C16E8E">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r>
              <w:rPr>
                <w:rFonts w:hint="eastAsia" w:ascii="宋体" w:hAnsi="宋体" w:cs="宋体"/>
                <w:b w:val="0"/>
                <w:color w:val="auto"/>
                <w:sz w:val="21"/>
                <w:szCs w:val="21"/>
                <w:highlight w:val="none"/>
              </w:rPr>
              <w:t>4</w:t>
            </w:r>
          </w:p>
        </w:tc>
        <w:tc>
          <w:tcPr>
            <w:tcW w:w="2538" w:type="dxa"/>
            <w:vAlign w:val="center"/>
          </w:tcPr>
          <w:p w14:paraId="52479A4A">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636" w:type="dxa"/>
            <w:vAlign w:val="center"/>
          </w:tcPr>
          <w:p w14:paraId="69CF7746">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901" w:type="dxa"/>
            <w:vAlign w:val="center"/>
          </w:tcPr>
          <w:p w14:paraId="56E6E588">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2291" w:type="dxa"/>
            <w:vAlign w:val="center"/>
          </w:tcPr>
          <w:p w14:paraId="1B9AC7AF">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r>
      <w:tr w14:paraId="4253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vAlign w:val="center"/>
          </w:tcPr>
          <w:p w14:paraId="093ACF25">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r>
              <w:rPr>
                <w:rFonts w:hint="eastAsia" w:ascii="宋体" w:hAnsi="宋体" w:cs="宋体"/>
                <w:b w:val="0"/>
                <w:color w:val="auto"/>
                <w:sz w:val="21"/>
                <w:szCs w:val="21"/>
                <w:highlight w:val="none"/>
              </w:rPr>
              <w:t>5</w:t>
            </w:r>
          </w:p>
        </w:tc>
        <w:tc>
          <w:tcPr>
            <w:tcW w:w="2538" w:type="dxa"/>
            <w:vAlign w:val="center"/>
          </w:tcPr>
          <w:p w14:paraId="6193CBD0">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636" w:type="dxa"/>
            <w:vAlign w:val="center"/>
          </w:tcPr>
          <w:p w14:paraId="0EA67323">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901" w:type="dxa"/>
            <w:vAlign w:val="center"/>
          </w:tcPr>
          <w:p w14:paraId="6FD9B36C">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2291" w:type="dxa"/>
            <w:vAlign w:val="center"/>
          </w:tcPr>
          <w:p w14:paraId="170F985D">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r>
    </w:tbl>
    <w:p w14:paraId="2CCACBB5">
      <w:pPr>
        <w:pStyle w:val="34"/>
        <w:rPr>
          <w:rFonts w:ascii="宋体" w:hAnsi="宋体" w:cs="宋体"/>
          <w:bCs/>
          <w:color w:val="auto"/>
          <w:szCs w:val="21"/>
          <w:highlight w:val="none"/>
        </w:rPr>
      </w:pPr>
      <w:r>
        <w:rPr>
          <w:rFonts w:hint="eastAsia" w:ascii="宋体" w:hAnsi="宋体" w:cs="宋体"/>
          <w:bCs/>
          <w:color w:val="auto"/>
          <w:szCs w:val="21"/>
          <w:highlight w:val="none"/>
        </w:rPr>
        <w:t>注：响应文件中须提供《供应商履约能力情况表》及相对应的履约能力证明材料，履约能力证明材料为投标人与委托方签订的合同（合同包括：合同首页、标的及金额所在页及合同签字盖章页）或委托方出具委托证明，无证明材料或证明材料不明确、无法体现履约能力内容的，不予认可。</w:t>
      </w:r>
    </w:p>
    <w:bookmarkEnd w:id="286"/>
    <w:bookmarkEnd w:id="287"/>
    <w:bookmarkEnd w:id="288"/>
    <w:bookmarkEnd w:id="289"/>
    <w:p w14:paraId="4742ABAB">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0BFCC2AC">
      <w:pPr>
        <w:widowControl/>
        <w:jc w:val="left"/>
        <w:rPr>
          <w:rFonts w:ascii="宋体" w:hAnsi="宋体" w:cs="宋体"/>
          <w:b/>
          <w:color w:val="auto"/>
          <w:sz w:val="32"/>
          <w:szCs w:val="32"/>
          <w:highlight w:val="none"/>
        </w:rPr>
      </w:pPr>
      <w:r>
        <w:rPr>
          <w:rFonts w:hint="eastAsia" w:ascii="宋体" w:hAnsi="宋体" w:cs="宋体"/>
          <w:b/>
          <w:color w:val="auto"/>
          <w:sz w:val="32"/>
          <w:szCs w:val="32"/>
          <w:highlight w:val="none"/>
        </w:rPr>
        <w:t>格式12</w:t>
      </w:r>
    </w:p>
    <w:p w14:paraId="3F00D959">
      <w:pPr>
        <w:keepNext/>
        <w:keepLines/>
        <w:spacing w:before="120" w:after="120" w:line="360" w:lineRule="auto"/>
        <w:ind w:left="425"/>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商务条款偏离表</w:t>
      </w:r>
    </w:p>
    <w:p w14:paraId="130DDEC0">
      <w:pPr>
        <w:pStyle w:val="20"/>
        <w:rPr>
          <w:rFonts w:hAnsi="宋体" w:cs="宋体"/>
          <w:b/>
          <w:color w:val="auto"/>
          <w:szCs w:val="21"/>
          <w:highlight w:val="none"/>
          <w:u w:val="single"/>
        </w:rPr>
      </w:pPr>
      <w:r>
        <w:rPr>
          <w:rFonts w:hint="eastAsia" w:hAnsi="宋体" w:cs="宋体"/>
          <w:b/>
          <w:color w:val="auto"/>
          <w:szCs w:val="21"/>
          <w:highlight w:val="none"/>
        </w:rPr>
        <w:t>项目名称：</w:t>
      </w:r>
    </w:p>
    <w:p w14:paraId="408AF6F6">
      <w:pPr>
        <w:pStyle w:val="20"/>
        <w:rPr>
          <w:rFonts w:hAnsi="宋体" w:cs="宋体"/>
          <w:b/>
          <w:color w:val="auto"/>
          <w:szCs w:val="21"/>
          <w:highlight w:val="none"/>
          <w:u w:val="single"/>
        </w:rPr>
      </w:pPr>
      <w:r>
        <w:rPr>
          <w:rFonts w:hint="eastAsia" w:hAnsi="宋体" w:cs="宋体"/>
          <w:b/>
          <w:color w:val="auto"/>
          <w:szCs w:val="21"/>
          <w:highlight w:val="none"/>
        </w:rPr>
        <w:t>项目编号：</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261"/>
        <w:gridCol w:w="3201"/>
        <w:gridCol w:w="1366"/>
      </w:tblGrid>
      <w:tr w14:paraId="46DA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vAlign w:val="center"/>
          </w:tcPr>
          <w:p w14:paraId="35C047F8">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3261" w:type="dxa"/>
            <w:vAlign w:val="center"/>
          </w:tcPr>
          <w:p w14:paraId="2FA3EA43">
            <w:pPr>
              <w:jc w:val="center"/>
              <w:rPr>
                <w:rFonts w:ascii="宋体" w:hAnsi="宋体" w:cs="宋体"/>
                <w:b/>
                <w:color w:val="auto"/>
                <w:szCs w:val="21"/>
                <w:highlight w:val="none"/>
              </w:rPr>
            </w:pPr>
            <w:r>
              <w:rPr>
                <w:rFonts w:hint="eastAsia" w:ascii="宋体" w:hAnsi="宋体" w:cs="宋体"/>
                <w:b/>
                <w:color w:val="auto"/>
                <w:szCs w:val="21"/>
                <w:highlight w:val="none"/>
              </w:rPr>
              <w:t>竞争性磋商文件商务条款</w:t>
            </w:r>
          </w:p>
        </w:tc>
        <w:tc>
          <w:tcPr>
            <w:tcW w:w="3201" w:type="dxa"/>
            <w:vAlign w:val="center"/>
          </w:tcPr>
          <w:p w14:paraId="71054C1D">
            <w:pPr>
              <w:jc w:val="center"/>
              <w:rPr>
                <w:rFonts w:ascii="宋体" w:hAnsi="宋体" w:cs="宋体"/>
                <w:b/>
                <w:color w:val="auto"/>
                <w:szCs w:val="21"/>
                <w:highlight w:val="none"/>
              </w:rPr>
            </w:pPr>
            <w:r>
              <w:rPr>
                <w:rFonts w:hint="eastAsia" w:ascii="宋体" w:hAnsi="宋体" w:cs="宋体"/>
                <w:b/>
                <w:color w:val="auto"/>
                <w:szCs w:val="21"/>
                <w:highlight w:val="none"/>
              </w:rPr>
              <w:t>响应文件响应情况</w:t>
            </w:r>
          </w:p>
        </w:tc>
        <w:tc>
          <w:tcPr>
            <w:tcW w:w="1366" w:type="dxa"/>
            <w:vAlign w:val="center"/>
          </w:tcPr>
          <w:p w14:paraId="74106F7D">
            <w:pPr>
              <w:jc w:val="center"/>
              <w:rPr>
                <w:rFonts w:ascii="宋体" w:hAnsi="宋体" w:cs="宋体"/>
                <w:b/>
                <w:color w:val="auto"/>
                <w:szCs w:val="21"/>
                <w:highlight w:val="none"/>
              </w:rPr>
            </w:pPr>
            <w:r>
              <w:rPr>
                <w:rFonts w:hint="eastAsia" w:ascii="宋体" w:hAnsi="宋体" w:cs="宋体"/>
                <w:b/>
                <w:color w:val="auto"/>
                <w:szCs w:val="21"/>
                <w:highlight w:val="none"/>
              </w:rPr>
              <w:t>偏离</w:t>
            </w:r>
          </w:p>
        </w:tc>
      </w:tr>
      <w:tr w14:paraId="5BCD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tcPr>
          <w:p w14:paraId="350ADB6A">
            <w:pPr>
              <w:pStyle w:val="20"/>
              <w:rPr>
                <w:rFonts w:hAnsi="宋体" w:cs="宋体"/>
                <w:color w:val="auto"/>
                <w:szCs w:val="21"/>
                <w:highlight w:val="none"/>
              </w:rPr>
            </w:pPr>
          </w:p>
        </w:tc>
        <w:tc>
          <w:tcPr>
            <w:tcW w:w="3261" w:type="dxa"/>
          </w:tcPr>
          <w:p w14:paraId="6C14ED8D">
            <w:pPr>
              <w:pStyle w:val="20"/>
              <w:rPr>
                <w:rFonts w:hAnsi="宋体" w:cs="宋体"/>
                <w:color w:val="auto"/>
                <w:szCs w:val="21"/>
                <w:highlight w:val="none"/>
              </w:rPr>
            </w:pPr>
          </w:p>
        </w:tc>
        <w:tc>
          <w:tcPr>
            <w:tcW w:w="3201" w:type="dxa"/>
          </w:tcPr>
          <w:p w14:paraId="2F4344FE">
            <w:pPr>
              <w:pStyle w:val="20"/>
              <w:rPr>
                <w:rFonts w:hAnsi="宋体" w:cs="宋体"/>
                <w:color w:val="auto"/>
                <w:szCs w:val="21"/>
                <w:highlight w:val="none"/>
              </w:rPr>
            </w:pPr>
          </w:p>
        </w:tc>
        <w:tc>
          <w:tcPr>
            <w:tcW w:w="1366" w:type="dxa"/>
          </w:tcPr>
          <w:p w14:paraId="0E6022D1">
            <w:pPr>
              <w:pStyle w:val="20"/>
              <w:rPr>
                <w:rFonts w:hAnsi="宋体" w:cs="宋体"/>
                <w:color w:val="auto"/>
                <w:szCs w:val="21"/>
                <w:highlight w:val="none"/>
              </w:rPr>
            </w:pPr>
          </w:p>
        </w:tc>
      </w:tr>
      <w:tr w14:paraId="0ADC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tcPr>
          <w:p w14:paraId="4CDDF029">
            <w:pPr>
              <w:pStyle w:val="20"/>
              <w:rPr>
                <w:rFonts w:hAnsi="宋体" w:cs="宋体"/>
                <w:color w:val="auto"/>
                <w:szCs w:val="21"/>
                <w:highlight w:val="none"/>
              </w:rPr>
            </w:pPr>
          </w:p>
        </w:tc>
        <w:tc>
          <w:tcPr>
            <w:tcW w:w="3261" w:type="dxa"/>
          </w:tcPr>
          <w:p w14:paraId="4CF33D1E">
            <w:pPr>
              <w:pStyle w:val="20"/>
              <w:rPr>
                <w:rFonts w:hAnsi="宋体" w:cs="宋体"/>
                <w:color w:val="auto"/>
                <w:szCs w:val="21"/>
                <w:highlight w:val="none"/>
              </w:rPr>
            </w:pPr>
          </w:p>
        </w:tc>
        <w:tc>
          <w:tcPr>
            <w:tcW w:w="3201" w:type="dxa"/>
          </w:tcPr>
          <w:p w14:paraId="047735FA">
            <w:pPr>
              <w:pStyle w:val="20"/>
              <w:rPr>
                <w:rFonts w:hAnsi="宋体" w:cs="宋体"/>
                <w:color w:val="auto"/>
                <w:szCs w:val="21"/>
                <w:highlight w:val="none"/>
              </w:rPr>
            </w:pPr>
          </w:p>
        </w:tc>
        <w:tc>
          <w:tcPr>
            <w:tcW w:w="1366" w:type="dxa"/>
          </w:tcPr>
          <w:p w14:paraId="172AF268">
            <w:pPr>
              <w:pStyle w:val="20"/>
              <w:rPr>
                <w:rFonts w:hAnsi="宋体" w:cs="宋体"/>
                <w:color w:val="auto"/>
                <w:szCs w:val="21"/>
                <w:highlight w:val="none"/>
              </w:rPr>
            </w:pPr>
          </w:p>
        </w:tc>
      </w:tr>
      <w:tr w14:paraId="147E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9" w:type="dxa"/>
          </w:tcPr>
          <w:p w14:paraId="3051D078">
            <w:pPr>
              <w:pStyle w:val="20"/>
              <w:rPr>
                <w:rFonts w:hAnsi="宋体" w:cs="宋体"/>
                <w:color w:val="auto"/>
                <w:szCs w:val="21"/>
                <w:highlight w:val="none"/>
              </w:rPr>
            </w:pPr>
          </w:p>
        </w:tc>
        <w:tc>
          <w:tcPr>
            <w:tcW w:w="3261" w:type="dxa"/>
          </w:tcPr>
          <w:p w14:paraId="24FDD37A">
            <w:pPr>
              <w:pStyle w:val="20"/>
              <w:rPr>
                <w:rFonts w:hAnsi="宋体" w:cs="宋体"/>
                <w:color w:val="auto"/>
                <w:szCs w:val="21"/>
                <w:highlight w:val="none"/>
              </w:rPr>
            </w:pPr>
          </w:p>
        </w:tc>
        <w:tc>
          <w:tcPr>
            <w:tcW w:w="3201" w:type="dxa"/>
          </w:tcPr>
          <w:p w14:paraId="19D452E6">
            <w:pPr>
              <w:pStyle w:val="20"/>
              <w:rPr>
                <w:rFonts w:hAnsi="宋体" w:cs="宋体"/>
                <w:color w:val="auto"/>
                <w:szCs w:val="21"/>
                <w:highlight w:val="none"/>
              </w:rPr>
            </w:pPr>
          </w:p>
        </w:tc>
        <w:tc>
          <w:tcPr>
            <w:tcW w:w="1366" w:type="dxa"/>
          </w:tcPr>
          <w:p w14:paraId="2D3705BC">
            <w:pPr>
              <w:pStyle w:val="20"/>
              <w:rPr>
                <w:rFonts w:hAnsi="宋体" w:cs="宋体"/>
                <w:color w:val="auto"/>
                <w:szCs w:val="21"/>
                <w:highlight w:val="none"/>
              </w:rPr>
            </w:pPr>
          </w:p>
        </w:tc>
      </w:tr>
    </w:tbl>
    <w:p w14:paraId="4B9DF6C6">
      <w:pPr>
        <w:pStyle w:val="88"/>
        <w:adjustRightInd w:val="0"/>
        <w:snapToGrid w:val="0"/>
        <w:spacing w:after="120"/>
        <w:ind w:firstLine="0" w:firstLineChars="0"/>
        <w:rPr>
          <w:rFonts w:ascii="宋体" w:hAnsi="宋体" w:cs="宋体"/>
          <w:color w:val="auto"/>
          <w:szCs w:val="21"/>
          <w:highlight w:val="none"/>
        </w:rPr>
      </w:pPr>
      <w:r>
        <w:rPr>
          <w:rFonts w:hint="eastAsia" w:ascii="宋体" w:hAnsi="宋体" w:cs="宋体"/>
          <w:color w:val="auto"/>
          <w:szCs w:val="21"/>
          <w:highlight w:val="none"/>
        </w:rPr>
        <w:t>注：</w:t>
      </w:r>
    </w:p>
    <w:p w14:paraId="30C2247D">
      <w:pPr>
        <w:spacing w:line="360" w:lineRule="auto"/>
        <w:ind w:firstLine="2" w:firstLineChars="1"/>
        <w:jc w:val="left"/>
        <w:rPr>
          <w:rFonts w:ascii="宋体" w:hAnsi="宋体" w:cs="宋体"/>
          <w:color w:val="auto"/>
          <w:szCs w:val="21"/>
          <w:highlight w:val="none"/>
        </w:rPr>
      </w:pPr>
      <w:r>
        <w:rPr>
          <w:rFonts w:hint="eastAsia" w:ascii="宋体" w:hAnsi="宋体" w:cs="宋体"/>
          <w:color w:val="auto"/>
          <w:szCs w:val="21"/>
          <w:highlight w:val="none"/>
        </w:rPr>
        <w:t>1.表格中“序号”一列，供应商须逐条对应竞争性磋商文件第三章《合同条款前附表》中商务条款的序号。</w:t>
      </w:r>
    </w:p>
    <w:p w14:paraId="6C4E5DF9">
      <w:pPr>
        <w:spacing w:line="360" w:lineRule="auto"/>
        <w:ind w:firstLine="2" w:firstLineChars="1"/>
        <w:jc w:val="left"/>
        <w:rPr>
          <w:rFonts w:ascii="宋体" w:hAnsi="宋体" w:cs="宋体"/>
          <w:color w:val="auto"/>
          <w:szCs w:val="21"/>
          <w:highlight w:val="none"/>
        </w:rPr>
      </w:pPr>
      <w:r>
        <w:rPr>
          <w:rFonts w:hint="eastAsia" w:ascii="宋体" w:hAnsi="宋体" w:cs="宋体"/>
          <w:color w:val="auto"/>
          <w:szCs w:val="21"/>
          <w:highlight w:val="none"/>
        </w:rPr>
        <w:t>2.表格中“竞争性磋商文件商务条款”一列，供应商须逐条对应竞争性磋商文件第三章《合同条款前附表》中的商务条款。</w:t>
      </w:r>
    </w:p>
    <w:p w14:paraId="1D421FED">
      <w:pPr>
        <w:spacing w:line="360" w:lineRule="auto"/>
        <w:ind w:firstLine="2" w:firstLineChars="1"/>
        <w:jc w:val="left"/>
        <w:rPr>
          <w:rFonts w:ascii="宋体" w:hAnsi="宋体" w:cs="宋体"/>
          <w:color w:val="auto"/>
          <w:szCs w:val="21"/>
          <w:highlight w:val="none"/>
        </w:rPr>
      </w:pPr>
      <w:r>
        <w:rPr>
          <w:rFonts w:hint="eastAsia" w:ascii="宋体" w:hAnsi="宋体" w:cs="宋体"/>
          <w:color w:val="auto"/>
          <w:szCs w:val="21"/>
          <w:highlight w:val="none"/>
        </w:rPr>
        <w:t>3.表格中“响应文件响应情况”一列，供应商须逐条对竞争性磋商文件第三章《合同条款前附表》中的商务条款作出全面、真实的反映，若响应文件中响应情况与竞争性磋商文件商务条款不符或无有效证明，而供应商又未在响应文件中作出说明和解释的，评标委员会在评审时可以视为不响应该条商务条款的规定。</w:t>
      </w:r>
    </w:p>
    <w:p w14:paraId="7E92FAB7">
      <w:pPr>
        <w:spacing w:line="360" w:lineRule="auto"/>
        <w:ind w:firstLine="2" w:firstLineChars="1"/>
        <w:jc w:val="left"/>
        <w:rPr>
          <w:rFonts w:ascii="宋体" w:hAnsi="宋体" w:cs="宋体"/>
          <w:color w:val="auto"/>
          <w:szCs w:val="21"/>
          <w:highlight w:val="none"/>
        </w:rPr>
      </w:pPr>
      <w:r>
        <w:rPr>
          <w:rFonts w:hint="eastAsia" w:ascii="宋体" w:hAnsi="宋体" w:cs="宋体"/>
          <w:color w:val="auto"/>
          <w:szCs w:val="21"/>
          <w:highlight w:val="none"/>
        </w:rPr>
        <w:t>4.表格中“偏离”一列，供应商只能如实填写“正偏离”、“负偏离”或“无偏离”。凡响应内容高于竞争性磋商文件要求的，按“正偏离”填写；低于竞争性磋商文件要求的，按“负偏离”填写；满足竞争性磋商文件要求的，按“无偏离”填写。</w:t>
      </w:r>
    </w:p>
    <w:p w14:paraId="3A83F7DB">
      <w:pPr>
        <w:pStyle w:val="20"/>
        <w:spacing w:line="360" w:lineRule="auto"/>
        <w:rPr>
          <w:rFonts w:hAnsi="宋体" w:cs="宋体"/>
          <w:color w:val="auto"/>
          <w:szCs w:val="21"/>
          <w:highlight w:val="none"/>
        </w:rPr>
      </w:pPr>
      <w:r>
        <w:rPr>
          <w:rFonts w:hint="eastAsia" w:hAnsi="宋体" w:cs="宋体"/>
          <w:color w:val="auto"/>
          <w:szCs w:val="21"/>
          <w:highlight w:val="none"/>
        </w:rPr>
        <w:t>5.供应商可根据竞争性磋商文件商务条款拓展本表，但不得改变格式。</w:t>
      </w:r>
    </w:p>
    <w:p w14:paraId="3675C8C5">
      <w:pPr>
        <w:pStyle w:val="20"/>
        <w:spacing w:line="360" w:lineRule="auto"/>
        <w:rPr>
          <w:rFonts w:hAnsi="宋体" w:cs="宋体"/>
          <w:color w:val="auto"/>
          <w:szCs w:val="21"/>
          <w:highlight w:val="none"/>
        </w:rPr>
      </w:pPr>
    </w:p>
    <w:p w14:paraId="085455FB">
      <w:pPr>
        <w:ind w:firstLine="2" w:firstLineChars="1"/>
        <w:rPr>
          <w:rFonts w:ascii="宋体" w:hAnsi="宋体" w:cs="宋体"/>
          <w:color w:val="auto"/>
          <w:szCs w:val="21"/>
          <w:highlight w:val="none"/>
        </w:rPr>
      </w:pPr>
    </w:p>
    <w:p w14:paraId="15471B00">
      <w:pPr>
        <w:ind w:firstLine="2" w:firstLineChars="1"/>
        <w:rPr>
          <w:rFonts w:ascii="宋体" w:hAnsi="宋体" w:cs="宋体"/>
          <w:color w:val="auto"/>
          <w:szCs w:val="21"/>
          <w:highlight w:val="none"/>
        </w:rPr>
      </w:pPr>
    </w:p>
    <w:p w14:paraId="4B92BC1C">
      <w:pPr>
        <w:ind w:firstLine="2" w:firstLineChars="1"/>
        <w:rPr>
          <w:rFonts w:ascii="宋体" w:hAnsi="宋体" w:cs="宋体"/>
          <w:color w:val="auto"/>
          <w:szCs w:val="21"/>
          <w:highlight w:val="none"/>
        </w:rPr>
      </w:pPr>
    </w:p>
    <w:p w14:paraId="57BCDF2A">
      <w:pPr>
        <w:ind w:firstLine="2" w:firstLineChars="1"/>
        <w:rPr>
          <w:rFonts w:ascii="宋体" w:hAnsi="宋体" w:cs="宋体"/>
          <w:color w:val="auto"/>
          <w:szCs w:val="21"/>
          <w:highlight w:val="none"/>
        </w:rPr>
      </w:pPr>
      <w:r>
        <w:rPr>
          <w:rFonts w:hint="eastAsia" w:ascii="宋体" w:hAnsi="宋体" w:cs="宋体"/>
          <w:color w:val="auto"/>
          <w:szCs w:val="21"/>
          <w:highlight w:val="none"/>
        </w:rPr>
        <w:t>供应商（加盖供应商电子公章）：</w:t>
      </w:r>
    </w:p>
    <w:p w14:paraId="6D99D722">
      <w:pPr>
        <w:ind w:firstLine="2" w:firstLineChars="1"/>
        <w:rPr>
          <w:rFonts w:ascii="宋体" w:hAnsi="宋体" w:cs="宋体"/>
          <w:color w:val="auto"/>
          <w:szCs w:val="21"/>
          <w:highlight w:val="none"/>
        </w:rPr>
      </w:pPr>
    </w:p>
    <w:p w14:paraId="1E6203C9">
      <w:pPr>
        <w:ind w:firstLine="2" w:firstLineChars="1"/>
        <w:rPr>
          <w:rFonts w:ascii="宋体" w:hAnsi="宋体" w:cs="宋体"/>
          <w:color w:val="auto"/>
          <w:szCs w:val="21"/>
          <w:highlight w:val="none"/>
        </w:rPr>
      </w:pPr>
      <w:r>
        <w:rPr>
          <w:rFonts w:hint="eastAsia" w:ascii="宋体" w:hAnsi="宋体" w:cs="宋体"/>
          <w:color w:val="auto"/>
          <w:szCs w:val="21"/>
          <w:highlight w:val="none"/>
        </w:rPr>
        <w:t>法定代表人（电子签名或签章）：</w:t>
      </w:r>
    </w:p>
    <w:p w14:paraId="15CD4FC4">
      <w:pPr>
        <w:ind w:firstLine="2" w:firstLineChars="1"/>
        <w:rPr>
          <w:rFonts w:ascii="宋体" w:hAnsi="宋体" w:cs="宋体"/>
          <w:color w:val="auto"/>
          <w:szCs w:val="21"/>
          <w:highlight w:val="none"/>
        </w:rPr>
      </w:pPr>
    </w:p>
    <w:p w14:paraId="6E80BEC5">
      <w:pPr>
        <w:ind w:firstLine="2" w:firstLineChars="1"/>
        <w:rPr>
          <w:rFonts w:ascii="宋体" w:hAnsi="宋体" w:cs="宋体"/>
          <w:b/>
          <w:color w:val="auto"/>
          <w:szCs w:val="21"/>
          <w:highlight w:val="none"/>
        </w:rPr>
      </w:pPr>
      <w:r>
        <w:rPr>
          <w:rFonts w:hint="eastAsia" w:ascii="宋体" w:hAnsi="宋体" w:cs="宋体"/>
          <w:color w:val="auto"/>
          <w:szCs w:val="21"/>
          <w:highlight w:val="none"/>
        </w:rPr>
        <w:t>日期：</w:t>
      </w:r>
    </w:p>
    <w:p w14:paraId="419232BB">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4965358B">
      <w:pPr>
        <w:widowControl/>
        <w:jc w:val="left"/>
        <w:rPr>
          <w:rFonts w:ascii="宋体" w:hAnsi="宋体" w:cs="宋体"/>
          <w:b/>
          <w:color w:val="auto"/>
          <w:sz w:val="32"/>
          <w:szCs w:val="32"/>
          <w:highlight w:val="none"/>
        </w:rPr>
      </w:pPr>
      <w:r>
        <w:rPr>
          <w:rFonts w:hint="eastAsia" w:ascii="宋体" w:hAnsi="宋体" w:cs="宋体"/>
          <w:b/>
          <w:color w:val="auto"/>
          <w:sz w:val="32"/>
          <w:szCs w:val="32"/>
          <w:highlight w:val="none"/>
        </w:rPr>
        <w:t>格式</w:t>
      </w:r>
      <w:bookmarkEnd w:id="273"/>
      <w:bookmarkStart w:id="293" w:name="_Toc20636"/>
      <w:r>
        <w:rPr>
          <w:rFonts w:hint="eastAsia" w:ascii="宋体" w:hAnsi="宋体" w:cs="宋体"/>
          <w:b/>
          <w:color w:val="auto"/>
          <w:sz w:val="32"/>
          <w:szCs w:val="32"/>
          <w:highlight w:val="none"/>
        </w:rPr>
        <w:t>13</w:t>
      </w:r>
    </w:p>
    <w:p w14:paraId="1B9532A7">
      <w:pPr>
        <w:keepNext/>
        <w:keepLines/>
        <w:spacing w:before="120" w:after="120" w:line="360" w:lineRule="auto"/>
        <w:ind w:left="425"/>
        <w:jc w:val="center"/>
        <w:outlineLvl w:val="1"/>
        <w:rPr>
          <w:rFonts w:ascii="宋体" w:hAnsi="宋体" w:cs="宋体"/>
          <w:b/>
          <w:bCs/>
          <w:color w:val="auto"/>
          <w:sz w:val="32"/>
          <w:szCs w:val="32"/>
          <w:highlight w:val="none"/>
        </w:rPr>
      </w:pPr>
      <w:bookmarkStart w:id="294" w:name="_Toc18731"/>
      <w:bookmarkStart w:id="295" w:name="_Toc18287450"/>
      <w:bookmarkStart w:id="296" w:name="_Toc22008"/>
      <w:bookmarkStart w:id="297" w:name="_Toc15519"/>
      <w:bookmarkStart w:id="298" w:name="_Toc13616"/>
      <w:bookmarkStart w:id="299" w:name="_Toc14603927"/>
      <w:r>
        <w:rPr>
          <w:rFonts w:hint="eastAsia" w:ascii="宋体" w:hAnsi="宋体" w:cs="宋体"/>
          <w:b/>
          <w:bCs/>
          <w:color w:val="auto"/>
          <w:sz w:val="32"/>
          <w:szCs w:val="32"/>
          <w:highlight w:val="none"/>
        </w:rPr>
        <w:t>构成响应文件的其它资料</w:t>
      </w:r>
      <w:bookmarkEnd w:id="293"/>
      <w:bookmarkEnd w:id="294"/>
      <w:bookmarkEnd w:id="295"/>
      <w:bookmarkEnd w:id="296"/>
      <w:bookmarkEnd w:id="297"/>
      <w:bookmarkEnd w:id="298"/>
      <w:bookmarkEnd w:id="299"/>
    </w:p>
    <w:p w14:paraId="20F1FB26">
      <w:pPr>
        <w:widowControl/>
        <w:spacing w:line="480" w:lineRule="auto"/>
        <w:jc w:val="left"/>
        <w:rPr>
          <w:rFonts w:ascii="宋体" w:hAnsi="宋体" w:cs="宋体"/>
          <w:color w:val="auto"/>
          <w:kern w:val="0"/>
          <w:szCs w:val="21"/>
          <w:highlight w:val="none"/>
        </w:rPr>
      </w:pPr>
      <w:r>
        <w:rPr>
          <w:rFonts w:ascii="宋体" w:hAnsi="宋体" w:cs="宋体"/>
          <w:color w:val="auto"/>
          <w:kern w:val="0"/>
          <w:szCs w:val="21"/>
          <w:highlight w:val="none"/>
        </w:rPr>
        <w:t>1.第五章《采购需求》中要求提供的其他资料；</w:t>
      </w:r>
    </w:p>
    <w:p w14:paraId="54EF1215">
      <w:pPr>
        <w:widowControl/>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.竞争性磋商文件中所涉及到的相关资料及证明文件或供应商认为必须提供的其他相关资料。</w:t>
      </w:r>
    </w:p>
    <w:p w14:paraId="66A0B593">
      <w:pPr>
        <w:widowControl/>
        <w:spacing w:line="480" w:lineRule="auto"/>
        <w:jc w:val="left"/>
        <w:rPr>
          <w:rFonts w:ascii="宋体" w:hAnsi="宋体" w:cs="宋体"/>
          <w:color w:val="auto"/>
          <w:kern w:val="0"/>
          <w:szCs w:val="21"/>
          <w:highlight w:val="none"/>
        </w:rPr>
      </w:pPr>
    </w:p>
    <w:p w14:paraId="4E9CBCC6">
      <w:pPr>
        <w:widowControl/>
        <w:spacing w:line="480" w:lineRule="auto"/>
        <w:jc w:val="left"/>
        <w:rPr>
          <w:rFonts w:ascii="宋体" w:hAnsi="宋体" w:cs="宋体"/>
          <w:color w:val="auto"/>
          <w:szCs w:val="21"/>
          <w:highlight w:val="none"/>
        </w:rPr>
      </w:pPr>
      <w:r>
        <w:rPr>
          <w:rFonts w:hint="eastAsia" w:ascii="宋体" w:hAnsi="宋体" w:cs="宋体"/>
          <w:b/>
          <w:color w:val="auto"/>
          <w:szCs w:val="21"/>
          <w:highlight w:val="none"/>
        </w:rPr>
        <w:br w:type="page"/>
      </w:r>
    </w:p>
    <w:p w14:paraId="29CA6BAF">
      <w:pPr>
        <w:pStyle w:val="2"/>
        <w:rPr>
          <w:rFonts w:ascii="宋体" w:cs="黑体"/>
          <w:color w:val="auto"/>
          <w:highlight w:val="none"/>
        </w:rPr>
      </w:pPr>
      <w:bookmarkStart w:id="300" w:name="_Toc489145771"/>
      <w:bookmarkStart w:id="301" w:name="_Toc3309"/>
      <w:r>
        <w:rPr>
          <w:rFonts w:hint="eastAsia" w:ascii="宋体" w:hAnsi="宋体" w:cs="黑体"/>
          <w:color w:val="auto"/>
          <w:highlight w:val="none"/>
        </w:rPr>
        <w:t>第五章</w:t>
      </w:r>
      <w:r>
        <w:rPr>
          <w:rFonts w:ascii="宋体" w:hAnsi="宋体" w:cs="黑体"/>
          <w:color w:val="auto"/>
          <w:highlight w:val="none"/>
        </w:rPr>
        <w:t xml:space="preserve">  </w:t>
      </w:r>
      <w:bookmarkEnd w:id="300"/>
      <w:r>
        <w:rPr>
          <w:rFonts w:hint="eastAsia" w:ascii="宋体" w:hAnsi="宋体" w:cs="黑体"/>
          <w:color w:val="auto"/>
          <w:highlight w:val="none"/>
        </w:rPr>
        <w:t>采购需求</w:t>
      </w:r>
      <w:bookmarkEnd w:id="301"/>
    </w:p>
    <w:bookmarkEnd w:id="6"/>
    <w:bookmarkEnd w:id="7"/>
    <w:p w14:paraId="1F520974">
      <w:pPr>
        <w:adjustRightInd w:val="0"/>
        <w:spacing w:line="360" w:lineRule="auto"/>
        <w:ind w:firstLine="211" w:firstLineChars="100"/>
        <w:rPr>
          <w:rFonts w:ascii="宋体" w:hAnsi="宋体" w:cs="宋体"/>
          <w:b/>
          <w:bCs/>
          <w:color w:val="auto"/>
          <w:szCs w:val="21"/>
          <w:highlight w:val="none"/>
        </w:rPr>
      </w:pPr>
      <w:bookmarkStart w:id="302" w:name="_Toc8419"/>
      <w:bookmarkStart w:id="303" w:name="_Toc401342142"/>
      <w:bookmarkStart w:id="304" w:name="_Toc480817651"/>
      <w:bookmarkStart w:id="305" w:name="_Toc18287452"/>
      <w:bookmarkStart w:id="306" w:name="_Toc489145773"/>
      <w:bookmarkStart w:id="307" w:name="_Toc29379757"/>
      <w:r>
        <w:rPr>
          <w:rFonts w:hint="eastAsia" w:ascii="宋体" w:hAnsi="宋体" w:cs="宋体"/>
          <w:b/>
          <w:bCs/>
          <w:color w:val="auto"/>
          <w:szCs w:val="21"/>
          <w:highlight w:val="none"/>
        </w:rPr>
        <w:t>说明：</w:t>
      </w:r>
    </w:p>
    <w:p w14:paraId="6674AF65">
      <w:pPr>
        <w:adjustRightInd w:val="0"/>
        <w:spacing w:line="360" w:lineRule="auto"/>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1.供应商应保证其提供的货物、工程或者服务在采购人使用期间不受第三方可能提出的侵犯其所有权、知识产权、商标权、专利权、著作权等相关权利的起诉。本项目工作成果所有权归采购人拥有，在没有经过甲方认可情况下，不得向第三方转让。</w:t>
      </w:r>
    </w:p>
    <w:p w14:paraId="4DB4EDA1">
      <w:pPr>
        <w:adjustRightInd w:val="0"/>
        <w:spacing w:line="360" w:lineRule="auto"/>
        <w:ind w:firstLine="211" w:firstLineChars="100"/>
        <w:rPr>
          <w:rFonts w:ascii="宋体" w:hAnsi="宋体" w:cs="宋体"/>
          <w:b/>
          <w:bCs/>
          <w:color w:val="auto"/>
          <w:szCs w:val="21"/>
          <w:highlight w:val="none"/>
        </w:rPr>
      </w:pPr>
      <w:bookmarkStart w:id="308" w:name="_Toc491307332"/>
      <w:bookmarkStart w:id="309" w:name="_Toc491307394"/>
      <w:r>
        <w:rPr>
          <w:rFonts w:hint="eastAsia" w:ascii="宋体" w:hAnsi="宋体" w:cs="宋体"/>
          <w:b/>
          <w:bCs/>
          <w:color w:val="auto"/>
          <w:szCs w:val="21"/>
          <w:highlight w:val="none"/>
        </w:rPr>
        <w:t>2.供应商应对在项目服务的过程中，涉及到甲方的工作信息等秘密内容进行保密。双方应共同对工作中涉及的技术情报和资料进行保密。</w:t>
      </w:r>
      <w:bookmarkEnd w:id="308"/>
      <w:bookmarkEnd w:id="309"/>
    </w:p>
    <w:p w14:paraId="045D2A4A">
      <w:pPr>
        <w:adjustRightInd w:val="0"/>
        <w:spacing w:line="360" w:lineRule="auto"/>
        <w:ind w:firstLine="211" w:firstLineChars="100"/>
        <w:rPr>
          <w:rFonts w:ascii="宋体" w:hAnsi="宋体" w:cs="宋体"/>
          <w:b/>
          <w:bCs/>
          <w:color w:val="auto"/>
          <w:szCs w:val="21"/>
          <w:highlight w:val="none"/>
        </w:rPr>
        <w:sectPr>
          <w:footerReference r:id="rId6" w:type="default"/>
          <w:pgSz w:w="12240" w:h="15840"/>
          <w:pgMar w:top="1440" w:right="1800" w:bottom="1440" w:left="1800" w:header="720" w:footer="720" w:gutter="0"/>
          <w:pgNumType w:start="1"/>
          <w:cols w:space="720" w:num="1"/>
          <w:docGrid w:linePitch="286" w:charSpace="0"/>
        </w:sectPr>
      </w:pPr>
    </w:p>
    <w:bookmarkEnd w:id="302"/>
    <w:bookmarkEnd w:id="303"/>
    <w:bookmarkEnd w:id="304"/>
    <w:p w14:paraId="06177590">
      <w:pPr>
        <w:keepNext w:val="0"/>
        <w:keepLines w:val="0"/>
        <w:pageBreakBefore w:val="0"/>
        <w:widowControl w:val="0"/>
        <w:kinsoku/>
        <w:wordWrap/>
        <w:overflowPunct/>
        <w:topLinePunct w:val="0"/>
        <w:autoSpaceDE/>
        <w:autoSpaceDN/>
        <w:bidi w:val="0"/>
        <w:spacing w:line="360" w:lineRule="auto"/>
        <w:ind w:left="0" w:leftChars="0" w:firstLine="420" w:firstLineChars="200"/>
        <w:jc w:val="both"/>
        <w:textAlignment w:val="auto"/>
        <w:rPr>
          <w:ins w:id="0" w:author="gr" w:date="2026-05-15T17:29:50Z"/>
          <w:rFonts w:hint="eastAsia" w:ascii="宋体" w:hAnsi="宋体" w:eastAsia="宋体" w:cs="宋体"/>
          <w:color w:val="auto"/>
          <w:kern w:val="2"/>
          <w:sz w:val="21"/>
          <w:szCs w:val="21"/>
          <w:highlight w:val="none"/>
          <w:lang w:val="en-US" w:eastAsia="zh-CN" w:bidi="ar-SA"/>
        </w:rPr>
      </w:pPr>
      <w:bookmarkStart w:id="310" w:name="_Toc23482"/>
    </w:p>
    <w:p w14:paraId="7FAF2DB3">
      <w:pPr>
        <w:keepNext w:val="0"/>
        <w:keepLines w:val="0"/>
        <w:pageBreakBefore w:val="0"/>
        <w:widowControl/>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一、采购标的需实现的功能或者目标，以及为落实政府采购政策需满足的要求</w:t>
      </w:r>
    </w:p>
    <w:p w14:paraId="7906BAF4">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对YNCORS数据中心故障、老化设备进行维修维护，预算金额为2.33万元。</w:t>
      </w:r>
    </w:p>
    <w:p w14:paraId="6171B322">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落实政府采购政策需满足的要求：1、鼓励节能政策：在技术、服务等指标同等条件下，优先采购属于国家公布的节能清单中产品。2、鼓励环保政策：在性能、技术、服务等指标同等条件下，优先采购国家公布的环保产品清单中的产品。</w:t>
      </w:r>
    </w:p>
    <w:p w14:paraId="616D7344">
      <w:pPr>
        <w:keepNext w:val="0"/>
        <w:keepLines w:val="0"/>
        <w:pageBreakBefore w:val="0"/>
        <w:widowControl/>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二、采购标的需执行的国家相关标准、行业标准、地方标准或者其他标准、规范：</w:t>
      </w:r>
    </w:p>
    <w:p w14:paraId="500F527B">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满足采购人使用要求及国家相关标准、行业标准、地方标准或者其他标准、规范要求；</w:t>
      </w:r>
    </w:p>
    <w:p w14:paraId="6A6FE20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三、</w:t>
      </w:r>
      <w:r>
        <w:rPr>
          <w:rFonts w:hint="eastAsia" w:ascii="宋体" w:hAnsi="宋体" w:eastAsia="宋体" w:cs="宋体"/>
          <w:b/>
          <w:color w:val="auto"/>
          <w:kern w:val="0"/>
          <w:sz w:val="21"/>
          <w:szCs w:val="21"/>
          <w:highlight w:val="none"/>
        </w:rPr>
        <w:t>采购标的需满足的质量、安全、技术规格、物理特性等要求</w:t>
      </w:r>
    </w:p>
    <w:tbl>
      <w:tblPr>
        <w:tblStyle w:val="37"/>
        <w:tblW w:w="4993"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1820"/>
        <w:gridCol w:w="7048"/>
      </w:tblGrid>
      <w:tr w14:paraId="73103D5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6" w:type="pct"/>
            <w:tcBorders>
              <w:tl2br w:val="nil"/>
              <w:tr2bl w:val="nil"/>
            </w:tcBorders>
            <w:tcMar>
              <w:top w:w="60" w:type="dxa"/>
              <w:left w:w="120" w:type="dxa"/>
              <w:bottom w:w="30" w:type="dxa"/>
              <w:right w:w="120" w:type="dxa"/>
            </w:tcMar>
            <w:vAlign w:val="center"/>
          </w:tcPr>
          <w:p w14:paraId="2735540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val="en-US" w:eastAsia="zh-CN"/>
              </w:rPr>
              <w:t>项</w:t>
            </w:r>
          </w:p>
        </w:tc>
        <w:tc>
          <w:tcPr>
            <w:tcW w:w="3973" w:type="pct"/>
            <w:tcBorders>
              <w:tl2br w:val="nil"/>
              <w:tr2bl w:val="nil"/>
            </w:tcBorders>
            <w:tcMar>
              <w:top w:w="60" w:type="dxa"/>
              <w:left w:w="120" w:type="dxa"/>
              <w:bottom w:w="30" w:type="dxa"/>
              <w:right w:w="120" w:type="dxa"/>
            </w:tcMar>
            <w:vAlign w:val="center"/>
          </w:tcPr>
          <w:p w14:paraId="7FD1930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具体服务内容</w:t>
            </w:r>
          </w:p>
        </w:tc>
      </w:tr>
      <w:tr w14:paraId="5DBDEDB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6" w:type="pct"/>
            <w:tcBorders>
              <w:tl2br w:val="nil"/>
              <w:tr2bl w:val="nil"/>
            </w:tcBorders>
            <w:tcMar>
              <w:top w:w="60" w:type="dxa"/>
              <w:left w:w="120" w:type="dxa"/>
              <w:bottom w:w="30" w:type="dxa"/>
              <w:right w:w="120" w:type="dxa"/>
            </w:tcMar>
          </w:tcPr>
          <w:p w14:paraId="47BB0C5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省级数据中心和基准站维修（护）</w:t>
            </w:r>
          </w:p>
        </w:tc>
        <w:tc>
          <w:tcPr>
            <w:tcW w:w="3973" w:type="pct"/>
            <w:tcBorders>
              <w:tl2br w:val="nil"/>
              <w:tr2bl w:val="nil"/>
            </w:tcBorders>
            <w:tcMar>
              <w:top w:w="60" w:type="dxa"/>
              <w:left w:w="120" w:type="dxa"/>
              <w:bottom w:w="30" w:type="dxa"/>
              <w:right w:w="120" w:type="dxa"/>
            </w:tcMar>
          </w:tcPr>
          <w:p w14:paraId="6F11E8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1台柴油发电机的维修维护</w:t>
            </w:r>
            <w:r>
              <w:rPr>
                <w:rFonts w:hint="eastAsia" w:ascii="宋体" w:hAnsi="宋体" w:cs="宋体"/>
                <w:color w:val="auto"/>
                <w:sz w:val="21"/>
                <w:szCs w:val="21"/>
                <w:highlight w:val="none"/>
                <w:lang w:val="en-US" w:eastAsia="zh-CN"/>
              </w:rPr>
              <w:t>，质保期内每月到现场启动1次发电机；4</w:t>
            </w:r>
            <w:r>
              <w:rPr>
                <w:rFonts w:hint="eastAsia" w:ascii="宋体" w:hAnsi="宋体" w:eastAsia="宋体" w:cs="宋体"/>
                <w:color w:val="auto"/>
                <w:sz w:val="21"/>
                <w:szCs w:val="21"/>
                <w:highlight w:val="none"/>
                <w:lang w:val="en-US" w:eastAsia="zh-CN"/>
              </w:rPr>
              <w:t>台空调维修维护</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2台</w:t>
            </w:r>
            <w:r>
              <w:rPr>
                <w:rFonts w:hint="eastAsia" w:ascii="宋体" w:hAnsi="宋体" w:cs="宋体"/>
                <w:color w:val="auto"/>
                <w:sz w:val="21"/>
                <w:szCs w:val="21"/>
                <w:highlight w:val="none"/>
                <w:lang w:val="en-US" w:eastAsia="zh-CN"/>
              </w:rPr>
              <w:t>消防</w:t>
            </w:r>
            <w:r>
              <w:rPr>
                <w:rFonts w:hint="eastAsia" w:ascii="宋体" w:hAnsi="宋体" w:eastAsia="宋体" w:cs="宋体"/>
                <w:color w:val="auto"/>
                <w:sz w:val="21"/>
                <w:szCs w:val="21"/>
                <w:highlight w:val="none"/>
                <w:lang w:val="en-US" w:eastAsia="zh-CN"/>
              </w:rPr>
              <w:t>主机维修维护</w:t>
            </w:r>
            <w:r>
              <w:rPr>
                <w:rFonts w:hint="eastAsia" w:ascii="宋体" w:hAnsi="宋体" w:cs="宋体"/>
                <w:color w:val="auto"/>
                <w:sz w:val="21"/>
                <w:szCs w:val="21"/>
                <w:highlight w:val="none"/>
                <w:lang w:val="en-US" w:eastAsia="zh-CN"/>
              </w:rPr>
              <w:t>；打印机维修</w:t>
            </w:r>
            <w:r>
              <w:rPr>
                <w:rFonts w:hint="eastAsia" w:ascii="宋体" w:hAnsi="宋体" w:eastAsia="宋体" w:cs="宋体"/>
                <w:color w:val="auto"/>
                <w:sz w:val="21"/>
                <w:szCs w:val="21"/>
                <w:highlight w:val="none"/>
                <w:lang w:val="en-US" w:eastAsia="zh-CN"/>
              </w:rPr>
              <w:t>维护</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台电脑维修维护。</w:t>
            </w:r>
          </w:p>
        </w:tc>
      </w:tr>
    </w:tbl>
    <w:p w14:paraId="329D77DB">
      <w:pPr>
        <w:keepNext w:val="0"/>
        <w:keepLines w:val="0"/>
        <w:pageBreakBefore w:val="0"/>
        <w:widowControl/>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四、采购标的的数量、采购项目交付或者实施的时间和地点</w:t>
      </w:r>
    </w:p>
    <w:p w14:paraId="3026D2B4">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标的数量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详见“三、采购标的需满足的质量、安全、技术规格、物理特性等要求”</w:t>
      </w:r>
      <w:r>
        <w:rPr>
          <w:rFonts w:hint="eastAsia" w:ascii="宋体" w:hAnsi="宋体" w:eastAsia="宋体" w:cs="宋体"/>
          <w:color w:val="auto"/>
          <w:kern w:val="0"/>
          <w:sz w:val="21"/>
          <w:szCs w:val="21"/>
          <w:highlight w:val="none"/>
          <w:lang w:eastAsia="zh-CN"/>
        </w:rPr>
        <w:t>。</w:t>
      </w:r>
    </w:p>
    <w:p w14:paraId="3DE66B5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rPr>
        <w:t>维修维护服务期：</w:t>
      </w:r>
      <w:r>
        <w:rPr>
          <w:rFonts w:hint="eastAsia" w:ascii="宋体" w:hAnsi="宋体" w:eastAsia="宋体" w:cs="宋体"/>
          <w:color w:val="auto"/>
          <w:kern w:val="0"/>
          <w:sz w:val="21"/>
          <w:szCs w:val="21"/>
          <w:highlight w:val="none"/>
          <w:lang w:val="en-US" w:eastAsia="zh-CN" w:bidi="ar-SA"/>
        </w:rPr>
        <w:t>自合同签订之日起60个日历天，验收合格后维修质保期365个日历天。</w:t>
      </w:r>
    </w:p>
    <w:p w14:paraId="4BA4F6A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交付地点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云南省北斗卫星导航定位服务系统（YNCORS）省级数据中心。</w:t>
      </w:r>
    </w:p>
    <w:p w14:paraId="416EDAD8">
      <w:pPr>
        <w:keepNext w:val="0"/>
        <w:keepLines w:val="0"/>
        <w:pageBreakBefore w:val="0"/>
        <w:widowControl/>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五、采购标的需满足的服务标准、期限、效率等要求</w:t>
      </w:r>
    </w:p>
    <w:p w14:paraId="1F0A9914">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中标人维修人员需具备专业维修技能，严格按照设备维修规范及双方确认的维修方案开展维修工作，确保故障彻底解决，维修后设备/系统运行稳定，达到设备原出厂标准或双方约定标准；维修过程中需规范操作，避免对设备造成二次损坏，若因中标人操作不当导致设备损坏，中标人需承担全部维修及赔偿责任。</w:t>
      </w:r>
    </w:p>
    <w:p w14:paraId="26357043">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配件标准：若维修过程中需要更换配件，中标人需使用符合国家相关标准、与设备型号匹配的合格配件（优先使用原厂配件），配件质量需经采购人确认，更换的旧配件需交由采购人妥善处理，中标人不得擅自丢弃或带走；若中标人使用不合格配件，导致设备故障复发或损坏，中标人需免费更换合格配件，并承担由此造成的全部损失。</w:t>
      </w:r>
    </w:p>
    <w:p w14:paraId="43149DED">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3.售后跟进效率：质保期内，中标人需每季度对维修更换的配件及维修部位进行一次跟进，了解设备运行状态，及时发现并处理潜在问题；质保期内故障报修，中标人需48小时内响应及维修，不得推诿、拖延。</w:t>
      </w:r>
    </w:p>
    <w:p w14:paraId="6A9E0756">
      <w:pPr>
        <w:keepNext w:val="0"/>
        <w:keepLines w:val="0"/>
        <w:pageBreakBefore w:val="0"/>
        <w:widowControl/>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六、采购标的的验收标准</w:t>
      </w:r>
    </w:p>
    <w:p w14:paraId="58125C18">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满足采购人使用要求及国家相关标准、行业标准、地方标准或者其他标准、规范要求</w:t>
      </w:r>
      <w:r>
        <w:rPr>
          <w:rFonts w:hint="eastAsia" w:ascii="宋体" w:hAnsi="宋体" w:eastAsia="宋体" w:cs="宋体"/>
          <w:color w:val="auto"/>
          <w:kern w:val="0"/>
          <w:sz w:val="21"/>
          <w:szCs w:val="21"/>
          <w:highlight w:val="none"/>
          <w:lang w:eastAsia="zh-CN"/>
        </w:rPr>
        <w:t>。</w:t>
      </w:r>
    </w:p>
    <w:p w14:paraId="7DD38FA1">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合同签订后一次性支付服务费用；维修维护结束后5个工作日内进行验收，若验收不合格，中标人须在合同期满后1个月内整改至验收合格，否则中标人须退还采购人已支付的全部服务费用。同时采购人有权解除服务合同，并将中标人相关违约情况上报财政部门备案，纳入不良行为记录，情节严重的，限制其参与采购人后续相关采购活动。</w:t>
      </w:r>
    </w:p>
    <w:p w14:paraId="104C3BA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val="en-US" w:eastAsia="zh-CN" w:bidi="ar-SA"/>
        </w:rPr>
        <w:t>七、</w:t>
      </w:r>
      <w:r>
        <w:rPr>
          <w:rFonts w:hint="eastAsia" w:ascii="宋体" w:hAnsi="宋体" w:eastAsia="宋体" w:cs="宋体"/>
          <w:b/>
          <w:color w:val="auto"/>
          <w:kern w:val="0"/>
          <w:sz w:val="21"/>
          <w:szCs w:val="21"/>
          <w:highlight w:val="none"/>
        </w:rPr>
        <w:t>采购标的的其他技术、服务等要求</w:t>
      </w:r>
      <w:r>
        <w:rPr>
          <w:rFonts w:hint="eastAsia" w:ascii="宋体" w:hAnsi="宋体" w:eastAsia="宋体" w:cs="宋体"/>
          <w:b/>
          <w:color w:val="auto"/>
          <w:kern w:val="0"/>
          <w:sz w:val="21"/>
          <w:szCs w:val="21"/>
          <w:highlight w:val="none"/>
          <w:lang w:eastAsia="zh-CN"/>
        </w:rPr>
        <w:t>：</w:t>
      </w:r>
    </w:p>
    <w:p w14:paraId="51712447">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无。</w:t>
      </w:r>
    </w:p>
    <w:p w14:paraId="6C270519">
      <w:pPr>
        <w:spacing w:line="360" w:lineRule="auto"/>
        <w:ind w:firstLine="580" w:firstLineChars="200"/>
        <w:rPr>
          <w:rFonts w:ascii="宋体" w:hAnsi="宋体"/>
          <w:color w:val="auto"/>
          <w:spacing w:val="40"/>
          <w:highlight w:val="none"/>
        </w:rPr>
      </w:pPr>
      <w:r>
        <w:rPr>
          <w:rFonts w:hint="eastAsia" w:ascii="宋体" w:hAnsi="宋体"/>
          <w:color w:val="auto"/>
          <w:spacing w:val="40"/>
          <w:highlight w:val="none"/>
        </w:rPr>
        <w:br w:type="page"/>
      </w:r>
    </w:p>
    <w:p w14:paraId="68B8D4C9">
      <w:pPr>
        <w:pStyle w:val="2"/>
        <w:rPr>
          <w:rFonts w:ascii="宋体" w:hAnsi="宋体"/>
          <w:color w:val="auto"/>
          <w:spacing w:val="40"/>
          <w:kern w:val="2"/>
          <w:highlight w:val="none"/>
        </w:rPr>
      </w:pPr>
      <w:r>
        <w:rPr>
          <w:rFonts w:hint="eastAsia" w:ascii="宋体" w:hAnsi="宋体"/>
          <w:color w:val="auto"/>
          <w:spacing w:val="40"/>
          <w:kern w:val="2"/>
          <w:highlight w:val="none"/>
        </w:rPr>
        <w:t xml:space="preserve">第六章 </w:t>
      </w:r>
      <w:bookmarkEnd w:id="305"/>
      <w:bookmarkEnd w:id="306"/>
      <w:bookmarkEnd w:id="307"/>
      <w:bookmarkStart w:id="311" w:name="_Toc481694866"/>
      <w:bookmarkStart w:id="312" w:name="_Toc979"/>
      <w:bookmarkStart w:id="313" w:name="_Toc480817655"/>
      <w:r>
        <w:rPr>
          <w:rFonts w:hint="eastAsia" w:ascii="宋体" w:hAnsi="宋体"/>
          <w:color w:val="auto"/>
          <w:spacing w:val="40"/>
          <w:kern w:val="2"/>
          <w:highlight w:val="none"/>
        </w:rPr>
        <w:t>评审方法</w:t>
      </w:r>
      <w:bookmarkEnd w:id="310"/>
    </w:p>
    <w:p w14:paraId="09958F4E">
      <w:pPr>
        <w:pStyle w:val="4"/>
        <w:jc w:val="center"/>
        <w:rPr>
          <w:rFonts w:ascii="宋体"/>
          <w:color w:val="auto"/>
          <w:highlight w:val="none"/>
        </w:rPr>
      </w:pPr>
      <w:bookmarkStart w:id="314" w:name="_Toc488633639"/>
      <w:bookmarkStart w:id="315" w:name="_Toc22093"/>
      <w:bookmarkStart w:id="316" w:name="_Toc27780"/>
      <w:bookmarkStart w:id="317" w:name="_Toc489145774"/>
      <w:r>
        <w:rPr>
          <w:rFonts w:hint="eastAsia" w:ascii="宋体" w:hAnsi="宋体"/>
          <w:color w:val="auto"/>
          <w:highlight w:val="none"/>
        </w:rPr>
        <w:t>评审方法前附表</w:t>
      </w:r>
      <w:bookmarkEnd w:id="311"/>
      <w:bookmarkEnd w:id="314"/>
      <w:bookmarkEnd w:id="315"/>
      <w:bookmarkEnd w:id="316"/>
      <w:bookmarkEnd w:id="317"/>
    </w:p>
    <w:tbl>
      <w:tblPr>
        <w:tblStyle w:val="37"/>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36"/>
        <w:gridCol w:w="1531"/>
        <w:gridCol w:w="1122"/>
        <w:gridCol w:w="5054"/>
      </w:tblGrid>
      <w:tr w14:paraId="7F98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1646" w:type="dxa"/>
            <w:gridSpan w:val="2"/>
            <w:vAlign w:val="center"/>
          </w:tcPr>
          <w:p w14:paraId="20EFCFF4">
            <w:pPr>
              <w:spacing w:before="100" w:beforeAutospacing="1" w:after="100" w:afterAutospacing="1" w:line="360" w:lineRule="auto"/>
              <w:jc w:val="center"/>
              <w:rPr>
                <w:rFonts w:ascii="宋体"/>
                <w:b/>
                <w:color w:val="auto"/>
                <w:szCs w:val="21"/>
                <w:highlight w:val="none"/>
              </w:rPr>
            </w:pPr>
            <w:r>
              <w:rPr>
                <w:rFonts w:hint="eastAsia" w:ascii="宋体" w:hAnsi="宋体"/>
                <w:b/>
                <w:color w:val="auto"/>
                <w:szCs w:val="21"/>
                <w:highlight w:val="none"/>
              </w:rPr>
              <w:t>条款号</w:t>
            </w:r>
          </w:p>
        </w:tc>
        <w:tc>
          <w:tcPr>
            <w:tcW w:w="1531" w:type="dxa"/>
            <w:vAlign w:val="center"/>
          </w:tcPr>
          <w:p w14:paraId="345CC3A1">
            <w:pPr>
              <w:spacing w:before="100" w:beforeAutospacing="1" w:after="100" w:afterAutospacing="1" w:line="360" w:lineRule="auto"/>
              <w:jc w:val="center"/>
              <w:rPr>
                <w:rFonts w:ascii="宋体"/>
                <w:b/>
                <w:color w:val="auto"/>
                <w:szCs w:val="21"/>
                <w:highlight w:val="none"/>
              </w:rPr>
            </w:pPr>
            <w:r>
              <w:rPr>
                <w:rFonts w:hint="eastAsia" w:ascii="宋体" w:hAnsi="宋体"/>
                <w:b/>
                <w:color w:val="auto"/>
                <w:szCs w:val="21"/>
                <w:highlight w:val="none"/>
              </w:rPr>
              <w:t>评</w:t>
            </w:r>
            <w:r>
              <w:rPr>
                <w:rFonts w:ascii="宋体" w:hAnsi="宋体"/>
                <w:b/>
                <w:color w:val="auto"/>
                <w:szCs w:val="21"/>
                <w:highlight w:val="none"/>
              </w:rPr>
              <w:t xml:space="preserve"> </w:t>
            </w:r>
            <w:r>
              <w:rPr>
                <w:rFonts w:hint="eastAsia" w:ascii="宋体" w:hAnsi="宋体"/>
                <w:b/>
                <w:color w:val="auto"/>
                <w:szCs w:val="21"/>
                <w:highlight w:val="none"/>
              </w:rPr>
              <w:t>审</w:t>
            </w:r>
            <w:r>
              <w:rPr>
                <w:rFonts w:ascii="宋体" w:hAnsi="宋体"/>
                <w:b/>
                <w:color w:val="auto"/>
                <w:szCs w:val="21"/>
                <w:highlight w:val="none"/>
              </w:rPr>
              <w:t xml:space="preserve"> </w:t>
            </w: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c>
          <w:tcPr>
            <w:tcW w:w="6176" w:type="dxa"/>
            <w:gridSpan w:val="2"/>
            <w:vAlign w:val="center"/>
          </w:tcPr>
          <w:p w14:paraId="2B6C89E6">
            <w:pPr>
              <w:spacing w:before="100" w:beforeAutospacing="1" w:after="100" w:afterAutospacing="1" w:line="360" w:lineRule="auto"/>
              <w:jc w:val="center"/>
              <w:rPr>
                <w:rFonts w:ascii="宋体"/>
                <w:b/>
                <w:color w:val="auto"/>
                <w:szCs w:val="21"/>
                <w:highlight w:val="none"/>
              </w:rPr>
            </w:pPr>
            <w:r>
              <w:rPr>
                <w:rFonts w:hint="eastAsia" w:ascii="宋体" w:hAnsi="宋体"/>
                <w:b/>
                <w:color w:val="auto"/>
                <w:szCs w:val="21"/>
                <w:highlight w:val="none"/>
              </w:rPr>
              <w:t>评</w:t>
            </w:r>
            <w:r>
              <w:rPr>
                <w:rFonts w:ascii="宋体" w:hAnsi="宋体"/>
                <w:b/>
                <w:color w:val="auto"/>
                <w:szCs w:val="21"/>
                <w:highlight w:val="none"/>
              </w:rPr>
              <w:t xml:space="preserve"> </w:t>
            </w:r>
            <w:r>
              <w:rPr>
                <w:rFonts w:hint="eastAsia" w:ascii="宋体" w:hAnsi="宋体"/>
                <w:b/>
                <w:color w:val="auto"/>
                <w:szCs w:val="21"/>
                <w:highlight w:val="none"/>
              </w:rPr>
              <w:t>审</w:t>
            </w:r>
            <w:r>
              <w:rPr>
                <w:rFonts w:ascii="宋体" w:hAnsi="宋体"/>
                <w:b/>
                <w:color w:val="auto"/>
                <w:szCs w:val="21"/>
                <w:highlight w:val="none"/>
              </w:rPr>
              <w:t xml:space="preserve"> </w:t>
            </w:r>
            <w:r>
              <w:rPr>
                <w:rFonts w:hint="eastAsia" w:ascii="宋体" w:hAnsi="宋体"/>
                <w:b/>
                <w:color w:val="auto"/>
                <w:szCs w:val="21"/>
                <w:highlight w:val="none"/>
              </w:rPr>
              <w:t>标</w:t>
            </w:r>
            <w:r>
              <w:rPr>
                <w:rFonts w:ascii="宋体" w:hAnsi="宋体"/>
                <w:b/>
                <w:color w:val="auto"/>
                <w:szCs w:val="21"/>
                <w:highlight w:val="none"/>
              </w:rPr>
              <w:t xml:space="preserve"> </w:t>
            </w:r>
            <w:r>
              <w:rPr>
                <w:rFonts w:hint="eastAsia" w:ascii="宋体" w:hAnsi="宋体"/>
                <w:b/>
                <w:color w:val="auto"/>
                <w:szCs w:val="21"/>
                <w:highlight w:val="none"/>
              </w:rPr>
              <w:t>准</w:t>
            </w:r>
          </w:p>
        </w:tc>
      </w:tr>
      <w:tr w14:paraId="0941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restart"/>
            <w:vAlign w:val="center"/>
          </w:tcPr>
          <w:p w14:paraId="5C1BD452">
            <w:pPr>
              <w:spacing w:before="100" w:beforeAutospacing="1" w:after="100" w:afterAutospacing="1" w:line="360" w:lineRule="auto"/>
              <w:jc w:val="center"/>
              <w:rPr>
                <w:rFonts w:ascii="宋体"/>
                <w:b/>
                <w:bCs/>
                <w:color w:val="auto"/>
                <w:szCs w:val="21"/>
                <w:highlight w:val="none"/>
              </w:rPr>
            </w:pPr>
            <w:r>
              <w:rPr>
                <w:rFonts w:ascii="宋体" w:hAnsi="宋体"/>
                <w:b/>
                <w:bCs/>
                <w:color w:val="auto"/>
                <w:szCs w:val="21"/>
                <w:highlight w:val="none"/>
              </w:rPr>
              <w:t>2.1</w:t>
            </w:r>
          </w:p>
        </w:tc>
        <w:tc>
          <w:tcPr>
            <w:tcW w:w="836" w:type="dxa"/>
            <w:vMerge w:val="restart"/>
            <w:vAlign w:val="center"/>
          </w:tcPr>
          <w:p w14:paraId="1A29C047">
            <w:pPr>
              <w:spacing w:before="100" w:beforeAutospacing="1" w:after="100" w:afterAutospacing="1" w:line="360" w:lineRule="auto"/>
              <w:jc w:val="center"/>
              <w:rPr>
                <w:rFonts w:ascii="宋体"/>
                <w:b/>
                <w:bCs/>
                <w:color w:val="auto"/>
                <w:szCs w:val="21"/>
                <w:highlight w:val="none"/>
              </w:rPr>
            </w:pPr>
            <w:r>
              <w:rPr>
                <w:rFonts w:hint="eastAsia" w:ascii="宋体" w:hAnsi="宋体" w:cs="宋体"/>
                <w:b/>
                <w:bCs/>
                <w:color w:val="auto"/>
                <w:szCs w:val="21"/>
                <w:highlight w:val="none"/>
              </w:rPr>
              <w:t>实质性评审标准</w:t>
            </w:r>
          </w:p>
        </w:tc>
        <w:tc>
          <w:tcPr>
            <w:tcW w:w="1531" w:type="dxa"/>
            <w:vAlign w:val="center"/>
          </w:tcPr>
          <w:p w14:paraId="3B1B9A86">
            <w:pPr>
              <w:spacing w:before="100" w:beforeAutospacing="1" w:after="100" w:afterAutospacing="1" w:line="360" w:lineRule="auto"/>
              <w:jc w:val="center"/>
              <w:rPr>
                <w:rFonts w:ascii="宋体"/>
                <w:b/>
                <w:bCs/>
                <w:color w:val="auto"/>
                <w:szCs w:val="21"/>
                <w:highlight w:val="none"/>
              </w:rPr>
            </w:pPr>
            <w:r>
              <w:rPr>
                <w:rFonts w:hint="eastAsia" w:ascii="宋体" w:hAnsi="宋体" w:cs="宋体"/>
                <w:b/>
                <w:bCs/>
                <w:color w:val="auto"/>
                <w:szCs w:val="21"/>
                <w:highlight w:val="none"/>
              </w:rPr>
              <w:t>资格条件</w:t>
            </w:r>
          </w:p>
        </w:tc>
        <w:tc>
          <w:tcPr>
            <w:tcW w:w="6176" w:type="dxa"/>
            <w:gridSpan w:val="2"/>
            <w:vAlign w:val="center"/>
          </w:tcPr>
          <w:p w14:paraId="64EDA95E">
            <w:pPr>
              <w:spacing w:before="100" w:beforeAutospacing="1" w:after="100" w:afterAutospacing="1" w:line="360" w:lineRule="auto"/>
              <w:jc w:val="center"/>
              <w:rPr>
                <w:rFonts w:ascii="宋体"/>
                <w:color w:val="auto"/>
                <w:szCs w:val="21"/>
                <w:highlight w:val="none"/>
              </w:rPr>
            </w:pPr>
            <w:r>
              <w:rPr>
                <w:rFonts w:hint="eastAsia" w:ascii="宋体" w:hAnsi="宋体" w:cs="宋体"/>
                <w:color w:val="auto"/>
                <w:szCs w:val="21"/>
                <w:highlight w:val="none"/>
              </w:rPr>
              <w:t>符合第二章“供应商须知”第4项规定</w:t>
            </w:r>
          </w:p>
        </w:tc>
      </w:tr>
      <w:tr w14:paraId="3283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6711FBC1">
            <w:pPr>
              <w:spacing w:before="100" w:beforeAutospacing="1" w:after="100" w:afterAutospacing="1" w:line="360" w:lineRule="auto"/>
              <w:jc w:val="center"/>
              <w:rPr>
                <w:rFonts w:ascii="宋体"/>
                <w:b/>
                <w:bCs/>
                <w:color w:val="auto"/>
                <w:szCs w:val="21"/>
                <w:highlight w:val="none"/>
              </w:rPr>
            </w:pPr>
          </w:p>
        </w:tc>
        <w:tc>
          <w:tcPr>
            <w:tcW w:w="836" w:type="dxa"/>
            <w:vMerge w:val="continue"/>
            <w:vAlign w:val="center"/>
          </w:tcPr>
          <w:p w14:paraId="738355AA">
            <w:pPr>
              <w:spacing w:before="100" w:beforeAutospacing="1" w:after="100" w:afterAutospacing="1" w:line="360" w:lineRule="auto"/>
              <w:jc w:val="center"/>
              <w:rPr>
                <w:rFonts w:ascii="宋体"/>
                <w:b/>
                <w:bCs/>
                <w:color w:val="auto"/>
                <w:szCs w:val="21"/>
                <w:highlight w:val="none"/>
              </w:rPr>
            </w:pPr>
          </w:p>
        </w:tc>
        <w:tc>
          <w:tcPr>
            <w:tcW w:w="1531" w:type="dxa"/>
            <w:vAlign w:val="center"/>
          </w:tcPr>
          <w:p w14:paraId="722D9FBF">
            <w:pPr>
              <w:spacing w:line="360" w:lineRule="auto"/>
              <w:jc w:val="center"/>
              <w:rPr>
                <w:rFonts w:ascii="宋体"/>
                <w:b/>
                <w:bCs/>
                <w:color w:val="auto"/>
                <w:szCs w:val="21"/>
                <w:highlight w:val="none"/>
              </w:rPr>
            </w:pPr>
            <w:r>
              <w:rPr>
                <w:rFonts w:hint="eastAsia" w:ascii="宋体" w:hAnsi="宋体" w:cs="宋体"/>
                <w:b/>
                <w:bCs/>
                <w:color w:val="auto"/>
                <w:szCs w:val="21"/>
                <w:highlight w:val="none"/>
              </w:rPr>
              <w:t>磋商有效期</w:t>
            </w:r>
          </w:p>
        </w:tc>
        <w:tc>
          <w:tcPr>
            <w:tcW w:w="6176" w:type="dxa"/>
            <w:gridSpan w:val="2"/>
            <w:vAlign w:val="center"/>
          </w:tcPr>
          <w:p w14:paraId="31EA0F53">
            <w:pPr>
              <w:spacing w:line="360" w:lineRule="auto"/>
              <w:jc w:val="center"/>
              <w:rPr>
                <w:rFonts w:ascii="宋体"/>
                <w:color w:val="auto"/>
                <w:szCs w:val="21"/>
                <w:highlight w:val="none"/>
              </w:rPr>
            </w:pPr>
            <w:r>
              <w:rPr>
                <w:rFonts w:hint="eastAsia" w:ascii="宋体" w:hAnsi="宋体" w:cs="宋体"/>
                <w:color w:val="auto"/>
                <w:szCs w:val="21"/>
                <w:highlight w:val="none"/>
              </w:rPr>
              <w:t>符合第二章“供应商须知”第17.1项规定</w:t>
            </w:r>
          </w:p>
        </w:tc>
      </w:tr>
      <w:tr w14:paraId="3E78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0CD91F02">
            <w:pPr>
              <w:spacing w:before="100" w:beforeAutospacing="1" w:after="100" w:afterAutospacing="1" w:line="360" w:lineRule="auto"/>
              <w:jc w:val="center"/>
              <w:rPr>
                <w:rFonts w:ascii="宋体"/>
                <w:b/>
                <w:bCs/>
                <w:color w:val="auto"/>
                <w:szCs w:val="21"/>
                <w:highlight w:val="none"/>
              </w:rPr>
            </w:pPr>
          </w:p>
        </w:tc>
        <w:tc>
          <w:tcPr>
            <w:tcW w:w="836" w:type="dxa"/>
            <w:vMerge w:val="continue"/>
            <w:vAlign w:val="center"/>
          </w:tcPr>
          <w:p w14:paraId="65C5E7C5">
            <w:pPr>
              <w:spacing w:before="100" w:beforeAutospacing="1" w:after="100" w:afterAutospacing="1" w:line="360" w:lineRule="auto"/>
              <w:jc w:val="center"/>
              <w:rPr>
                <w:rFonts w:ascii="宋体"/>
                <w:b/>
                <w:bCs/>
                <w:color w:val="auto"/>
                <w:szCs w:val="21"/>
                <w:highlight w:val="none"/>
              </w:rPr>
            </w:pPr>
          </w:p>
        </w:tc>
        <w:tc>
          <w:tcPr>
            <w:tcW w:w="1531" w:type="dxa"/>
            <w:vAlign w:val="center"/>
          </w:tcPr>
          <w:p w14:paraId="622A4A15">
            <w:pPr>
              <w:spacing w:before="100" w:beforeAutospacing="1" w:after="100" w:afterAutospacing="1" w:line="360" w:lineRule="auto"/>
              <w:jc w:val="center"/>
              <w:rPr>
                <w:rFonts w:ascii="宋体"/>
                <w:b/>
                <w:bCs/>
                <w:color w:val="auto"/>
                <w:szCs w:val="21"/>
                <w:highlight w:val="none"/>
              </w:rPr>
            </w:pPr>
            <w:r>
              <w:rPr>
                <w:rFonts w:hint="eastAsia" w:ascii="宋体" w:hAnsi="宋体" w:cs="宋体"/>
                <w:b/>
                <w:bCs/>
                <w:color w:val="auto"/>
                <w:szCs w:val="21"/>
                <w:highlight w:val="none"/>
              </w:rPr>
              <w:t>磋商申请函</w:t>
            </w:r>
          </w:p>
        </w:tc>
        <w:tc>
          <w:tcPr>
            <w:tcW w:w="6176" w:type="dxa"/>
            <w:gridSpan w:val="2"/>
            <w:vAlign w:val="center"/>
          </w:tcPr>
          <w:p w14:paraId="2289221E">
            <w:pPr>
              <w:spacing w:line="360" w:lineRule="auto"/>
              <w:jc w:val="center"/>
              <w:rPr>
                <w:rFonts w:ascii="宋体"/>
                <w:color w:val="auto"/>
                <w:szCs w:val="21"/>
                <w:highlight w:val="none"/>
              </w:rPr>
            </w:pPr>
            <w:r>
              <w:rPr>
                <w:rFonts w:hint="eastAsia" w:ascii="宋体" w:hAnsi="宋体" w:cs="宋体"/>
                <w:color w:val="auto"/>
                <w:szCs w:val="21"/>
                <w:highlight w:val="none"/>
              </w:rPr>
              <w:t>符合第四章“响应文件格式”中规定的格式及内容。有法定代表人电子签名或盖章，并加盖供应商电子公章。</w:t>
            </w:r>
          </w:p>
        </w:tc>
      </w:tr>
      <w:tr w14:paraId="28F0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2DF251AE">
            <w:pPr>
              <w:spacing w:before="100" w:beforeAutospacing="1" w:after="100" w:afterAutospacing="1" w:line="360" w:lineRule="auto"/>
              <w:jc w:val="center"/>
              <w:rPr>
                <w:rFonts w:ascii="宋体"/>
                <w:b/>
                <w:bCs/>
                <w:color w:val="auto"/>
                <w:szCs w:val="21"/>
                <w:highlight w:val="none"/>
              </w:rPr>
            </w:pPr>
          </w:p>
        </w:tc>
        <w:tc>
          <w:tcPr>
            <w:tcW w:w="836" w:type="dxa"/>
            <w:vMerge w:val="continue"/>
            <w:vAlign w:val="center"/>
          </w:tcPr>
          <w:p w14:paraId="18E905EB">
            <w:pPr>
              <w:spacing w:before="100" w:beforeAutospacing="1" w:after="100" w:afterAutospacing="1" w:line="360" w:lineRule="auto"/>
              <w:jc w:val="center"/>
              <w:rPr>
                <w:rFonts w:ascii="宋体"/>
                <w:b/>
                <w:bCs/>
                <w:color w:val="auto"/>
                <w:szCs w:val="21"/>
                <w:highlight w:val="none"/>
              </w:rPr>
            </w:pPr>
          </w:p>
        </w:tc>
        <w:tc>
          <w:tcPr>
            <w:tcW w:w="1531" w:type="dxa"/>
            <w:vAlign w:val="center"/>
          </w:tcPr>
          <w:p w14:paraId="6DF0E0F2">
            <w:pPr>
              <w:spacing w:line="360" w:lineRule="auto"/>
              <w:jc w:val="center"/>
              <w:rPr>
                <w:rFonts w:ascii="宋体"/>
                <w:b/>
                <w:bCs/>
                <w:color w:val="auto"/>
                <w:szCs w:val="21"/>
                <w:highlight w:val="none"/>
              </w:rPr>
            </w:pPr>
            <w:r>
              <w:rPr>
                <w:rFonts w:hint="eastAsia" w:ascii="宋体" w:hAnsi="宋体" w:cs="宋体"/>
                <w:b/>
                <w:bCs/>
                <w:color w:val="auto"/>
                <w:szCs w:val="21"/>
                <w:highlight w:val="none"/>
              </w:rPr>
              <w:t>法定代表人身份证明书</w:t>
            </w:r>
          </w:p>
        </w:tc>
        <w:tc>
          <w:tcPr>
            <w:tcW w:w="6176" w:type="dxa"/>
            <w:gridSpan w:val="2"/>
            <w:vAlign w:val="center"/>
          </w:tcPr>
          <w:p w14:paraId="32CA1173">
            <w:pPr>
              <w:spacing w:line="360" w:lineRule="auto"/>
              <w:jc w:val="center"/>
              <w:rPr>
                <w:rFonts w:ascii="宋体"/>
                <w:color w:val="auto"/>
                <w:szCs w:val="21"/>
                <w:highlight w:val="none"/>
              </w:rPr>
            </w:pPr>
            <w:r>
              <w:rPr>
                <w:rFonts w:hint="eastAsia" w:ascii="宋体" w:hAnsi="宋体" w:cs="宋体"/>
                <w:color w:val="auto"/>
                <w:szCs w:val="21"/>
                <w:highlight w:val="none"/>
              </w:rPr>
              <w:t>符合竞争性磋商文件规定的格式及内容，并加盖供应商电子公章。</w:t>
            </w:r>
          </w:p>
        </w:tc>
      </w:tr>
      <w:tr w14:paraId="5F16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6CF13F5A">
            <w:pPr>
              <w:spacing w:before="100" w:beforeAutospacing="1" w:after="100" w:afterAutospacing="1" w:line="360" w:lineRule="auto"/>
              <w:rPr>
                <w:rFonts w:ascii="宋体"/>
                <w:b/>
                <w:bCs/>
                <w:color w:val="auto"/>
                <w:szCs w:val="21"/>
                <w:highlight w:val="none"/>
              </w:rPr>
            </w:pPr>
          </w:p>
        </w:tc>
        <w:tc>
          <w:tcPr>
            <w:tcW w:w="836" w:type="dxa"/>
            <w:vMerge w:val="continue"/>
            <w:vAlign w:val="center"/>
          </w:tcPr>
          <w:p w14:paraId="57DAA1C8">
            <w:pPr>
              <w:spacing w:before="100" w:beforeAutospacing="1" w:after="100" w:afterAutospacing="1" w:line="360" w:lineRule="auto"/>
              <w:rPr>
                <w:rFonts w:ascii="宋体"/>
                <w:b/>
                <w:bCs/>
                <w:color w:val="auto"/>
                <w:szCs w:val="21"/>
                <w:highlight w:val="none"/>
              </w:rPr>
            </w:pPr>
          </w:p>
        </w:tc>
        <w:tc>
          <w:tcPr>
            <w:tcW w:w="1531" w:type="dxa"/>
            <w:vAlign w:val="center"/>
          </w:tcPr>
          <w:p w14:paraId="6669CF09">
            <w:pPr>
              <w:spacing w:line="360" w:lineRule="auto"/>
              <w:jc w:val="center"/>
              <w:rPr>
                <w:rFonts w:ascii="宋体"/>
                <w:b/>
                <w:bCs/>
                <w:color w:val="auto"/>
                <w:szCs w:val="21"/>
                <w:highlight w:val="none"/>
              </w:rPr>
            </w:pPr>
            <w:r>
              <w:rPr>
                <w:rFonts w:hint="eastAsia" w:ascii="宋体" w:hAnsi="宋体" w:cs="宋体"/>
                <w:b/>
                <w:bCs/>
                <w:color w:val="auto"/>
                <w:szCs w:val="21"/>
                <w:highlight w:val="none"/>
              </w:rPr>
              <w:t>法定代表人授权委托书</w:t>
            </w:r>
          </w:p>
        </w:tc>
        <w:tc>
          <w:tcPr>
            <w:tcW w:w="6176" w:type="dxa"/>
            <w:gridSpan w:val="2"/>
            <w:vAlign w:val="center"/>
          </w:tcPr>
          <w:p w14:paraId="59283A4F">
            <w:pPr>
              <w:spacing w:line="360" w:lineRule="auto"/>
              <w:jc w:val="center"/>
              <w:rPr>
                <w:rFonts w:ascii="宋体"/>
                <w:color w:val="auto"/>
                <w:szCs w:val="21"/>
                <w:highlight w:val="none"/>
              </w:rPr>
            </w:pPr>
            <w:r>
              <w:rPr>
                <w:rFonts w:hint="eastAsia" w:ascii="宋体" w:hAnsi="宋体" w:cs="宋体"/>
                <w:color w:val="auto"/>
                <w:szCs w:val="21"/>
                <w:highlight w:val="none"/>
              </w:rPr>
              <w:t>符合竞争性磋商文件规定的格式及内容；有法定代表人电子签名或盖章，并加盖供应商电子公章。</w:t>
            </w:r>
          </w:p>
        </w:tc>
      </w:tr>
      <w:tr w14:paraId="509C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21806288">
            <w:pPr>
              <w:spacing w:before="100" w:beforeAutospacing="1" w:after="100" w:afterAutospacing="1" w:line="360" w:lineRule="auto"/>
              <w:rPr>
                <w:rFonts w:ascii="宋体"/>
                <w:b/>
                <w:bCs/>
                <w:color w:val="auto"/>
                <w:szCs w:val="21"/>
                <w:highlight w:val="none"/>
              </w:rPr>
            </w:pPr>
          </w:p>
        </w:tc>
        <w:tc>
          <w:tcPr>
            <w:tcW w:w="836" w:type="dxa"/>
            <w:vMerge w:val="continue"/>
            <w:vAlign w:val="center"/>
          </w:tcPr>
          <w:p w14:paraId="3C8B2F9D">
            <w:pPr>
              <w:spacing w:before="100" w:beforeAutospacing="1" w:after="100" w:afterAutospacing="1" w:line="360" w:lineRule="auto"/>
              <w:rPr>
                <w:rFonts w:ascii="宋体"/>
                <w:b/>
                <w:bCs/>
                <w:color w:val="auto"/>
                <w:szCs w:val="21"/>
                <w:highlight w:val="none"/>
              </w:rPr>
            </w:pPr>
          </w:p>
        </w:tc>
        <w:tc>
          <w:tcPr>
            <w:tcW w:w="1531" w:type="dxa"/>
            <w:vAlign w:val="center"/>
          </w:tcPr>
          <w:p w14:paraId="2DF3E8F3">
            <w:pPr>
              <w:spacing w:before="100" w:beforeAutospacing="1" w:after="100" w:afterAutospacing="1" w:line="360" w:lineRule="auto"/>
              <w:jc w:val="center"/>
              <w:rPr>
                <w:rFonts w:ascii="宋体"/>
                <w:b/>
                <w:bCs/>
                <w:color w:val="auto"/>
                <w:szCs w:val="21"/>
                <w:highlight w:val="none"/>
              </w:rPr>
            </w:pPr>
            <w:r>
              <w:rPr>
                <w:rFonts w:hint="eastAsia" w:ascii="宋体" w:hAnsi="宋体" w:cs="宋体"/>
                <w:b/>
                <w:bCs/>
                <w:color w:val="auto"/>
                <w:szCs w:val="21"/>
                <w:highlight w:val="none"/>
              </w:rPr>
              <w:t>报价</w:t>
            </w:r>
          </w:p>
        </w:tc>
        <w:tc>
          <w:tcPr>
            <w:tcW w:w="6176" w:type="dxa"/>
            <w:gridSpan w:val="2"/>
            <w:vAlign w:val="center"/>
          </w:tcPr>
          <w:p w14:paraId="7A70CB9E">
            <w:pPr>
              <w:spacing w:before="100" w:beforeAutospacing="1" w:after="100" w:afterAutospacing="1" w:line="360" w:lineRule="auto"/>
              <w:jc w:val="center"/>
              <w:rPr>
                <w:rFonts w:ascii="宋体"/>
                <w:color w:val="auto"/>
                <w:szCs w:val="21"/>
                <w:highlight w:val="none"/>
              </w:rPr>
            </w:pPr>
            <w:r>
              <w:rPr>
                <w:rFonts w:hint="eastAsia" w:ascii="宋体" w:hAnsi="宋体" w:cs="宋体"/>
                <w:color w:val="auto"/>
                <w:szCs w:val="21"/>
                <w:highlight w:val="none"/>
              </w:rPr>
              <w:t>最后报价未超过预算金额或最高限价</w:t>
            </w:r>
          </w:p>
        </w:tc>
      </w:tr>
      <w:tr w14:paraId="449C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78AAC40F">
            <w:pPr>
              <w:spacing w:before="100" w:beforeAutospacing="1" w:after="100" w:afterAutospacing="1" w:line="360" w:lineRule="auto"/>
              <w:rPr>
                <w:rFonts w:ascii="宋体"/>
                <w:b/>
                <w:bCs/>
                <w:color w:val="auto"/>
                <w:szCs w:val="21"/>
                <w:highlight w:val="none"/>
              </w:rPr>
            </w:pPr>
          </w:p>
        </w:tc>
        <w:tc>
          <w:tcPr>
            <w:tcW w:w="836" w:type="dxa"/>
            <w:vMerge w:val="continue"/>
            <w:vAlign w:val="center"/>
          </w:tcPr>
          <w:p w14:paraId="63B08E37">
            <w:pPr>
              <w:spacing w:before="100" w:beforeAutospacing="1" w:after="100" w:afterAutospacing="1" w:line="360" w:lineRule="auto"/>
              <w:rPr>
                <w:rFonts w:ascii="宋体"/>
                <w:b/>
                <w:bCs/>
                <w:color w:val="auto"/>
                <w:szCs w:val="21"/>
                <w:highlight w:val="none"/>
              </w:rPr>
            </w:pPr>
          </w:p>
        </w:tc>
        <w:tc>
          <w:tcPr>
            <w:tcW w:w="1531" w:type="dxa"/>
            <w:vAlign w:val="center"/>
          </w:tcPr>
          <w:p w14:paraId="5C6104F9">
            <w:pPr>
              <w:spacing w:before="100" w:beforeAutospacing="1" w:after="100" w:afterAutospacing="1" w:line="360" w:lineRule="auto"/>
              <w:jc w:val="center"/>
              <w:rPr>
                <w:rFonts w:ascii="宋体"/>
                <w:b/>
                <w:bCs/>
                <w:color w:val="auto"/>
                <w:szCs w:val="21"/>
                <w:highlight w:val="none"/>
              </w:rPr>
            </w:pPr>
            <w:r>
              <w:rPr>
                <w:rFonts w:hint="eastAsia" w:ascii="宋体" w:hAnsi="宋体" w:cs="宋体"/>
                <w:b/>
                <w:bCs/>
                <w:color w:val="auto"/>
                <w:szCs w:val="21"/>
                <w:highlight w:val="none"/>
              </w:rPr>
              <w:t>其它实质性条件</w:t>
            </w:r>
          </w:p>
        </w:tc>
        <w:tc>
          <w:tcPr>
            <w:tcW w:w="6176" w:type="dxa"/>
            <w:gridSpan w:val="2"/>
            <w:vAlign w:val="center"/>
          </w:tcPr>
          <w:p w14:paraId="763F77D7">
            <w:pPr>
              <w:spacing w:line="360" w:lineRule="auto"/>
              <w:jc w:val="center"/>
              <w:rPr>
                <w:rFonts w:ascii="宋体"/>
                <w:color w:val="auto"/>
                <w:szCs w:val="21"/>
                <w:highlight w:val="none"/>
              </w:rPr>
            </w:pPr>
            <w:r>
              <w:rPr>
                <w:rFonts w:hint="eastAsia" w:ascii="宋体" w:hAnsi="宋体" w:cs="宋体"/>
                <w:color w:val="auto"/>
                <w:szCs w:val="21"/>
                <w:highlight w:val="none"/>
              </w:rPr>
              <w:t>响应文件实质性响应磋商文件中标注★条款内容且未出现竞争性磋商文件规定的其他无效情形</w:t>
            </w:r>
          </w:p>
        </w:tc>
      </w:tr>
      <w:tr w14:paraId="1ABC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restart"/>
            <w:vAlign w:val="center"/>
          </w:tcPr>
          <w:p w14:paraId="2EAEAFC5">
            <w:pPr>
              <w:spacing w:line="360" w:lineRule="auto"/>
              <w:rPr>
                <w:rFonts w:ascii="宋体"/>
                <w:b/>
                <w:bCs/>
                <w:color w:val="auto"/>
                <w:szCs w:val="21"/>
                <w:highlight w:val="none"/>
              </w:rPr>
            </w:pPr>
            <w:r>
              <w:rPr>
                <w:rFonts w:ascii="宋体" w:hAnsi="宋体"/>
                <w:b/>
                <w:bCs/>
                <w:color w:val="auto"/>
                <w:szCs w:val="21"/>
                <w:highlight w:val="none"/>
              </w:rPr>
              <w:t>2.2</w:t>
            </w:r>
          </w:p>
        </w:tc>
        <w:tc>
          <w:tcPr>
            <w:tcW w:w="836" w:type="dxa"/>
            <w:vMerge w:val="restart"/>
            <w:vAlign w:val="center"/>
          </w:tcPr>
          <w:p w14:paraId="14DDF402">
            <w:pPr>
              <w:spacing w:before="100" w:beforeAutospacing="1" w:after="100" w:afterAutospacing="1" w:line="360" w:lineRule="auto"/>
              <w:jc w:val="center"/>
              <w:rPr>
                <w:rFonts w:ascii="宋体"/>
                <w:b/>
                <w:bCs/>
                <w:color w:val="auto"/>
                <w:szCs w:val="21"/>
                <w:highlight w:val="none"/>
              </w:rPr>
            </w:pPr>
            <w:r>
              <w:rPr>
                <w:rFonts w:hint="eastAsia" w:ascii="宋体" w:hAnsi="宋体"/>
                <w:b/>
                <w:bCs/>
                <w:color w:val="auto"/>
                <w:szCs w:val="21"/>
                <w:highlight w:val="none"/>
              </w:rPr>
              <w:t>分值构成与评分标准</w:t>
            </w:r>
          </w:p>
        </w:tc>
        <w:tc>
          <w:tcPr>
            <w:tcW w:w="1531" w:type="dxa"/>
            <w:vAlign w:val="center"/>
          </w:tcPr>
          <w:p w14:paraId="4AFB1C3A">
            <w:pPr>
              <w:spacing w:line="360" w:lineRule="auto"/>
              <w:jc w:val="center"/>
              <w:rPr>
                <w:rFonts w:ascii="宋体"/>
                <w:b/>
                <w:bCs/>
                <w:color w:val="auto"/>
                <w:szCs w:val="21"/>
                <w:highlight w:val="none"/>
              </w:rPr>
            </w:pPr>
            <w:r>
              <w:rPr>
                <w:rFonts w:hint="eastAsia" w:ascii="宋体" w:hAnsi="宋体" w:cs="宋体"/>
                <w:b/>
                <w:bCs/>
                <w:color w:val="auto"/>
                <w:szCs w:val="21"/>
                <w:highlight w:val="none"/>
              </w:rPr>
              <w:t>（1）评审总得分计算公式</w:t>
            </w:r>
          </w:p>
        </w:tc>
        <w:tc>
          <w:tcPr>
            <w:tcW w:w="6176" w:type="dxa"/>
            <w:gridSpan w:val="2"/>
            <w:vAlign w:val="center"/>
          </w:tcPr>
          <w:p w14:paraId="17B33652">
            <w:pPr>
              <w:spacing w:line="360" w:lineRule="auto"/>
              <w:rPr>
                <w:rFonts w:ascii="宋体" w:hAnsi="宋体" w:cs="宋体"/>
                <w:color w:val="auto"/>
                <w:szCs w:val="21"/>
                <w:highlight w:val="none"/>
              </w:rPr>
            </w:pPr>
            <w:r>
              <w:rPr>
                <w:rFonts w:hint="eastAsia" w:ascii="宋体" w:hAnsi="宋体" w:cs="宋体"/>
                <w:color w:val="auto"/>
                <w:szCs w:val="21"/>
                <w:highlight w:val="none"/>
              </w:rPr>
              <w:t>供应商的评审总得分＝F1＋F2</w:t>
            </w:r>
          </w:p>
          <w:p w14:paraId="7A543BA7">
            <w:pPr>
              <w:spacing w:line="360" w:lineRule="auto"/>
              <w:rPr>
                <w:rFonts w:ascii="宋体"/>
                <w:color w:val="auto"/>
                <w:szCs w:val="21"/>
                <w:highlight w:val="none"/>
              </w:rPr>
            </w:pPr>
            <w:r>
              <w:rPr>
                <w:rFonts w:hint="eastAsia" w:ascii="宋体" w:hAnsi="宋体" w:cs="宋体"/>
                <w:color w:val="auto"/>
                <w:szCs w:val="21"/>
                <w:highlight w:val="none"/>
              </w:rPr>
              <w:t>其中：F1、F2分别为报价评分、技术商务部分评分2项评分因素的汇总得分；</w:t>
            </w:r>
          </w:p>
        </w:tc>
      </w:tr>
      <w:tr w14:paraId="6CDF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73AFEE35">
            <w:pPr>
              <w:spacing w:line="360" w:lineRule="auto"/>
              <w:rPr>
                <w:rFonts w:ascii="宋体"/>
                <w:color w:val="auto"/>
                <w:szCs w:val="21"/>
                <w:highlight w:val="none"/>
              </w:rPr>
            </w:pPr>
          </w:p>
        </w:tc>
        <w:tc>
          <w:tcPr>
            <w:tcW w:w="836" w:type="dxa"/>
            <w:vMerge w:val="continue"/>
            <w:vAlign w:val="center"/>
          </w:tcPr>
          <w:p w14:paraId="13C2660E">
            <w:pPr>
              <w:spacing w:line="360" w:lineRule="auto"/>
              <w:rPr>
                <w:rFonts w:ascii="宋体"/>
                <w:color w:val="auto"/>
                <w:szCs w:val="21"/>
                <w:highlight w:val="none"/>
              </w:rPr>
            </w:pPr>
          </w:p>
        </w:tc>
        <w:tc>
          <w:tcPr>
            <w:tcW w:w="1531" w:type="dxa"/>
            <w:vAlign w:val="center"/>
          </w:tcPr>
          <w:p w14:paraId="5DB6B015">
            <w:pPr>
              <w:spacing w:line="360" w:lineRule="auto"/>
              <w:jc w:val="center"/>
              <w:rPr>
                <w:rFonts w:ascii="宋体"/>
                <w:color w:val="auto"/>
                <w:szCs w:val="21"/>
                <w:highlight w:val="none"/>
              </w:rPr>
            </w:pPr>
            <w:r>
              <w:rPr>
                <w:rFonts w:hint="eastAsia" w:ascii="宋体" w:hAnsi="宋体" w:cs="宋体"/>
                <w:b/>
                <w:bCs/>
                <w:color w:val="auto"/>
                <w:szCs w:val="21"/>
                <w:highlight w:val="none"/>
              </w:rPr>
              <w:t>（2）评分因素权重</w:t>
            </w:r>
          </w:p>
        </w:tc>
        <w:tc>
          <w:tcPr>
            <w:tcW w:w="6176" w:type="dxa"/>
            <w:gridSpan w:val="2"/>
            <w:vAlign w:val="center"/>
          </w:tcPr>
          <w:p w14:paraId="432F6DD8">
            <w:pPr>
              <w:spacing w:line="360" w:lineRule="auto"/>
              <w:rPr>
                <w:rFonts w:ascii="宋体" w:hAnsi="宋体" w:cs="宋体"/>
                <w:color w:val="auto"/>
                <w:szCs w:val="21"/>
                <w:highlight w:val="none"/>
              </w:rPr>
            </w:pPr>
            <w:r>
              <w:rPr>
                <w:rFonts w:hint="eastAsia" w:ascii="宋体" w:hAnsi="宋体" w:cs="宋体"/>
                <w:color w:val="auto"/>
                <w:szCs w:val="21"/>
                <w:highlight w:val="none"/>
              </w:rPr>
              <w:t>报价评分F1：</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p w14:paraId="2C143C49">
            <w:pPr>
              <w:spacing w:line="360" w:lineRule="auto"/>
              <w:rPr>
                <w:rFonts w:ascii="宋体"/>
                <w:color w:val="auto"/>
                <w:szCs w:val="21"/>
                <w:highlight w:val="none"/>
              </w:rPr>
            </w:pPr>
            <w:r>
              <w:rPr>
                <w:rFonts w:hint="eastAsia" w:ascii="宋体" w:hAnsi="宋体" w:cs="宋体"/>
                <w:color w:val="auto"/>
                <w:szCs w:val="21"/>
                <w:highlight w:val="none"/>
              </w:rPr>
              <w:t>技术商务部分F2：</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分。</w:t>
            </w:r>
          </w:p>
        </w:tc>
      </w:tr>
      <w:tr w14:paraId="17AF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5778C0E4">
            <w:pPr>
              <w:spacing w:line="360" w:lineRule="auto"/>
              <w:rPr>
                <w:rFonts w:ascii="宋体"/>
                <w:color w:val="auto"/>
                <w:szCs w:val="21"/>
                <w:highlight w:val="none"/>
              </w:rPr>
            </w:pPr>
          </w:p>
        </w:tc>
        <w:tc>
          <w:tcPr>
            <w:tcW w:w="836" w:type="dxa"/>
            <w:vMerge w:val="continue"/>
            <w:vAlign w:val="center"/>
          </w:tcPr>
          <w:p w14:paraId="2C2661EC">
            <w:pPr>
              <w:spacing w:line="360" w:lineRule="auto"/>
              <w:rPr>
                <w:rFonts w:ascii="宋体"/>
                <w:color w:val="auto"/>
                <w:szCs w:val="21"/>
                <w:highlight w:val="none"/>
              </w:rPr>
            </w:pPr>
          </w:p>
        </w:tc>
        <w:tc>
          <w:tcPr>
            <w:tcW w:w="1531" w:type="dxa"/>
            <w:vAlign w:val="center"/>
          </w:tcPr>
          <w:p w14:paraId="6DE3BC77">
            <w:pPr>
              <w:spacing w:line="360" w:lineRule="auto"/>
              <w:jc w:val="center"/>
              <w:rPr>
                <w:rFonts w:ascii="宋体" w:hAnsi="宋体"/>
                <w:color w:val="auto"/>
                <w:szCs w:val="21"/>
                <w:highlight w:val="none"/>
              </w:rPr>
            </w:pPr>
            <w:r>
              <w:rPr>
                <w:rFonts w:hint="eastAsia" w:ascii="宋体" w:hAnsi="宋体" w:cs="宋体"/>
                <w:b/>
                <w:bCs/>
                <w:color w:val="auto"/>
                <w:szCs w:val="21"/>
                <w:highlight w:val="none"/>
              </w:rPr>
              <w:t>（3）报价评分F1（满分</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0分）</w:t>
            </w:r>
          </w:p>
        </w:tc>
        <w:tc>
          <w:tcPr>
            <w:tcW w:w="6176" w:type="dxa"/>
            <w:gridSpan w:val="2"/>
            <w:vAlign w:val="center"/>
          </w:tcPr>
          <w:p w14:paraId="031F5B99">
            <w:pPr>
              <w:spacing w:line="360" w:lineRule="auto"/>
              <w:rPr>
                <w:rFonts w:ascii="宋体" w:hAnsi="宋体"/>
                <w:color w:val="auto"/>
                <w:szCs w:val="21"/>
                <w:highlight w:val="none"/>
              </w:rPr>
            </w:pPr>
            <w:r>
              <w:rPr>
                <w:rFonts w:hint="eastAsia" w:ascii="宋体" w:hAnsi="宋体"/>
                <w:color w:val="auto"/>
                <w:szCs w:val="21"/>
                <w:highlight w:val="none"/>
              </w:rPr>
              <w:t>报价评分采用低价优先法计算，即满足竞争性磋商文件要求且最后报价最低的供应商的价格为磋商基准价，其报价分为满分。其他供应商的报价分统一按照下列公式计算：</w:t>
            </w:r>
          </w:p>
          <w:p w14:paraId="74812005">
            <w:pPr>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磋商报价得分=（磋商基准价/最后报价）×</w:t>
            </w:r>
            <w:r>
              <w:rPr>
                <w:rFonts w:hint="eastAsia" w:ascii="宋体" w:hAnsi="宋体"/>
                <w:color w:val="auto"/>
                <w:szCs w:val="21"/>
                <w:highlight w:val="none"/>
                <w:lang w:val="en-US" w:eastAsia="zh-CN"/>
              </w:rPr>
              <w:t>20</w:t>
            </w:r>
          </w:p>
          <w:p w14:paraId="36B49324">
            <w:pPr>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即：F1=C/（B1，B2，…，Bn）×</w:t>
            </w:r>
            <w:r>
              <w:rPr>
                <w:rFonts w:hint="eastAsia" w:ascii="宋体" w:hAnsi="宋体"/>
                <w:color w:val="auto"/>
                <w:szCs w:val="21"/>
                <w:highlight w:val="none"/>
                <w:lang w:val="en-US" w:eastAsia="zh-CN"/>
              </w:rPr>
              <w:t>20</w:t>
            </w:r>
          </w:p>
          <w:p w14:paraId="3EB30715">
            <w:pPr>
              <w:spacing w:line="360" w:lineRule="auto"/>
              <w:rPr>
                <w:rFonts w:ascii="宋体" w:hAnsi="宋体"/>
                <w:color w:val="auto"/>
                <w:szCs w:val="21"/>
                <w:highlight w:val="none"/>
              </w:rPr>
            </w:pPr>
            <w:r>
              <w:rPr>
                <w:rFonts w:hint="eastAsia" w:ascii="宋体" w:hAnsi="宋体"/>
                <w:color w:val="auto"/>
                <w:szCs w:val="21"/>
                <w:highlight w:val="none"/>
              </w:rPr>
              <w:t>注：</w:t>
            </w:r>
          </w:p>
          <w:p w14:paraId="3C3C6E40">
            <w:pPr>
              <w:spacing w:line="360" w:lineRule="auto"/>
              <w:rPr>
                <w:rFonts w:ascii="宋体" w:hAnsi="宋体"/>
                <w:color w:val="auto"/>
                <w:szCs w:val="21"/>
                <w:highlight w:val="none"/>
              </w:rPr>
            </w:pPr>
            <w:r>
              <w:rPr>
                <w:rFonts w:hint="eastAsia" w:ascii="宋体" w:hAnsi="宋体"/>
                <w:color w:val="auto"/>
                <w:szCs w:val="21"/>
                <w:highlight w:val="none"/>
              </w:rPr>
              <w:t>1.C为磋商基准价，即满足竞争性磋商文件要求且最后报价最低的供应商的价格为磋商基准价；</w:t>
            </w:r>
          </w:p>
          <w:p w14:paraId="46191CE7">
            <w:pPr>
              <w:spacing w:line="360" w:lineRule="auto"/>
              <w:rPr>
                <w:color w:val="auto"/>
                <w:highlight w:val="none"/>
              </w:rPr>
            </w:pPr>
            <w:r>
              <w:rPr>
                <w:rFonts w:hint="eastAsia" w:ascii="宋体" w:hAnsi="宋体"/>
                <w:color w:val="auto"/>
                <w:szCs w:val="21"/>
                <w:highlight w:val="none"/>
              </w:rPr>
              <w:t>2.B1，B2，…，Bn为第n个经实质性审查合格的最后报价。</w:t>
            </w:r>
          </w:p>
        </w:tc>
      </w:tr>
      <w:tr w14:paraId="1063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atLeast"/>
          <w:jc w:val="center"/>
        </w:trPr>
        <w:tc>
          <w:tcPr>
            <w:tcW w:w="810" w:type="dxa"/>
            <w:vMerge w:val="continue"/>
            <w:vAlign w:val="center"/>
          </w:tcPr>
          <w:p w14:paraId="4DB43DC7">
            <w:pPr>
              <w:spacing w:line="360" w:lineRule="auto"/>
              <w:rPr>
                <w:rFonts w:ascii="宋体"/>
                <w:color w:val="auto"/>
                <w:szCs w:val="21"/>
                <w:highlight w:val="none"/>
              </w:rPr>
            </w:pPr>
          </w:p>
        </w:tc>
        <w:tc>
          <w:tcPr>
            <w:tcW w:w="836" w:type="dxa"/>
            <w:vMerge w:val="continue"/>
            <w:vAlign w:val="center"/>
          </w:tcPr>
          <w:p w14:paraId="0EF41079">
            <w:pPr>
              <w:spacing w:line="360" w:lineRule="auto"/>
              <w:rPr>
                <w:rFonts w:ascii="宋体"/>
                <w:color w:val="auto"/>
                <w:szCs w:val="21"/>
                <w:highlight w:val="none"/>
              </w:rPr>
            </w:pPr>
          </w:p>
        </w:tc>
        <w:tc>
          <w:tcPr>
            <w:tcW w:w="1531" w:type="dxa"/>
            <w:vMerge w:val="restart"/>
            <w:vAlign w:val="center"/>
          </w:tcPr>
          <w:p w14:paraId="3C93B75E">
            <w:pPr>
              <w:spacing w:line="360" w:lineRule="auto"/>
              <w:rPr>
                <w:rFonts w:ascii="宋体" w:hAnsi="宋体"/>
                <w:b/>
                <w:bCs/>
                <w:color w:val="auto"/>
                <w:szCs w:val="21"/>
                <w:highlight w:val="none"/>
              </w:rPr>
            </w:pPr>
            <w:r>
              <w:rPr>
                <w:rFonts w:hint="eastAsia" w:ascii="宋体" w:hAnsi="宋体"/>
                <w:b/>
                <w:bCs/>
                <w:color w:val="auto"/>
                <w:szCs w:val="21"/>
                <w:highlight w:val="none"/>
              </w:rPr>
              <w:t>（4）技术商务部分评分F2评审评分（满分</w:t>
            </w:r>
            <w:r>
              <w:rPr>
                <w:rFonts w:hint="eastAsia" w:ascii="宋体" w:hAnsi="宋体"/>
                <w:b/>
                <w:bCs/>
                <w:color w:val="auto"/>
                <w:szCs w:val="21"/>
                <w:highlight w:val="none"/>
                <w:lang w:val="en-US" w:eastAsia="zh-CN"/>
              </w:rPr>
              <w:t>80</w:t>
            </w:r>
            <w:r>
              <w:rPr>
                <w:rFonts w:hint="eastAsia" w:ascii="宋体" w:hAnsi="宋体"/>
                <w:b/>
                <w:bCs/>
                <w:color w:val="auto"/>
                <w:szCs w:val="21"/>
                <w:highlight w:val="none"/>
              </w:rPr>
              <w:t>分）</w:t>
            </w:r>
          </w:p>
        </w:tc>
        <w:tc>
          <w:tcPr>
            <w:tcW w:w="1122" w:type="dxa"/>
            <w:shd w:val="clear" w:color="auto" w:fill="auto"/>
            <w:vAlign w:val="center"/>
          </w:tcPr>
          <w:p w14:paraId="33DDA741">
            <w:pPr>
              <w:tabs>
                <w:tab w:val="left" w:pos="540"/>
              </w:tabs>
              <w:adjustRightInd w:val="0"/>
              <w:spacing w:line="400" w:lineRule="exact"/>
              <w:rPr>
                <w:rFonts w:ascii="宋体" w:cs="宋体"/>
                <w:b/>
                <w:bCs/>
                <w:snapToGrid w:val="0"/>
                <w:color w:val="auto"/>
                <w:kern w:val="21"/>
                <w:szCs w:val="21"/>
                <w:highlight w:val="none"/>
              </w:rPr>
            </w:pPr>
            <w:r>
              <w:rPr>
                <w:rFonts w:hint="eastAsia" w:ascii="宋体" w:cs="宋体"/>
                <w:b/>
                <w:bCs/>
                <w:snapToGrid w:val="0"/>
                <w:color w:val="auto"/>
                <w:kern w:val="21"/>
                <w:szCs w:val="21"/>
                <w:highlight w:val="none"/>
              </w:rPr>
              <w:t>1）需求分析评审评分（满分</w:t>
            </w:r>
            <w:r>
              <w:rPr>
                <w:rFonts w:hint="eastAsia" w:ascii="宋体" w:cs="宋体"/>
                <w:b/>
                <w:bCs/>
                <w:snapToGrid w:val="0"/>
                <w:color w:val="auto"/>
                <w:kern w:val="21"/>
                <w:szCs w:val="21"/>
                <w:highlight w:val="none"/>
                <w:lang w:val="en-US" w:eastAsia="zh-CN"/>
              </w:rPr>
              <w:t>12</w:t>
            </w:r>
            <w:r>
              <w:rPr>
                <w:rFonts w:hint="eastAsia" w:ascii="宋体" w:cs="宋体"/>
                <w:b/>
                <w:bCs/>
                <w:snapToGrid w:val="0"/>
                <w:color w:val="auto"/>
                <w:kern w:val="21"/>
                <w:szCs w:val="21"/>
                <w:highlight w:val="none"/>
              </w:rPr>
              <w:t>分）</w:t>
            </w:r>
          </w:p>
        </w:tc>
        <w:tc>
          <w:tcPr>
            <w:tcW w:w="5054" w:type="dxa"/>
            <w:shd w:val="clear" w:color="auto" w:fill="auto"/>
          </w:tcPr>
          <w:p w14:paraId="5EFBC052">
            <w:pPr>
              <w:wordWrap w:val="0"/>
              <w:topLinePunct/>
              <w:snapToGrid w:val="0"/>
              <w:spacing w:line="360" w:lineRule="auto"/>
              <w:rPr>
                <w:rFonts w:ascii="宋体" w:hAnsi="宋体" w:cs="宋体"/>
                <w:b/>
                <w:bCs/>
                <w:snapToGrid w:val="0"/>
                <w:color w:val="auto"/>
                <w:kern w:val="21"/>
                <w:szCs w:val="21"/>
                <w:highlight w:val="none"/>
              </w:rPr>
            </w:pPr>
            <w:r>
              <w:rPr>
                <w:rFonts w:hint="eastAsia" w:ascii="宋体" w:hAnsi="宋体"/>
                <w:b/>
                <w:bCs/>
                <w:color w:val="auto"/>
                <w:szCs w:val="21"/>
                <w:highlight w:val="none"/>
              </w:rPr>
              <w:t>包括但不限于：</w:t>
            </w:r>
            <w:r>
              <w:rPr>
                <w:rFonts w:hint="eastAsia" w:ascii="宋体" w:hAnsi="宋体" w:cs="宋体"/>
                <w:b/>
                <w:bCs/>
                <w:snapToGrid w:val="0"/>
                <w:color w:val="auto"/>
                <w:kern w:val="21"/>
                <w:szCs w:val="21"/>
                <w:highlight w:val="none"/>
              </w:rPr>
              <w:t>①项目拟达成的目标及需求理解；②对项目实施过程中的重点难点理解及解析及分析；③对项目实施过程中可能存在的问题及解决方案</w:t>
            </w:r>
            <w:r>
              <w:rPr>
                <w:rFonts w:hint="eastAsia" w:ascii="宋体" w:hAnsi="宋体"/>
                <w:b/>
                <w:bCs/>
                <w:color w:val="auto"/>
                <w:szCs w:val="21"/>
                <w:highlight w:val="none"/>
              </w:rPr>
              <w:t>等</w:t>
            </w:r>
            <w:r>
              <w:rPr>
                <w:rFonts w:hint="eastAsia" w:ascii="宋体" w:hAnsi="宋体" w:cs="宋体"/>
                <w:b/>
                <w:bCs/>
                <w:color w:val="auto"/>
                <w:szCs w:val="21"/>
                <w:highlight w:val="none"/>
              </w:rPr>
              <w:t>内容</w:t>
            </w:r>
            <w:r>
              <w:rPr>
                <w:rFonts w:hint="eastAsia" w:ascii="宋体" w:hAnsi="宋体" w:cs="宋体"/>
                <w:b/>
                <w:bCs/>
                <w:snapToGrid w:val="0"/>
                <w:color w:val="auto"/>
                <w:kern w:val="21"/>
                <w:szCs w:val="21"/>
                <w:highlight w:val="none"/>
              </w:rPr>
              <w:t>。</w:t>
            </w:r>
          </w:p>
          <w:p w14:paraId="1EC119B8">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(1)每有一项内容进行了详细阐述且贴合项目需求，能有效保证项目实施的，得</w:t>
            </w:r>
            <w:r>
              <w:rPr>
                <w:rFonts w:hint="eastAsia" w:ascii="宋体" w:cs="宋体"/>
                <w:bCs/>
                <w:color w:val="auto"/>
                <w:szCs w:val="21"/>
                <w:highlight w:val="none"/>
                <w:lang w:val="en-US" w:eastAsia="zh-CN"/>
              </w:rPr>
              <w:t>4</w:t>
            </w:r>
            <w:r>
              <w:rPr>
                <w:rFonts w:hint="eastAsia" w:ascii="宋体" w:cs="宋体"/>
                <w:bCs/>
                <w:color w:val="auto"/>
                <w:szCs w:val="21"/>
                <w:highlight w:val="none"/>
              </w:rPr>
              <w:t>分。</w:t>
            </w:r>
          </w:p>
          <w:p w14:paraId="185FED5B">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(2)每有一项内容虽然进行了阐述但并未完全贴合项目需求，能保证项目实施的，得</w:t>
            </w:r>
            <w:r>
              <w:rPr>
                <w:rFonts w:hint="eastAsia" w:ascii="宋体" w:cs="宋体"/>
                <w:bCs/>
                <w:color w:val="auto"/>
                <w:szCs w:val="21"/>
                <w:highlight w:val="none"/>
                <w:lang w:val="en-US" w:eastAsia="zh-CN"/>
              </w:rPr>
              <w:t>2</w:t>
            </w:r>
            <w:r>
              <w:rPr>
                <w:rFonts w:hint="eastAsia" w:ascii="宋体" w:cs="宋体"/>
                <w:bCs/>
                <w:color w:val="auto"/>
                <w:szCs w:val="21"/>
                <w:highlight w:val="none"/>
              </w:rPr>
              <w:t>分。</w:t>
            </w:r>
          </w:p>
          <w:p w14:paraId="480C4755">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(3)每有一项内容虽进行阐述但内容简略的，难以保障项目有效实施的，得1分。</w:t>
            </w:r>
          </w:p>
          <w:p w14:paraId="6A3D5FBD">
            <w:pPr>
              <w:wordWrap w:val="0"/>
              <w:topLinePunct/>
              <w:snapToGrid w:val="0"/>
              <w:spacing w:line="360" w:lineRule="auto"/>
              <w:rPr>
                <w:rFonts w:ascii="宋体" w:hAnsi="宋体" w:cs="宋体"/>
                <w:snapToGrid w:val="0"/>
                <w:color w:val="auto"/>
                <w:kern w:val="21"/>
                <w:szCs w:val="21"/>
                <w:highlight w:val="none"/>
              </w:rPr>
            </w:pPr>
            <w:r>
              <w:rPr>
                <w:rFonts w:hint="eastAsia" w:ascii="宋体" w:cs="宋体"/>
                <w:bCs/>
                <w:color w:val="auto"/>
                <w:szCs w:val="21"/>
                <w:highlight w:val="none"/>
              </w:rPr>
              <w:t>(4)每有一项内容未进行阐述的，该项不得分。</w:t>
            </w:r>
          </w:p>
          <w:p w14:paraId="61E258A0">
            <w:pPr>
              <w:wordWrap w:val="0"/>
              <w:topLinePunct/>
              <w:snapToGrid w:val="0"/>
              <w:spacing w:line="360" w:lineRule="auto"/>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注：</w:t>
            </w:r>
            <w:r>
              <w:rPr>
                <w:rFonts w:hint="eastAsia" w:ascii="宋体" w:hAnsi="宋体" w:cs="宋体"/>
                <w:snapToGrid w:val="0"/>
                <w:color w:val="auto"/>
                <w:kern w:val="21"/>
                <w:szCs w:val="21"/>
                <w:highlight w:val="none"/>
                <w:lang w:val="en-US" w:eastAsia="zh-CN"/>
              </w:rPr>
              <w:t>3</w:t>
            </w:r>
            <w:r>
              <w:rPr>
                <w:rFonts w:hint="eastAsia" w:ascii="宋体" w:hAnsi="宋体" w:cs="宋体"/>
                <w:color w:val="auto"/>
                <w:szCs w:val="21"/>
                <w:highlight w:val="none"/>
                <w:lang w:val="en-US" w:eastAsia="zh-CN"/>
              </w:rPr>
              <w:t>项</w:t>
            </w:r>
            <w:r>
              <w:rPr>
                <w:rFonts w:hint="eastAsia" w:ascii="宋体" w:hAnsi="宋体" w:cs="宋体"/>
                <w:snapToGrid w:val="0"/>
                <w:color w:val="auto"/>
                <w:kern w:val="21"/>
                <w:szCs w:val="21"/>
                <w:highlight w:val="none"/>
              </w:rPr>
              <w:t>内容累计计分，满分1</w:t>
            </w:r>
            <w:r>
              <w:rPr>
                <w:rFonts w:hint="eastAsia" w:ascii="宋体" w:hAnsi="宋体" w:cs="宋体"/>
                <w:snapToGrid w:val="0"/>
                <w:color w:val="auto"/>
                <w:kern w:val="21"/>
                <w:szCs w:val="21"/>
                <w:highlight w:val="none"/>
                <w:lang w:val="en-US" w:eastAsia="zh-CN"/>
              </w:rPr>
              <w:t>2</w:t>
            </w:r>
            <w:r>
              <w:rPr>
                <w:rFonts w:hint="eastAsia" w:ascii="宋体" w:hAnsi="宋体" w:cs="宋体"/>
                <w:snapToGrid w:val="0"/>
                <w:color w:val="auto"/>
                <w:kern w:val="21"/>
                <w:szCs w:val="21"/>
                <w:highlight w:val="none"/>
              </w:rPr>
              <w:t>分。</w:t>
            </w:r>
          </w:p>
        </w:tc>
      </w:tr>
      <w:tr w14:paraId="2C87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1911C477">
            <w:pPr>
              <w:spacing w:line="360" w:lineRule="auto"/>
              <w:rPr>
                <w:rFonts w:ascii="宋体"/>
                <w:color w:val="auto"/>
                <w:szCs w:val="21"/>
                <w:highlight w:val="none"/>
              </w:rPr>
            </w:pPr>
          </w:p>
        </w:tc>
        <w:tc>
          <w:tcPr>
            <w:tcW w:w="836" w:type="dxa"/>
            <w:vMerge w:val="continue"/>
            <w:vAlign w:val="center"/>
          </w:tcPr>
          <w:p w14:paraId="4DF06AFE">
            <w:pPr>
              <w:spacing w:line="360" w:lineRule="auto"/>
              <w:rPr>
                <w:rFonts w:ascii="宋体"/>
                <w:color w:val="auto"/>
                <w:szCs w:val="21"/>
                <w:highlight w:val="none"/>
              </w:rPr>
            </w:pPr>
          </w:p>
        </w:tc>
        <w:tc>
          <w:tcPr>
            <w:tcW w:w="1531" w:type="dxa"/>
            <w:vMerge w:val="continue"/>
            <w:vAlign w:val="center"/>
          </w:tcPr>
          <w:p w14:paraId="3B9969C8">
            <w:pPr>
              <w:spacing w:line="360" w:lineRule="auto"/>
              <w:rPr>
                <w:rFonts w:ascii="宋体"/>
                <w:color w:val="auto"/>
                <w:szCs w:val="21"/>
                <w:highlight w:val="none"/>
              </w:rPr>
            </w:pPr>
          </w:p>
        </w:tc>
        <w:tc>
          <w:tcPr>
            <w:tcW w:w="1122" w:type="dxa"/>
            <w:shd w:val="clear" w:color="auto" w:fill="auto"/>
            <w:vAlign w:val="center"/>
          </w:tcPr>
          <w:p w14:paraId="558FEA44">
            <w:pPr>
              <w:tabs>
                <w:tab w:val="left" w:pos="540"/>
              </w:tabs>
              <w:adjustRightInd w:val="0"/>
              <w:spacing w:line="400" w:lineRule="exact"/>
              <w:rPr>
                <w:rFonts w:ascii="宋体" w:cs="宋体"/>
                <w:b/>
                <w:bCs/>
                <w:snapToGrid w:val="0"/>
                <w:color w:val="auto"/>
                <w:kern w:val="21"/>
                <w:szCs w:val="21"/>
                <w:highlight w:val="none"/>
              </w:rPr>
            </w:pPr>
            <w:r>
              <w:rPr>
                <w:rFonts w:hint="eastAsia" w:ascii="宋体" w:cs="宋体"/>
                <w:b/>
                <w:bCs/>
                <w:snapToGrid w:val="0"/>
                <w:color w:val="auto"/>
                <w:kern w:val="21"/>
                <w:szCs w:val="21"/>
                <w:highlight w:val="none"/>
              </w:rPr>
              <w:t>2）维护服务方案评审评分（满分</w:t>
            </w:r>
            <w:r>
              <w:rPr>
                <w:rFonts w:hint="eastAsia" w:ascii="宋体" w:cs="宋体"/>
                <w:b/>
                <w:bCs/>
                <w:snapToGrid w:val="0"/>
                <w:color w:val="auto"/>
                <w:kern w:val="21"/>
                <w:szCs w:val="21"/>
                <w:highlight w:val="none"/>
                <w:lang w:val="en-US" w:eastAsia="zh-CN"/>
              </w:rPr>
              <w:t>24</w:t>
            </w:r>
            <w:r>
              <w:rPr>
                <w:rFonts w:hint="eastAsia" w:ascii="宋体" w:cs="宋体"/>
                <w:b/>
                <w:bCs/>
                <w:snapToGrid w:val="0"/>
                <w:color w:val="auto"/>
                <w:kern w:val="21"/>
                <w:szCs w:val="21"/>
                <w:highlight w:val="none"/>
              </w:rPr>
              <w:t>分）</w:t>
            </w:r>
          </w:p>
        </w:tc>
        <w:tc>
          <w:tcPr>
            <w:tcW w:w="5054" w:type="dxa"/>
            <w:shd w:val="clear" w:color="auto" w:fill="auto"/>
          </w:tcPr>
          <w:p w14:paraId="76F59C73">
            <w:pPr>
              <w:snapToGrid w:val="0"/>
              <w:spacing w:line="360" w:lineRule="auto"/>
              <w:rPr>
                <w:rFonts w:ascii="宋体" w:hAnsi="宋体"/>
                <w:color w:val="auto"/>
                <w:szCs w:val="21"/>
                <w:highlight w:val="none"/>
              </w:rPr>
            </w:pPr>
            <w:r>
              <w:rPr>
                <w:rFonts w:hint="eastAsia" w:ascii="宋体" w:hAnsi="宋体"/>
                <w:b/>
                <w:bCs/>
                <w:color w:val="auto"/>
                <w:szCs w:val="21"/>
                <w:highlight w:val="none"/>
              </w:rPr>
              <w:t>包括但不限于：</w:t>
            </w:r>
            <w:r>
              <w:rPr>
                <w:rFonts w:hint="eastAsia" w:ascii="宋体" w:hAnsi="宋体" w:cs="宋体"/>
                <w:b/>
                <w:bCs/>
                <w:snapToGrid w:val="0"/>
                <w:color w:val="auto"/>
                <w:kern w:val="21"/>
                <w:szCs w:val="21"/>
                <w:highlight w:val="none"/>
              </w:rPr>
              <w:t>①</w:t>
            </w:r>
            <w:r>
              <w:rPr>
                <w:rFonts w:hint="eastAsia" w:ascii="宋体" w:hAnsi="宋体" w:cs="宋体"/>
                <w:b/>
                <w:bCs/>
                <w:snapToGrid w:val="0"/>
                <w:color w:val="auto"/>
                <w:kern w:val="21"/>
                <w:szCs w:val="21"/>
                <w:highlight w:val="none"/>
                <w:lang w:val="en-US" w:eastAsia="zh-CN"/>
              </w:rPr>
              <w:t>设备</w:t>
            </w:r>
            <w:r>
              <w:rPr>
                <w:rFonts w:hint="eastAsia" w:ascii="宋体" w:hAnsi="宋体"/>
                <w:b/>
                <w:bCs/>
                <w:color w:val="auto"/>
                <w:szCs w:val="21"/>
                <w:highlight w:val="none"/>
                <w:lang w:val="en-US" w:eastAsia="zh-CN"/>
              </w:rPr>
              <w:t>维修维护</w:t>
            </w:r>
            <w:r>
              <w:rPr>
                <w:rFonts w:hint="eastAsia" w:ascii="宋体" w:hAnsi="宋体"/>
                <w:b/>
                <w:bCs/>
                <w:color w:val="auto"/>
                <w:szCs w:val="21"/>
                <w:highlight w:val="none"/>
              </w:rPr>
              <w:t>服务方案；</w:t>
            </w:r>
            <w:r>
              <w:rPr>
                <w:rFonts w:hint="eastAsia" w:ascii="宋体" w:hAnsi="宋体" w:cs="宋体"/>
                <w:b/>
                <w:bCs/>
                <w:snapToGrid w:val="0"/>
                <w:color w:val="auto"/>
                <w:kern w:val="21"/>
                <w:szCs w:val="21"/>
                <w:highlight w:val="none"/>
              </w:rPr>
              <w:t>②</w:t>
            </w:r>
            <w:r>
              <w:rPr>
                <w:rFonts w:hint="eastAsia" w:ascii="宋体" w:hAnsi="宋体"/>
                <w:b/>
                <w:bCs/>
                <w:color w:val="auto"/>
                <w:szCs w:val="21"/>
                <w:highlight w:val="none"/>
                <w:lang w:val="en-US" w:eastAsia="zh-CN"/>
              </w:rPr>
              <w:t>维修</w:t>
            </w:r>
            <w:r>
              <w:rPr>
                <w:rFonts w:hint="eastAsia" w:ascii="宋体" w:hAnsi="宋体"/>
                <w:b/>
                <w:bCs/>
                <w:color w:val="auto"/>
                <w:szCs w:val="21"/>
                <w:highlight w:val="none"/>
              </w:rPr>
              <w:t>服务保障（</w:t>
            </w:r>
            <w:r>
              <w:rPr>
                <w:rFonts w:hint="eastAsia" w:ascii="宋体" w:hAnsi="宋体"/>
                <w:b/>
                <w:bCs/>
                <w:color w:val="auto"/>
                <w:szCs w:val="21"/>
                <w:highlight w:val="none"/>
                <w:lang w:val="en-US" w:eastAsia="zh-CN"/>
              </w:rPr>
              <w:t>维修</w:t>
            </w:r>
            <w:r>
              <w:rPr>
                <w:rFonts w:hint="eastAsia" w:ascii="宋体" w:hAnsi="宋体"/>
                <w:b/>
                <w:bCs/>
                <w:color w:val="auto"/>
                <w:szCs w:val="21"/>
                <w:highlight w:val="none"/>
              </w:rPr>
              <w:t>时效保障、配件保障、沟通保障）；</w:t>
            </w:r>
            <w:r>
              <w:rPr>
                <w:rFonts w:hint="eastAsia" w:ascii="宋体" w:hAnsi="宋体" w:cs="宋体"/>
                <w:b/>
                <w:bCs/>
                <w:snapToGrid w:val="0"/>
                <w:color w:val="auto"/>
                <w:kern w:val="21"/>
                <w:szCs w:val="21"/>
                <w:highlight w:val="none"/>
              </w:rPr>
              <w:t>③</w:t>
            </w:r>
            <w:r>
              <w:rPr>
                <w:rFonts w:hint="eastAsia" w:ascii="宋体" w:hAnsi="宋体"/>
                <w:b/>
                <w:bCs/>
                <w:color w:val="auto"/>
                <w:szCs w:val="21"/>
                <w:highlight w:val="none"/>
                <w:lang w:val="en-US" w:eastAsia="zh-CN"/>
              </w:rPr>
              <w:t>维修</w:t>
            </w:r>
            <w:r>
              <w:rPr>
                <w:rFonts w:hint="eastAsia" w:ascii="宋体" w:hAnsi="宋体"/>
                <w:b/>
                <w:bCs/>
                <w:color w:val="auto"/>
                <w:szCs w:val="21"/>
                <w:highlight w:val="none"/>
              </w:rPr>
              <w:t>流程管理等</w:t>
            </w:r>
            <w:r>
              <w:rPr>
                <w:rFonts w:hint="eastAsia" w:ascii="宋体" w:hAnsi="宋体" w:cs="宋体"/>
                <w:b/>
                <w:bCs/>
                <w:color w:val="auto"/>
                <w:szCs w:val="21"/>
                <w:highlight w:val="none"/>
              </w:rPr>
              <w:t>内容</w:t>
            </w:r>
            <w:r>
              <w:rPr>
                <w:rFonts w:hint="eastAsia" w:ascii="宋体" w:hAnsi="宋体"/>
                <w:b/>
                <w:bCs/>
                <w:color w:val="auto"/>
                <w:szCs w:val="21"/>
                <w:highlight w:val="none"/>
              </w:rPr>
              <w:t>。</w:t>
            </w:r>
          </w:p>
          <w:p w14:paraId="59F379F6">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(1)每有一项内容进行了详细阐述且贴合项目需求，能有效保证项目实施的，得</w:t>
            </w:r>
            <w:r>
              <w:rPr>
                <w:rFonts w:hint="eastAsia" w:ascii="宋体" w:cs="宋体"/>
                <w:bCs/>
                <w:color w:val="auto"/>
                <w:szCs w:val="21"/>
                <w:highlight w:val="none"/>
                <w:lang w:val="en-US" w:eastAsia="zh-CN"/>
              </w:rPr>
              <w:t>8</w:t>
            </w:r>
            <w:r>
              <w:rPr>
                <w:rFonts w:hint="eastAsia" w:ascii="宋体" w:cs="宋体"/>
                <w:bCs/>
                <w:color w:val="auto"/>
                <w:szCs w:val="21"/>
                <w:highlight w:val="none"/>
              </w:rPr>
              <w:t>分。</w:t>
            </w:r>
          </w:p>
          <w:p w14:paraId="2ABB7472">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(2)每有一项内容虽然进行了阐述但并未完全贴合项目需求，能保证项目实施的，得</w:t>
            </w:r>
            <w:r>
              <w:rPr>
                <w:rFonts w:hint="eastAsia" w:ascii="宋体" w:cs="宋体"/>
                <w:bCs/>
                <w:color w:val="auto"/>
                <w:szCs w:val="21"/>
                <w:highlight w:val="none"/>
                <w:lang w:val="en-US" w:eastAsia="zh-CN"/>
              </w:rPr>
              <w:t>5</w:t>
            </w:r>
            <w:r>
              <w:rPr>
                <w:rFonts w:hint="eastAsia" w:ascii="宋体" w:cs="宋体"/>
                <w:bCs/>
                <w:color w:val="auto"/>
                <w:szCs w:val="21"/>
                <w:highlight w:val="none"/>
              </w:rPr>
              <w:t>分。</w:t>
            </w:r>
          </w:p>
          <w:p w14:paraId="15DC36BE">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(3)每有一项内容虽进行阐述但内容简略的，难以保障项目有效实施的，得</w:t>
            </w:r>
            <w:r>
              <w:rPr>
                <w:rFonts w:hint="eastAsia" w:ascii="宋体" w:cs="宋体"/>
                <w:bCs/>
                <w:color w:val="auto"/>
                <w:szCs w:val="21"/>
                <w:highlight w:val="none"/>
                <w:lang w:val="en-US" w:eastAsia="zh-CN"/>
              </w:rPr>
              <w:t>2</w:t>
            </w:r>
            <w:r>
              <w:rPr>
                <w:rFonts w:hint="eastAsia" w:ascii="宋体" w:cs="宋体"/>
                <w:bCs/>
                <w:color w:val="auto"/>
                <w:szCs w:val="21"/>
                <w:highlight w:val="none"/>
              </w:rPr>
              <w:t>分。</w:t>
            </w:r>
          </w:p>
          <w:p w14:paraId="15A575BB">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(4)每有一项内容未进行阐述的，该项不得分。</w:t>
            </w:r>
          </w:p>
          <w:p w14:paraId="0A9729D2">
            <w:pPr>
              <w:tabs>
                <w:tab w:val="left" w:pos="540"/>
              </w:tabs>
              <w:adjustRightInd w:val="0"/>
              <w:spacing w:line="400" w:lineRule="exact"/>
              <w:rPr>
                <w:rFonts w:ascii="宋体" w:hAnsi="宋体" w:cs="宋体"/>
                <w:bCs/>
                <w:color w:val="auto"/>
                <w:szCs w:val="21"/>
                <w:highlight w:val="none"/>
              </w:rPr>
            </w:pPr>
            <w:r>
              <w:rPr>
                <w:rFonts w:hint="eastAsia" w:ascii="宋体" w:cs="宋体"/>
                <w:bCs/>
                <w:color w:val="auto"/>
                <w:szCs w:val="21"/>
                <w:highlight w:val="none"/>
              </w:rPr>
              <w:t>注：</w:t>
            </w:r>
            <w:r>
              <w:rPr>
                <w:rFonts w:hint="eastAsia" w:ascii="宋体" w:cs="宋体"/>
                <w:bCs/>
                <w:color w:val="auto"/>
                <w:szCs w:val="21"/>
                <w:highlight w:val="none"/>
                <w:lang w:val="en-US" w:eastAsia="zh-CN"/>
              </w:rPr>
              <w:t>3</w:t>
            </w:r>
            <w:r>
              <w:rPr>
                <w:rFonts w:hint="eastAsia" w:ascii="宋体" w:hAnsi="宋体" w:cs="宋体"/>
                <w:color w:val="auto"/>
                <w:szCs w:val="21"/>
                <w:highlight w:val="none"/>
                <w:lang w:val="en-US" w:eastAsia="zh-CN"/>
              </w:rPr>
              <w:t>项</w:t>
            </w:r>
            <w:r>
              <w:rPr>
                <w:rFonts w:hint="eastAsia" w:ascii="宋体" w:cs="宋体"/>
                <w:bCs/>
                <w:color w:val="auto"/>
                <w:szCs w:val="21"/>
                <w:highlight w:val="none"/>
              </w:rPr>
              <w:t>内容累计计分，满分</w:t>
            </w:r>
            <w:r>
              <w:rPr>
                <w:rFonts w:hint="eastAsia" w:ascii="宋体" w:cs="宋体"/>
                <w:bCs/>
                <w:color w:val="auto"/>
                <w:szCs w:val="21"/>
                <w:highlight w:val="none"/>
                <w:lang w:val="en-US" w:eastAsia="zh-CN"/>
              </w:rPr>
              <w:t>24</w:t>
            </w:r>
            <w:r>
              <w:rPr>
                <w:rFonts w:hint="eastAsia" w:ascii="宋体" w:cs="宋体"/>
                <w:bCs/>
                <w:color w:val="auto"/>
                <w:szCs w:val="21"/>
                <w:highlight w:val="none"/>
              </w:rPr>
              <w:t>分。</w:t>
            </w:r>
          </w:p>
        </w:tc>
      </w:tr>
      <w:tr w14:paraId="58E5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15678DAE">
            <w:pPr>
              <w:spacing w:line="360" w:lineRule="auto"/>
              <w:rPr>
                <w:rFonts w:ascii="宋体"/>
                <w:color w:val="auto"/>
                <w:szCs w:val="21"/>
                <w:highlight w:val="none"/>
              </w:rPr>
            </w:pPr>
          </w:p>
        </w:tc>
        <w:tc>
          <w:tcPr>
            <w:tcW w:w="836" w:type="dxa"/>
            <w:vMerge w:val="continue"/>
            <w:vAlign w:val="center"/>
          </w:tcPr>
          <w:p w14:paraId="060235F5">
            <w:pPr>
              <w:spacing w:line="360" w:lineRule="auto"/>
              <w:rPr>
                <w:rFonts w:ascii="宋体"/>
                <w:color w:val="auto"/>
                <w:szCs w:val="21"/>
                <w:highlight w:val="none"/>
              </w:rPr>
            </w:pPr>
          </w:p>
        </w:tc>
        <w:tc>
          <w:tcPr>
            <w:tcW w:w="1531" w:type="dxa"/>
            <w:vMerge w:val="continue"/>
            <w:vAlign w:val="center"/>
          </w:tcPr>
          <w:p w14:paraId="0660A090">
            <w:pPr>
              <w:spacing w:line="360" w:lineRule="auto"/>
              <w:rPr>
                <w:rFonts w:ascii="宋体" w:hAnsi="宋体"/>
                <w:b/>
                <w:bCs/>
                <w:color w:val="auto"/>
                <w:szCs w:val="21"/>
                <w:highlight w:val="none"/>
              </w:rPr>
            </w:pPr>
          </w:p>
        </w:tc>
        <w:tc>
          <w:tcPr>
            <w:tcW w:w="1122" w:type="dxa"/>
            <w:vAlign w:val="center"/>
          </w:tcPr>
          <w:p w14:paraId="5C2A07FF">
            <w:pPr>
              <w:tabs>
                <w:tab w:val="left" w:pos="540"/>
              </w:tabs>
              <w:adjustRightInd w:val="0"/>
              <w:spacing w:line="400" w:lineRule="exact"/>
              <w:rPr>
                <w:rFonts w:ascii="宋体" w:cs="宋体"/>
                <w:b/>
                <w:bCs/>
                <w:snapToGrid w:val="0"/>
                <w:color w:val="auto"/>
                <w:kern w:val="21"/>
                <w:szCs w:val="21"/>
                <w:highlight w:val="none"/>
              </w:rPr>
            </w:pPr>
            <w:r>
              <w:rPr>
                <w:rFonts w:hint="eastAsia" w:ascii="宋体" w:hAnsi="宋体" w:cs="宋体"/>
                <w:b/>
                <w:bCs/>
                <w:color w:val="auto"/>
                <w:szCs w:val="22"/>
                <w:highlight w:val="none"/>
              </w:rPr>
              <w:t>3）项目团队人员配备方案评分（满分</w:t>
            </w:r>
            <w:r>
              <w:rPr>
                <w:rFonts w:hint="eastAsia" w:ascii="宋体" w:hAnsi="宋体" w:cs="宋体"/>
                <w:b/>
                <w:bCs/>
                <w:color w:val="auto"/>
                <w:szCs w:val="22"/>
                <w:highlight w:val="none"/>
                <w:lang w:val="en-US" w:eastAsia="zh-CN"/>
              </w:rPr>
              <w:t>14</w:t>
            </w:r>
            <w:r>
              <w:rPr>
                <w:rFonts w:hint="eastAsia" w:ascii="宋体" w:hAnsi="宋体" w:cs="宋体"/>
                <w:b/>
                <w:bCs/>
                <w:color w:val="auto"/>
                <w:szCs w:val="22"/>
                <w:highlight w:val="none"/>
              </w:rPr>
              <w:t>分）</w:t>
            </w:r>
          </w:p>
        </w:tc>
        <w:tc>
          <w:tcPr>
            <w:tcW w:w="5054" w:type="dxa"/>
          </w:tcPr>
          <w:p w14:paraId="46C893C6">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包括但不限于：①人员配备情况；②人员分工与职责等</w:t>
            </w:r>
            <w:r>
              <w:rPr>
                <w:rFonts w:hint="eastAsia" w:ascii="宋体" w:hAnsi="宋体" w:cs="宋体"/>
                <w:b/>
                <w:bCs/>
                <w:color w:val="auto"/>
                <w:szCs w:val="24"/>
                <w:highlight w:val="none"/>
              </w:rPr>
              <w:t>2项内容</w:t>
            </w:r>
            <w:r>
              <w:rPr>
                <w:rFonts w:hint="eastAsia" w:ascii="宋体" w:hAnsi="宋体" w:cs="宋体"/>
                <w:b/>
                <w:bCs/>
                <w:color w:val="auto"/>
                <w:szCs w:val="21"/>
                <w:highlight w:val="none"/>
              </w:rPr>
              <w:t>。</w:t>
            </w:r>
          </w:p>
          <w:p w14:paraId="6939A59D">
            <w:pPr>
              <w:tabs>
                <w:tab w:val="left" w:pos="540"/>
              </w:tabs>
              <w:adjustRightInd w:val="0"/>
              <w:spacing w:line="400" w:lineRule="exact"/>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(1)每有一项内容进行了详细阐述且贴合项目需求，能有效保证项目实施的，得</w:t>
            </w:r>
            <w:r>
              <w:rPr>
                <w:rFonts w:hint="eastAsia" w:ascii="宋体" w:hAnsi="宋体" w:cs="宋体"/>
                <w:snapToGrid w:val="0"/>
                <w:color w:val="auto"/>
                <w:kern w:val="21"/>
                <w:szCs w:val="21"/>
                <w:highlight w:val="none"/>
                <w:lang w:val="en-US" w:eastAsia="zh-CN"/>
              </w:rPr>
              <w:t>7</w:t>
            </w:r>
            <w:r>
              <w:rPr>
                <w:rFonts w:hint="eastAsia" w:ascii="宋体" w:hAnsi="宋体" w:cs="宋体"/>
                <w:snapToGrid w:val="0"/>
                <w:color w:val="auto"/>
                <w:kern w:val="21"/>
                <w:szCs w:val="21"/>
                <w:highlight w:val="none"/>
              </w:rPr>
              <w:t>分。</w:t>
            </w:r>
          </w:p>
          <w:p w14:paraId="0531EF78">
            <w:pPr>
              <w:tabs>
                <w:tab w:val="left" w:pos="540"/>
              </w:tabs>
              <w:adjustRightInd w:val="0"/>
              <w:spacing w:line="400" w:lineRule="exact"/>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(2)每有一项内容虽然进行了阐述但并未完全贴合项目需求，能保证项目实施的，得</w:t>
            </w:r>
            <w:r>
              <w:rPr>
                <w:rFonts w:hint="eastAsia" w:ascii="宋体" w:hAnsi="宋体" w:cs="宋体"/>
                <w:snapToGrid w:val="0"/>
                <w:color w:val="auto"/>
                <w:kern w:val="21"/>
                <w:szCs w:val="21"/>
                <w:highlight w:val="none"/>
                <w:lang w:val="en-US" w:eastAsia="zh-CN"/>
              </w:rPr>
              <w:t>4</w:t>
            </w:r>
            <w:r>
              <w:rPr>
                <w:rFonts w:hint="eastAsia" w:ascii="宋体" w:hAnsi="宋体" w:cs="宋体"/>
                <w:snapToGrid w:val="0"/>
                <w:color w:val="auto"/>
                <w:kern w:val="21"/>
                <w:szCs w:val="21"/>
                <w:highlight w:val="none"/>
              </w:rPr>
              <w:t>分。</w:t>
            </w:r>
          </w:p>
          <w:p w14:paraId="79C8AEAA">
            <w:pPr>
              <w:tabs>
                <w:tab w:val="left" w:pos="540"/>
              </w:tabs>
              <w:adjustRightInd w:val="0"/>
              <w:spacing w:line="400" w:lineRule="exact"/>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(3)每有一项内容虽进行阐述但内容简略的，难以保障项目有效实施的，得</w:t>
            </w:r>
            <w:r>
              <w:rPr>
                <w:rFonts w:hint="eastAsia" w:ascii="宋体" w:hAnsi="宋体" w:cs="宋体"/>
                <w:snapToGrid w:val="0"/>
                <w:color w:val="auto"/>
                <w:kern w:val="21"/>
                <w:szCs w:val="21"/>
                <w:highlight w:val="none"/>
                <w:lang w:val="en-US" w:eastAsia="zh-CN"/>
              </w:rPr>
              <w:t>2</w:t>
            </w:r>
            <w:r>
              <w:rPr>
                <w:rFonts w:hint="eastAsia" w:ascii="宋体" w:hAnsi="宋体" w:cs="宋体"/>
                <w:snapToGrid w:val="0"/>
                <w:color w:val="auto"/>
                <w:kern w:val="21"/>
                <w:szCs w:val="21"/>
                <w:highlight w:val="none"/>
              </w:rPr>
              <w:t>分。</w:t>
            </w:r>
          </w:p>
          <w:p w14:paraId="05F24F5C">
            <w:pPr>
              <w:tabs>
                <w:tab w:val="left" w:pos="540"/>
              </w:tabs>
              <w:adjustRightInd w:val="0"/>
              <w:spacing w:line="400" w:lineRule="exact"/>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(4)每有一项内容未进行阐述的，该项不得分。</w:t>
            </w:r>
          </w:p>
          <w:p w14:paraId="4E213337">
            <w:pPr>
              <w:tabs>
                <w:tab w:val="left" w:pos="540"/>
              </w:tabs>
              <w:adjustRightInd w:val="0"/>
              <w:spacing w:line="400" w:lineRule="exact"/>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注：1.</w:t>
            </w:r>
            <w:r>
              <w:rPr>
                <w:rFonts w:hint="eastAsia" w:ascii="宋体" w:hAnsi="宋体" w:cs="宋体"/>
                <w:snapToGrid w:val="0"/>
                <w:color w:val="auto"/>
                <w:kern w:val="21"/>
                <w:szCs w:val="21"/>
                <w:highlight w:val="none"/>
                <w:lang w:val="en-US" w:eastAsia="zh-CN"/>
              </w:rPr>
              <w:t>2</w:t>
            </w:r>
            <w:r>
              <w:rPr>
                <w:rFonts w:hint="eastAsia" w:ascii="宋体" w:hAnsi="宋体" w:cs="宋体"/>
                <w:color w:val="auto"/>
                <w:szCs w:val="21"/>
                <w:highlight w:val="none"/>
                <w:lang w:val="en-US" w:eastAsia="zh-CN"/>
              </w:rPr>
              <w:t>项</w:t>
            </w:r>
            <w:r>
              <w:rPr>
                <w:rFonts w:hint="eastAsia" w:ascii="宋体" w:hAnsi="宋体" w:cs="宋体"/>
                <w:snapToGrid w:val="0"/>
                <w:color w:val="auto"/>
                <w:kern w:val="21"/>
                <w:szCs w:val="21"/>
                <w:highlight w:val="none"/>
              </w:rPr>
              <w:t>内容累计计分，满分</w:t>
            </w:r>
            <w:r>
              <w:rPr>
                <w:rFonts w:hint="eastAsia" w:ascii="宋体" w:hAnsi="宋体" w:cs="宋体"/>
                <w:snapToGrid w:val="0"/>
                <w:color w:val="auto"/>
                <w:kern w:val="21"/>
                <w:szCs w:val="21"/>
                <w:highlight w:val="none"/>
                <w:lang w:val="en-US" w:eastAsia="zh-CN"/>
              </w:rPr>
              <w:t>14</w:t>
            </w:r>
            <w:r>
              <w:rPr>
                <w:rFonts w:hint="eastAsia" w:ascii="宋体" w:hAnsi="宋体" w:cs="宋体"/>
                <w:snapToGrid w:val="0"/>
                <w:color w:val="auto"/>
                <w:kern w:val="21"/>
                <w:szCs w:val="21"/>
                <w:highlight w:val="none"/>
              </w:rPr>
              <w:t>分。</w:t>
            </w:r>
          </w:p>
          <w:p w14:paraId="486DEE16">
            <w:pPr>
              <w:tabs>
                <w:tab w:val="left" w:pos="540"/>
              </w:tabs>
              <w:adjustRightInd w:val="0"/>
              <w:spacing w:line="400" w:lineRule="exact"/>
              <w:rPr>
                <w:rFonts w:ascii="宋体" w:hAnsi="宋体" w:cs="宋体"/>
                <w:color w:val="auto"/>
                <w:szCs w:val="21"/>
                <w:highlight w:val="none"/>
              </w:rPr>
            </w:pPr>
            <w:r>
              <w:rPr>
                <w:rFonts w:hint="eastAsia" w:ascii="宋体" w:hAnsi="宋体" w:cs="宋体"/>
                <w:snapToGrid w:val="0"/>
                <w:color w:val="auto"/>
                <w:kern w:val="21"/>
                <w:szCs w:val="21"/>
                <w:highlight w:val="none"/>
              </w:rPr>
              <w:t>2.项目配备人员资料包括：身份证、学位/学历证书、专业技术职称证书（如有）</w:t>
            </w:r>
            <w:bookmarkStart w:id="318" w:name="_GoBack"/>
            <w:bookmarkEnd w:id="318"/>
            <w:r>
              <w:rPr>
                <w:rFonts w:hint="eastAsia" w:ascii="宋体" w:hAnsi="宋体" w:cs="宋体"/>
                <w:snapToGrid w:val="0"/>
                <w:color w:val="auto"/>
                <w:kern w:val="21"/>
                <w:szCs w:val="21"/>
                <w:highlight w:val="none"/>
              </w:rPr>
              <w:t>。上述资料均须提供原件复印件加盖公章，未提供资料或提供资料不齐全或不具有上述资料的不得分。</w:t>
            </w:r>
          </w:p>
        </w:tc>
      </w:tr>
      <w:tr w14:paraId="4FD5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 w:author="gr" w:date="2026-05-15T17:39:29Z"/>
        </w:trPr>
        <w:tc>
          <w:tcPr>
            <w:tcW w:w="810" w:type="dxa"/>
            <w:vMerge w:val="continue"/>
            <w:vAlign w:val="center"/>
          </w:tcPr>
          <w:p w14:paraId="49F60EEE">
            <w:pPr>
              <w:spacing w:line="360" w:lineRule="auto"/>
              <w:rPr>
                <w:ins w:id="2" w:author="gr" w:date="2026-05-15T17:39:29Z"/>
                <w:rFonts w:ascii="宋体"/>
                <w:color w:val="auto"/>
                <w:szCs w:val="21"/>
                <w:highlight w:val="none"/>
              </w:rPr>
            </w:pPr>
          </w:p>
        </w:tc>
        <w:tc>
          <w:tcPr>
            <w:tcW w:w="836" w:type="dxa"/>
            <w:vMerge w:val="continue"/>
            <w:vAlign w:val="center"/>
          </w:tcPr>
          <w:p w14:paraId="728F428F">
            <w:pPr>
              <w:spacing w:line="360" w:lineRule="auto"/>
              <w:rPr>
                <w:ins w:id="3" w:author="gr" w:date="2026-05-15T17:39:29Z"/>
                <w:rFonts w:ascii="宋体"/>
                <w:color w:val="auto"/>
                <w:szCs w:val="21"/>
                <w:highlight w:val="none"/>
              </w:rPr>
            </w:pPr>
          </w:p>
        </w:tc>
        <w:tc>
          <w:tcPr>
            <w:tcW w:w="1531" w:type="dxa"/>
            <w:vMerge w:val="continue"/>
            <w:vAlign w:val="center"/>
          </w:tcPr>
          <w:p w14:paraId="5B4976C6">
            <w:pPr>
              <w:spacing w:line="360" w:lineRule="auto"/>
              <w:rPr>
                <w:ins w:id="4" w:author="gr" w:date="2026-05-15T17:39:29Z"/>
                <w:rFonts w:ascii="宋体" w:hAnsi="宋体"/>
                <w:b/>
                <w:bCs/>
                <w:color w:val="auto"/>
                <w:szCs w:val="21"/>
                <w:highlight w:val="none"/>
              </w:rPr>
            </w:pPr>
          </w:p>
        </w:tc>
        <w:tc>
          <w:tcPr>
            <w:tcW w:w="1122" w:type="dxa"/>
            <w:vAlign w:val="center"/>
          </w:tcPr>
          <w:p w14:paraId="2E87F633">
            <w:pPr>
              <w:tabs>
                <w:tab w:val="left" w:pos="540"/>
              </w:tabs>
              <w:adjustRightInd w:val="0"/>
              <w:spacing w:line="400" w:lineRule="exact"/>
              <w:rPr>
                <w:ins w:id="5" w:author="gr" w:date="2026-05-15T17:39:29Z"/>
                <w:rFonts w:hint="eastAsia" w:ascii="宋体" w:hAnsi="宋体" w:cs="宋体"/>
                <w:b/>
                <w:bCs/>
                <w:color w:val="auto"/>
                <w:szCs w:val="22"/>
                <w:highlight w:val="none"/>
              </w:rPr>
            </w:pPr>
            <w:r>
              <w:rPr>
                <w:rFonts w:hint="default" w:ascii="宋体" w:cs="宋体"/>
                <w:b/>
                <w:bCs/>
                <w:snapToGrid w:val="0"/>
                <w:color w:val="auto"/>
                <w:kern w:val="21"/>
                <w:szCs w:val="21"/>
                <w:highlight w:val="none"/>
                <w:lang w:val="en-US"/>
              </w:rPr>
              <w:t>4</w:t>
            </w:r>
            <w:r>
              <w:rPr>
                <w:rFonts w:hint="eastAsia" w:ascii="宋体" w:cs="宋体"/>
                <w:b/>
                <w:bCs/>
                <w:snapToGrid w:val="0"/>
                <w:color w:val="auto"/>
                <w:kern w:val="21"/>
                <w:szCs w:val="21"/>
                <w:highlight w:val="none"/>
              </w:rPr>
              <w:t>）服务质量承诺及保障措施评审评分（满分15分）</w:t>
            </w:r>
          </w:p>
        </w:tc>
        <w:tc>
          <w:tcPr>
            <w:tcW w:w="5054" w:type="dxa"/>
          </w:tcPr>
          <w:p w14:paraId="52A06740">
            <w:pPr>
              <w:tabs>
                <w:tab w:val="left" w:pos="540"/>
              </w:tabs>
              <w:adjustRightInd w:val="0"/>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包括但不限于：①服务响应承诺及保证措施；②服务质量承诺及保障措施；③突发事件应急质量承诺及保障措施等内容。</w:t>
            </w:r>
          </w:p>
          <w:p w14:paraId="1F68D4B8">
            <w:pPr>
              <w:tabs>
                <w:tab w:val="left" w:pos="540"/>
              </w:tabs>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(1)每有一项内容进行了详细阐述且贴合项目需求，能有效保证项目实施的，得5分。</w:t>
            </w:r>
          </w:p>
          <w:p w14:paraId="1D32C411">
            <w:pPr>
              <w:tabs>
                <w:tab w:val="left" w:pos="540"/>
              </w:tabs>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(2)每有一项内容虽然进行了阐述但并未完全贴合项目需求，能保证项目实施的，得3分。</w:t>
            </w:r>
          </w:p>
          <w:p w14:paraId="5B0DEA6F">
            <w:pPr>
              <w:tabs>
                <w:tab w:val="left" w:pos="540"/>
              </w:tabs>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(3)每有一项内容虽进行阐述但内容简略的，难以保障项目有效实施的，得1分。</w:t>
            </w:r>
          </w:p>
          <w:p w14:paraId="2D8A5651">
            <w:pPr>
              <w:tabs>
                <w:tab w:val="left" w:pos="540"/>
              </w:tabs>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(4)每有一项内容未进行阐述的，该项不得分。</w:t>
            </w:r>
          </w:p>
          <w:p w14:paraId="30637B43">
            <w:pPr>
              <w:tabs>
                <w:tab w:val="left" w:pos="540"/>
              </w:tabs>
              <w:adjustRightInd w:val="0"/>
              <w:spacing w:line="400" w:lineRule="exact"/>
              <w:rPr>
                <w:ins w:id="6" w:author="gr" w:date="2026-05-15T17:39:29Z"/>
                <w:rFonts w:hint="eastAsia" w:ascii="宋体" w:hAnsi="宋体" w:cs="宋体"/>
                <w:snapToGrid w:val="0"/>
                <w:color w:val="auto"/>
                <w:kern w:val="21"/>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3项</w:t>
            </w:r>
            <w:r>
              <w:rPr>
                <w:rFonts w:hint="eastAsia" w:ascii="宋体" w:hAnsi="宋体" w:cs="宋体"/>
                <w:color w:val="auto"/>
                <w:szCs w:val="21"/>
                <w:highlight w:val="none"/>
              </w:rPr>
              <w:t>内容累计计分，满分15分。</w:t>
            </w:r>
          </w:p>
        </w:tc>
      </w:tr>
      <w:tr w14:paraId="31E2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810" w:type="dxa"/>
            <w:vMerge w:val="continue"/>
            <w:vAlign w:val="center"/>
          </w:tcPr>
          <w:p w14:paraId="0F5331CE">
            <w:pPr>
              <w:spacing w:line="360" w:lineRule="auto"/>
              <w:rPr>
                <w:rFonts w:ascii="宋体"/>
                <w:color w:val="auto"/>
                <w:szCs w:val="21"/>
                <w:highlight w:val="none"/>
              </w:rPr>
            </w:pPr>
          </w:p>
        </w:tc>
        <w:tc>
          <w:tcPr>
            <w:tcW w:w="836" w:type="dxa"/>
            <w:vMerge w:val="continue"/>
            <w:vAlign w:val="center"/>
          </w:tcPr>
          <w:p w14:paraId="08B8885C">
            <w:pPr>
              <w:spacing w:line="360" w:lineRule="auto"/>
              <w:rPr>
                <w:rFonts w:ascii="宋体"/>
                <w:color w:val="auto"/>
                <w:szCs w:val="21"/>
                <w:highlight w:val="none"/>
              </w:rPr>
            </w:pPr>
          </w:p>
        </w:tc>
        <w:tc>
          <w:tcPr>
            <w:tcW w:w="1531" w:type="dxa"/>
            <w:vMerge w:val="continue"/>
            <w:vAlign w:val="center"/>
          </w:tcPr>
          <w:p w14:paraId="6A163068">
            <w:pPr>
              <w:spacing w:line="360" w:lineRule="auto"/>
              <w:rPr>
                <w:rFonts w:ascii="宋体" w:hAnsi="宋体"/>
                <w:b/>
                <w:bCs/>
                <w:color w:val="auto"/>
                <w:szCs w:val="21"/>
                <w:highlight w:val="none"/>
              </w:rPr>
            </w:pPr>
          </w:p>
        </w:tc>
        <w:tc>
          <w:tcPr>
            <w:tcW w:w="1122" w:type="dxa"/>
            <w:shd w:val="clear" w:color="auto" w:fill="auto"/>
            <w:vAlign w:val="center"/>
          </w:tcPr>
          <w:p w14:paraId="305AC71B">
            <w:pPr>
              <w:tabs>
                <w:tab w:val="left" w:pos="540"/>
              </w:tabs>
              <w:adjustRightInd w:val="0"/>
              <w:spacing w:line="400" w:lineRule="exact"/>
              <w:rPr>
                <w:ins w:id="7" w:author="gr" w:date="2026-05-15T17:40:52Z"/>
                <w:rFonts w:hint="eastAsia" w:ascii="宋体" w:hAnsi="宋体" w:cs="宋体"/>
                <w:b/>
                <w:bCs/>
                <w:snapToGrid/>
                <w:color w:val="auto"/>
                <w:kern w:val="2"/>
                <w:szCs w:val="22"/>
                <w:highlight w:val="none"/>
                <w:lang w:val="en-US"/>
              </w:rPr>
            </w:pPr>
            <w:r>
              <w:rPr>
                <w:rFonts w:hint="eastAsia" w:ascii="宋体" w:cs="宋体"/>
                <w:b/>
                <w:bCs/>
                <w:snapToGrid w:val="0"/>
                <w:color w:val="auto"/>
                <w:kern w:val="21"/>
                <w:szCs w:val="21"/>
                <w:highlight w:val="none"/>
                <w:lang w:val="en-US" w:eastAsia="zh-CN"/>
              </w:rPr>
              <w:t>5</w:t>
            </w:r>
            <w:r>
              <w:rPr>
                <w:rFonts w:hint="eastAsia" w:ascii="宋体" w:cs="宋体"/>
                <w:b/>
                <w:bCs/>
                <w:snapToGrid w:val="0"/>
                <w:color w:val="auto"/>
                <w:kern w:val="21"/>
                <w:szCs w:val="21"/>
                <w:highlight w:val="none"/>
              </w:rPr>
              <w:t>）供应商履约能力评审评分（满分15分）</w:t>
            </w:r>
          </w:p>
        </w:tc>
        <w:tc>
          <w:tcPr>
            <w:tcW w:w="5054" w:type="dxa"/>
            <w:shd w:val="clear" w:color="auto" w:fill="auto"/>
            <w:vAlign w:val="top"/>
          </w:tcPr>
          <w:p w14:paraId="73F762FD">
            <w:pPr>
              <w:spacing w:line="360" w:lineRule="auto"/>
              <w:rPr>
                <w:rFonts w:ascii="宋体" w:hAnsi="宋体" w:cs="宋体"/>
                <w:color w:val="auto"/>
                <w:szCs w:val="22"/>
                <w:highlight w:val="none"/>
              </w:rPr>
            </w:pPr>
            <w:r>
              <w:rPr>
                <w:rFonts w:hint="eastAsia" w:ascii="宋体" w:hAnsi="宋体" w:cs="宋体"/>
                <w:color w:val="auto"/>
                <w:szCs w:val="22"/>
                <w:highlight w:val="none"/>
              </w:rPr>
              <w:t>根据供应商在本项目响应文件提交截止时间前已完成的类似项目履约情况进行打分，每提供一项类似项目履约能力证明材料得</w:t>
            </w:r>
            <w:r>
              <w:rPr>
                <w:rFonts w:hint="eastAsia" w:ascii="宋体" w:hAnsi="宋体" w:cs="宋体"/>
                <w:color w:val="auto"/>
                <w:szCs w:val="22"/>
                <w:highlight w:val="none"/>
                <w:lang w:val="en-US" w:eastAsia="zh-CN"/>
              </w:rPr>
              <w:t>5</w:t>
            </w:r>
            <w:r>
              <w:rPr>
                <w:rFonts w:hint="eastAsia" w:ascii="宋体" w:hAnsi="宋体" w:cs="宋体"/>
                <w:color w:val="auto"/>
                <w:szCs w:val="22"/>
                <w:highlight w:val="none"/>
              </w:rPr>
              <w:t>分，本项满分15分。</w:t>
            </w:r>
          </w:p>
          <w:p w14:paraId="02371037">
            <w:pPr>
              <w:spacing w:line="360" w:lineRule="auto"/>
              <w:rPr>
                <w:ins w:id="8" w:author="gr" w:date="2026-05-15T17:40:52Z"/>
                <w:rFonts w:hint="eastAsia" w:ascii="宋体" w:hAnsi="宋体" w:cs="宋体"/>
                <w:snapToGrid w:val="0"/>
                <w:color w:val="auto"/>
                <w:kern w:val="21"/>
                <w:szCs w:val="21"/>
                <w:highlight w:val="none"/>
              </w:rPr>
            </w:pPr>
            <w:r>
              <w:rPr>
                <w:rFonts w:hint="eastAsia" w:ascii="宋体" w:hAnsi="宋体" w:cs="宋体"/>
                <w:color w:val="auto"/>
                <w:szCs w:val="22"/>
                <w:highlight w:val="none"/>
              </w:rPr>
              <w:t>注：响应文件中须提供《供应商履约能力情况表》及相对应的履约能力证明材料，履约能力证明材料为投标人与委托方签订的合同（合同包括：合同首页、标的及金额所在页及合同签字盖章页）或委托方出具委托证明，无证明材料或证明材料不明确、无法体现履约能力内容的，不予认可。</w:t>
            </w:r>
          </w:p>
        </w:tc>
      </w:tr>
      <w:bookmarkEnd w:id="312"/>
      <w:bookmarkEnd w:id="313"/>
    </w:tbl>
    <w:p w14:paraId="10A4EE1B">
      <w:pPr>
        <w:pStyle w:val="92"/>
        <w:tabs>
          <w:tab w:val="left" w:pos="105"/>
          <w:tab w:val="left" w:pos="945"/>
          <w:tab w:val="left" w:pos="3360"/>
        </w:tabs>
        <w:adjustRightInd w:val="0"/>
        <w:snapToGrid w:val="0"/>
        <w:spacing w:line="360" w:lineRule="auto"/>
        <w:ind w:left="420"/>
        <w:rPr>
          <w:rFonts w:hAnsi="宋体" w:eastAsia="宋体" w:cs="宋体"/>
          <w:b/>
          <w:bCs/>
          <w:color w:val="auto"/>
          <w:sz w:val="24"/>
          <w:szCs w:val="24"/>
          <w:highlight w:val="none"/>
        </w:rPr>
      </w:pPr>
      <w:r>
        <w:rPr>
          <w:rFonts w:hAnsi="宋体" w:eastAsia="宋体" w:cs="宋体"/>
          <w:b/>
          <w:bCs/>
          <w:color w:val="auto"/>
          <w:sz w:val="24"/>
          <w:szCs w:val="24"/>
          <w:highlight w:val="none"/>
        </w:rPr>
        <w:t>1.评审原则及方法</w:t>
      </w:r>
    </w:p>
    <w:p w14:paraId="3D26F0D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评审原则：磋商小组成员应当按照客观、公正、审慎的原则，根据磋商文件规定的评审程序、评审方法和评审标准进行独立评审。未实质性响应竞争性磋商文件的响应文件按无效响应处理，磋商小组将告知提交响应文件的供应商，供应商不得再继续参加磋商。</w:t>
      </w:r>
    </w:p>
    <w:p w14:paraId="289391C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1.2评审方法：综合评分法，是指响应文件满足磋商文件全部实质性要求且按评审因素的量化指标评审得分最高的供应商为成交候选供应商的评审方法。</w:t>
      </w:r>
    </w:p>
    <w:p w14:paraId="28FDBAAE">
      <w:pPr>
        <w:pStyle w:val="92"/>
        <w:tabs>
          <w:tab w:val="left" w:pos="105"/>
          <w:tab w:val="left" w:pos="945"/>
          <w:tab w:val="left" w:pos="3360"/>
        </w:tabs>
        <w:adjustRightInd w:val="0"/>
        <w:snapToGrid w:val="0"/>
        <w:spacing w:line="360" w:lineRule="auto"/>
        <w:ind w:left="420"/>
        <w:rPr>
          <w:rFonts w:hAnsi="宋体" w:eastAsia="宋体" w:cs="宋体"/>
          <w:b/>
          <w:bCs/>
          <w:color w:val="auto"/>
          <w:sz w:val="24"/>
          <w:szCs w:val="24"/>
          <w:highlight w:val="none"/>
        </w:rPr>
      </w:pPr>
      <w:r>
        <w:rPr>
          <w:rFonts w:hint="eastAsia" w:hAnsi="宋体" w:eastAsia="宋体" w:cs="宋体"/>
          <w:b/>
          <w:bCs/>
          <w:color w:val="auto"/>
          <w:sz w:val="24"/>
          <w:szCs w:val="24"/>
          <w:highlight w:val="none"/>
        </w:rPr>
        <w:t>2.实质性评审</w:t>
      </w:r>
    </w:p>
    <w:p w14:paraId="4E66D78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磋商小组依据竞争性磋商文件第六章《评审方法》2.1实质性评审标准规定的内容，对供应商响应文件中进行审查，以确定供应商是否具备参加本项目竞争性磋商采购活动的资格，未实质性响应竞争性磋商文件的响应文件按无效响应处理，磋商小组将告知提交响应文件的供应商，供应商不得再继续参加磋商。</w:t>
      </w:r>
    </w:p>
    <w:p w14:paraId="03059296">
      <w:pPr>
        <w:tabs>
          <w:tab w:val="left" w:pos="105"/>
          <w:tab w:val="left" w:pos="945"/>
          <w:tab w:val="left" w:pos="3360"/>
        </w:tabs>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bCs/>
          <w:color w:val="auto"/>
          <w:sz w:val="24"/>
          <w:highlight w:val="none"/>
        </w:rPr>
        <w:t>.磋商及最后报价</w:t>
      </w:r>
    </w:p>
    <w:p w14:paraId="4ECD20E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14EC4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磋商小组要求供应商澄清、说明或者更正响应文件应当以书面形式作出。供应商的澄清、说明或者更正应当由法定代表人或其授权代表签字或者加盖供应商电子公章。由授权代表签字的，应当附法定代表人授权书。供应商为自然人的，应当由本人签字并附身份证明。</w:t>
      </w:r>
    </w:p>
    <w:p w14:paraId="7A27A2F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磋商小组所有成员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7AD0870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3.4对磋商文件作出的实质性变动是磋商文件的有效组成部分，磋商小组将及时以书面形式同时通知所有参加磋商的供应商。</w:t>
      </w:r>
    </w:p>
    <w:p w14:paraId="1BA4A40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磋商结束后，磋商小组将要求所有实质性响应的供应商在规定时间内提交最后报价，提交最后报价的供应商不得少于3家，最后报价应由法定代表人或其委托代理人签字，在规定的时间统一密封递交，最后报价是供应商响应文件的有效组成部分。在提交最后报价之前，供应商可以根据磋商情况退出磋商，其磋商保证金按规定的时间予以退还。</w:t>
      </w:r>
    </w:p>
    <w:p w14:paraId="21E748BC">
      <w:pPr>
        <w:spacing w:line="360" w:lineRule="auto"/>
        <w:ind w:firstLine="420"/>
        <w:rPr>
          <w:rFonts w:ascii="宋体" w:hAnsi="宋体" w:cs="宋体"/>
          <w:b/>
          <w:bCs/>
          <w:color w:val="auto"/>
          <w:sz w:val="24"/>
          <w:highlight w:val="none"/>
        </w:rPr>
      </w:pPr>
      <w:r>
        <w:rPr>
          <w:rFonts w:hint="eastAsia" w:ascii="宋体" w:hAnsi="宋体" w:cs="宋体"/>
          <w:b/>
          <w:color w:val="auto"/>
          <w:sz w:val="24"/>
          <w:highlight w:val="none"/>
        </w:rPr>
        <w:t>4</w:t>
      </w:r>
      <w:r>
        <w:rPr>
          <w:rFonts w:hint="eastAsia" w:ascii="宋体" w:hAnsi="宋体" w:cs="宋体"/>
          <w:b/>
          <w:bCs/>
          <w:color w:val="auto"/>
          <w:sz w:val="24"/>
          <w:highlight w:val="none"/>
        </w:rPr>
        <w:t>.详细评审</w:t>
      </w:r>
      <w:r>
        <w:rPr>
          <w:rFonts w:hint="eastAsia" w:ascii="宋体" w:hAnsi="宋体" w:cs="宋体"/>
          <w:b/>
          <w:color w:val="auto"/>
          <w:sz w:val="24"/>
          <w:highlight w:val="none"/>
        </w:rPr>
        <w:t>及</w:t>
      </w:r>
      <w:r>
        <w:rPr>
          <w:rFonts w:hint="eastAsia" w:ascii="宋体" w:hAnsi="宋体" w:cs="宋体"/>
          <w:b/>
          <w:bCs/>
          <w:color w:val="auto"/>
          <w:sz w:val="24"/>
          <w:highlight w:val="none"/>
        </w:rPr>
        <w:t>统分原则</w:t>
      </w:r>
    </w:p>
    <w:p w14:paraId="0248C9A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4.1磋商小组各成员将按照竞争性磋商文件中规定的详细评审标准独立对每个有效响应的文件进行评价、打分，然后汇总每个供应商每项评分因素的得分，最终按以下公式计算出各供应商的评审得分。</w:t>
      </w:r>
    </w:p>
    <w:p w14:paraId="5F5AFBDD">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评审得分=F1＋F2</w:t>
      </w:r>
    </w:p>
    <w:p w14:paraId="6D1A7949">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其中：F1、F2分别为报价评分、技术商务部分评分2项评审因素的汇总得分。</w:t>
      </w:r>
    </w:p>
    <w:p w14:paraId="4195324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磋商小组成员要依法独立审查，并对审查意见承担个人责任。磋商小组成员对需要共同认定的事项存在争议的，按照少数服从多数的原则做出结论。持不同意见的磋商小组成员应当在评审报告上签署不同意见并说明理由，否则视为同意。</w:t>
      </w:r>
    </w:p>
    <w:p w14:paraId="2D6A47D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4.3磋商小组对供应商的价格分等客观评分项的评分应当一致，对其他需要借助专业知识评判的主观评分项，应当严格按照评分细则公正评分。</w:t>
      </w:r>
    </w:p>
    <w:p w14:paraId="45F1142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4.4供应商各项评分因素得分为该项因素各成员评分的算术平均值（保留小数点后两位），小数点后第三位“四舍五入”。</w:t>
      </w:r>
    </w:p>
    <w:p w14:paraId="38F9C8B8">
      <w:pPr>
        <w:spacing w:line="360" w:lineRule="auto"/>
        <w:ind w:firstLine="420"/>
        <w:rPr>
          <w:rFonts w:ascii="宋体" w:hAnsi="宋体" w:cs="宋体"/>
          <w:b/>
          <w:bCs/>
          <w:color w:val="auto"/>
          <w:sz w:val="24"/>
          <w:highlight w:val="none"/>
        </w:rPr>
      </w:pPr>
      <w:r>
        <w:rPr>
          <w:rFonts w:hint="eastAsia" w:ascii="宋体" w:hAnsi="宋体" w:cs="宋体"/>
          <w:b/>
          <w:bCs/>
          <w:color w:val="auto"/>
          <w:sz w:val="24"/>
          <w:highlight w:val="none"/>
        </w:rPr>
        <w:t>5.推荐成交候选供应商及确定成交供应商</w:t>
      </w:r>
    </w:p>
    <w:p w14:paraId="7275557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5.1磋商小组按照评审得分由高到低顺序推荐3名以上成交候选供应商，并编写评审报告。评审得分相同的，按照最后报价由低到高的顺序推荐。评审得分且最后报价相同的，按照技术指标优劣顺序推荐。</w:t>
      </w:r>
    </w:p>
    <w:p w14:paraId="4DA65A8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5.2采购人从评审报告提出的成交候选供应商中，按照排序由高到低的原则确定成交供应商。</w:t>
      </w:r>
    </w:p>
    <w:sectPr>
      <w:footerReference r:id="rId7" w:type="default"/>
      <w:pgSz w:w="12240" w:h="15840"/>
      <w:pgMar w:top="1440" w:right="1800" w:bottom="1168"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weight : 400">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楷体_GB2312">
    <w:panose1 w:val="02010609030101010101"/>
    <w:charset w:val="86"/>
    <w:family w:val="modern"/>
    <w:pitch w:val="default"/>
    <w:sig w:usb0="00000001" w:usb1="080E0000" w:usb2="00000000" w:usb3="00000000" w:csb0="00040000"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D5BF">
    <w:pPr>
      <w:pStyle w:val="25"/>
      <w:wordWrap w:val="0"/>
      <w:jc w:val="right"/>
      <w:rPr>
        <w:rStyle w:val="41"/>
      </w:rPr>
    </w:pPr>
  </w:p>
  <w:p w14:paraId="145AE60E">
    <w:pPr>
      <w:pStyle w:val="25"/>
      <w:ind w:right="10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0037">
    <w:pPr>
      <w:pStyle w:val="25"/>
      <w:wordWrap w:val="0"/>
      <w:jc w:val="right"/>
      <w:rPr>
        <w:rStyle w:val="41"/>
      </w:rPr>
    </w:pPr>
  </w:p>
  <w:p w14:paraId="6CC59DE9">
    <w:pPr>
      <w:pStyle w:val="25"/>
      <w:ind w:right="105"/>
      <w:jc w:val="right"/>
    </w:pPr>
    <w:r>
      <w:drawing>
        <wp:inline distT="0" distB="0" distL="114300" distR="114300">
          <wp:extent cx="1438275" cy="266700"/>
          <wp:effectExtent l="0" t="0" r="9525" b="0"/>
          <wp:docPr id="8" name="图片 6"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D45A">
    <w:pPr>
      <w:pStyle w:val="2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BB878">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DBB878">
                    <w:pPr>
                      <w:pStyle w:val="25"/>
                    </w:pPr>
                    <w:r>
                      <w:fldChar w:fldCharType="begin"/>
                    </w:r>
                    <w:r>
                      <w:instrText xml:space="preserve"> PAGE  \* MERGEFORMAT </w:instrText>
                    </w:r>
                    <w:r>
                      <w:fldChar w:fldCharType="separate"/>
                    </w:r>
                    <w:r>
                      <w:t>2</w:t>
                    </w:r>
                    <w:r>
                      <w:fldChar w:fldCharType="end"/>
                    </w:r>
                  </w:p>
                </w:txbxContent>
              </v:textbox>
            </v:shape>
          </w:pict>
        </mc:Fallback>
      </mc:AlternateContent>
    </w:r>
    <w:r>
      <w:drawing>
        <wp:inline distT="0" distB="0" distL="114300" distR="114300">
          <wp:extent cx="1438275" cy="266700"/>
          <wp:effectExtent l="0" t="0" r="9525" b="0"/>
          <wp:docPr id="5" name="图片 3"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p w14:paraId="7E1B24F5">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F2F4">
    <w:pPr>
      <w:pStyle w:val="25"/>
      <w:spacing w:before="120" w:after="12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7150">
                          <w:pPr>
                            <w:pStyle w:val="2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CB7150">
                    <w:pPr>
                      <w:pStyle w:val="25"/>
                    </w:pPr>
                    <w:r>
                      <w:fldChar w:fldCharType="begin"/>
                    </w:r>
                    <w:r>
                      <w:instrText xml:space="preserve"> PAGE  \* MERGEFORMAT </w:instrText>
                    </w:r>
                    <w:r>
                      <w:fldChar w:fldCharType="separate"/>
                    </w:r>
                    <w:r>
                      <w:t>53</w:t>
                    </w:r>
                    <w:r>
                      <w:fldChar w:fldCharType="end"/>
                    </w:r>
                  </w:p>
                </w:txbxContent>
              </v:textbox>
            </v:shape>
          </w:pict>
        </mc:Fallback>
      </mc:AlternateContent>
    </w:r>
    <w:r>
      <w:drawing>
        <wp:inline distT="0" distB="0" distL="114300" distR="114300">
          <wp:extent cx="1438275" cy="266700"/>
          <wp:effectExtent l="0" t="0" r="9525" b="0"/>
          <wp:docPr id="7" name="图片 5"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AE7E">
    <w:pPr>
      <w:pStyle w:val="26"/>
      <w:jc w:val="left"/>
    </w:pPr>
    <w:r>
      <w:rPr>
        <w:rFonts w:hint="eastAsia" w:ascii="宋体" w:hAnsi="宋体"/>
        <w:kern w:val="0"/>
        <w:sz w:val="16"/>
        <w:lang w:eastAsia="zh-CN"/>
      </w:rPr>
      <w:t>云南省基础测绘技术中心省级数据中心和基准站维修（护）项目</w:t>
    </w:r>
    <w:r>
      <w:rPr>
        <w:rFonts w:hint="eastAsia" w:ascii="宋体" w:hAnsi="宋体"/>
        <w:kern w:val="0"/>
        <w:sz w:val="16"/>
      </w:rPr>
      <w:t xml:space="preserve">               </w:t>
    </w:r>
    <w:r>
      <w:rPr>
        <w:rFonts w:hint="eastAsia" w:ascii="宋体" w:hAnsi="宋体"/>
        <w:kern w:val="0"/>
        <w:sz w:val="16"/>
        <w:lang w:val="en-US" w:eastAsia="zh-CN"/>
      </w:rPr>
      <w:t xml:space="preserve">       </w:t>
    </w:r>
    <w:r>
      <w:rPr>
        <w:rFonts w:hint="eastAsia" w:ascii="宋体" w:hAnsi="宋体"/>
        <w:kern w:val="0"/>
        <w:sz w:val="16"/>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C3B85"/>
    <w:multiLevelType w:val="singleLevel"/>
    <w:tmpl w:val="C88C3B85"/>
    <w:lvl w:ilvl="0" w:tentative="0">
      <w:start w:val="1"/>
      <w:numFmt w:val="chineseCounting"/>
      <w:suff w:val="nothing"/>
      <w:lvlText w:val="（%1）"/>
      <w:lvlJc w:val="left"/>
      <w:rPr>
        <w:rFonts w:hint="eastAsia"/>
      </w:rPr>
    </w:lvl>
  </w:abstractNum>
  <w:abstractNum w:abstractNumId="1">
    <w:nsid w:val="E911B3A2"/>
    <w:multiLevelType w:val="singleLevel"/>
    <w:tmpl w:val="E911B3A2"/>
    <w:lvl w:ilvl="0" w:tentative="0">
      <w:start w:val="1"/>
      <w:numFmt w:val="decimal"/>
      <w:pStyle w:val="8"/>
      <w:lvlText w:val="%1."/>
      <w:lvlJc w:val="left"/>
      <w:pPr>
        <w:tabs>
          <w:tab w:val="left" w:pos="780"/>
        </w:tabs>
        <w:ind w:left="780" w:hanging="360"/>
      </w:pPr>
    </w:lvl>
  </w:abstractNum>
  <w:abstractNum w:abstractNumId="2">
    <w:nsid w:val="FE2D432F"/>
    <w:multiLevelType w:val="singleLevel"/>
    <w:tmpl w:val="FE2D432F"/>
    <w:lvl w:ilvl="0" w:tentative="0">
      <w:start w:val="3"/>
      <w:numFmt w:val="chineseCounting"/>
      <w:suff w:val="nothing"/>
      <w:lvlText w:val="%1、"/>
      <w:lvlJc w:val="left"/>
      <w:rPr>
        <w:rFonts w:hint="eastAsia"/>
      </w:rPr>
    </w:lvl>
  </w:abstractNum>
  <w:abstractNum w:abstractNumId="3">
    <w:nsid w:val="1D365DC3"/>
    <w:multiLevelType w:val="multilevel"/>
    <w:tmpl w:val="1D365DC3"/>
    <w:lvl w:ilvl="0" w:tentative="0">
      <w:start w:val="1"/>
      <w:numFmt w:val="decimal"/>
      <w:pStyle w:val="135"/>
      <w:lvlText w:val="%1."/>
      <w:lvlJc w:val="left"/>
      <w:pPr>
        <w:ind w:left="420" w:hanging="420"/>
      </w:pPr>
      <w:rPr>
        <w:rFonts w:hint="eastAsia"/>
      </w:rPr>
    </w:lvl>
    <w:lvl w:ilvl="1" w:tentative="0">
      <w:start w:val="1"/>
      <w:numFmt w:val="lowerLetter"/>
      <w:lvlText w:val="%2)"/>
      <w:lvlJc w:val="left"/>
      <w:pPr>
        <w:ind w:left="600" w:hanging="420"/>
      </w:pPr>
    </w:lvl>
    <w:lvl w:ilvl="2" w:tentative="0">
      <w:start w:val="1"/>
      <w:numFmt w:val="lowerRoman"/>
      <w:lvlText w:val="%3."/>
      <w:lvlJc w:val="right"/>
      <w:pPr>
        <w:ind w:left="1020" w:hanging="420"/>
      </w:pPr>
    </w:lvl>
    <w:lvl w:ilvl="3" w:tentative="0">
      <w:start w:val="1"/>
      <w:numFmt w:val="decimal"/>
      <w:lvlText w:val="%4."/>
      <w:lvlJc w:val="left"/>
      <w:pPr>
        <w:ind w:left="1440" w:hanging="420"/>
      </w:pPr>
    </w:lvl>
    <w:lvl w:ilvl="4" w:tentative="0">
      <w:start w:val="1"/>
      <w:numFmt w:val="lowerLetter"/>
      <w:lvlText w:val="%5)"/>
      <w:lvlJc w:val="left"/>
      <w:pPr>
        <w:ind w:left="1860" w:hanging="420"/>
      </w:pPr>
    </w:lvl>
    <w:lvl w:ilvl="5" w:tentative="0">
      <w:start w:val="1"/>
      <w:numFmt w:val="lowerRoman"/>
      <w:lvlText w:val="%6."/>
      <w:lvlJc w:val="right"/>
      <w:pPr>
        <w:ind w:left="2280" w:hanging="420"/>
      </w:pPr>
    </w:lvl>
    <w:lvl w:ilvl="6" w:tentative="0">
      <w:start w:val="1"/>
      <w:numFmt w:val="decimal"/>
      <w:lvlText w:val="%7."/>
      <w:lvlJc w:val="left"/>
      <w:pPr>
        <w:ind w:left="2700" w:hanging="420"/>
      </w:pPr>
    </w:lvl>
    <w:lvl w:ilvl="7" w:tentative="0">
      <w:start w:val="1"/>
      <w:numFmt w:val="lowerLetter"/>
      <w:lvlText w:val="%8)"/>
      <w:lvlJc w:val="left"/>
      <w:pPr>
        <w:ind w:left="3120" w:hanging="420"/>
      </w:pPr>
    </w:lvl>
    <w:lvl w:ilvl="8" w:tentative="0">
      <w:start w:val="1"/>
      <w:numFmt w:val="lowerRoman"/>
      <w:lvlText w:val="%9."/>
      <w:lvlJc w:val="right"/>
      <w:pPr>
        <w:ind w:left="3540" w:hanging="42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
    <w15:presenceInfo w15:providerId="WPS Office" w15:userId="1749162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AA63A0"/>
    <w:rsid w:val="000001DD"/>
    <w:rsid w:val="000007C7"/>
    <w:rsid w:val="00001193"/>
    <w:rsid w:val="000011E9"/>
    <w:rsid w:val="00002418"/>
    <w:rsid w:val="000026CF"/>
    <w:rsid w:val="00002713"/>
    <w:rsid w:val="00002A0F"/>
    <w:rsid w:val="00002AF6"/>
    <w:rsid w:val="00002CC3"/>
    <w:rsid w:val="00002DAF"/>
    <w:rsid w:val="000030C1"/>
    <w:rsid w:val="00005E36"/>
    <w:rsid w:val="000062FE"/>
    <w:rsid w:val="00006587"/>
    <w:rsid w:val="000067DF"/>
    <w:rsid w:val="00007E1B"/>
    <w:rsid w:val="00010641"/>
    <w:rsid w:val="000129F1"/>
    <w:rsid w:val="00013235"/>
    <w:rsid w:val="00013425"/>
    <w:rsid w:val="000141BE"/>
    <w:rsid w:val="000156B4"/>
    <w:rsid w:val="00016724"/>
    <w:rsid w:val="0001690F"/>
    <w:rsid w:val="00016B3A"/>
    <w:rsid w:val="000170F3"/>
    <w:rsid w:val="000173C8"/>
    <w:rsid w:val="00023146"/>
    <w:rsid w:val="00024837"/>
    <w:rsid w:val="00024D31"/>
    <w:rsid w:val="000256B2"/>
    <w:rsid w:val="000277E1"/>
    <w:rsid w:val="00030C9D"/>
    <w:rsid w:val="00030E64"/>
    <w:rsid w:val="00030E86"/>
    <w:rsid w:val="00031014"/>
    <w:rsid w:val="00031453"/>
    <w:rsid w:val="0003521E"/>
    <w:rsid w:val="00035782"/>
    <w:rsid w:val="000361EA"/>
    <w:rsid w:val="00036355"/>
    <w:rsid w:val="00036537"/>
    <w:rsid w:val="00037D44"/>
    <w:rsid w:val="00041C3B"/>
    <w:rsid w:val="00041F03"/>
    <w:rsid w:val="000421E6"/>
    <w:rsid w:val="00042A69"/>
    <w:rsid w:val="00043569"/>
    <w:rsid w:val="00043998"/>
    <w:rsid w:val="00043FF3"/>
    <w:rsid w:val="00046CDE"/>
    <w:rsid w:val="00046F86"/>
    <w:rsid w:val="000507AD"/>
    <w:rsid w:val="00050AD7"/>
    <w:rsid w:val="00050EA2"/>
    <w:rsid w:val="00051742"/>
    <w:rsid w:val="00051E1B"/>
    <w:rsid w:val="00052436"/>
    <w:rsid w:val="00053223"/>
    <w:rsid w:val="00054319"/>
    <w:rsid w:val="000548E1"/>
    <w:rsid w:val="00055893"/>
    <w:rsid w:val="00055CA8"/>
    <w:rsid w:val="00055D2D"/>
    <w:rsid w:val="000562B9"/>
    <w:rsid w:val="0005687F"/>
    <w:rsid w:val="00057EE7"/>
    <w:rsid w:val="000609A9"/>
    <w:rsid w:val="000619DB"/>
    <w:rsid w:val="00061BE0"/>
    <w:rsid w:val="00061E2C"/>
    <w:rsid w:val="0006234B"/>
    <w:rsid w:val="00062A4C"/>
    <w:rsid w:val="0006303A"/>
    <w:rsid w:val="00065399"/>
    <w:rsid w:val="00065B5E"/>
    <w:rsid w:val="00066088"/>
    <w:rsid w:val="000664A0"/>
    <w:rsid w:val="0007042C"/>
    <w:rsid w:val="000704E8"/>
    <w:rsid w:val="00070960"/>
    <w:rsid w:val="0007105D"/>
    <w:rsid w:val="00072B33"/>
    <w:rsid w:val="000738C3"/>
    <w:rsid w:val="00073A3C"/>
    <w:rsid w:val="00073BD5"/>
    <w:rsid w:val="000746CA"/>
    <w:rsid w:val="000765CB"/>
    <w:rsid w:val="00076B83"/>
    <w:rsid w:val="000770A3"/>
    <w:rsid w:val="00077676"/>
    <w:rsid w:val="000778CD"/>
    <w:rsid w:val="00077F2B"/>
    <w:rsid w:val="0008011C"/>
    <w:rsid w:val="000803D4"/>
    <w:rsid w:val="00081818"/>
    <w:rsid w:val="00082A86"/>
    <w:rsid w:val="00082F73"/>
    <w:rsid w:val="000844D7"/>
    <w:rsid w:val="000859AC"/>
    <w:rsid w:val="00085B35"/>
    <w:rsid w:val="00086FF2"/>
    <w:rsid w:val="00087335"/>
    <w:rsid w:val="000874C1"/>
    <w:rsid w:val="000875A1"/>
    <w:rsid w:val="00087819"/>
    <w:rsid w:val="000900F6"/>
    <w:rsid w:val="000908B0"/>
    <w:rsid w:val="000915B9"/>
    <w:rsid w:val="00091AB0"/>
    <w:rsid w:val="00092D6A"/>
    <w:rsid w:val="00092D8D"/>
    <w:rsid w:val="00094070"/>
    <w:rsid w:val="00095E5A"/>
    <w:rsid w:val="00096065"/>
    <w:rsid w:val="000965B8"/>
    <w:rsid w:val="000974FB"/>
    <w:rsid w:val="000A1714"/>
    <w:rsid w:val="000A1B7E"/>
    <w:rsid w:val="000A2880"/>
    <w:rsid w:val="000A2C52"/>
    <w:rsid w:val="000A33FA"/>
    <w:rsid w:val="000A3C50"/>
    <w:rsid w:val="000A47DF"/>
    <w:rsid w:val="000A51A7"/>
    <w:rsid w:val="000A5386"/>
    <w:rsid w:val="000A558D"/>
    <w:rsid w:val="000A5C2D"/>
    <w:rsid w:val="000A5FB9"/>
    <w:rsid w:val="000A60BA"/>
    <w:rsid w:val="000A614E"/>
    <w:rsid w:val="000A67B9"/>
    <w:rsid w:val="000A6804"/>
    <w:rsid w:val="000A6B83"/>
    <w:rsid w:val="000A6FFB"/>
    <w:rsid w:val="000A7450"/>
    <w:rsid w:val="000A78BA"/>
    <w:rsid w:val="000A7BF4"/>
    <w:rsid w:val="000A7DB3"/>
    <w:rsid w:val="000B0F93"/>
    <w:rsid w:val="000B1A04"/>
    <w:rsid w:val="000B29FD"/>
    <w:rsid w:val="000B2CD1"/>
    <w:rsid w:val="000B4976"/>
    <w:rsid w:val="000C1673"/>
    <w:rsid w:val="000C2916"/>
    <w:rsid w:val="000C3110"/>
    <w:rsid w:val="000C314C"/>
    <w:rsid w:val="000C33D3"/>
    <w:rsid w:val="000C3F3B"/>
    <w:rsid w:val="000C4A51"/>
    <w:rsid w:val="000C554D"/>
    <w:rsid w:val="000C597B"/>
    <w:rsid w:val="000C6E53"/>
    <w:rsid w:val="000C715D"/>
    <w:rsid w:val="000C7D60"/>
    <w:rsid w:val="000D0525"/>
    <w:rsid w:val="000D0EC7"/>
    <w:rsid w:val="000D125D"/>
    <w:rsid w:val="000D172F"/>
    <w:rsid w:val="000D27FB"/>
    <w:rsid w:val="000D306F"/>
    <w:rsid w:val="000D5478"/>
    <w:rsid w:val="000D563F"/>
    <w:rsid w:val="000D57BE"/>
    <w:rsid w:val="000D60DD"/>
    <w:rsid w:val="000D6E92"/>
    <w:rsid w:val="000D77E9"/>
    <w:rsid w:val="000D784C"/>
    <w:rsid w:val="000E0E5C"/>
    <w:rsid w:val="000E131B"/>
    <w:rsid w:val="000E1687"/>
    <w:rsid w:val="000E199E"/>
    <w:rsid w:val="000E3FCF"/>
    <w:rsid w:val="000E4677"/>
    <w:rsid w:val="000E5349"/>
    <w:rsid w:val="000E5A46"/>
    <w:rsid w:val="000E5BF2"/>
    <w:rsid w:val="000E6DE3"/>
    <w:rsid w:val="000E7548"/>
    <w:rsid w:val="000E7D47"/>
    <w:rsid w:val="000F0112"/>
    <w:rsid w:val="000F09A2"/>
    <w:rsid w:val="000F0BEC"/>
    <w:rsid w:val="000F13B3"/>
    <w:rsid w:val="000F16C0"/>
    <w:rsid w:val="000F452B"/>
    <w:rsid w:val="000F4936"/>
    <w:rsid w:val="000F4C18"/>
    <w:rsid w:val="000F744F"/>
    <w:rsid w:val="000F74FB"/>
    <w:rsid w:val="000F7C20"/>
    <w:rsid w:val="0010042B"/>
    <w:rsid w:val="0010189C"/>
    <w:rsid w:val="001034CA"/>
    <w:rsid w:val="0010364F"/>
    <w:rsid w:val="00103CC5"/>
    <w:rsid w:val="00103DA3"/>
    <w:rsid w:val="00105D31"/>
    <w:rsid w:val="00105D7C"/>
    <w:rsid w:val="00110334"/>
    <w:rsid w:val="001104EF"/>
    <w:rsid w:val="001107D3"/>
    <w:rsid w:val="001111FB"/>
    <w:rsid w:val="0011216F"/>
    <w:rsid w:val="00113852"/>
    <w:rsid w:val="0011485F"/>
    <w:rsid w:val="00114C77"/>
    <w:rsid w:val="00114E06"/>
    <w:rsid w:val="00116821"/>
    <w:rsid w:val="00116C62"/>
    <w:rsid w:val="00116E94"/>
    <w:rsid w:val="0012009A"/>
    <w:rsid w:val="001203DD"/>
    <w:rsid w:val="00120CA1"/>
    <w:rsid w:val="001210CD"/>
    <w:rsid w:val="00122AB2"/>
    <w:rsid w:val="00122C80"/>
    <w:rsid w:val="00123B62"/>
    <w:rsid w:val="001240CE"/>
    <w:rsid w:val="0012504B"/>
    <w:rsid w:val="0012509F"/>
    <w:rsid w:val="001251F4"/>
    <w:rsid w:val="00125971"/>
    <w:rsid w:val="00125B78"/>
    <w:rsid w:val="00125B7B"/>
    <w:rsid w:val="00126AB0"/>
    <w:rsid w:val="00126F18"/>
    <w:rsid w:val="001279CA"/>
    <w:rsid w:val="001306D8"/>
    <w:rsid w:val="00131DA9"/>
    <w:rsid w:val="00131F9F"/>
    <w:rsid w:val="00135755"/>
    <w:rsid w:val="001362EA"/>
    <w:rsid w:val="00136D32"/>
    <w:rsid w:val="001375FA"/>
    <w:rsid w:val="00137774"/>
    <w:rsid w:val="00137994"/>
    <w:rsid w:val="0014146E"/>
    <w:rsid w:val="001420D7"/>
    <w:rsid w:val="0014337F"/>
    <w:rsid w:val="00144125"/>
    <w:rsid w:val="00144215"/>
    <w:rsid w:val="001443EA"/>
    <w:rsid w:val="00144AE2"/>
    <w:rsid w:val="00144E1C"/>
    <w:rsid w:val="00145112"/>
    <w:rsid w:val="00145468"/>
    <w:rsid w:val="0014634A"/>
    <w:rsid w:val="001465AB"/>
    <w:rsid w:val="0014661E"/>
    <w:rsid w:val="0014677E"/>
    <w:rsid w:val="0014695C"/>
    <w:rsid w:val="0014784F"/>
    <w:rsid w:val="00151EC8"/>
    <w:rsid w:val="001523DF"/>
    <w:rsid w:val="001523E3"/>
    <w:rsid w:val="001529F8"/>
    <w:rsid w:val="001533A5"/>
    <w:rsid w:val="00153884"/>
    <w:rsid w:val="0015460E"/>
    <w:rsid w:val="00154666"/>
    <w:rsid w:val="001555F9"/>
    <w:rsid w:val="00155E75"/>
    <w:rsid w:val="00156B9B"/>
    <w:rsid w:val="0015728F"/>
    <w:rsid w:val="0016095C"/>
    <w:rsid w:val="00160E34"/>
    <w:rsid w:val="00161182"/>
    <w:rsid w:val="001612F1"/>
    <w:rsid w:val="001619E9"/>
    <w:rsid w:val="00161C98"/>
    <w:rsid w:val="00162655"/>
    <w:rsid w:val="00163010"/>
    <w:rsid w:val="00163DB3"/>
    <w:rsid w:val="001642A1"/>
    <w:rsid w:val="00164F51"/>
    <w:rsid w:val="00167E63"/>
    <w:rsid w:val="0017004F"/>
    <w:rsid w:val="0017051C"/>
    <w:rsid w:val="00170789"/>
    <w:rsid w:val="001714C8"/>
    <w:rsid w:val="00171FE3"/>
    <w:rsid w:val="0017250D"/>
    <w:rsid w:val="0017292B"/>
    <w:rsid w:val="00172A27"/>
    <w:rsid w:val="00173DAB"/>
    <w:rsid w:val="00173DBC"/>
    <w:rsid w:val="00174B18"/>
    <w:rsid w:val="001764DB"/>
    <w:rsid w:val="0017670E"/>
    <w:rsid w:val="0018031F"/>
    <w:rsid w:val="00181409"/>
    <w:rsid w:val="00181DE5"/>
    <w:rsid w:val="001834A1"/>
    <w:rsid w:val="00183A18"/>
    <w:rsid w:val="00183D92"/>
    <w:rsid w:val="00184837"/>
    <w:rsid w:val="00185157"/>
    <w:rsid w:val="0018639E"/>
    <w:rsid w:val="001867AE"/>
    <w:rsid w:val="00187119"/>
    <w:rsid w:val="0018712A"/>
    <w:rsid w:val="00187389"/>
    <w:rsid w:val="0018773F"/>
    <w:rsid w:val="00187A06"/>
    <w:rsid w:val="00187A0A"/>
    <w:rsid w:val="00190B72"/>
    <w:rsid w:val="00190F22"/>
    <w:rsid w:val="0019248B"/>
    <w:rsid w:val="00192973"/>
    <w:rsid w:val="00193CE6"/>
    <w:rsid w:val="00194EAD"/>
    <w:rsid w:val="00196DB9"/>
    <w:rsid w:val="0019719C"/>
    <w:rsid w:val="001978E7"/>
    <w:rsid w:val="00197E5E"/>
    <w:rsid w:val="001A0151"/>
    <w:rsid w:val="001A071B"/>
    <w:rsid w:val="001A0BD3"/>
    <w:rsid w:val="001A0D1F"/>
    <w:rsid w:val="001A1300"/>
    <w:rsid w:val="001A19B9"/>
    <w:rsid w:val="001A4668"/>
    <w:rsid w:val="001A4BAA"/>
    <w:rsid w:val="001A4D00"/>
    <w:rsid w:val="001A507B"/>
    <w:rsid w:val="001A58A2"/>
    <w:rsid w:val="001A5970"/>
    <w:rsid w:val="001A668C"/>
    <w:rsid w:val="001A71F7"/>
    <w:rsid w:val="001A7519"/>
    <w:rsid w:val="001A7CF8"/>
    <w:rsid w:val="001B1961"/>
    <w:rsid w:val="001B1AF2"/>
    <w:rsid w:val="001B1BA4"/>
    <w:rsid w:val="001B2738"/>
    <w:rsid w:val="001B38FB"/>
    <w:rsid w:val="001B4767"/>
    <w:rsid w:val="001B48A0"/>
    <w:rsid w:val="001B4E90"/>
    <w:rsid w:val="001B5373"/>
    <w:rsid w:val="001B5C62"/>
    <w:rsid w:val="001B5C8D"/>
    <w:rsid w:val="001B5CB8"/>
    <w:rsid w:val="001C082C"/>
    <w:rsid w:val="001C1380"/>
    <w:rsid w:val="001C1411"/>
    <w:rsid w:val="001C169D"/>
    <w:rsid w:val="001C1B0E"/>
    <w:rsid w:val="001C2038"/>
    <w:rsid w:val="001C2E09"/>
    <w:rsid w:val="001C2FA1"/>
    <w:rsid w:val="001C350F"/>
    <w:rsid w:val="001C4E37"/>
    <w:rsid w:val="001C57A1"/>
    <w:rsid w:val="001C5FAE"/>
    <w:rsid w:val="001C6385"/>
    <w:rsid w:val="001C6470"/>
    <w:rsid w:val="001C775C"/>
    <w:rsid w:val="001D0733"/>
    <w:rsid w:val="001D0776"/>
    <w:rsid w:val="001D07DF"/>
    <w:rsid w:val="001D16D5"/>
    <w:rsid w:val="001D175D"/>
    <w:rsid w:val="001D3130"/>
    <w:rsid w:val="001D46B7"/>
    <w:rsid w:val="001D4C09"/>
    <w:rsid w:val="001D4D81"/>
    <w:rsid w:val="001D5101"/>
    <w:rsid w:val="001D5CF0"/>
    <w:rsid w:val="001D66E2"/>
    <w:rsid w:val="001D6DDA"/>
    <w:rsid w:val="001D6F07"/>
    <w:rsid w:val="001D7AB4"/>
    <w:rsid w:val="001D7CC0"/>
    <w:rsid w:val="001E0002"/>
    <w:rsid w:val="001E04ED"/>
    <w:rsid w:val="001E0A44"/>
    <w:rsid w:val="001E162C"/>
    <w:rsid w:val="001E2844"/>
    <w:rsid w:val="001E2B45"/>
    <w:rsid w:val="001E4182"/>
    <w:rsid w:val="001E4A4D"/>
    <w:rsid w:val="001E5099"/>
    <w:rsid w:val="001E538E"/>
    <w:rsid w:val="001E5594"/>
    <w:rsid w:val="001E5A92"/>
    <w:rsid w:val="001E5BC1"/>
    <w:rsid w:val="001E69EA"/>
    <w:rsid w:val="001E7488"/>
    <w:rsid w:val="001E7F78"/>
    <w:rsid w:val="001F1152"/>
    <w:rsid w:val="001F1626"/>
    <w:rsid w:val="001F16A1"/>
    <w:rsid w:val="001F2032"/>
    <w:rsid w:val="001F36AD"/>
    <w:rsid w:val="001F4149"/>
    <w:rsid w:val="001F45E0"/>
    <w:rsid w:val="001F47AE"/>
    <w:rsid w:val="001F4B16"/>
    <w:rsid w:val="001F58D0"/>
    <w:rsid w:val="001F75BC"/>
    <w:rsid w:val="0020099A"/>
    <w:rsid w:val="002011F4"/>
    <w:rsid w:val="002014AE"/>
    <w:rsid w:val="002014FA"/>
    <w:rsid w:val="00201A79"/>
    <w:rsid w:val="00203833"/>
    <w:rsid w:val="00203881"/>
    <w:rsid w:val="00203BD6"/>
    <w:rsid w:val="0020477F"/>
    <w:rsid w:val="00205924"/>
    <w:rsid w:val="00207500"/>
    <w:rsid w:val="002078B4"/>
    <w:rsid w:val="00210407"/>
    <w:rsid w:val="0021097F"/>
    <w:rsid w:val="00210A06"/>
    <w:rsid w:val="00211B93"/>
    <w:rsid w:val="002126EE"/>
    <w:rsid w:val="00212F5B"/>
    <w:rsid w:val="0021464C"/>
    <w:rsid w:val="002147DF"/>
    <w:rsid w:val="00214C4D"/>
    <w:rsid w:val="00214ECE"/>
    <w:rsid w:val="0021511B"/>
    <w:rsid w:val="00215325"/>
    <w:rsid w:val="00215EDA"/>
    <w:rsid w:val="002162BF"/>
    <w:rsid w:val="002167B3"/>
    <w:rsid w:val="00220CB3"/>
    <w:rsid w:val="002210FF"/>
    <w:rsid w:val="002227CE"/>
    <w:rsid w:val="00222BA5"/>
    <w:rsid w:val="002231A3"/>
    <w:rsid w:val="0022329E"/>
    <w:rsid w:val="002237B5"/>
    <w:rsid w:val="00225838"/>
    <w:rsid w:val="00225D4A"/>
    <w:rsid w:val="00225E53"/>
    <w:rsid w:val="00227D11"/>
    <w:rsid w:val="00231AAB"/>
    <w:rsid w:val="0023247D"/>
    <w:rsid w:val="00232D01"/>
    <w:rsid w:val="00232E59"/>
    <w:rsid w:val="00233432"/>
    <w:rsid w:val="0023395D"/>
    <w:rsid w:val="00233972"/>
    <w:rsid w:val="00233C64"/>
    <w:rsid w:val="00233E37"/>
    <w:rsid w:val="0023408C"/>
    <w:rsid w:val="002368E0"/>
    <w:rsid w:val="00237F75"/>
    <w:rsid w:val="002411E8"/>
    <w:rsid w:val="00241A23"/>
    <w:rsid w:val="0024316B"/>
    <w:rsid w:val="002431EF"/>
    <w:rsid w:val="00243B50"/>
    <w:rsid w:val="00243D67"/>
    <w:rsid w:val="00244035"/>
    <w:rsid w:val="002446EE"/>
    <w:rsid w:val="00244CA8"/>
    <w:rsid w:val="00244CED"/>
    <w:rsid w:val="00244F02"/>
    <w:rsid w:val="0024618E"/>
    <w:rsid w:val="00246522"/>
    <w:rsid w:val="00246C42"/>
    <w:rsid w:val="00247CFD"/>
    <w:rsid w:val="00247F4B"/>
    <w:rsid w:val="0025180F"/>
    <w:rsid w:val="00251B11"/>
    <w:rsid w:val="00253D68"/>
    <w:rsid w:val="0025474D"/>
    <w:rsid w:val="00254B23"/>
    <w:rsid w:val="00255684"/>
    <w:rsid w:val="0025783C"/>
    <w:rsid w:val="00261AF4"/>
    <w:rsid w:val="002627EB"/>
    <w:rsid w:val="00265165"/>
    <w:rsid w:val="00267021"/>
    <w:rsid w:val="002676A6"/>
    <w:rsid w:val="00267B7D"/>
    <w:rsid w:val="0027075D"/>
    <w:rsid w:val="0027156B"/>
    <w:rsid w:val="00272E25"/>
    <w:rsid w:val="0027343B"/>
    <w:rsid w:val="002746FD"/>
    <w:rsid w:val="002749CE"/>
    <w:rsid w:val="00275AC3"/>
    <w:rsid w:val="0027668F"/>
    <w:rsid w:val="00277282"/>
    <w:rsid w:val="002809AE"/>
    <w:rsid w:val="00281DAC"/>
    <w:rsid w:val="00281FEF"/>
    <w:rsid w:val="00283C00"/>
    <w:rsid w:val="00284ED8"/>
    <w:rsid w:val="00285035"/>
    <w:rsid w:val="00285E55"/>
    <w:rsid w:val="002863CB"/>
    <w:rsid w:val="002874EE"/>
    <w:rsid w:val="00287C48"/>
    <w:rsid w:val="00287CA6"/>
    <w:rsid w:val="0029011A"/>
    <w:rsid w:val="0029173A"/>
    <w:rsid w:val="00292638"/>
    <w:rsid w:val="00292C33"/>
    <w:rsid w:val="002932EC"/>
    <w:rsid w:val="00293A44"/>
    <w:rsid w:val="0029403F"/>
    <w:rsid w:val="002952DA"/>
    <w:rsid w:val="0029568C"/>
    <w:rsid w:val="00295EBB"/>
    <w:rsid w:val="0029630D"/>
    <w:rsid w:val="0029764C"/>
    <w:rsid w:val="002A063E"/>
    <w:rsid w:val="002A0E89"/>
    <w:rsid w:val="002A1A3D"/>
    <w:rsid w:val="002A1BA1"/>
    <w:rsid w:val="002A1CB9"/>
    <w:rsid w:val="002A297C"/>
    <w:rsid w:val="002A3508"/>
    <w:rsid w:val="002A3C3F"/>
    <w:rsid w:val="002A490E"/>
    <w:rsid w:val="002A5CCA"/>
    <w:rsid w:val="002A5DE7"/>
    <w:rsid w:val="002A5F37"/>
    <w:rsid w:val="002A6EEB"/>
    <w:rsid w:val="002A7CEF"/>
    <w:rsid w:val="002B1108"/>
    <w:rsid w:val="002B2708"/>
    <w:rsid w:val="002B30B0"/>
    <w:rsid w:val="002B4378"/>
    <w:rsid w:val="002B445E"/>
    <w:rsid w:val="002B47DC"/>
    <w:rsid w:val="002B5826"/>
    <w:rsid w:val="002B6232"/>
    <w:rsid w:val="002B6728"/>
    <w:rsid w:val="002B67C0"/>
    <w:rsid w:val="002B769A"/>
    <w:rsid w:val="002C19D5"/>
    <w:rsid w:val="002C31ED"/>
    <w:rsid w:val="002C4849"/>
    <w:rsid w:val="002C5D9F"/>
    <w:rsid w:val="002C6162"/>
    <w:rsid w:val="002C69E5"/>
    <w:rsid w:val="002C73BF"/>
    <w:rsid w:val="002C7AA4"/>
    <w:rsid w:val="002D0C43"/>
    <w:rsid w:val="002D1095"/>
    <w:rsid w:val="002D1759"/>
    <w:rsid w:val="002D1AFF"/>
    <w:rsid w:val="002D20C1"/>
    <w:rsid w:val="002D2DA5"/>
    <w:rsid w:val="002D3034"/>
    <w:rsid w:val="002D31E7"/>
    <w:rsid w:val="002D37BA"/>
    <w:rsid w:val="002D39A8"/>
    <w:rsid w:val="002D4521"/>
    <w:rsid w:val="002D69F0"/>
    <w:rsid w:val="002D6C48"/>
    <w:rsid w:val="002D7282"/>
    <w:rsid w:val="002E17AC"/>
    <w:rsid w:val="002E1BEE"/>
    <w:rsid w:val="002E1CCA"/>
    <w:rsid w:val="002E23BF"/>
    <w:rsid w:val="002E42CA"/>
    <w:rsid w:val="002E58FE"/>
    <w:rsid w:val="002E608F"/>
    <w:rsid w:val="002E6196"/>
    <w:rsid w:val="002E7817"/>
    <w:rsid w:val="002E7BBC"/>
    <w:rsid w:val="002F0ABE"/>
    <w:rsid w:val="002F2095"/>
    <w:rsid w:val="002F2D66"/>
    <w:rsid w:val="002F2E07"/>
    <w:rsid w:val="002F2E39"/>
    <w:rsid w:val="002F2EBE"/>
    <w:rsid w:val="002F32A2"/>
    <w:rsid w:val="002F3B65"/>
    <w:rsid w:val="002F44FB"/>
    <w:rsid w:val="002F4FDA"/>
    <w:rsid w:val="002F5151"/>
    <w:rsid w:val="002F51C1"/>
    <w:rsid w:val="002F5B42"/>
    <w:rsid w:val="002F5DCC"/>
    <w:rsid w:val="002F6E04"/>
    <w:rsid w:val="002F750E"/>
    <w:rsid w:val="003000B7"/>
    <w:rsid w:val="00300DC6"/>
    <w:rsid w:val="00300DD0"/>
    <w:rsid w:val="00301FE7"/>
    <w:rsid w:val="00302BE1"/>
    <w:rsid w:val="00302C0B"/>
    <w:rsid w:val="00303584"/>
    <w:rsid w:val="00303B1C"/>
    <w:rsid w:val="00304042"/>
    <w:rsid w:val="003041C8"/>
    <w:rsid w:val="00304F69"/>
    <w:rsid w:val="00305476"/>
    <w:rsid w:val="003061FD"/>
    <w:rsid w:val="003105ED"/>
    <w:rsid w:val="00310795"/>
    <w:rsid w:val="00310D9A"/>
    <w:rsid w:val="00311403"/>
    <w:rsid w:val="00312A89"/>
    <w:rsid w:val="00312EAE"/>
    <w:rsid w:val="00313800"/>
    <w:rsid w:val="00313A68"/>
    <w:rsid w:val="00313A7E"/>
    <w:rsid w:val="00313C3D"/>
    <w:rsid w:val="00314ECF"/>
    <w:rsid w:val="00315E0A"/>
    <w:rsid w:val="003175E7"/>
    <w:rsid w:val="003175F1"/>
    <w:rsid w:val="00317F7F"/>
    <w:rsid w:val="00320FA6"/>
    <w:rsid w:val="00320FF1"/>
    <w:rsid w:val="00321520"/>
    <w:rsid w:val="003215AF"/>
    <w:rsid w:val="00321B48"/>
    <w:rsid w:val="00322ADD"/>
    <w:rsid w:val="0032300A"/>
    <w:rsid w:val="00323076"/>
    <w:rsid w:val="0032325D"/>
    <w:rsid w:val="00324515"/>
    <w:rsid w:val="00324B53"/>
    <w:rsid w:val="0032505F"/>
    <w:rsid w:val="0032533D"/>
    <w:rsid w:val="00326C86"/>
    <w:rsid w:val="003272A0"/>
    <w:rsid w:val="00327475"/>
    <w:rsid w:val="00327549"/>
    <w:rsid w:val="00327E40"/>
    <w:rsid w:val="00330D28"/>
    <w:rsid w:val="00330E0B"/>
    <w:rsid w:val="003321DD"/>
    <w:rsid w:val="003324C1"/>
    <w:rsid w:val="00332943"/>
    <w:rsid w:val="00332C02"/>
    <w:rsid w:val="00334E84"/>
    <w:rsid w:val="003350EA"/>
    <w:rsid w:val="00336E95"/>
    <w:rsid w:val="00336F95"/>
    <w:rsid w:val="00342464"/>
    <w:rsid w:val="00343A4A"/>
    <w:rsid w:val="00343D09"/>
    <w:rsid w:val="00344462"/>
    <w:rsid w:val="00345F13"/>
    <w:rsid w:val="00346491"/>
    <w:rsid w:val="00346868"/>
    <w:rsid w:val="003478FE"/>
    <w:rsid w:val="00350BDF"/>
    <w:rsid w:val="00352190"/>
    <w:rsid w:val="00353586"/>
    <w:rsid w:val="00353B83"/>
    <w:rsid w:val="003553A8"/>
    <w:rsid w:val="00355BE0"/>
    <w:rsid w:val="003561E4"/>
    <w:rsid w:val="00356AA2"/>
    <w:rsid w:val="00356E30"/>
    <w:rsid w:val="00356F21"/>
    <w:rsid w:val="00357A28"/>
    <w:rsid w:val="003600DB"/>
    <w:rsid w:val="00360E0A"/>
    <w:rsid w:val="003614FA"/>
    <w:rsid w:val="00362870"/>
    <w:rsid w:val="00362B2E"/>
    <w:rsid w:val="00363119"/>
    <w:rsid w:val="003631AA"/>
    <w:rsid w:val="003658B8"/>
    <w:rsid w:val="00366965"/>
    <w:rsid w:val="00366A46"/>
    <w:rsid w:val="00366B2E"/>
    <w:rsid w:val="00366C4B"/>
    <w:rsid w:val="003671BC"/>
    <w:rsid w:val="003705A3"/>
    <w:rsid w:val="00370BF0"/>
    <w:rsid w:val="00370EA5"/>
    <w:rsid w:val="00370EDB"/>
    <w:rsid w:val="00371847"/>
    <w:rsid w:val="00371971"/>
    <w:rsid w:val="00371E54"/>
    <w:rsid w:val="00372960"/>
    <w:rsid w:val="00372D75"/>
    <w:rsid w:val="00375235"/>
    <w:rsid w:val="0037576D"/>
    <w:rsid w:val="003774AB"/>
    <w:rsid w:val="00377D08"/>
    <w:rsid w:val="00377D97"/>
    <w:rsid w:val="003808BA"/>
    <w:rsid w:val="00380A39"/>
    <w:rsid w:val="00380C96"/>
    <w:rsid w:val="00381040"/>
    <w:rsid w:val="0038202E"/>
    <w:rsid w:val="003824BD"/>
    <w:rsid w:val="0038302E"/>
    <w:rsid w:val="0038402C"/>
    <w:rsid w:val="00384B74"/>
    <w:rsid w:val="003852D1"/>
    <w:rsid w:val="003862ED"/>
    <w:rsid w:val="00386540"/>
    <w:rsid w:val="00386787"/>
    <w:rsid w:val="00386A4E"/>
    <w:rsid w:val="00387118"/>
    <w:rsid w:val="003879B6"/>
    <w:rsid w:val="00391AB3"/>
    <w:rsid w:val="00391C3D"/>
    <w:rsid w:val="00391E5D"/>
    <w:rsid w:val="00392353"/>
    <w:rsid w:val="00392565"/>
    <w:rsid w:val="00392B62"/>
    <w:rsid w:val="00392E3B"/>
    <w:rsid w:val="00394AFD"/>
    <w:rsid w:val="00395DAE"/>
    <w:rsid w:val="00395FD4"/>
    <w:rsid w:val="00396A31"/>
    <w:rsid w:val="00396E4E"/>
    <w:rsid w:val="00397692"/>
    <w:rsid w:val="00397C90"/>
    <w:rsid w:val="00397FB8"/>
    <w:rsid w:val="003A1914"/>
    <w:rsid w:val="003A1C17"/>
    <w:rsid w:val="003A2057"/>
    <w:rsid w:val="003A2AC4"/>
    <w:rsid w:val="003A3335"/>
    <w:rsid w:val="003A344E"/>
    <w:rsid w:val="003A40BC"/>
    <w:rsid w:val="003A449E"/>
    <w:rsid w:val="003A44F5"/>
    <w:rsid w:val="003A4583"/>
    <w:rsid w:val="003A46A9"/>
    <w:rsid w:val="003A5A5F"/>
    <w:rsid w:val="003A73C1"/>
    <w:rsid w:val="003B038B"/>
    <w:rsid w:val="003B0F28"/>
    <w:rsid w:val="003B27A5"/>
    <w:rsid w:val="003B2A99"/>
    <w:rsid w:val="003B2D3B"/>
    <w:rsid w:val="003B4486"/>
    <w:rsid w:val="003B510B"/>
    <w:rsid w:val="003B5C33"/>
    <w:rsid w:val="003B6E18"/>
    <w:rsid w:val="003B759C"/>
    <w:rsid w:val="003B766F"/>
    <w:rsid w:val="003B79DB"/>
    <w:rsid w:val="003C07A0"/>
    <w:rsid w:val="003C0891"/>
    <w:rsid w:val="003C10D6"/>
    <w:rsid w:val="003C256F"/>
    <w:rsid w:val="003C2719"/>
    <w:rsid w:val="003C2C5C"/>
    <w:rsid w:val="003C307E"/>
    <w:rsid w:val="003C3B91"/>
    <w:rsid w:val="003C4232"/>
    <w:rsid w:val="003C4449"/>
    <w:rsid w:val="003C50D6"/>
    <w:rsid w:val="003C5F1A"/>
    <w:rsid w:val="003C6798"/>
    <w:rsid w:val="003C682C"/>
    <w:rsid w:val="003C6933"/>
    <w:rsid w:val="003C6F3A"/>
    <w:rsid w:val="003C7B9A"/>
    <w:rsid w:val="003C7D26"/>
    <w:rsid w:val="003D0302"/>
    <w:rsid w:val="003D0924"/>
    <w:rsid w:val="003D0C04"/>
    <w:rsid w:val="003D1759"/>
    <w:rsid w:val="003D41C8"/>
    <w:rsid w:val="003D439B"/>
    <w:rsid w:val="003D43D1"/>
    <w:rsid w:val="003D54F0"/>
    <w:rsid w:val="003D59E1"/>
    <w:rsid w:val="003D6433"/>
    <w:rsid w:val="003D67A2"/>
    <w:rsid w:val="003D6CCB"/>
    <w:rsid w:val="003D7DFC"/>
    <w:rsid w:val="003E02B4"/>
    <w:rsid w:val="003E06A0"/>
    <w:rsid w:val="003E076C"/>
    <w:rsid w:val="003E0B97"/>
    <w:rsid w:val="003E0BB8"/>
    <w:rsid w:val="003E1006"/>
    <w:rsid w:val="003E1319"/>
    <w:rsid w:val="003E26AF"/>
    <w:rsid w:val="003E2FDB"/>
    <w:rsid w:val="003E3706"/>
    <w:rsid w:val="003E44CC"/>
    <w:rsid w:val="003E4DDB"/>
    <w:rsid w:val="003E539D"/>
    <w:rsid w:val="003E5C5E"/>
    <w:rsid w:val="003E5D13"/>
    <w:rsid w:val="003E5EF6"/>
    <w:rsid w:val="003E6E15"/>
    <w:rsid w:val="003F0C96"/>
    <w:rsid w:val="003F12D7"/>
    <w:rsid w:val="003F1650"/>
    <w:rsid w:val="003F1811"/>
    <w:rsid w:val="003F19CF"/>
    <w:rsid w:val="003F2697"/>
    <w:rsid w:val="003F2B18"/>
    <w:rsid w:val="003F2DE9"/>
    <w:rsid w:val="003F309D"/>
    <w:rsid w:val="003F39DF"/>
    <w:rsid w:val="003F3D91"/>
    <w:rsid w:val="003F415C"/>
    <w:rsid w:val="003F45BD"/>
    <w:rsid w:val="003F4771"/>
    <w:rsid w:val="003F4A5E"/>
    <w:rsid w:val="003F5222"/>
    <w:rsid w:val="003F6808"/>
    <w:rsid w:val="003F6B92"/>
    <w:rsid w:val="003F74BE"/>
    <w:rsid w:val="003F7DE1"/>
    <w:rsid w:val="00400E29"/>
    <w:rsid w:val="0040131D"/>
    <w:rsid w:val="00401C1C"/>
    <w:rsid w:val="00404DC9"/>
    <w:rsid w:val="004072C6"/>
    <w:rsid w:val="0040732F"/>
    <w:rsid w:val="004075E8"/>
    <w:rsid w:val="00410CA0"/>
    <w:rsid w:val="004126F3"/>
    <w:rsid w:val="00412A97"/>
    <w:rsid w:val="00413CB2"/>
    <w:rsid w:val="0041455A"/>
    <w:rsid w:val="00414D4D"/>
    <w:rsid w:val="00415976"/>
    <w:rsid w:val="00415A89"/>
    <w:rsid w:val="00420045"/>
    <w:rsid w:val="00421E66"/>
    <w:rsid w:val="00422F10"/>
    <w:rsid w:val="004230B6"/>
    <w:rsid w:val="004234C2"/>
    <w:rsid w:val="00423640"/>
    <w:rsid w:val="00423771"/>
    <w:rsid w:val="00423857"/>
    <w:rsid w:val="00423C66"/>
    <w:rsid w:val="00423D2C"/>
    <w:rsid w:val="00423DE5"/>
    <w:rsid w:val="0042436B"/>
    <w:rsid w:val="00424D01"/>
    <w:rsid w:val="00424D86"/>
    <w:rsid w:val="004254E5"/>
    <w:rsid w:val="00425F81"/>
    <w:rsid w:val="00426304"/>
    <w:rsid w:val="00427177"/>
    <w:rsid w:val="00427909"/>
    <w:rsid w:val="004300DE"/>
    <w:rsid w:val="0043033C"/>
    <w:rsid w:val="004304BD"/>
    <w:rsid w:val="00430F0F"/>
    <w:rsid w:val="00431F7D"/>
    <w:rsid w:val="00432B40"/>
    <w:rsid w:val="00433C6C"/>
    <w:rsid w:val="0043584D"/>
    <w:rsid w:val="00435F2D"/>
    <w:rsid w:val="00436571"/>
    <w:rsid w:val="00436F53"/>
    <w:rsid w:val="00437055"/>
    <w:rsid w:val="00441FA8"/>
    <w:rsid w:val="00442AFC"/>
    <w:rsid w:val="00443184"/>
    <w:rsid w:val="004439D5"/>
    <w:rsid w:val="00443A2F"/>
    <w:rsid w:val="00443F44"/>
    <w:rsid w:val="00444340"/>
    <w:rsid w:val="004446B9"/>
    <w:rsid w:val="004462E3"/>
    <w:rsid w:val="00451499"/>
    <w:rsid w:val="0045165B"/>
    <w:rsid w:val="00451C6F"/>
    <w:rsid w:val="00453936"/>
    <w:rsid w:val="00453F59"/>
    <w:rsid w:val="004545E4"/>
    <w:rsid w:val="0045477D"/>
    <w:rsid w:val="00454A77"/>
    <w:rsid w:val="00454F5F"/>
    <w:rsid w:val="00455558"/>
    <w:rsid w:val="0045648D"/>
    <w:rsid w:val="00456BBA"/>
    <w:rsid w:val="00456ED2"/>
    <w:rsid w:val="00457D3E"/>
    <w:rsid w:val="004619D0"/>
    <w:rsid w:val="00462A79"/>
    <w:rsid w:val="00462AB9"/>
    <w:rsid w:val="004666AD"/>
    <w:rsid w:val="00467398"/>
    <w:rsid w:val="004674F3"/>
    <w:rsid w:val="004675F4"/>
    <w:rsid w:val="00467A88"/>
    <w:rsid w:val="0047009E"/>
    <w:rsid w:val="00472015"/>
    <w:rsid w:val="004723E8"/>
    <w:rsid w:val="004743F7"/>
    <w:rsid w:val="004756B7"/>
    <w:rsid w:val="00475BFD"/>
    <w:rsid w:val="00477223"/>
    <w:rsid w:val="00477B15"/>
    <w:rsid w:val="00481197"/>
    <w:rsid w:val="004819D2"/>
    <w:rsid w:val="00481F1C"/>
    <w:rsid w:val="00482E66"/>
    <w:rsid w:val="00483409"/>
    <w:rsid w:val="0048379D"/>
    <w:rsid w:val="004849BC"/>
    <w:rsid w:val="00484B1F"/>
    <w:rsid w:val="004854C9"/>
    <w:rsid w:val="00485A03"/>
    <w:rsid w:val="004877A7"/>
    <w:rsid w:val="004879A0"/>
    <w:rsid w:val="00487DBB"/>
    <w:rsid w:val="004900AF"/>
    <w:rsid w:val="0049041E"/>
    <w:rsid w:val="00490657"/>
    <w:rsid w:val="00490C7A"/>
    <w:rsid w:val="00490D96"/>
    <w:rsid w:val="00490FAA"/>
    <w:rsid w:val="00491965"/>
    <w:rsid w:val="00492E6B"/>
    <w:rsid w:val="004932AD"/>
    <w:rsid w:val="004937C6"/>
    <w:rsid w:val="00495232"/>
    <w:rsid w:val="00495618"/>
    <w:rsid w:val="00495889"/>
    <w:rsid w:val="00496049"/>
    <w:rsid w:val="00497904"/>
    <w:rsid w:val="004A003C"/>
    <w:rsid w:val="004A0BF6"/>
    <w:rsid w:val="004A11EB"/>
    <w:rsid w:val="004A12BA"/>
    <w:rsid w:val="004A1EFF"/>
    <w:rsid w:val="004A2297"/>
    <w:rsid w:val="004A2402"/>
    <w:rsid w:val="004A2C28"/>
    <w:rsid w:val="004A32CD"/>
    <w:rsid w:val="004A3A61"/>
    <w:rsid w:val="004A3CA4"/>
    <w:rsid w:val="004A40F8"/>
    <w:rsid w:val="004A5086"/>
    <w:rsid w:val="004A54D5"/>
    <w:rsid w:val="004A6276"/>
    <w:rsid w:val="004A6CAF"/>
    <w:rsid w:val="004A7F5D"/>
    <w:rsid w:val="004B086E"/>
    <w:rsid w:val="004B0C4E"/>
    <w:rsid w:val="004B1B07"/>
    <w:rsid w:val="004B206F"/>
    <w:rsid w:val="004B2DEB"/>
    <w:rsid w:val="004B3574"/>
    <w:rsid w:val="004B4699"/>
    <w:rsid w:val="004B4A2E"/>
    <w:rsid w:val="004B4CEA"/>
    <w:rsid w:val="004B4F8B"/>
    <w:rsid w:val="004B564B"/>
    <w:rsid w:val="004B5787"/>
    <w:rsid w:val="004B63F9"/>
    <w:rsid w:val="004B66E0"/>
    <w:rsid w:val="004B792D"/>
    <w:rsid w:val="004C125C"/>
    <w:rsid w:val="004C33A1"/>
    <w:rsid w:val="004C481F"/>
    <w:rsid w:val="004C4BA9"/>
    <w:rsid w:val="004C4EEF"/>
    <w:rsid w:val="004C520A"/>
    <w:rsid w:val="004C521A"/>
    <w:rsid w:val="004C5DB3"/>
    <w:rsid w:val="004C66E0"/>
    <w:rsid w:val="004C7A06"/>
    <w:rsid w:val="004D039C"/>
    <w:rsid w:val="004D0D3B"/>
    <w:rsid w:val="004D1EC8"/>
    <w:rsid w:val="004D235A"/>
    <w:rsid w:val="004D31FB"/>
    <w:rsid w:val="004D32B9"/>
    <w:rsid w:val="004D4013"/>
    <w:rsid w:val="004D428E"/>
    <w:rsid w:val="004D44E7"/>
    <w:rsid w:val="004D466D"/>
    <w:rsid w:val="004D5652"/>
    <w:rsid w:val="004D5A25"/>
    <w:rsid w:val="004D5EAA"/>
    <w:rsid w:val="004D71FC"/>
    <w:rsid w:val="004D7A4D"/>
    <w:rsid w:val="004E12F0"/>
    <w:rsid w:val="004E2B55"/>
    <w:rsid w:val="004E3978"/>
    <w:rsid w:val="004E616D"/>
    <w:rsid w:val="004E6CF0"/>
    <w:rsid w:val="004F2349"/>
    <w:rsid w:val="004F23D5"/>
    <w:rsid w:val="004F2595"/>
    <w:rsid w:val="004F32ED"/>
    <w:rsid w:val="004F37C2"/>
    <w:rsid w:val="004F3B6E"/>
    <w:rsid w:val="004F427C"/>
    <w:rsid w:val="004F446F"/>
    <w:rsid w:val="004F4C9D"/>
    <w:rsid w:val="004F5785"/>
    <w:rsid w:val="004F5FBF"/>
    <w:rsid w:val="004F6190"/>
    <w:rsid w:val="004F63EA"/>
    <w:rsid w:val="004F6B0F"/>
    <w:rsid w:val="004F6BF5"/>
    <w:rsid w:val="00500283"/>
    <w:rsid w:val="00500E61"/>
    <w:rsid w:val="005029F8"/>
    <w:rsid w:val="005033C2"/>
    <w:rsid w:val="00506822"/>
    <w:rsid w:val="005069B1"/>
    <w:rsid w:val="00506C44"/>
    <w:rsid w:val="005073F1"/>
    <w:rsid w:val="005074A1"/>
    <w:rsid w:val="00507509"/>
    <w:rsid w:val="0051011F"/>
    <w:rsid w:val="0051194A"/>
    <w:rsid w:val="00511F7B"/>
    <w:rsid w:val="00512290"/>
    <w:rsid w:val="00513E0F"/>
    <w:rsid w:val="00514300"/>
    <w:rsid w:val="00515374"/>
    <w:rsid w:val="00515CA8"/>
    <w:rsid w:val="00520C8A"/>
    <w:rsid w:val="00521875"/>
    <w:rsid w:val="00523387"/>
    <w:rsid w:val="0052511A"/>
    <w:rsid w:val="005255B4"/>
    <w:rsid w:val="00526A22"/>
    <w:rsid w:val="00526B00"/>
    <w:rsid w:val="005277E8"/>
    <w:rsid w:val="0052795F"/>
    <w:rsid w:val="00527A3A"/>
    <w:rsid w:val="00527FFE"/>
    <w:rsid w:val="00530000"/>
    <w:rsid w:val="00530846"/>
    <w:rsid w:val="00531870"/>
    <w:rsid w:val="00532426"/>
    <w:rsid w:val="00533143"/>
    <w:rsid w:val="005335B4"/>
    <w:rsid w:val="005337B1"/>
    <w:rsid w:val="00533A96"/>
    <w:rsid w:val="005340FF"/>
    <w:rsid w:val="00534398"/>
    <w:rsid w:val="005344F5"/>
    <w:rsid w:val="00534C2F"/>
    <w:rsid w:val="0053576A"/>
    <w:rsid w:val="005369F6"/>
    <w:rsid w:val="005379B7"/>
    <w:rsid w:val="005400A4"/>
    <w:rsid w:val="0054073F"/>
    <w:rsid w:val="00542550"/>
    <w:rsid w:val="00543157"/>
    <w:rsid w:val="005435DA"/>
    <w:rsid w:val="00543B2D"/>
    <w:rsid w:val="00544831"/>
    <w:rsid w:val="005452F2"/>
    <w:rsid w:val="00546486"/>
    <w:rsid w:val="00546767"/>
    <w:rsid w:val="00546914"/>
    <w:rsid w:val="00547313"/>
    <w:rsid w:val="00547935"/>
    <w:rsid w:val="00547A15"/>
    <w:rsid w:val="005506C6"/>
    <w:rsid w:val="00550AB4"/>
    <w:rsid w:val="0055100C"/>
    <w:rsid w:val="005516F8"/>
    <w:rsid w:val="00552526"/>
    <w:rsid w:val="00553419"/>
    <w:rsid w:val="00553F22"/>
    <w:rsid w:val="00554312"/>
    <w:rsid w:val="00554EAD"/>
    <w:rsid w:val="00555139"/>
    <w:rsid w:val="00555A3C"/>
    <w:rsid w:val="00555E51"/>
    <w:rsid w:val="0055798E"/>
    <w:rsid w:val="00560BF4"/>
    <w:rsid w:val="00560DAC"/>
    <w:rsid w:val="0056118D"/>
    <w:rsid w:val="0056153F"/>
    <w:rsid w:val="00562B17"/>
    <w:rsid w:val="00562C7E"/>
    <w:rsid w:val="005632DB"/>
    <w:rsid w:val="00564656"/>
    <w:rsid w:val="00564EB6"/>
    <w:rsid w:val="00565B4A"/>
    <w:rsid w:val="00567046"/>
    <w:rsid w:val="0056772A"/>
    <w:rsid w:val="00567B4B"/>
    <w:rsid w:val="00570EF2"/>
    <w:rsid w:val="005711FF"/>
    <w:rsid w:val="005714F9"/>
    <w:rsid w:val="00572829"/>
    <w:rsid w:val="0057286F"/>
    <w:rsid w:val="00572B86"/>
    <w:rsid w:val="00573730"/>
    <w:rsid w:val="00573F08"/>
    <w:rsid w:val="0057469E"/>
    <w:rsid w:val="00574E5F"/>
    <w:rsid w:val="005754BA"/>
    <w:rsid w:val="00576DF5"/>
    <w:rsid w:val="00577B09"/>
    <w:rsid w:val="005801DA"/>
    <w:rsid w:val="0058045F"/>
    <w:rsid w:val="005805A5"/>
    <w:rsid w:val="00580ABD"/>
    <w:rsid w:val="00580BAC"/>
    <w:rsid w:val="00581D93"/>
    <w:rsid w:val="005827D6"/>
    <w:rsid w:val="005832F2"/>
    <w:rsid w:val="0058347C"/>
    <w:rsid w:val="005836A7"/>
    <w:rsid w:val="00583B2B"/>
    <w:rsid w:val="00583BB0"/>
    <w:rsid w:val="00586680"/>
    <w:rsid w:val="0058713B"/>
    <w:rsid w:val="00587544"/>
    <w:rsid w:val="00587800"/>
    <w:rsid w:val="00587E9E"/>
    <w:rsid w:val="00590392"/>
    <w:rsid w:val="0059127B"/>
    <w:rsid w:val="00591E17"/>
    <w:rsid w:val="00591E86"/>
    <w:rsid w:val="0059217B"/>
    <w:rsid w:val="0059244C"/>
    <w:rsid w:val="00594C2C"/>
    <w:rsid w:val="00594E05"/>
    <w:rsid w:val="005969C9"/>
    <w:rsid w:val="00597373"/>
    <w:rsid w:val="005A00F2"/>
    <w:rsid w:val="005A143E"/>
    <w:rsid w:val="005A345E"/>
    <w:rsid w:val="005A361E"/>
    <w:rsid w:val="005A3752"/>
    <w:rsid w:val="005A404A"/>
    <w:rsid w:val="005A439C"/>
    <w:rsid w:val="005A5320"/>
    <w:rsid w:val="005A5336"/>
    <w:rsid w:val="005A6B32"/>
    <w:rsid w:val="005A6D7D"/>
    <w:rsid w:val="005A7130"/>
    <w:rsid w:val="005A718E"/>
    <w:rsid w:val="005A79E1"/>
    <w:rsid w:val="005B0027"/>
    <w:rsid w:val="005B0152"/>
    <w:rsid w:val="005B047B"/>
    <w:rsid w:val="005B077F"/>
    <w:rsid w:val="005B0CC8"/>
    <w:rsid w:val="005B0E8C"/>
    <w:rsid w:val="005B19DF"/>
    <w:rsid w:val="005B1A9C"/>
    <w:rsid w:val="005B1EFA"/>
    <w:rsid w:val="005B29D4"/>
    <w:rsid w:val="005B3044"/>
    <w:rsid w:val="005B30E0"/>
    <w:rsid w:val="005B593B"/>
    <w:rsid w:val="005B5E2B"/>
    <w:rsid w:val="005B6909"/>
    <w:rsid w:val="005B7367"/>
    <w:rsid w:val="005C00A3"/>
    <w:rsid w:val="005C1FC8"/>
    <w:rsid w:val="005C2FBF"/>
    <w:rsid w:val="005C3605"/>
    <w:rsid w:val="005C3E08"/>
    <w:rsid w:val="005C4D24"/>
    <w:rsid w:val="005C66FB"/>
    <w:rsid w:val="005C6945"/>
    <w:rsid w:val="005C6E43"/>
    <w:rsid w:val="005C7652"/>
    <w:rsid w:val="005C77D9"/>
    <w:rsid w:val="005C78B7"/>
    <w:rsid w:val="005C7EE8"/>
    <w:rsid w:val="005D0E44"/>
    <w:rsid w:val="005D137D"/>
    <w:rsid w:val="005D1556"/>
    <w:rsid w:val="005D2497"/>
    <w:rsid w:val="005D2C45"/>
    <w:rsid w:val="005D4504"/>
    <w:rsid w:val="005D4725"/>
    <w:rsid w:val="005D4B0C"/>
    <w:rsid w:val="005D5C98"/>
    <w:rsid w:val="005D69FE"/>
    <w:rsid w:val="005D75FE"/>
    <w:rsid w:val="005E054D"/>
    <w:rsid w:val="005E0E7C"/>
    <w:rsid w:val="005E10A6"/>
    <w:rsid w:val="005E1B34"/>
    <w:rsid w:val="005E413D"/>
    <w:rsid w:val="005E52F2"/>
    <w:rsid w:val="005E550F"/>
    <w:rsid w:val="005E599C"/>
    <w:rsid w:val="005E600D"/>
    <w:rsid w:val="005E6057"/>
    <w:rsid w:val="005E6A2B"/>
    <w:rsid w:val="005E73F5"/>
    <w:rsid w:val="005F0D1B"/>
    <w:rsid w:val="005F2370"/>
    <w:rsid w:val="005F27CC"/>
    <w:rsid w:val="005F2906"/>
    <w:rsid w:val="005F35B7"/>
    <w:rsid w:val="005F3A69"/>
    <w:rsid w:val="005F3A6A"/>
    <w:rsid w:val="005F3F4D"/>
    <w:rsid w:val="005F4037"/>
    <w:rsid w:val="005F4ECD"/>
    <w:rsid w:val="005F65B3"/>
    <w:rsid w:val="005F661F"/>
    <w:rsid w:val="005F72A6"/>
    <w:rsid w:val="005F7960"/>
    <w:rsid w:val="005F7B09"/>
    <w:rsid w:val="00600F6A"/>
    <w:rsid w:val="00601C12"/>
    <w:rsid w:val="00602C23"/>
    <w:rsid w:val="00602D41"/>
    <w:rsid w:val="00602E0B"/>
    <w:rsid w:val="00602FD9"/>
    <w:rsid w:val="00603583"/>
    <w:rsid w:val="006039D1"/>
    <w:rsid w:val="006041F5"/>
    <w:rsid w:val="00606EF6"/>
    <w:rsid w:val="00607052"/>
    <w:rsid w:val="0060748C"/>
    <w:rsid w:val="0060752C"/>
    <w:rsid w:val="00607C1B"/>
    <w:rsid w:val="00610F5A"/>
    <w:rsid w:val="00611B0D"/>
    <w:rsid w:val="00611FB5"/>
    <w:rsid w:val="006131DC"/>
    <w:rsid w:val="0061377D"/>
    <w:rsid w:val="00615194"/>
    <w:rsid w:val="00615979"/>
    <w:rsid w:val="00615D52"/>
    <w:rsid w:val="006168AE"/>
    <w:rsid w:val="00616EA0"/>
    <w:rsid w:val="00616FAA"/>
    <w:rsid w:val="0061775F"/>
    <w:rsid w:val="00617AC6"/>
    <w:rsid w:val="00617D1D"/>
    <w:rsid w:val="00617D49"/>
    <w:rsid w:val="00617DE3"/>
    <w:rsid w:val="00621AA8"/>
    <w:rsid w:val="006220A5"/>
    <w:rsid w:val="00623855"/>
    <w:rsid w:val="006239BC"/>
    <w:rsid w:val="00625447"/>
    <w:rsid w:val="00625611"/>
    <w:rsid w:val="0062663B"/>
    <w:rsid w:val="00626D7E"/>
    <w:rsid w:val="006279AD"/>
    <w:rsid w:val="00630A48"/>
    <w:rsid w:val="00631227"/>
    <w:rsid w:val="00631A7D"/>
    <w:rsid w:val="00631F15"/>
    <w:rsid w:val="006326DA"/>
    <w:rsid w:val="00633161"/>
    <w:rsid w:val="006335FE"/>
    <w:rsid w:val="00634888"/>
    <w:rsid w:val="00634E50"/>
    <w:rsid w:val="006351B0"/>
    <w:rsid w:val="00635B45"/>
    <w:rsid w:val="00635E05"/>
    <w:rsid w:val="0063611E"/>
    <w:rsid w:val="006362D9"/>
    <w:rsid w:val="00636CD1"/>
    <w:rsid w:val="00637316"/>
    <w:rsid w:val="0063734B"/>
    <w:rsid w:val="00640B5B"/>
    <w:rsid w:val="00642B60"/>
    <w:rsid w:val="00643096"/>
    <w:rsid w:val="00644683"/>
    <w:rsid w:val="00644E0D"/>
    <w:rsid w:val="00645A32"/>
    <w:rsid w:val="00646855"/>
    <w:rsid w:val="00646E7B"/>
    <w:rsid w:val="0065039D"/>
    <w:rsid w:val="0065073E"/>
    <w:rsid w:val="00651E48"/>
    <w:rsid w:val="00652CD7"/>
    <w:rsid w:val="00653924"/>
    <w:rsid w:val="00653BC3"/>
    <w:rsid w:val="0065405D"/>
    <w:rsid w:val="00654911"/>
    <w:rsid w:val="00655871"/>
    <w:rsid w:val="00655CB2"/>
    <w:rsid w:val="006560E3"/>
    <w:rsid w:val="00656F43"/>
    <w:rsid w:val="006604F7"/>
    <w:rsid w:val="00660FFE"/>
    <w:rsid w:val="00661709"/>
    <w:rsid w:val="00661F0E"/>
    <w:rsid w:val="00661F71"/>
    <w:rsid w:val="0066315C"/>
    <w:rsid w:val="00663514"/>
    <w:rsid w:val="006651E2"/>
    <w:rsid w:val="00665E5B"/>
    <w:rsid w:val="006661A1"/>
    <w:rsid w:val="00666250"/>
    <w:rsid w:val="00666A8C"/>
    <w:rsid w:val="00667180"/>
    <w:rsid w:val="00667332"/>
    <w:rsid w:val="00670190"/>
    <w:rsid w:val="0067035F"/>
    <w:rsid w:val="006714F6"/>
    <w:rsid w:val="00671725"/>
    <w:rsid w:val="00671CFF"/>
    <w:rsid w:val="00673B51"/>
    <w:rsid w:val="006745EA"/>
    <w:rsid w:val="00675224"/>
    <w:rsid w:val="006764D4"/>
    <w:rsid w:val="00676827"/>
    <w:rsid w:val="00676ACD"/>
    <w:rsid w:val="00676E07"/>
    <w:rsid w:val="00677C39"/>
    <w:rsid w:val="00677EAE"/>
    <w:rsid w:val="0068084C"/>
    <w:rsid w:val="00680ACE"/>
    <w:rsid w:val="0068135F"/>
    <w:rsid w:val="00682775"/>
    <w:rsid w:val="00682815"/>
    <w:rsid w:val="00683283"/>
    <w:rsid w:val="0068354E"/>
    <w:rsid w:val="00683AC0"/>
    <w:rsid w:val="00683F9C"/>
    <w:rsid w:val="00684951"/>
    <w:rsid w:val="00684BCB"/>
    <w:rsid w:val="00684C20"/>
    <w:rsid w:val="00684F0B"/>
    <w:rsid w:val="00685183"/>
    <w:rsid w:val="0068566C"/>
    <w:rsid w:val="00685CCB"/>
    <w:rsid w:val="006874D1"/>
    <w:rsid w:val="00690420"/>
    <w:rsid w:val="00690DDF"/>
    <w:rsid w:val="00690F1C"/>
    <w:rsid w:val="006913B1"/>
    <w:rsid w:val="00691AA4"/>
    <w:rsid w:val="00691D8D"/>
    <w:rsid w:val="006920BD"/>
    <w:rsid w:val="006920FA"/>
    <w:rsid w:val="00692C71"/>
    <w:rsid w:val="00692FBC"/>
    <w:rsid w:val="00693C08"/>
    <w:rsid w:val="00694271"/>
    <w:rsid w:val="00694B7F"/>
    <w:rsid w:val="006955D3"/>
    <w:rsid w:val="0069593A"/>
    <w:rsid w:val="006959D4"/>
    <w:rsid w:val="00697E1F"/>
    <w:rsid w:val="006A0912"/>
    <w:rsid w:val="006A0972"/>
    <w:rsid w:val="006A0BA1"/>
    <w:rsid w:val="006A11E3"/>
    <w:rsid w:val="006A2592"/>
    <w:rsid w:val="006A263B"/>
    <w:rsid w:val="006A2855"/>
    <w:rsid w:val="006A34D9"/>
    <w:rsid w:val="006A424C"/>
    <w:rsid w:val="006A4B31"/>
    <w:rsid w:val="006A4F07"/>
    <w:rsid w:val="006A595E"/>
    <w:rsid w:val="006A5A4F"/>
    <w:rsid w:val="006A6B6A"/>
    <w:rsid w:val="006A72CB"/>
    <w:rsid w:val="006A765C"/>
    <w:rsid w:val="006A77A2"/>
    <w:rsid w:val="006B05EC"/>
    <w:rsid w:val="006B10E6"/>
    <w:rsid w:val="006B124C"/>
    <w:rsid w:val="006B2C1F"/>
    <w:rsid w:val="006B3F92"/>
    <w:rsid w:val="006B623E"/>
    <w:rsid w:val="006B6748"/>
    <w:rsid w:val="006B6788"/>
    <w:rsid w:val="006B6F66"/>
    <w:rsid w:val="006C061B"/>
    <w:rsid w:val="006C1C09"/>
    <w:rsid w:val="006C20F8"/>
    <w:rsid w:val="006C2563"/>
    <w:rsid w:val="006C3CD5"/>
    <w:rsid w:val="006C7598"/>
    <w:rsid w:val="006D038B"/>
    <w:rsid w:val="006D066E"/>
    <w:rsid w:val="006D18C1"/>
    <w:rsid w:val="006D18D4"/>
    <w:rsid w:val="006D278A"/>
    <w:rsid w:val="006D7270"/>
    <w:rsid w:val="006D73EC"/>
    <w:rsid w:val="006D79AA"/>
    <w:rsid w:val="006D7DBA"/>
    <w:rsid w:val="006E01EB"/>
    <w:rsid w:val="006E0354"/>
    <w:rsid w:val="006E04D1"/>
    <w:rsid w:val="006E2028"/>
    <w:rsid w:val="006E2366"/>
    <w:rsid w:val="006E261D"/>
    <w:rsid w:val="006E340E"/>
    <w:rsid w:val="006E5015"/>
    <w:rsid w:val="006E554C"/>
    <w:rsid w:val="006E5F5B"/>
    <w:rsid w:val="006E66BA"/>
    <w:rsid w:val="006E6A82"/>
    <w:rsid w:val="006E6B1F"/>
    <w:rsid w:val="006F06E6"/>
    <w:rsid w:val="006F09BF"/>
    <w:rsid w:val="006F0B9F"/>
    <w:rsid w:val="006F0E6F"/>
    <w:rsid w:val="006F1156"/>
    <w:rsid w:val="006F15CA"/>
    <w:rsid w:val="006F2067"/>
    <w:rsid w:val="006F25E7"/>
    <w:rsid w:val="006F2626"/>
    <w:rsid w:val="006F3E06"/>
    <w:rsid w:val="006F3F0E"/>
    <w:rsid w:val="006F45F8"/>
    <w:rsid w:val="006F4B15"/>
    <w:rsid w:val="006F5B09"/>
    <w:rsid w:val="006F6174"/>
    <w:rsid w:val="006F75D4"/>
    <w:rsid w:val="007014B0"/>
    <w:rsid w:val="00702694"/>
    <w:rsid w:val="00704FD0"/>
    <w:rsid w:val="00705476"/>
    <w:rsid w:val="007063FA"/>
    <w:rsid w:val="0070732F"/>
    <w:rsid w:val="00707666"/>
    <w:rsid w:val="007077D4"/>
    <w:rsid w:val="00707F31"/>
    <w:rsid w:val="00712561"/>
    <w:rsid w:val="00713C16"/>
    <w:rsid w:val="00713F4D"/>
    <w:rsid w:val="00715312"/>
    <w:rsid w:val="00720882"/>
    <w:rsid w:val="0072106A"/>
    <w:rsid w:val="0072392C"/>
    <w:rsid w:val="00723F9A"/>
    <w:rsid w:val="00724047"/>
    <w:rsid w:val="007244C1"/>
    <w:rsid w:val="00724671"/>
    <w:rsid w:val="00725153"/>
    <w:rsid w:val="007268B2"/>
    <w:rsid w:val="00727993"/>
    <w:rsid w:val="00727D50"/>
    <w:rsid w:val="00727EC1"/>
    <w:rsid w:val="00727F04"/>
    <w:rsid w:val="007302B0"/>
    <w:rsid w:val="00730794"/>
    <w:rsid w:val="007309F5"/>
    <w:rsid w:val="00730E52"/>
    <w:rsid w:val="00731E03"/>
    <w:rsid w:val="00731EBE"/>
    <w:rsid w:val="00732136"/>
    <w:rsid w:val="007329A2"/>
    <w:rsid w:val="00732D8B"/>
    <w:rsid w:val="00732E52"/>
    <w:rsid w:val="00734869"/>
    <w:rsid w:val="00734D80"/>
    <w:rsid w:val="00735F25"/>
    <w:rsid w:val="00736308"/>
    <w:rsid w:val="00737851"/>
    <w:rsid w:val="00737B83"/>
    <w:rsid w:val="00740A1B"/>
    <w:rsid w:val="007412F0"/>
    <w:rsid w:val="00741B51"/>
    <w:rsid w:val="00741D46"/>
    <w:rsid w:val="00742DBE"/>
    <w:rsid w:val="007463FB"/>
    <w:rsid w:val="00746AA9"/>
    <w:rsid w:val="00746F04"/>
    <w:rsid w:val="00747D69"/>
    <w:rsid w:val="0075007E"/>
    <w:rsid w:val="00750222"/>
    <w:rsid w:val="00750336"/>
    <w:rsid w:val="007513C6"/>
    <w:rsid w:val="00751749"/>
    <w:rsid w:val="0075216B"/>
    <w:rsid w:val="00752F77"/>
    <w:rsid w:val="00753D26"/>
    <w:rsid w:val="007540AB"/>
    <w:rsid w:val="0075416D"/>
    <w:rsid w:val="007563A4"/>
    <w:rsid w:val="00761CF9"/>
    <w:rsid w:val="00761D47"/>
    <w:rsid w:val="0076345C"/>
    <w:rsid w:val="00764AAB"/>
    <w:rsid w:val="00765082"/>
    <w:rsid w:val="007654B5"/>
    <w:rsid w:val="00765830"/>
    <w:rsid w:val="00766705"/>
    <w:rsid w:val="00766B64"/>
    <w:rsid w:val="00770737"/>
    <w:rsid w:val="00772F26"/>
    <w:rsid w:val="00774CFB"/>
    <w:rsid w:val="0077798C"/>
    <w:rsid w:val="00777C96"/>
    <w:rsid w:val="007809D3"/>
    <w:rsid w:val="00782759"/>
    <w:rsid w:val="0078394C"/>
    <w:rsid w:val="00783E14"/>
    <w:rsid w:val="007846AC"/>
    <w:rsid w:val="00784E90"/>
    <w:rsid w:val="00784EE9"/>
    <w:rsid w:val="00785166"/>
    <w:rsid w:val="0078549F"/>
    <w:rsid w:val="0078570C"/>
    <w:rsid w:val="00785764"/>
    <w:rsid w:val="0078661B"/>
    <w:rsid w:val="00786A9B"/>
    <w:rsid w:val="007900BA"/>
    <w:rsid w:val="00790188"/>
    <w:rsid w:val="00790885"/>
    <w:rsid w:val="0079228C"/>
    <w:rsid w:val="00793619"/>
    <w:rsid w:val="00793C60"/>
    <w:rsid w:val="00793D9A"/>
    <w:rsid w:val="00793FFE"/>
    <w:rsid w:val="00795077"/>
    <w:rsid w:val="007950E3"/>
    <w:rsid w:val="007962A7"/>
    <w:rsid w:val="0079653C"/>
    <w:rsid w:val="00797C5E"/>
    <w:rsid w:val="00797D92"/>
    <w:rsid w:val="007A17A3"/>
    <w:rsid w:val="007A1927"/>
    <w:rsid w:val="007A3DD7"/>
    <w:rsid w:val="007A4619"/>
    <w:rsid w:val="007A520B"/>
    <w:rsid w:val="007A6788"/>
    <w:rsid w:val="007A6B71"/>
    <w:rsid w:val="007A758C"/>
    <w:rsid w:val="007B0101"/>
    <w:rsid w:val="007B01E6"/>
    <w:rsid w:val="007B0953"/>
    <w:rsid w:val="007B1461"/>
    <w:rsid w:val="007B1C57"/>
    <w:rsid w:val="007B1D0C"/>
    <w:rsid w:val="007B338C"/>
    <w:rsid w:val="007B36BA"/>
    <w:rsid w:val="007B4321"/>
    <w:rsid w:val="007B4940"/>
    <w:rsid w:val="007B5C04"/>
    <w:rsid w:val="007B6592"/>
    <w:rsid w:val="007B7076"/>
    <w:rsid w:val="007B7AD1"/>
    <w:rsid w:val="007C01FB"/>
    <w:rsid w:val="007C0854"/>
    <w:rsid w:val="007C0868"/>
    <w:rsid w:val="007C1954"/>
    <w:rsid w:val="007C4C16"/>
    <w:rsid w:val="007C4FA9"/>
    <w:rsid w:val="007C5736"/>
    <w:rsid w:val="007C664F"/>
    <w:rsid w:val="007C67E2"/>
    <w:rsid w:val="007D06CD"/>
    <w:rsid w:val="007D35AE"/>
    <w:rsid w:val="007D3864"/>
    <w:rsid w:val="007D4658"/>
    <w:rsid w:val="007D6BB3"/>
    <w:rsid w:val="007D788D"/>
    <w:rsid w:val="007E0AC6"/>
    <w:rsid w:val="007E11AD"/>
    <w:rsid w:val="007E1A21"/>
    <w:rsid w:val="007E1C16"/>
    <w:rsid w:val="007E1FCD"/>
    <w:rsid w:val="007E2618"/>
    <w:rsid w:val="007E4670"/>
    <w:rsid w:val="007E497D"/>
    <w:rsid w:val="007E51BF"/>
    <w:rsid w:val="007E61B7"/>
    <w:rsid w:val="007E6433"/>
    <w:rsid w:val="007E698E"/>
    <w:rsid w:val="007E731A"/>
    <w:rsid w:val="007E77FF"/>
    <w:rsid w:val="007F01D7"/>
    <w:rsid w:val="007F0B28"/>
    <w:rsid w:val="007F0FEF"/>
    <w:rsid w:val="007F300E"/>
    <w:rsid w:val="007F35E9"/>
    <w:rsid w:val="007F3C6E"/>
    <w:rsid w:val="007F492A"/>
    <w:rsid w:val="007F4CB5"/>
    <w:rsid w:val="007F515D"/>
    <w:rsid w:val="007F64E4"/>
    <w:rsid w:val="007F65EC"/>
    <w:rsid w:val="008001C0"/>
    <w:rsid w:val="008006D2"/>
    <w:rsid w:val="008013DE"/>
    <w:rsid w:val="00802257"/>
    <w:rsid w:val="00802F09"/>
    <w:rsid w:val="0080450B"/>
    <w:rsid w:val="00804A01"/>
    <w:rsid w:val="00805FD7"/>
    <w:rsid w:val="00806A7E"/>
    <w:rsid w:val="00807A22"/>
    <w:rsid w:val="00807B3E"/>
    <w:rsid w:val="00810B10"/>
    <w:rsid w:val="00811BC7"/>
    <w:rsid w:val="00812402"/>
    <w:rsid w:val="008131D7"/>
    <w:rsid w:val="00813AC4"/>
    <w:rsid w:val="00813D56"/>
    <w:rsid w:val="0081439C"/>
    <w:rsid w:val="008146AA"/>
    <w:rsid w:val="00814854"/>
    <w:rsid w:val="00814DFF"/>
    <w:rsid w:val="00814F7F"/>
    <w:rsid w:val="00817068"/>
    <w:rsid w:val="0081744A"/>
    <w:rsid w:val="00820BAB"/>
    <w:rsid w:val="00821014"/>
    <w:rsid w:val="008211F8"/>
    <w:rsid w:val="0082191D"/>
    <w:rsid w:val="00822370"/>
    <w:rsid w:val="0082290B"/>
    <w:rsid w:val="0082343F"/>
    <w:rsid w:val="008237E8"/>
    <w:rsid w:val="00824024"/>
    <w:rsid w:val="00824A82"/>
    <w:rsid w:val="00824D63"/>
    <w:rsid w:val="00824F1A"/>
    <w:rsid w:val="00824F7C"/>
    <w:rsid w:val="00825A21"/>
    <w:rsid w:val="00826B9C"/>
    <w:rsid w:val="00827B8A"/>
    <w:rsid w:val="00827CE2"/>
    <w:rsid w:val="00830B78"/>
    <w:rsid w:val="00830D62"/>
    <w:rsid w:val="008311D6"/>
    <w:rsid w:val="00831782"/>
    <w:rsid w:val="0083261E"/>
    <w:rsid w:val="00832C9D"/>
    <w:rsid w:val="008334D4"/>
    <w:rsid w:val="00833B4E"/>
    <w:rsid w:val="0083489D"/>
    <w:rsid w:val="008368FD"/>
    <w:rsid w:val="00837BB1"/>
    <w:rsid w:val="00837EA5"/>
    <w:rsid w:val="00837F95"/>
    <w:rsid w:val="00842934"/>
    <w:rsid w:val="00842B77"/>
    <w:rsid w:val="00843CEA"/>
    <w:rsid w:val="00843EA5"/>
    <w:rsid w:val="008450E2"/>
    <w:rsid w:val="00845868"/>
    <w:rsid w:val="00846411"/>
    <w:rsid w:val="00846F28"/>
    <w:rsid w:val="008477F1"/>
    <w:rsid w:val="00850A1A"/>
    <w:rsid w:val="00850C6B"/>
    <w:rsid w:val="00850F74"/>
    <w:rsid w:val="00850FA1"/>
    <w:rsid w:val="00851649"/>
    <w:rsid w:val="008519FE"/>
    <w:rsid w:val="00852AB6"/>
    <w:rsid w:val="00852B5D"/>
    <w:rsid w:val="00853069"/>
    <w:rsid w:val="008530A1"/>
    <w:rsid w:val="00853ACC"/>
    <w:rsid w:val="00853BAF"/>
    <w:rsid w:val="00853E8B"/>
    <w:rsid w:val="008550C6"/>
    <w:rsid w:val="008568A2"/>
    <w:rsid w:val="00857209"/>
    <w:rsid w:val="00857FAD"/>
    <w:rsid w:val="00861540"/>
    <w:rsid w:val="008615CE"/>
    <w:rsid w:val="0086282F"/>
    <w:rsid w:val="008628B5"/>
    <w:rsid w:val="00862CCE"/>
    <w:rsid w:val="0086301C"/>
    <w:rsid w:val="008631D4"/>
    <w:rsid w:val="0086350F"/>
    <w:rsid w:val="0086393C"/>
    <w:rsid w:val="00864097"/>
    <w:rsid w:val="00865F91"/>
    <w:rsid w:val="008661D3"/>
    <w:rsid w:val="008663BD"/>
    <w:rsid w:val="00870637"/>
    <w:rsid w:val="00871074"/>
    <w:rsid w:val="00872C18"/>
    <w:rsid w:val="0087376D"/>
    <w:rsid w:val="00874430"/>
    <w:rsid w:val="0087445B"/>
    <w:rsid w:val="00874B3C"/>
    <w:rsid w:val="00874ED9"/>
    <w:rsid w:val="00875138"/>
    <w:rsid w:val="00875ABD"/>
    <w:rsid w:val="00875F82"/>
    <w:rsid w:val="0087661C"/>
    <w:rsid w:val="008771EE"/>
    <w:rsid w:val="00881184"/>
    <w:rsid w:val="008818ED"/>
    <w:rsid w:val="00881B66"/>
    <w:rsid w:val="00882CF8"/>
    <w:rsid w:val="008835D6"/>
    <w:rsid w:val="008836FB"/>
    <w:rsid w:val="00883D84"/>
    <w:rsid w:val="008842F8"/>
    <w:rsid w:val="008848DA"/>
    <w:rsid w:val="00884C2C"/>
    <w:rsid w:val="00886AE8"/>
    <w:rsid w:val="00886FAE"/>
    <w:rsid w:val="008874CF"/>
    <w:rsid w:val="008878D1"/>
    <w:rsid w:val="00887E13"/>
    <w:rsid w:val="00890D8F"/>
    <w:rsid w:val="008914F7"/>
    <w:rsid w:val="0089160A"/>
    <w:rsid w:val="00891928"/>
    <w:rsid w:val="00892DB6"/>
    <w:rsid w:val="00893CD8"/>
    <w:rsid w:val="0089523C"/>
    <w:rsid w:val="00895B40"/>
    <w:rsid w:val="00896171"/>
    <w:rsid w:val="008964F1"/>
    <w:rsid w:val="00896EBF"/>
    <w:rsid w:val="00897C79"/>
    <w:rsid w:val="008A0395"/>
    <w:rsid w:val="008A1C7D"/>
    <w:rsid w:val="008A2A9B"/>
    <w:rsid w:val="008A33B4"/>
    <w:rsid w:val="008A37DA"/>
    <w:rsid w:val="008A390E"/>
    <w:rsid w:val="008A523F"/>
    <w:rsid w:val="008A5549"/>
    <w:rsid w:val="008A5BC7"/>
    <w:rsid w:val="008A762C"/>
    <w:rsid w:val="008B090C"/>
    <w:rsid w:val="008B1DDF"/>
    <w:rsid w:val="008B4367"/>
    <w:rsid w:val="008B5427"/>
    <w:rsid w:val="008B58DD"/>
    <w:rsid w:val="008B5FC8"/>
    <w:rsid w:val="008B667C"/>
    <w:rsid w:val="008B693D"/>
    <w:rsid w:val="008B6D0E"/>
    <w:rsid w:val="008B77C0"/>
    <w:rsid w:val="008B7F13"/>
    <w:rsid w:val="008C07D6"/>
    <w:rsid w:val="008C1381"/>
    <w:rsid w:val="008C20DA"/>
    <w:rsid w:val="008C2747"/>
    <w:rsid w:val="008C2978"/>
    <w:rsid w:val="008C2FE4"/>
    <w:rsid w:val="008C3B31"/>
    <w:rsid w:val="008C3BB3"/>
    <w:rsid w:val="008C4A94"/>
    <w:rsid w:val="008C5DF2"/>
    <w:rsid w:val="008C6493"/>
    <w:rsid w:val="008C6844"/>
    <w:rsid w:val="008C686B"/>
    <w:rsid w:val="008C6AE3"/>
    <w:rsid w:val="008C6E4B"/>
    <w:rsid w:val="008C72F7"/>
    <w:rsid w:val="008C75B5"/>
    <w:rsid w:val="008C75C4"/>
    <w:rsid w:val="008D0524"/>
    <w:rsid w:val="008D0B26"/>
    <w:rsid w:val="008D1E2E"/>
    <w:rsid w:val="008D2F09"/>
    <w:rsid w:val="008D34A1"/>
    <w:rsid w:val="008D397F"/>
    <w:rsid w:val="008D3A46"/>
    <w:rsid w:val="008D4EC3"/>
    <w:rsid w:val="008D5148"/>
    <w:rsid w:val="008D52E8"/>
    <w:rsid w:val="008D67E2"/>
    <w:rsid w:val="008D68AC"/>
    <w:rsid w:val="008D6F25"/>
    <w:rsid w:val="008D6F41"/>
    <w:rsid w:val="008E01FC"/>
    <w:rsid w:val="008E0C69"/>
    <w:rsid w:val="008E1552"/>
    <w:rsid w:val="008E2A6D"/>
    <w:rsid w:val="008E3F18"/>
    <w:rsid w:val="008E5BF6"/>
    <w:rsid w:val="008E5CC5"/>
    <w:rsid w:val="008E5D76"/>
    <w:rsid w:val="008E6174"/>
    <w:rsid w:val="008E6211"/>
    <w:rsid w:val="008E642E"/>
    <w:rsid w:val="008E6947"/>
    <w:rsid w:val="008E780E"/>
    <w:rsid w:val="008F0332"/>
    <w:rsid w:val="008F08FB"/>
    <w:rsid w:val="008F1CCC"/>
    <w:rsid w:val="008F2962"/>
    <w:rsid w:val="008F3BFF"/>
    <w:rsid w:val="008F4015"/>
    <w:rsid w:val="008F42A9"/>
    <w:rsid w:val="008F4507"/>
    <w:rsid w:val="008F4E6D"/>
    <w:rsid w:val="008F603F"/>
    <w:rsid w:val="008F6133"/>
    <w:rsid w:val="008F73CF"/>
    <w:rsid w:val="0090015E"/>
    <w:rsid w:val="00900E91"/>
    <w:rsid w:val="00901A3D"/>
    <w:rsid w:val="00901DB9"/>
    <w:rsid w:val="0090222E"/>
    <w:rsid w:val="009029A9"/>
    <w:rsid w:val="009045B9"/>
    <w:rsid w:val="0090516F"/>
    <w:rsid w:val="00905200"/>
    <w:rsid w:val="00905528"/>
    <w:rsid w:val="00905CEF"/>
    <w:rsid w:val="00905F34"/>
    <w:rsid w:val="00905F82"/>
    <w:rsid w:val="009079C2"/>
    <w:rsid w:val="009101B1"/>
    <w:rsid w:val="009125BD"/>
    <w:rsid w:val="009134DD"/>
    <w:rsid w:val="00913E79"/>
    <w:rsid w:val="009166B6"/>
    <w:rsid w:val="00917756"/>
    <w:rsid w:val="00917DF6"/>
    <w:rsid w:val="0092079C"/>
    <w:rsid w:val="00920817"/>
    <w:rsid w:val="0092119B"/>
    <w:rsid w:val="00921333"/>
    <w:rsid w:val="009218A2"/>
    <w:rsid w:val="00921B46"/>
    <w:rsid w:val="00922D99"/>
    <w:rsid w:val="00923106"/>
    <w:rsid w:val="00923C89"/>
    <w:rsid w:val="00924B83"/>
    <w:rsid w:val="00925046"/>
    <w:rsid w:val="0092641B"/>
    <w:rsid w:val="00927B64"/>
    <w:rsid w:val="0093022E"/>
    <w:rsid w:val="009327DE"/>
    <w:rsid w:val="00932DA9"/>
    <w:rsid w:val="0093363A"/>
    <w:rsid w:val="00934192"/>
    <w:rsid w:val="00934BDF"/>
    <w:rsid w:val="009351C1"/>
    <w:rsid w:val="00935FD3"/>
    <w:rsid w:val="00936222"/>
    <w:rsid w:val="00937A54"/>
    <w:rsid w:val="00937A6F"/>
    <w:rsid w:val="009406F9"/>
    <w:rsid w:val="00940DC8"/>
    <w:rsid w:val="00942DA1"/>
    <w:rsid w:val="0094347D"/>
    <w:rsid w:val="0094388D"/>
    <w:rsid w:val="009450B3"/>
    <w:rsid w:val="00945214"/>
    <w:rsid w:val="00945480"/>
    <w:rsid w:val="009460E9"/>
    <w:rsid w:val="0094722B"/>
    <w:rsid w:val="00950169"/>
    <w:rsid w:val="00950A04"/>
    <w:rsid w:val="009514D3"/>
    <w:rsid w:val="00951A17"/>
    <w:rsid w:val="00951E6F"/>
    <w:rsid w:val="009536C3"/>
    <w:rsid w:val="00954424"/>
    <w:rsid w:val="00955C62"/>
    <w:rsid w:val="00955CD6"/>
    <w:rsid w:val="00955EEA"/>
    <w:rsid w:val="009579A1"/>
    <w:rsid w:val="009601C1"/>
    <w:rsid w:val="00960E42"/>
    <w:rsid w:val="00961B63"/>
    <w:rsid w:val="009622A8"/>
    <w:rsid w:val="00962A0C"/>
    <w:rsid w:val="00963310"/>
    <w:rsid w:val="00964A74"/>
    <w:rsid w:val="00965745"/>
    <w:rsid w:val="009667F5"/>
    <w:rsid w:val="00966AA3"/>
    <w:rsid w:val="00967CCE"/>
    <w:rsid w:val="00972896"/>
    <w:rsid w:val="009732C2"/>
    <w:rsid w:val="00973AD0"/>
    <w:rsid w:val="00973B0E"/>
    <w:rsid w:val="00973BC7"/>
    <w:rsid w:val="0097497A"/>
    <w:rsid w:val="009755B0"/>
    <w:rsid w:val="00975B05"/>
    <w:rsid w:val="00975F8B"/>
    <w:rsid w:val="00976C58"/>
    <w:rsid w:val="00976CC0"/>
    <w:rsid w:val="00976F76"/>
    <w:rsid w:val="00977E14"/>
    <w:rsid w:val="0098056A"/>
    <w:rsid w:val="00980860"/>
    <w:rsid w:val="00980885"/>
    <w:rsid w:val="00981417"/>
    <w:rsid w:val="00981452"/>
    <w:rsid w:val="00981826"/>
    <w:rsid w:val="00981904"/>
    <w:rsid w:val="009819C1"/>
    <w:rsid w:val="00981A86"/>
    <w:rsid w:val="00981C0A"/>
    <w:rsid w:val="00982AD5"/>
    <w:rsid w:val="0098426C"/>
    <w:rsid w:val="00984862"/>
    <w:rsid w:val="00984AD9"/>
    <w:rsid w:val="00985366"/>
    <w:rsid w:val="00986475"/>
    <w:rsid w:val="009866A5"/>
    <w:rsid w:val="00986A13"/>
    <w:rsid w:val="00990759"/>
    <w:rsid w:val="009916E1"/>
    <w:rsid w:val="009919F8"/>
    <w:rsid w:val="0099261A"/>
    <w:rsid w:val="009931F5"/>
    <w:rsid w:val="0099349F"/>
    <w:rsid w:val="0099411D"/>
    <w:rsid w:val="009952E4"/>
    <w:rsid w:val="009960E8"/>
    <w:rsid w:val="00997295"/>
    <w:rsid w:val="00997C52"/>
    <w:rsid w:val="009A0721"/>
    <w:rsid w:val="009A0984"/>
    <w:rsid w:val="009A0C6E"/>
    <w:rsid w:val="009A1B2F"/>
    <w:rsid w:val="009A1B65"/>
    <w:rsid w:val="009A1BA4"/>
    <w:rsid w:val="009A1FC0"/>
    <w:rsid w:val="009A2F2B"/>
    <w:rsid w:val="009A34C5"/>
    <w:rsid w:val="009A3EFE"/>
    <w:rsid w:val="009A3F21"/>
    <w:rsid w:val="009A4898"/>
    <w:rsid w:val="009A4FC3"/>
    <w:rsid w:val="009A563D"/>
    <w:rsid w:val="009A600A"/>
    <w:rsid w:val="009A63C6"/>
    <w:rsid w:val="009B07B1"/>
    <w:rsid w:val="009B07C1"/>
    <w:rsid w:val="009B188F"/>
    <w:rsid w:val="009B1EFE"/>
    <w:rsid w:val="009B1F85"/>
    <w:rsid w:val="009B22A8"/>
    <w:rsid w:val="009B32FD"/>
    <w:rsid w:val="009B37CE"/>
    <w:rsid w:val="009B39BA"/>
    <w:rsid w:val="009B3A14"/>
    <w:rsid w:val="009B3EFF"/>
    <w:rsid w:val="009B40E3"/>
    <w:rsid w:val="009B6BB8"/>
    <w:rsid w:val="009B75EA"/>
    <w:rsid w:val="009C0284"/>
    <w:rsid w:val="009C07E9"/>
    <w:rsid w:val="009C1616"/>
    <w:rsid w:val="009C2FF7"/>
    <w:rsid w:val="009C313F"/>
    <w:rsid w:val="009C384C"/>
    <w:rsid w:val="009C5F16"/>
    <w:rsid w:val="009C66F3"/>
    <w:rsid w:val="009C6B2D"/>
    <w:rsid w:val="009C6C91"/>
    <w:rsid w:val="009C70CA"/>
    <w:rsid w:val="009C715F"/>
    <w:rsid w:val="009C71B6"/>
    <w:rsid w:val="009C7842"/>
    <w:rsid w:val="009C7AD6"/>
    <w:rsid w:val="009D06B0"/>
    <w:rsid w:val="009D0B95"/>
    <w:rsid w:val="009D0CBF"/>
    <w:rsid w:val="009D0DC9"/>
    <w:rsid w:val="009D1991"/>
    <w:rsid w:val="009D1CDD"/>
    <w:rsid w:val="009D258E"/>
    <w:rsid w:val="009D3563"/>
    <w:rsid w:val="009D3E88"/>
    <w:rsid w:val="009D3F35"/>
    <w:rsid w:val="009D402C"/>
    <w:rsid w:val="009D4422"/>
    <w:rsid w:val="009D6706"/>
    <w:rsid w:val="009D6975"/>
    <w:rsid w:val="009D6C01"/>
    <w:rsid w:val="009D7F68"/>
    <w:rsid w:val="009E08F9"/>
    <w:rsid w:val="009E12C1"/>
    <w:rsid w:val="009E1A10"/>
    <w:rsid w:val="009E1BDF"/>
    <w:rsid w:val="009E20A2"/>
    <w:rsid w:val="009E267F"/>
    <w:rsid w:val="009E2DB4"/>
    <w:rsid w:val="009E2E21"/>
    <w:rsid w:val="009E2E24"/>
    <w:rsid w:val="009E36A2"/>
    <w:rsid w:val="009E5C46"/>
    <w:rsid w:val="009E5CE5"/>
    <w:rsid w:val="009E6042"/>
    <w:rsid w:val="009E6D38"/>
    <w:rsid w:val="009E6EA6"/>
    <w:rsid w:val="009E6EA8"/>
    <w:rsid w:val="009E7A9D"/>
    <w:rsid w:val="009E7CC2"/>
    <w:rsid w:val="009F0F56"/>
    <w:rsid w:val="009F171A"/>
    <w:rsid w:val="009F1FDF"/>
    <w:rsid w:val="009F2E69"/>
    <w:rsid w:val="009F36CB"/>
    <w:rsid w:val="009F3AAD"/>
    <w:rsid w:val="009F414D"/>
    <w:rsid w:val="009F46CC"/>
    <w:rsid w:val="009F48C1"/>
    <w:rsid w:val="009F4D5A"/>
    <w:rsid w:val="009F5384"/>
    <w:rsid w:val="009F6ECC"/>
    <w:rsid w:val="009F7A8E"/>
    <w:rsid w:val="00A01195"/>
    <w:rsid w:val="00A020BE"/>
    <w:rsid w:val="00A021E9"/>
    <w:rsid w:val="00A027DA"/>
    <w:rsid w:val="00A02816"/>
    <w:rsid w:val="00A02B69"/>
    <w:rsid w:val="00A030F4"/>
    <w:rsid w:val="00A0399A"/>
    <w:rsid w:val="00A0492A"/>
    <w:rsid w:val="00A05BE8"/>
    <w:rsid w:val="00A05F5F"/>
    <w:rsid w:val="00A107A6"/>
    <w:rsid w:val="00A121F1"/>
    <w:rsid w:val="00A12837"/>
    <w:rsid w:val="00A13551"/>
    <w:rsid w:val="00A13CAB"/>
    <w:rsid w:val="00A16366"/>
    <w:rsid w:val="00A16CFB"/>
    <w:rsid w:val="00A20004"/>
    <w:rsid w:val="00A2068B"/>
    <w:rsid w:val="00A2153F"/>
    <w:rsid w:val="00A224F1"/>
    <w:rsid w:val="00A22D0B"/>
    <w:rsid w:val="00A22E48"/>
    <w:rsid w:val="00A23963"/>
    <w:rsid w:val="00A24183"/>
    <w:rsid w:val="00A242E6"/>
    <w:rsid w:val="00A25569"/>
    <w:rsid w:val="00A270BE"/>
    <w:rsid w:val="00A27317"/>
    <w:rsid w:val="00A27462"/>
    <w:rsid w:val="00A27A88"/>
    <w:rsid w:val="00A31A88"/>
    <w:rsid w:val="00A32A97"/>
    <w:rsid w:val="00A33996"/>
    <w:rsid w:val="00A34FBB"/>
    <w:rsid w:val="00A351D8"/>
    <w:rsid w:val="00A3707C"/>
    <w:rsid w:val="00A406E3"/>
    <w:rsid w:val="00A41319"/>
    <w:rsid w:val="00A41528"/>
    <w:rsid w:val="00A421FA"/>
    <w:rsid w:val="00A4342B"/>
    <w:rsid w:val="00A43795"/>
    <w:rsid w:val="00A438A1"/>
    <w:rsid w:val="00A43E91"/>
    <w:rsid w:val="00A449FC"/>
    <w:rsid w:val="00A454E6"/>
    <w:rsid w:val="00A456E1"/>
    <w:rsid w:val="00A464CC"/>
    <w:rsid w:val="00A4729D"/>
    <w:rsid w:val="00A47332"/>
    <w:rsid w:val="00A47975"/>
    <w:rsid w:val="00A47B30"/>
    <w:rsid w:val="00A509B8"/>
    <w:rsid w:val="00A50B2C"/>
    <w:rsid w:val="00A515A5"/>
    <w:rsid w:val="00A51F21"/>
    <w:rsid w:val="00A52A9A"/>
    <w:rsid w:val="00A5364B"/>
    <w:rsid w:val="00A54E35"/>
    <w:rsid w:val="00A5573F"/>
    <w:rsid w:val="00A56601"/>
    <w:rsid w:val="00A56F3A"/>
    <w:rsid w:val="00A578DA"/>
    <w:rsid w:val="00A57B43"/>
    <w:rsid w:val="00A60269"/>
    <w:rsid w:val="00A60494"/>
    <w:rsid w:val="00A6051D"/>
    <w:rsid w:val="00A61305"/>
    <w:rsid w:val="00A622C3"/>
    <w:rsid w:val="00A63565"/>
    <w:rsid w:val="00A649F8"/>
    <w:rsid w:val="00A65636"/>
    <w:rsid w:val="00A6617E"/>
    <w:rsid w:val="00A663E8"/>
    <w:rsid w:val="00A6649B"/>
    <w:rsid w:val="00A678C4"/>
    <w:rsid w:val="00A706C1"/>
    <w:rsid w:val="00A709FE"/>
    <w:rsid w:val="00A70BAA"/>
    <w:rsid w:val="00A70F12"/>
    <w:rsid w:val="00A710C1"/>
    <w:rsid w:val="00A71DD1"/>
    <w:rsid w:val="00A72FDF"/>
    <w:rsid w:val="00A74F98"/>
    <w:rsid w:val="00A75415"/>
    <w:rsid w:val="00A75656"/>
    <w:rsid w:val="00A75727"/>
    <w:rsid w:val="00A75901"/>
    <w:rsid w:val="00A75EC1"/>
    <w:rsid w:val="00A7610E"/>
    <w:rsid w:val="00A7748D"/>
    <w:rsid w:val="00A778DD"/>
    <w:rsid w:val="00A77C2F"/>
    <w:rsid w:val="00A77C79"/>
    <w:rsid w:val="00A813E1"/>
    <w:rsid w:val="00A81BD7"/>
    <w:rsid w:val="00A8264E"/>
    <w:rsid w:val="00A8631D"/>
    <w:rsid w:val="00A866AA"/>
    <w:rsid w:val="00A86F12"/>
    <w:rsid w:val="00A8742F"/>
    <w:rsid w:val="00A87F74"/>
    <w:rsid w:val="00A903BA"/>
    <w:rsid w:val="00A91DD2"/>
    <w:rsid w:val="00A92D26"/>
    <w:rsid w:val="00A92D8A"/>
    <w:rsid w:val="00A97166"/>
    <w:rsid w:val="00A97D07"/>
    <w:rsid w:val="00A97E39"/>
    <w:rsid w:val="00A97E96"/>
    <w:rsid w:val="00AA05C4"/>
    <w:rsid w:val="00AA1910"/>
    <w:rsid w:val="00AA246E"/>
    <w:rsid w:val="00AA5128"/>
    <w:rsid w:val="00AA5A65"/>
    <w:rsid w:val="00AA5BDB"/>
    <w:rsid w:val="00AA60DE"/>
    <w:rsid w:val="00AA63A0"/>
    <w:rsid w:val="00AA63F2"/>
    <w:rsid w:val="00AA6609"/>
    <w:rsid w:val="00AA6674"/>
    <w:rsid w:val="00AA6A05"/>
    <w:rsid w:val="00AA7A4B"/>
    <w:rsid w:val="00AA7C69"/>
    <w:rsid w:val="00AA7DE1"/>
    <w:rsid w:val="00AA7DE7"/>
    <w:rsid w:val="00AA7FCA"/>
    <w:rsid w:val="00AB0509"/>
    <w:rsid w:val="00AB097A"/>
    <w:rsid w:val="00AB0AD3"/>
    <w:rsid w:val="00AB1210"/>
    <w:rsid w:val="00AB1540"/>
    <w:rsid w:val="00AB2F12"/>
    <w:rsid w:val="00AB2F9A"/>
    <w:rsid w:val="00AB3132"/>
    <w:rsid w:val="00AB3CDD"/>
    <w:rsid w:val="00AB491D"/>
    <w:rsid w:val="00AB4A1D"/>
    <w:rsid w:val="00AB4D8F"/>
    <w:rsid w:val="00AB50EF"/>
    <w:rsid w:val="00AB53A7"/>
    <w:rsid w:val="00AB57B0"/>
    <w:rsid w:val="00AB58B8"/>
    <w:rsid w:val="00AB6080"/>
    <w:rsid w:val="00AB63E6"/>
    <w:rsid w:val="00AB65E1"/>
    <w:rsid w:val="00AB67E8"/>
    <w:rsid w:val="00AB6CF8"/>
    <w:rsid w:val="00AB6FA0"/>
    <w:rsid w:val="00AB7BC5"/>
    <w:rsid w:val="00AC1ED7"/>
    <w:rsid w:val="00AC1FB9"/>
    <w:rsid w:val="00AC2332"/>
    <w:rsid w:val="00AC2E4F"/>
    <w:rsid w:val="00AC4B83"/>
    <w:rsid w:val="00AC73BF"/>
    <w:rsid w:val="00AC788E"/>
    <w:rsid w:val="00AD0F6F"/>
    <w:rsid w:val="00AD1A97"/>
    <w:rsid w:val="00AD1FBA"/>
    <w:rsid w:val="00AD4ED2"/>
    <w:rsid w:val="00AD61F7"/>
    <w:rsid w:val="00AD62C6"/>
    <w:rsid w:val="00AD681E"/>
    <w:rsid w:val="00AD796B"/>
    <w:rsid w:val="00AE0097"/>
    <w:rsid w:val="00AE01F3"/>
    <w:rsid w:val="00AE046A"/>
    <w:rsid w:val="00AE0A51"/>
    <w:rsid w:val="00AE1EBB"/>
    <w:rsid w:val="00AE1F03"/>
    <w:rsid w:val="00AE267B"/>
    <w:rsid w:val="00AE2CF1"/>
    <w:rsid w:val="00AE2EFB"/>
    <w:rsid w:val="00AE330C"/>
    <w:rsid w:val="00AE4366"/>
    <w:rsid w:val="00AE45F5"/>
    <w:rsid w:val="00AE4AA9"/>
    <w:rsid w:val="00AE5339"/>
    <w:rsid w:val="00AE5873"/>
    <w:rsid w:val="00AE58E3"/>
    <w:rsid w:val="00AE6AD5"/>
    <w:rsid w:val="00AF07AA"/>
    <w:rsid w:val="00AF16CE"/>
    <w:rsid w:val="00AF28A7"/>
    <w:rsid w:val="00AF2EE3"/>
    <w:rsid w:val="00AF308F"/>
    <w:rsid w:val="00AF367E"/>
    <w:rsid w:val="00AF3A52"/>
    <w:rsid w:val="00AF45E0"/>
    <w:rsid w:val="00AF4CCA"/>
    <w:rsid w:val="00AF5DAB"/>
    <w:rsid w:val="00AF6601"/>
    <w:rsid w:val="00AF780D"/>
    <w:rsid w:val="00AF7FD7"/>
    <w:rsid w:val="00B0043D"/>
    <w:rsid w:val="00B00908"/>
    <w:rsid w:val="00B01672"/>
    <w:rsid w:val="00B02012"/>
    <w:rsid w:val="00B024AA"/>
    <w:rsid w:val="00B0257D"/>
    <w:rsid w:val="00B02804"/>
    <w:rsid w:val="00B02902"/>
    <w:rsid w:val="00B02B2F"/>
    <w:rsid w:val="00B02C2C"/>
    <w:rsid w:val="00B03ABB"/>
    <w:rsid w:val="00B0426C"/>
    <w:rsid w:val="00B04BE2"/>
    <w:rsid w:val="00B057FD"/>
    <w:rsid w:val="00B05B4F"/>
    <w:rsid w:val="00B05FEB"/>
    <w:rsid w:val="00B06B83"/>
    <w:rsid w:val="00B0790C"/>
    <w:rsid w:val="00B10363"/>
    <w:rsid w:val="00B10C7E"/>
    <w:rsid w:val="00B10FC1"/>
    <w:rsid w:val="00B11D00"/>
    <w:rsid w:val="00B11EBE"/>
    <w:rsid w:val="00B12D14"/>
    <w:rsid w:val="00B13587"/>
    <w:rsid w:val="00B144D4"/>
    <w:rsid w:val="00B14691"/>
    <w:rsid w:val="00B15CEC"/>
    <w:rsid w:val="00B17162"/>
    <w:rsid w:val="00B17EBD"/>
    <w:rsid w:val="00B20444"/>
    <w:rsid w:val="00B20F40"/>
    <w:rsid w:val="00B21225"/>
    <w:rsid w:val="00B21B7C"/>
    <w:rsid w:val="00B22CE4"/>
    <w:rsid w:val="00B23C24"/>
    <w:rsid w:val="00B23F62"/>
    <w:rsid w:val="00B24506"/>
    <w:rsid w:val="00B249CE"/>
    <w:rsid w:val="00B24CBE"/>
    <w:rsid w:val="00B26504"/>
    <w:rsid w:val="00B26835"/>
    <w:rsid w:val="00B26A9F"/>
    <w:rsid w:val="00B27293"/>
    <w:rsid w:val="00B27F49"/>
    <w:rsid w:val="00B31DC1"/>
    <w:rsid w:val="00B321DA"/>
    <w:rsid w:val="00B3367F"/>
    <w:rsid w:val="00B3477A"/>
    <w:rsid w:val="00B34F59"/>
    <w:rsid w:val="00B367EE"/>
    <w:rsid w:val="00B36A13"/>
    <w:rsid w:val="00B36CFD"/>
    <w:rsid w:val="00B379D9"/>
    <w:rsid w:val="00B37EBD"/>
    <w:rsid w:val="00B40196"/>
    <w:rsid w:val="00B41970"/>
    <w:rsid w:val="00B428BD"/>
    <w:rsid w:val="00B4477A"/>
    <w:rsid w:val="00B451C6"/>
    <w:rsid w:val="00B45810"/>
    <w:rsid w:val="00B464E5"/>
    <w:rsid w:val="00B46547"/>
    <w:rsid w:val="00B46E81"/>
    <w:rsid w:val="00B50707"/>
    <w:rsid w:val="00B509F7"/>
    <w:rsid w:val="00B5273C"/>
    <w:rsid w:val="00B527FB"/>
    <w:rsid w:val="00B52B81"/>
    <w:rsid w:val="00B52E7F"/>
    <w:rsid w:val="00B533F5"/>
    <w:rsid w:val="00B53C06"/>
    <w:rsid w:val="00B56BF6"/>
    <w:rsid w:val="00B60D68"/>
    <w:rsid w:val="00B60DED"/>
    <w:rsid w:val="00B6151F"/>
    <w:rsid w:val="00B6168F"/>
    <w:rsid w:val="00B6217E"/>
    <w:rsid w:val="00B63138"/>
    <w:rsid w:val="00B63E63"/>
    <w:rsid w:val="00B63F94"/>
    <w:rsid w:val="00B642EF"/>
    <w:rsid w:val="00B64867"/>
    <w:rsid w:val="00B64F6C"/>
    <w:rsid w:val="00B678D0"/>
    <w:rsid w:val="00B67BF6"/>
    <w:rsid w:val="00B7016C"/>
    <w:rsid w:val="00B70D3D"/>
    <w:rsid w:val="00B711D8"/>
    <w:rsid w:val="00B717F1"/>
    <w:rsid w:val="00B7217E"/>
    <w:rsid w:val="00B7233A"/>
    <w:rsid w:val="00B7444A"/>
    <w:rsid w:val="00B74C90"/>
    <w:rsid w:val="00B764C7"/>
    <w:rsid w:val="00B806CD"/>
    <w:rsid w:val="00B8070D"/>
    <w:rsid w:val="00B807EC"/>
    <w:rsid w:val="00B822B5"/>
    <w:rsid w:val="00B83189"/>
    <w:rsid w:val="00B8355A"/>
    <w:rsid w:val="00B8365F"/>
    <w:rsid w:val="00B843F3"/>
    <w:rsid w:val="00B85385"/>
    <w:rsid w:val="00B859F2"/>
    <w:rsid w:val="00B862DC"/>
    <w:rsid w:val="00B867CF"/>
    <w:rsid w:val="00B90FA4"/>
    <w:rsid w:val="00B90FD4"/>
    <w:rsid w:val="00B912C2"/>
    <w:rsid w:val="00B93015"/>
    <w:rsid w:val="00B9378F"/>
    <w:rsid w:val="00B9380C"/>
    <w:rsid w:val="00B9446B"/>
    <w:rsid w:val="00B94638"/>
    <w:rsid w:val="00B947CA"/>
    <w:rsid w:val="00B95863"/>
    <w:rsid w:val="00B95E90"/>
    <w:rsid w:val="00BA1069"/>
    <w:rsid w:val="00BA1A31"/>
    <w:rsid w:val="00BA292A"/>
    <w:rsid w:val="00BA3C2F"/>
    <w:rsid w:val="00BA47FE"/>
    <w:rsid w:val="00BA4DD1"/>
    <w:rsid w:val="00BA50D4"/>
    <w:rsid w:val="00BA519D"/>
    <w:rsid w:val="00BA704C"/>
    <w:rsid w:val="00BB0933"/>
    <w:rsid w:val="00BB31BF"/>
    <w:rsid w:val="00BB34D7"/>
    <w:rsid w:val="00BB4030"/>
    <w:rsid w:val="00BB79F0"/>
    <w:rsid w:val="00BB7C2F"/>
    <w:rsid w:val="00BC0A09"/>
    <w:rsid w:val="00BC26EA"/>
    <w:rsid w:val="00BC3343"/>
    <w:rsid w:val="00BC3D79"/>
    <w:rsid w:val="00BC3F50"/>
    <w:rsid w:val="00BC4488"/>
    <w:rsid w:val="00BC4A21"/>
    <w:rsid w:val="00BC4F09"/>
    <w:rsid w:val="00BC5107"/>
    <w:rsid w:val="00BC57C8"/>
    <w:rsid w:val="00BC5878"/>
    <w:rsid w:val="00BC58EF"/>
    <w:rsid w:val="00BC5B33"/>
    <w:rsid w:val="00BC5B92"/>
    <w:rsid w:val="00BC7188"/>
    <w:rsid w:val="00BC7289"/>
    <w:rsid w:val="00BD04FA"/>
    <w:rsid w:val="00BD18D2"/>
    <w:rsid w:val="00BD3226"/>
    <w:rsid w:val="00BD49E2"/>
    <w:rsid w:val="00BD4CE2"/>
    <w:rsid w:val="00BD58E7"/>
    <w:rsid w:val="00BD5BF4"/>
    <w:rsid w:val="00BD6549"/>
    <w:rsid w:val="00BD6A2B"/>
    <w:rsid w:val="00BD6AB1"/>
    <w:rsid w:val="00BD7DAC"/>
    <w:rsid w:val="00BE05C7"/>
    <w:rsid w:val="00BE0851"/>
    <w:rsid w:val="00BE08C4"/>
    <w:rsid w:val="00BE144E"/>
    <w:rsid w:val="00BE1566"/>
    <w:rsid w:val="00BE1663"/>
    <w:rsid w:val="00BE1DFA"/>
    <w:rsid w:val="00BE2188"/>
    <w:rsid w:val="00BE2A2E"/>
    <w:rsid w:val="00BE309F"/>
    <w:rsid w:val="00BE4771"/>
    <w:rsid w:val="00BE4835"/>
    <w:rsid w:val="00BE4857"/>
    <w:rsid w:val="00BE4BB1"/>
    <w:rsid w:val="00BE50F3"/>
    <w:rsid w:val="00BE5440"/>
    <w:rsid w:val="00BE6423"/>
    <w:rsid w:val="00BE6A5B"/>
    <w:rsid w:val="00BE79D9"/>
    <w:rsid w:val="00BE7E09"/>
    <w:rsid w:val="00BF0DD5"/>
    <w:rsid w:val="00BF1511"/>
    <w:rsid w:val="00BF1C3B"/>
    <w:rsid w:val="00BF203A"/>
    <w:rsid w:val="00BF2461"/>
    <w:rsid w:val="00BF2995"/>
    <w:rsid w:val="00BF355D"/>
    <w:rsid w:val="00BF46A7"/>
    <w:rsid w:val="00BF4B73"/>
    <w:rsid w:val="00BF565B"/>
    <w:rsid w:val="00BF648F"/>
    <w:rsid w:val="00BF7109"/>
    <w:rsid w:val="00BF7E4B"/>
    <w:rsid w:val="00C00721"/>
    <w:rsid w:val="00C01BCF"/>
    <w:rsid w:val="00C02094"/>
    <w:rsid w:val="00C028E7"/>
    <w:rsid w:val="00C03568"/>
    <w:rsid w:val="00C03DE0"/>
    <w:rsid w:val="00C0405A"/>
    <w:rsid w:val="00C04218"/>
    <w:rsid w:val="00C047A2"/>
    <w:rsid w:val="00C05659"/>
    <w:rsid w:val="00C05B73"/>
    <w:rsid w:val="00C06001"/>
    <w:rsid w:val="00C0711D"/>
    <w:rsid w:val="00C101C1"/>
    <w:rsid w:val="00C10F74"/>
    <w:rsid w:val="00C110AE"/>
    <w:rsid w:val="00C11256"/>
    <w:rsid w:val="00C1134F"/>
    <w:rsid w:val="00C1140F"/>
    <w:rsid w:val="00C11EA8"/>
    <w:rsid w:val="00C12836"/>
    <w:rsid w:val="00C12E6D"/>
    <w:rsid w:val="00C12F34"/>
    <w:rsid w:val="00C130D4"/>
    <w:rsid w:val="00C14602"/>
    <w:rsid w:val="00C146CE"/>
    <w:rsid w:val="00C14837"/>
    <w:rsid w:val="00C148CE"/>
    <w:rsid w:val="00C1517F"/>
    <w:rsid w:val="00C152CF"/>
    <w:rsid w:val="00C1533C"/>
    <w:rsid w:val="00C15956"/>
    <w:rsid w:val="00C15A18"/>
    <w:rsid w:val="00C16241"/>
    <w:rsid w:val="00C1677D"/>
    <w:rsid w:val="00C17847"/>
    <w:rsid w:val="00C20E6C"/>
    <w:rsid w:val="00C2137A"/>
    <w:rsid w:val="00C229FC"/>
    <w:rsid w:val="00C23085"/>
    <w:rsid w:val="00C23C4E"/>
    <w:rsid w:val="00C25136"/>
    <w:rsid w:val="00C262A8"/>
    <w:rsid w:val="00C26501"/>
    <w:rsid w:val="00C27513"/>
    <w:rsid w:val="00C30C8F"/>
    <w:rsid w:val="00C3153D"/>
    <w:rsid w:val="00C317C8"/>
    <w:rsid w:val="00C31850"/>
    <w:rsid w:val="00C33414"/>
    <w:rsid w:val="00C33B79"/>
    <w:rsid w:val="00C353BD"/>
    <w:rsid w:val="00C3543C"/>
    <w:rsid w:val="00C358DB"/>
    <w:rsid w:val="00C35A76"/>
    <w:rsid w:val="00C3686F"/>
    <w:rsid w:val="00C3797C"/>
    <w:rsid w:val="00C37A7D"/>
    <w:rsid w:val="00C4062D"/>
    <w:rsid w:val="00C40E40"/>
    <w:rsid w:val="00C41D74"/>
    <w:rsid w:val="00C42641"/>
    <w:rsid w:val="00C4287B"/>
    <w:rsid w:val="00C42C9D"/>
    <w:rsid w:val="00C42CF1"/>
    <w:rsid w:val="00C43960"/>
    <w:rsid w:val="00C44139"/>
    <w:rsid w:val="00C45485"/>
    <w:rsid w:val="00C454BE"/>
    <w:rsid w:val="00C4570F"/>
    <w:rsid w:val="00C47334"/>
    <w:rsid w:val="00C50302"/>
    <w:rsid w:val="00C50E46"/>
    <w:rsid w:val="00C524AD"/>
    <w:rsid w:val="00C525D0"/>
    <w:rsid w:val="00C533B5"/>
    <w:rsid w:val="00C5389A"/>
    <w:rsid w:val="00C54536"/>
    <w:rsid w:val="00C54A08"/>
    <w:rsid w:val="00C5777F"/>
    <w:rsid w:val="00C57BB7"/>
    <w:rsid w:val="00C600E7"/>
    <w:rsid w:val="00C60C40"/>
    <w:rsid w:val="00C610EA"/>
    <w:rsid w:val="00C61468"/>
    <w:rsid w:val="00C6202C"/>
    <w:rsid w:val="00C629C8"/>
    <w:rsid w:val="00C62DE3"/>
    <w:rsid w:val="00C636BB"/>
    <w:rsid w:val="00C63757"/>
    <w:rsid w:val="00C638B8"/>
    <w:rsid w:val="00C63A66"/>
    <w:rsid w:val="00C63A75"/>
    <w:rsid w:val="00C6432E"/>
    <w:rsid w:val="00C64975"/>
    <w:rsid w:val="00C65498"/>
    <w:rsid w:val="00C66047"/>
    <w:rsid w:val="00C668B9"/>
    <w:rsid w:val="00C66BA1"/>
    <w:rsid w:val="00C66FF1"/>
    <w:rsid w:val="00C67149"/>
    <w:rsid w:val="00C67252"/>
    <w:rsid w:val="00C676E4"/>
    <w:rsid w:val="00C67761"/>
    <w:rsid w:val="00C70D6B"/>
    <w:rsid w:val="00C71095"/>
    <w:rsid w:val="00C74BD5"/>
    <w:rsid w:val="00C75F5F"/>
    <w:rsid w:val="00C76136"/>
    <w:rsid w:val="00C771C5"/>
    <w:rsid w:val="00C8029C"/>
    <w:rsid w:val="00C802C9"/>
    <w:rsid w:val="00C80C3A"/>
    <w:rsid w:val="00C81D38"/>
    <w:rsid w:val="00C82B12"/>
    <w:rsid w:val="00C8329E"/>
    <w:rsid w:val="00C83B78"/>
    <w:rsid w:val="00C83BB1"/>
    <w:rsid w:val="00C83E64"/>
    <w:rsid w:val="00C843E2"/>
    <w:rsid w:val="00C86A00"/>
    <w:rsid w:val="00C8746A"/>
    <w:rsid w:val="00C913E3"/>
    <w:rsid w:val="00C920B0"/>
    <w:rsid w:val="00C9289D"/>
    <w:rsid w:val="00C93743"/>
    <w:rsid w:val="00C93A2A"/>
    <w:rsid w:val="00C94706"/>
    <w:rsid w:val="00C955F1"/>
    <w:rsid w:val="00C95D8E"/>
    <w:rsid w:val="00C97138"/>
    <w:rsid w:val="00CA021D"/>
    <w:rsid w:val="00CA0D61"/>
    <w:rsid w:val="00CA1798"/>
    <w:rsid w:val="00CA1D20"/>
    <w:rsid w:val="00CA2250"/>
    <w:rsid w:val="00CA227A"/>
    <w:rsid w:val="00CA2410"/>
    <w:rsid w:val="00CA276F"/>
    <w:rsid w:val="00CA3D9B"/>
    <w:rsid w:val="00CA4293"/>
    <w:rsid w:val="00CA61B5"/>
    <w:rsid w:val="00CA6F1B"/>
    <w:rsid w:val="00CA7815"/>
    <w:rsid w:val="00CA7B3D"/>
    <w:rsid w:val="00CB0031"/>
    <w:rsid w:val="00CB0DCA"/>
    <w:rsid w:val="00CB44B9"/>
    <w:rsid w:val="00CB47DA"/>
    <w:rsid w:val="00CB5142"/>
    <w:rsid w:val="00CB540C"/>
    <w:rsid w:val="00CB5802"/>
    <w:rsid w:val="00CB6758"/>
    <w:rsid w:val="00CC0384"/>
    <w:rsid w:val="00CC07C9"/>
    <w:rsid w:val="00CC1A1F"/>
    <w:rsid w:val="00CC1F31"/>
    <w:rsid w:val="00CC1FE1"/>
    <w:rsid w:val="00CC24CC"/>
    <w:rsid w:val="00CC29E0"/>
    <w:rsid w:val="00CC435F"/>
    <w:rsid w:val="00CC46E2"/>
    <w:rsid w:val="00CC4FD0"/>
    <w:rsid w:val="00CC5480"/>
    <w:rsid w:val="00CC6CCF"/>
    <w:rsid w:val="00CC7069"/>
    <w:rsid w:val="00CD32FD"/>
    <w:rsid w:val="00CD3B8C"/>
    <w:rsid w:val="00CD59E9"/>
    <w:rsid w:val="00CD5D6A"/>
    <w:rsid w:val="00CD5F6F"/>
    <w:rsid w:val="00CD61FA"/>
    <w:rsid w:val="00CD676D"/>
    <w:rsid w:val="00CD6D09"/>
    <w:rsid w:val="00CD77BF"/>
    <w:rsid w:val="00CD7BB1"/>
    <w:rsid w:val="00CE1028"/>
    <w:rsid w:val="00CE11EB"/>
    <w:rsid w:val="00CE1465"/>
    <w:rsid w:val="00CE17CC"/>
    <w:rsid w:val="00CE1BE2"/>
    <w:rsid w:val="00CE2F5F"/>
    <w:rsid w:val="00CE300B"/>
    <w:rsid w:val="00CE37F7"/>
    <w:rsid w:val="00CE3C56"/>
    <w:rsid w:val="00CE3DBD"/>
    <w:rsid w:val="00CE3F95"/>
    <w:rsid w:val="00CE5103"/>
    <w:rsid w:val="00CE5419"/>
    <w:rsid w:val="00CE61DF"/>
    <w:rsid w:val="00CE6FF2"/>
    <w:rsid w:val="00CE77C0"/>
    <w:rsid w:val="00CE7B64"/>
    <w:rsid w:val="00CF027C"/>
    <w:rsid w:val="00CF037C"/>
    <w:rsid w:val="00CF0D5B"/>
    <w:rsid w:val="00CF1889"/>
    <w:rsid w:val="00CF1D47"/>
    <w:rsid w:val="00CF2182"/>
    <w:rsid w:val="00CF328D"/>
    <w:rsid w:val="00CF42FF"/>
    <w:rsid w:val="00CF4F5E"/>
    <w:rsid w:val="00CF5813"/>
    <w:rsid w:val="00CF60EF"/>
    <w:rsid w:val="00CF67E3"/>
    <w:rsid w:val="00CF72D3"/>
    <w:rsid w:val="00CF797D"/>
    <w:rsid w:val="00D01530"/>
    <w:rsid w:val="00D01B61"/>
    <w:rsid w:val="00D01BEC"/>
    <w:rsid w:val="00D03552"/>
    <w:rsid w:val="00D03BCE"/>
    <w:rsid w:val="00D0487A"/>
    <w:rsid w:val="00D05664"/>
    <w:rsid w:val="00D06AC3"/>
    <w:rsid w:val="00D07957"/>
    <w:rsid w:val="00D10A0A"/>
    <w:rsid w:val="00D10A53"/>
    <w:rsid w:val="00D10D78"/>
    <w:rsid w:val="00D13014"/>
    <w:rsid w:val="00D1383C"/>
    <w:rsid w:val="00D1410B"/>
    <w:rsid w:val="00D14281"/>
    <w:rsid w:val="00D151F0"/>
    <w:rsid w:val="00D156AA"/>
    <w:rsid w:val="00D15ED5"/>
    <w:rsid w:val="00D16084"/>
    <w:rsid w:val="00D1658B"/>
    <w:rsid w:val="00D17A5D"/>
    <w:rsid w:val="00D209A6"/>
    <w:rsid w:val="00D20B4B"/>
    <w:rsid w:val="00D2174B"/>
    <w:rsid w:val="00D223F5"/>
    <w:rsid w:val="00D25355"/>
    <w:rsid w:val="00D256E2"/>
    <w:rsid w:val="00D25BAE"/>
    <w:rsid w:val="00D264F5"/>
    <w:rsid w:val="00D26B24"/>
    <w:rsid w:val="00D26DAA"/>
    <w:rsid w:val="00D300CF"/>
    <w:rsid w:val="00D302B7"/>
    <w:rsid w:val="00D307E2"/>
    <w:rsid w:val="00D308A0"/>
    <w:rsid w:val="00D30A1B"/>
    <w:rsid w:val="00D31E22"/>
    <w:rsid w:val="00D31F41"/>
    <w:rsid w:val="00D3206E"/>
    <w:rsid w:val="00D325D6"/>
    <w:rsid w:val="00D32A73"/>
    <w:rsid w:val="00D32BC8"/>
    <w:rsid w:val="00D32F11"/>
    <w:rsid w:val="00D34342"/>
    <w:rsid w:val="00D34948"/>
    <w:rsid w:val="00D35401"/>
    <w:rsid w:val="00D36D6F"/>
    <w:rsid w:val="00D37268"/>
    <w:rsid w:val="00D3795D"/>
    <w:rsid w:val="00D41576"/>
    <w:rsid w:val="00D4318D"/>
    <w:rsid w:val="00D439BD"/>
    <w:rsid w:val="00D4449B"/>
    <w:rsid w:val="00D44ABE"/>
    <w:rsid w:val="00D4533F"/>
    <w:rsid w:val="00D454DD"/>
    <w:rsid w:val="00D46A3D"/>
    <w:rsid w:val="00D46AE4"/>
    <w:rsid w:val="00D46D31"/>
    <w:rsid w:val="00D47832"/>
    <w:rsid w:val="00D5021D"/>
    <w:rsid w:val="00D50521"/>
    <w:rsid w:val="00D50E7F"/>
    <w:rsid w:val="00D51066"/>
    <w:rsid w:val="00D52A45"/>
    <w:rsid w:val="00D52B1B"/>
    <w:rsid w:val="00D53E71"/>
    <w:rsid w:val="00D543E8"/>
    <w:rsid w:val="00D54E99"/>
    <w:rsid w:val="00D54F88"/>
    <w:rsid w:val="00D55AC3"/>
    <w:rsid w:val="00D56F46"/>
    <w:rsid w:val="00D60603"/>
    <w:rsid w:val="00D60F29"/>
    <w:rsid w:val="00D6123E"/>
    <w:rsid w:val="00D62CB7"/>
    <w:rsid w:val="00D62E71"/>
    <w:rsid w:val="00D637F9"/>
    <w:rsid w:val="00D64A68"/>
    <w:rsid w:val="00D661CE"/>
    <w:rsid w:val="00D66963"/>
    <w:rsid w:val="00D66D39"/>
    <w:rsid w:val="00D67103"/>
    <w:rsid w:val="00D675D2"/>
    <w:rsid w:val="00D67658"/>
    <w:rsid w:val="00D704EB"/>
    <w:rsid w:val="00D70838"/>
    <w:rsid w:val="00D70CE3"/>
    <w:rsid w:val="00D70F9F"/>
    <w:rsid w:val="00D70FEF"/>
    <w:rsid w:val="00D710C5"/>
    <w:rsid w:val="00D713C1"/>
    <w:rsid w:val="00D71733"/>
    <w:rsid w:val="00D74751"/>
    <w:rsid w:val="00D74D61"/>
    <w:rsid w:val="00D763AF"/>
    <w:rsid w:val="00D7656A"/>
    <w:rsid w:val="00D7659A"/>
    <w:rsid w:val="00D7659D"/>
    <w:rsid w:val="00D76F64"/>
    <w:rsid w:val="00D77605"/>
    <w:rsid w:val="00D77E73"/>
    <w:rsid w:val="00D80D70"/>
    <w:rsid w:val="00D85035"/>
    <w:rsid w:val="00D850AD"/>
    <w:rsid w:val="00D85883"/>
    <w:rsid w:val="00D85F33"/>
    <w:rsid w:val="00D864E5"/>
    <w:rsid w:val="00D87D85"/>
    <w:rsid w:val="00D90221"/>
    <w:rsid w:val="00D90296"/>
    <w:rsid w:val="00D90527"/>
    <w:rsid w:val="00D916DF"/>
    <w:rsid w:val="00D9199C"/>
    <w:rsid w:val="00D920AE"/>
    <w:rsid w:val="00D92426"/>
    <w:rsid w:val="00D93A81"/>
    <w:rsid w:val="00D94DAC"/>
    <w:rsid w:val="00D951B3"/>
    <w:rsid w:val="00D9592E"/>
    <w:rsid w:val="00D95DC5"/>
    <w:rsid w:val="00D9645C"/>
    <w:rsid w:val="00D96862"/>
    <w:rsid w:val="00D972F5"/>
    <w:rsid w:val="00DA0103"/>
    <w:rsid w:val="00DA0384"/>
    <w:rsid w:val="00DA0805"/>
    <w:rsid w:val="00DA088A"/>
    <w:rsid w:val="00DA1BD1"/>
    <w:rsid w:val="00DA203B"/>
    <w:rsid w:val="00DA26E3"/>
    <w:rsid w:val="00DA26F4"/>
    <w:rsid w:val="00DA3022"/>
    <w:rsid w:val="00DA346A"/>
    <w:rsid w:val="00DA35E6"/>
    <w:rsid w:val="00DA360E"/>
    <w:rsid w:val="00DA42E6"/>
    <w:rsid w:val="00DA5327"/>
    <w:rsid w:val="00DA617C"/>
    <w:rsid w:val="00DA63AD"/>
    <w:rsid w:val="00DA6D7B"/>
    <w:rsid w:val="00DA7E1D"/>
    <w:rsid w:val="00DB0706"/>
    <w:rsid w:val="00DB151E"/>
    <w:rsid w:val="00DB1947"/>
    <w:rsid w:val="00DB1A3D"/>
    <w:rsid w:val="00DB20A8"/>
    <w:rsid w:val="00DB22A5"/>
    <w:rsid w:val="00DB26B0"/>
    <w:rsid w:val="00DB2C80"/>
    <w:rsid w:val="00DB42CB"/>
    <w:rsid w:val="00DB5840"/>
    <w:rsid w:val="00DB5A27"/>
    <w:rsid w:val="00DB5F8F"/>
    <w:rsid w:val="00DB61D7"/>
    <w:rsid w:val="00DB623D"/>
    <w:rsid w:val="00DB6A30"/>
    <w:rsid w:val="00DB7CBC"/>
    <w:rsid w:val="00DC0A8B"/>
    <w:rsid w:val="00DC1954"/>
    <w:rsid w:val="00DC33FC"/>
    <w:rsid w:val="00DC38E8"/>
    <w:rsid w:val="00DC416F"/>
    <w:rsid w:val="00DC4799"/>
    <w:rsid w:val="00DC4D55"/>
    <w:rsid w:val="00DC5A5F"/>
    <w:rsid w:val="00DC5D24"/>
    <w:rsid w:val="00DC66A1"/>
    <w:rsid w:val="00DC672B"/>
    <w:rsid w:val="00DC6D60"/>
    <w:rsid w:val="00DC6E31"/>
    <w:rsid w:val="00DC7AED"/>
    <w:rsid w:val="00DD0000"/>
    <w:rsid w:val="00DD0CEE"/>
    <w:rsid w:val="00DD1AA5"/>
    <w:rsid w:val="00DD2EA8"/>
    <w:rsid w:val="00DD30F6"/>
    <w:rsid w:val="00DD34F3"/>
    <w:rsid w:val="00DD3644"/>
    <w:rsid w:val="00DD3F91"/>
    <w:rsid w:val="00DD4618"/>
    <w:rsid w:val="00DD604D"/>
    <w:rsid w:val="00DD6221"/>
    <w:rsid w:val="00DD7EEE"/>
    <w:rsid w:val="00DE1652"/>
    <w:rsid w:val="00DE2517"/>
    <w:rsid w:val="00DE273C"/>
    <w:rsid w:val="00DE2C45"/>
    <w:rsid w:val="00DE3D1E"/>
    <w:rsid w:val="00DE4B79"/>
    <w:rsid w:val="00DE505A"/>
    <w:rsid w:val="00DE51A7"/>
    <w:rsid w:val="00DE58F5"/>
    <w:rsid w:val="00DE610F"/>
    <w:rsid w:val="00DE694C"/>
    <w:rsid w:val="00DE6963"/>
    <w:rsid w:val="00DE7065"/>
    <w:rsid w:val="00DF26D6"/>
    <w:rsid w:val="00DF2F2D"/>
    <w:rsid w:val="00DF4334"/>
    <w:rsid w:val="00DF434E"/>
    <w:rsid w:val="00DF5148"/>
    <w:rsid w:val="00DF5E40"/>
    <w:rsid w:val="00DF614D"/>
    <w:rsid w:val="00DF7A55"/>
    <w:rsid w:val="00E000F0"/>
    <w:rsid w:val="00E01119"/>
    <w:rsid w:val="00E01520"/>
    <w:rsid w:val="00E01CDD"/>
    <w:rsid w:val="00E02B7F"/>
    <w:rsid w:val="00E044F4"/>
    <w:rsid w:val="00E045A3"/>
    <w:rsid w:val="00E06C5B"/>
    <w:rsid w:val="00E06F87"/>
    <w:rsid w:val="00E06FBD"/>
    <w:rsid w:val="00E0740A"/>
    <w:rsid w:val="00E07B9C"/>
    <w:rsid w:val="00E07D1A"/>
    <w:rsid w:val="00E11537"/>
    <w:rsid w:val="00E11FD0"/>
    <w:rsid w:val="00E1290D"/>
    <w:rsid w:val="00E13AF2"/>
    <w:rsid w:val="00E15F84"/>
    <w:rsid w:val="00E16A49"/>
    <w:rsid w:val="00E17607"/>
    <w:rsid w:val="00E177AF"/>
    <w:rsid w:val="00E17B11"/>
    <w:rsid w:val="00E20A2A"/>
    <w:rsid w:val="00E211D7"/>
    <w:rsid w:val="00E2248B"/>
    <w:rsid w:val="00E224F3"/>
    <w:rsid w:val="00E23D54"/>
    <w:rsid w:val="00E240F6"/>
    <w:rsid w:val="00E2455E"/>
    <w:rsid w:val="00E2503B"/>
    <w:rsid w:val="00E25320"/>
    <w:rsid w:val="00E2593D"/>
    <w:rsid w:val="00E25FC4"/>
    <w:rsid w:val="00E2663F"/>
    <w:rsid w:val="00E2704D"/>
    <w:rsid w:val="00E27A18"/>
    <w:rsid w:val="00E27E7A"/>
    <w:rsid w:val="00E27EB9"/>
    <w:rsid w:val="00E30B33"/>
    <w:rsid w:val="00E30BC2"/>
    <w:rsid w:val="00E31182"/>
    <w:rsid w:val="00E31679"/>
    <w:rsid w:val="00E31CA4"/>
    <w:rsid w:val="00E32D82"/>
    <w:rsid w:val="00E32E57"/>
    <w:rsid w:val="00E32E6C"/>
    <w:rsid w:val="00E3360B"/>
    <w:rsid w:val="00E339FD"/>
    <w:rsid w:val="00E33F1D"/>
    <w:rsid w:val="00E34C6E"/>
    <w:rsid w:val="00E35F06"/>
    <w:rsid w:val="00E36535"/>
    <w:rsid w:val="00E36F98"/>
    <w:rsid w:val="00E3733E"/>
    <w:rsid w:val="00E376AC"/>
    <w:rsid w:val="00E378E0"/>
    <w:rsid w:val="00E37BF8"/>
    <w:rsid w:val="00E407A1"/>
    <w:rsid w:val="00E410ED"/>
    <w:rsid w:val="00E41703"/>
    <w:rsid w:val="00E417D8"/>
    <w:rsid w:val="00E41A96"/>
    <w:rsid w:val="00E42F5D"/>
    <w:rsid w:val="00E43848"/>
    <w:rsid w:val="00E43DF4"/>
    <w:rsid w:val="00E44AF7"/>
    <w:rsid w:val="00E46907"/>
    <w:rsid w:val="00E46E91"/>
    <w:rsid w:val="00E476EE"/>
    <w:rsid w:val="00E47D51"/>
    <w:rsid w:val="00E5030F"/>
    <w:rsid w:val="00E509B8"/>
    <w:rsid w:val="00E50DD3"/>
    <w:rsid w:val="00E510DF"/>
    <w:rsid w:val="00E5119C"/>
    <w:rsid w:val="00E51828"/>
    <w:rsid w:val="00E51C9B"/>
    <w:rsid w:val="00E52117"/>
    <w:rsid w:val="00E53687"/>
    <w:rsid w:val="00E5389A"/>
    <w:rsid w:val="00E53A5A"/>
    <w:rsid w:val="00E5450C"/>
    <w:rsid w:val="00E54E57"/>
    <w:rsid w:val="00E559D0"/>
    <w:rsid w:val="00E559E3"/>
    <w:rsid w:val="00E55BCC"/>
    <w:rsid w:val="00E56054"/>
    <w:rsid w:val="00E56EC7"/>
    <w:rsid w:val="00E56F43"/>
    <w:rsid w:val="00E6368A"/>
    <w:rsid w:val="00E64F7E"/>
    <w:rsid w:val="00E66205"/>
    <w:rsid w:val="00E6693B"/>
    <w:rsid w:val="00E66AA2"/>
    <w:rsid w:val="00E66C22"/>
    <w:rsid w:val="00E66EFC"/>
    <w:rsid w:val="00E66F57"/>
    <w:rsid w:val="00E6749C"/>
    <w:rsid w:val="00E70B7B"/>
    <w:rsid w:val="00E70E3C"/>
    <w:rsid w:val="00E715B8"/>
    <w:rsid w:val="00E7187B"/>
    <w:rsid w:val="00E71EAD"/>
    <w:rsid w:val="00E72FEB"/>
    <w:rsid w:val="00E74865"/>
    <w:rsid w:val="00E75374"/>
    <w:rsid w:val="00E75624"/>
    <w:rsid w:val="00E7597D"/>
    <w:rsid w:val="00E81088"/>
    <w:rsid w:val="00E818E0"/>
    <w:rsid w:val="00E82B2B"/>
    <w:rsid w:val="00E8388E"/>
    <w:rsid w:val="00E83A5B"/>
    <w:rsid w:val="00E83B47"/>
    <w:rsid w:val="00E8403D"/>
    <w:rsid w:val="00E84F72"/>
    <w:rsid w:val="00E84FD4"/>
    <w:rsid w:val="00E86708"/>
    <w:rsid w:val="00E86A7A"/>
    <w:rsid w:val="00E87028"/>
    <w:rsid w:val="00E902C8"/>
    <w:rsid w:val="00E908BD"/>
    <w:rsid w:val="00E91668"/>
    <w:rsid w:val="00E92933"/>
    <w:rsid w:val="00E93B6D"/>
    <w:rsid w:val="00E9411A"/>
    <w:rsid w:val="00E96CC7"/>
    <w:rsid w:val="00E9708D"/>
    <w:rsid w:val="00E971F7"/>
    <w:rsid w:val="00EA0A56"/>
    <w:rsid w:val="00EA1658"/>
    <w:rsid w:val="00EA1FAE"/>
    <w:rsid w:val="00EA2238"/>
    <w:rsid w:val="00EA47C9"/>
    <w:rsid w:val="00EA59AD"/>
    <w:rsid w:val="00EA6E35"/>
    <w:rsid w:val="00EA7BF7"/>
    <w:rsid w:val="00EB0194"/>
    <w:rsid w:val="00EB05EA"/>
    <w:rsid w:val="00EB076F"/>
    <w:rsid w:val="00EB1B26"/>
    <w:rsid w:val="00EB1E70"/>
    <w:rsid w:val="00EB2A6E"/>
    <w:rsid w:val="00EB3129"/>
    <w:rsid w:val="00EB3130"/>
    <w:rsid w:val="00EB3187"/>
    <w:rsid w:val="00EB3DB5"/>
    <w:rsid w:val="00EB40A6"/>
    <w:rsid w:val="00EB54FE"/>
    <w:rsid w:val="00EB6EBF"/>
    <w:rsid w:val="00EB7237"/>
    <w:rsid w:val="00EB7323"/>
    <w:rsid w:val="00EB7B92"/>
    <w:rsid w:val="00EC010F"/>
    <w:rsid w:val="00EC12A3"/>
    <w:rsid w:val="00EC1780"/>
    <w:rsid w:val="00EC1E53"/>
    <w:rsid w:val="00EC2D6E"/>
    <w:rsid w:val="00EC3186"/>
    <w:rsid w:val="00EC35A8"/>
    <w:rsid w:val="00EC35DD"/>
    <w:rsid w:val="00EC3B86"/>
    <w:rsid w:val="00EC3D9C"/>
    <w:rsid w:val="00EC43EC"/>
    <w:rsid w:val="00EC526A"/>
    <w:rsid w:val="00EC5B42"/>
    <w:rsid w:val="00EC6534"/>
    <w:rsid w:val="00EC7061"/>
    <w:rsid w:val="00EC74F2"/>
    <w:rsid w:val="00EC785E"/>
    <w:rsid w:val="00ED08BB"/>
    <w:rsid w:val="00ED0B09"/>
    <w:rsid w:val="00ED14F8"/>
    <w:rsid w:val="00ED1BD5"/>
    <w:rsid w:val="00ED3949"/>
    <w:rsid w:val="00ED3BA0"/>
    <w:rsid w:val="00ED453E"/>
    <w:rsid w:val="00ED489F"/>
    <w:rsid w:val="00ED497D"/>
    <w:rsid w:val="00ED6F3F"/>
    <w:rsid w:val="00EE02FA"/>
    <w:rsid w:val="00EE0557"/>
    <w:rsid w:val="00EE1A09"/>
    <w:rsid w:val="00EE2305"/>
    <w:rsid w:val="00EE352A"/>
    <w:rsid w:val="00EE3808"/>
    <w:rsid w:val="00EE5431"/>
    <w:rsid w:val="00EE6297"/>
    <w:rsid w:val="00EE65F3"/>
    <w:rsid w:val="00EE7442"/>
    <w:rsid w:val="00EE7F4B"/>
    <w:rsid w:val="00EF00CE"/>
    <w:rsid w:val="00EF0AEF"/>
    <w:rsid w:val="00EF390E"/>
    <w:rsid w:val="00EF3C47"/>
    <w:rsid w:val="00EF5521"/>
    <w:rsid w:val="00EF55BA"/>
    <w:rsid w:val="00EF5D9E"/>
    <w:rsid w:val="00EF6464"/>
    <w:rsid w:val="00EF79F8"/>
    <w:rsid w:val="00EF7E57"/>
    <w:rsid w:val="00F00D7B"/>
    <w:rsid w:val="00F00E11"/>
    <w:rsid w:val="00F01A07"/>
    <w:rsid w:val="00F0291A"/>
    <w:rsid w:val="00F02973"/>
    <w:rsid w:val="00F02C6D"/>
    <w:rsid w:val="00F02D53"/>
    <w:rsid w:val="00F02E26"/>
    <w:rsid w:val="00F04940"/>
    <w:rsid w:val="00F04CA1"/>
    <w:rsid w:val="00F05086"/>
    <w:rsid w:val="00F05796"/>
    <w:rsid w:val="00F05B4E"/>
    <w:rsid w:val="00F05FF9"/>
    <w:rsid w:val="00F06D16"/>
    <w:rsid w:val="00F07C78"/>
    <w:rsid w:val="00F11904"/>
    <w:rsid w:val="00F12E6A"/>
    <w:rsid w:val="00F13098"/>
    <w:rsid w:val="00F13A3A"/>
    <w:rsid w:val="00F14AB5"/>
    <w:rsid w:val="00F15870"/>
    <w:rsid w:val="00F170A3"/>
    <w:rsid w:val="00F174C8"/>
    <w:rsid w:val="00F1791D"/>
    <w:rsid w:val="00F17F47"/>
    <w:rsid w:val="00F2065C"/>
    <w:rsid w:val="00F20E27"/>
    <w:rsid w:val="00F20EA1"/>
    <w:rsid w:val="00F21299"/>
    <w:rsid w:val="00F228F2"/>
    <w:rsid w:val="00F237B9"/>
    <w:rsid w:val="00F245C3"/>
    <w:rsid w:val="00F24DE1"/>
    <w:rsid w:val="00F25C35"/>
    <w:rsid w:val="00F25D3E"/>
    <w:rsid w:val="00F2737A"/>
    <w:rsid w:val="00F30CDD"/>
    <w:rsid w:val="00F318BA"/>
    <w:rsid w:val="00F35C0C"/>
    <w:rsid w:val="00F366A4"/>
    <w:rsid w:val="00F36E38"/>
    <w:rsid w:val="00F3717E"/>
    <w:rsid w:val="00F37709"/>
    <w:rsid w:val="00F37B3A"/>
    <w:rsid w:val="00F37D3A"/>
    <w:rsid w:val="00F428FF"/>
    <w:rsid w:val="00F43002"/>
    <w:rsid w:val="00F449C7"/>
    <w:rsid w:val="00F449D2"/>
    <w:rsid w:val="00F44EFD"/>
    <w:rsid w:val="00F45066"/>
    <w:rsid w:val="00F4607F"/>
    <w:rsid w:val="00F4770A"/>
    <w:rsid w:val="00F509BC"/>
    <w:rsid w:val="00F50B5D"/>
    <w:rsid w:val="00F50C48"/>
    <w:rsid w:val="00F52088"/>
    <w:rsid w:val="00F5252C"/>
    <w:rsid w:val="00F52836"/>
    <w:rsid w:val="00F52EA3"/>
    <w:rsid w:val="00F542F1"/>
    <w:rsid w:val="00F55175"/>
    <w:rsid w:val="00F55524"/>
    <w:rsid w:val="00F55890"/>
    <w:rsid w:val="00F559C2"/>
    <w:rsid w:val="00F5668E"/>
    <w:rsid w:val="00F56B4E"/>
    <w:rsid w:val="00F575A3"/>
    <w:rsid w:val="00F577E6"/>
    <w:rsid w:val="00F5790D"/>
    <w:rsid w:val="00F57BA4"/>
    <w:rsid w:val="00F57F49"/>
    <w:rsid w:val="00F602D6"/>
    <w:rsid w:val="00F60BBB"/>
    <w:rsid w:val="00F60D56"/>
    <w:rsid w:val="00F61B65"/>
    <w:rsid w:val="00F62356"/>
    <w:rsid w:val="00F6267D"/>
    <w:rsid w:val="00F62906"/>
    <w:rsid w:val="00F62BC9"/>
    <w:rsid w:val="00F62D26"/>
    <w:rsid w:val="00F6309C"/>
    <w:rsid w:val="00F634BA"/>
    <w:rsid w:val="00F63670"/>
    <w:rsid w:val="00F65136"/>
    <w:rsid w:val="00F65999"/>
    <w:rsid w:val="00F6663A"/>
    <w:rsid w:val="00F67980"/>
    <w:rsid w:val="00F722A6"/>
    <w:rsid w:val="00F722B9"/>
    <w:rsid w:val="00F72552"/>
    <w:rsid w:val="00F72ADB"/>
    <w:rsid w:val="00F738A4"/>
    <w:rsid w:val="00F7508E"/>
    <w:rsid w:val="00F7599B"/>
    <w:rsid w:val="00F7684E"/>
    <w:rsid w:val="00F776E2"/>
    <w:rsid w:val="00F77BF6"/>
    <w:rsid w:val="00F77E47"/>
    <w:rsid w:val="00F80B82"/>
    <w:rsid w:val="00F81163"/>
    <w:rsid w:val="00F82E6E"/>
    <w:rsid w:val="00F832EE"/>
    <w:rsid w:val="00F836C6"/>
    <w:rsid w:val="00F83E14"/>
    <w:rsid w:val="00F841AD"/>
    <w:rsid w:val="00F8496D"/>
    <w:rsid w:val="00F85398"/>
    <w:rsid w:val="00F85C7E"/>
    <w:rsid w:val="00F86553"/>
    <w:rsid w:val="00F87FBD"/>
    <w:rsid w:val="00F90837"/>
    <w:rsid w:val="00F90993"/>
    <w:rsid w:val="00F926B8"/>
    <w:rsid w:val="00F93903"/>
    <w:rsid w:val="00F93957"/>
    <w:rsid w:val="00F94401"/>
    <w:rsid w:val="00F94F97"/>
    <w:rsid w:val="00F958FE"/>
    <w:rsid w:val="00F96BFB"/>
    <w:rsid w:val="00FA0D92"/>
    <w:rsid w:val="00FA0FB9"/>
    <w:rsid w:val="00FA1903"/>
    <w:rsid w:val="00FA24AA"/>
    <w:rsid w:val="00FA25D5"/>
    <w:rsid w:val="00FA2F22"/>
    <w:rsid w:val="00FA300E"/>
    <w:rsid w:val="00FA5C9B"/>
    <w:rsid w:val="00FA66D3"/>
    <w:rsid w:val="00FA6B2E"/>
    <w:rsid w:val="00FA727E"/>
    <w:rsid w:val="00FA787D"/>
    <w:rsid w:val="00FB00BB"/>
    <w:rsid w:val="00FB0977"/>
    <w:rsid w:val="00FB0CFF"/>
    <w:rsid w:val="00FB0E2B"/>
    <w:rsid w:val="00FB135B"/>
    <w:rsid w:val="00FB2280"/>
    <w:rsid w:val="00FB2357"/>
    <w:rsid w:val="00FB342A"/>
    <w:rsid w:val="00FB5066"/>
    <w:rsid w:val="00FB59BF"/>
    <w:rsid w:val="00FB69A0"/>
    <w:rsid w:val="00FB6D51"/>
    <w:rsid w:val="00FC0661"/>
    <w:rsid w:val="00FC0856"/>
    <w:rsid w:val="00FC144E"/>
    <w:rsid w:val="00FC206D"/>
    <w:rsid w:val="00FC2132"/>
    <w:rsid w:val="00FC257D"/>
    <w:rsid w:val="00FC26A2"/>
    <w:rsid w:val="00FC28C9"/>
    <w:rsid w:val="00FC2B44"/>
    <w:rsid w:val="00FC3725"/>
    <w:rsid w:val="00FC3BB8"/>
    <w:rsid w:val="00FC4C11"/>
    <w:rsid w:val="00FC4CC8"/>
    <w:rsid w:val="00FC507D"/>
    <w:rsid w:val="00FC535F"/>
    <w:rsid w:val="00FC645A"/>
    <w:rsid w:val="00FC67CC"/>
    <w:rsid w:val="00FC7C9D"/>
    <w:rsid w:val="00FD0B0C"/>
    <w:rsid w:val="00FD3036"/>
    <w:rsid w:val="00FD44D8"/>
    <w:rsid w:val="00FD4EBE"/>
    <w:rsid w:val="00FD555F"/>
    <w:rsid w:val="00FD58AF"/>
    <w:rsid w:val="00FD6CEA"/>
    <w:rsid w:val="00FD73F3"/>
    <w:rsid w:val="00FD7AA4"/>
    <w:rsid w:val="00FE03BE"/>
    <w:rsid w:val="00FE1FF8"/>
    <w:rsid w:val="00FE2874"/>
    <w:rsid w:val="00FE35D5"/>
    <w:rsid w:val="00FE4CC0"/>
    <w:rsid w:val="00FE62C3"/>
    <w:rsid w:val="00FE639A"/>
    <w:rsid w:val="00FE6E2B"/>
    <w:rsid w:val="00FF008D"/>
    <w:rsid w:val="00FF0330"/>
    <w:rsid w:val="00FF11F0"/>
    <w:rsid w:val="00FF185C"/>
    <w:rsid w:val="00FF1DC1"/>
    <w:rsid w:val="00FF22AF"/>
    <w:rsid w:val="00FF278C"/>
    <w:rsid w:val="00FF27B5"/>
    <w:rsid w:val="00FF3C01"/>
    <w:rsid w:val="00FF452A"/>
    <w:rsid w:val="00FF4758"/>
    <w:rsid w:val="00FF49CA"/>
    <w:rsid w:val="00FF5552"/>
    <w:rsid w:val="00FF5BF1"/>
    <w:rsid w:val="00FF7F05"/>
    <w:rsid w:val="011D0F1C"/>
    <w:rsid w:val="012F5F9F"/>
    <w:rsid w:val="013637D1"/>
    <w:rsid w:val="014042D3"/>
    <w:rsid w:val="01445DC2"/>
    <w:rsid w:val="0152732D"/>
    <w:rsid w:val="015754F6"/>
    <w:rsid w:val="015C4E83"/>
    <w:rsid w:val="016A5D4B"/>
    <w:rsid w:val="016F37A6"/>
    <w:rsid w:val="01C45A77"/>
    <w:rsid w:val="01CE49B7"/>
    <w:rsid w:val="01D66035"/>
    <w:rsid w:val="01E74ACC"/>
    <w:rsid w:val="01F07313"/>
    <w:rsid w:val="01F81114"/>
    <w:rsid w:val="01FC2898"/>
    <w:rsid w:val="01FC583B"/>
    <w:rsid w:val="020B585D"/>
    <w:rsid w:val="021F7DC1"/>
    <w:rsid w:val="02251CB5"/>
    <w:rsid w:val="02286845"/>
    <w:rsid w:val="022C4497"/>
    <w:rsid w:val="02643221"/>
    <w:rsid w:val="026B6F76"/>
    <w:rsid w:val="02726219"/>
    <w:rsid w:val="027440E2"/>
    <w:rsid w:val="027D43D3"/>
    <w:rsid w:val="027E5CB3"/>
    <w:rsid w:val="02803495"/>
    <w:rsid w:val="028D7189"/>
    <w:rsid w:val="02927202"/>
    <w:rsid w:val="02AA6890"/>
    <w:rsid w:val="02AD1871"/>
    <w:rsid w:val="02B447C4"/>
    <w:rsid w:val="02C81CD3"/>
    <w:rsid w:val="02F038B9"/>
    <w:rsid w:val="02F23728"/>
    <w:rsid w:val="02F70C7D"/>
    <w:rsid w:val="02F8486D"/>
    <w:rsid w:val="0305345B"/>
    <w:rsid w:val="030A6F1F"/>
    <w:rsid w:val="03174F3D"/>
    <w:rsid w:val="032974BD"/>
    <w:rsid w:val="032B1BE2"/>
    <w:rsid w:val="033351C8"/>
    <w:rsid w:val="03451AAA"/>
    <w:rsid w:val="03457CFC"/>
    <w:rsid w:val="034F2928"/>
    <w:rsid w:val="037B27CB"/>
    <w:rsid w:val="039B5B6E"/>
    <w:rsid w:val="039E42B2"/>
    <w:rsid w:val="03A66726"/>
    <w:rsid w:val="03B12030"/>
    <w:rsid w:val="03E42A41"/>
    <w:rsid w:val="03E56DE9"/>
    <w:rsid w:val="04317E86"/>
    <w:rsid w:val="04347F0B"/>
    <w:rsid w:val="043F5E76"/>
    <w:rsid w:val="045918F0"/>
    <w:rsid w:val="04A3140F"/>
    <w:rsid w:val="04D138D0"/>
    <w:rsid w:val="04E74392"/>
    <w:rsid w:val="04ED7DCA"/>
    <w:rsid w:val="04F4017C"/>
    <w:rsid w:val="04F55E74"/>
    <w:rsid w:val="05026C67"/>
    <w:rsid w:val="050339C8"/>
    <w:rsid w:val="05055064"/>
    <w:rsid w:val="05092A06"/>
    <w:rsid w:val="053575D9"/>
    <w:rsid w:val="053843BC"/>
    <w:rsid w:val="05393890"/>
    <w:rsid w:val="05406357"/>
    <w:rsid w:val="05461B09"/>
    <w:rsid w:val="0546482A"/>
    <w:rsid w:val="054B2F99"/>
    <w:rsid w:val="05687CD1"/>
    <w:rsid w:val="05896033"/>
    <w:rsid w:val="05992C5D"/>
    <w:rsid w:val="05997E8B"/>
    <w:rsid w:val="05A351AD"/>
    <w:rsid w:val="05C56ED2"/>
    <w:rsid w:val="05E01F5E"/>
    <w:rsid w:val="0637221D"/>
    <w:rsid w:val="066B642F"/>
    <w:rsid w:val="066E5588"/>
    <w:rsid w:val="068C7E5D"/>
    <w:rsid w:val="06CC4290"/>
    <w:rsid w:val="06CF19CC"/>
    <w:rsid w:val="07002DF6"/>
    <w:rsid w:val="071023CF"/>
    <w:rsid w:val="071270E9"/>
    <w:rsid w:val="072410C2"/>
    <w:rsid w:val="07245E7A"/>
    <w:rsid w:val="072D4D2F"/>
    <w:rsid w:val="0735756D"/>
    <w:rsid w:val="07565C94"/>
    <w:rsid w:val="07670BBE"/>
    <w:rsid w:val="076F3599"/>
    <w:rsid w:val="0795155E"/>
    <w:rsid w:val="079D4C0D"/>
    <w:rsid w:val="07A52251"/>
    <w:rsid w:val="07AA4F1F"/>
    <w:rsid w:val="07B02090"/>
    <w:rsid w:val="07BD5DBF"/>
    <w:rsid w:val="07DC7A53"/>
    <w:rsid w:val="07DE78D0"/>
    <w:rsid w:val="07E850FA"/>
    <w:rsid w:val="07ED5FC6"/>
    <w:rsid w:val="080A1CB0"/>
    <w:rsid w:val="081044CC"/>
    <w:rsid w:val="081952B3"/>
    <w:rsid w:val="08251EAA"/>
    <w:rsid w:val="082619E4"/>
    <w:rsid w:val="08275C22"/>
    <w:rsid w:val="082A3964"/>
    <w:rsid w:val="084C183B"/>
    <w:rsid w:val="0855622F"/>
    <w:rsid w:val="0859670E"/>
    <w:rsid w:val="085B475D"/>
    <w:rsid w:val="08647E98"/>
    <w:rsid w:val="08654E4D"/>
    <w:rsid w:val="086849D3"/>
    <w:rsid w:val="086971D0"/>
    <w:rsid w:val="086E1AA3"/>
    <w:rsid w:val="0870581B"/>
    <w:rsid w:val="08960F30"/>
    <w:rsid w:val="08BC69F4"/>
    <w:rsid w:val="08BF6981"/>
    <w:rsid w:val="08C72F61"/>
    <w:rsid w:val="08D333C4"/>
    <w:rsid w:val="08E35CA3"/>
    <w:rsid w:val="08F338ED"/>
    <w:rsid w:val="08FA57B9"/>
    <w:rsid w:val="09021576"/>
    <w:rsid w:val="090221EB"/>
    <w:rsid w:val="090A416A"/>
    <w:rsid w:val="091A08F3"/>
    <w:rsid w:val="09412BD1"/>
    <w:rsid w:val="09572C5B"/>
    <w:rsid w:val="09596211"/>
    <w:rsid w:val="095A37A1"/>
    <w:rsid w:val="095E2CDD"/>
    <w:rsid w:val="09615DF3"/>
    <w:rsid w:val="09674C2E"/>
    <w:rsid w:val="096D689F"/>
    <w:rsid w:val="09864877"/>
    <w:rsid w:val="09874E27"/>
    <w:rsid w:val="09B33050"/>
    <w:rsid w:val="09BC683E"/>
    <w:rsid w:val="09C3351A"/>
    <w:rsid w:val="09C903C2"/>
    <w:rsid w:val="09CB4200"/>
    <w:rsid w:val="09CC6D4E"/>
    <w:rsid w:val="09D40AE7"/>
    <w:rsid w:val="09F332E4"/>
    <w:rsid w:val="0A012D22"/>
    <w:rsid w:val="0A103EF2"/>
    <w:rsid w:val="0A1F5784"/>
    <w:rsid w:val="0A234524"/>
    <w:rsid w:val="0A381C24"/>
    <w:rsid w:val="0A432686"/>
    <w:rsid w:val="0A4A5BF8"/>
    <w:rsid w:val="0A4D7CC0"/>
    <w:rsid w:val="0A666EE7"/>
    <w:rsid w:val="0A821835"/>
    <w:rsid w:val="0ADC6C9F"/>
    <w:rsid w:val="0AE57022"/>
    <w:rsid w:val="0B051BFA"/>
    <w:rsid w:val="0B0B4E85"/>
    <w:rsid w:val="0B147F47"/>
    <w:rsid w:val="0B233BFF"/>
    <w:rsid w:val="0B4C13F1"/>
    <w:rsid w:val="0B50772A"/>
    <w:rsid w:val="0B8C6234"/>
    <w:rsid w:val="0BAB6B6A"/>
    <w:rsid w:val="0BAD27E9"/>
    <w:rsid w:val="0BC32CD6"/>
    <w:rsid w:val="0BD404D7"/>
    <w:rsid w:val="0BF56037"/>
    <w:rsid w:val="0BF9698C"/>
    <w:rsid w:val="0C187218"/>
    <w:rsid w:val="0C1E02CD"/>
    <w:rsid w:val="0C22105B"/>
    <w:rsid w:val="0C355A2D"/>
    <w:rsid w:val="0C3703FE"/>
    <w:rsid w:val="0C3A50BE"/>
    <w:rsid w:val="0C6C26DC"/>
    <w:rsid w:val="0C7A6298"/>
    <w:rsid w:val="0C913FB2"/>
    <w:rsid w:val="0CA80CAA"/>
    <w:rsid w:val="0CB1116F"/>
    <w:rsid w:val="0CBC7F66"/>
    <w:rsid w:val="0CC00304"/>
    <w:rsid w:val="0CC51EAD"/>
    <w:rsid w:val="0CEE55BA"/>
    <w:rsid w:val="0CFA155A"/>
    <w:rsid w:val="0D064902"/>
    <w:rsid w:val="0D0E6F3B"/>
    <w:rsid w:val="0D232D8F"/>
    <w:rsid w:val="0D372ACA"/>
    <w:rsid w:val="0D3B1C5E"/>
    <w:rsid w:val="0D42705A"/>
    <w:rsid w:val="0D5F5E53"/>
    <w:rsid w:val="0D6722C3"/>
    <w:rsid w:val="0D951880"/>
    <w:rsid w:val="0D9C669B"/>
    <w:rsid w:val="0D9F26FE"/>
    <w:rsid w:val="0DB81FB0"/>
    <w:rsid w:val="0DBE48D2"/>
    <w:rsid w:val="0DDA0DA4"/>
    <w:rsid w:val="0DEB58A5"/>
    <w:rsid w:val="0E001119"/>
    <w:rsid w:val="0E0C747D"/>
    <w:rsid w:val="0E1319A0"/>
    <w:rsid w:val="0E175057"/>
    <w:rsid w:val="0E26072A"/>
    <w:rsid w:val="0E395B3E"/>
    <w:rsid w:val="0E540297"/>
    <w:rsid w:val="0E6347C3"/>
    <w:rsid w:val="0E6574A4"/>
    <w:rsid w:val="0E6635C9"/>
    <w:rsid w:val="0E6E063C"/>
    <w:rsid w:val="0E7F7EE9"/>
    <w:rsid w:val="0E890855"/>
    <w:rsid w:val="0E910299"/>
    <w:rsid w:val="0E990223"/>
    <w:rsid w:val="0EAB05BA"/>
    <w:rsid w:val="0EB21800"/>
    <w:rsid w:val="0ED36B5C"/>
    <w:rsid w:val="0EE91E6E"/>
    <w:rsid w:val="0F0259C1"/>
    <w:rsid w:val="0F1121FC"/>
    <w:rsid w:val="0F1917A3"/>
    <w:rsid w:val="0F304A76"/>
    <w:rsid w:val="0F3B1FB3"/>
    <w:rsid w:val="0F6C1ABD"/>
    <w:rsid w:val="0F6C6B30"/>
    <w:rsid w:val="0F70185F"/>
    <w:rsid w:val="0F7C4FB9"/>
    <w:rsid w:val="0F836762"/>
    <w:rsid w:val="0F985657"/>
    <w:rsid w:val="0FB35039"/>
    <w:rsid w:val="0FC40EBB"/>
    <w:rsid w:val="0FDB5F67"/>
    <w:rsid w:val="0FF137B6"/>
    <w:rsid w:val="0FF60740"/>
    <w:rsid w:val="1018119A"/>
    <w:rsid w:val="10241D5B"/>
    <w:rsid w:val="103A73AD"/>
    <w:rsid w:val="1045758D"/>
    <w:rsid w:val="10871B90"/>
    <w:rsid w:val="109115D9"/>
    <w:rsid w:val="10913DEA"/>
    <w:rsid w:val="10A244C2"/>
    <w:rsid w:val="10AB2778"/>
    <w:rsid w:val="10C50052"/>
    <w:rsid w:val="10CD0BA1"/>
    <w:rsid w:val="10D4134E"/>
    <w:rsid w:val="10D6350E"/>
    <w:rsid w:val="10E12E1E"/>
    <w:rsid w:val="10E42EAD"/>
    <w:rsid w:val="10E72550"/>
    <w:rsid w:val="11073F0C"/>
    <w:rsid w:val="1112457B"/>
    <w:rsid w:val="11147436"/>
    <w:rsid w:val="1117007E"/>
    <w:rsid w:val="11213EA8"/>
    <w:rsid w:val="113A05D3"/>
    <w:rsid w:val="113B0990"/>
    <w:rsid w:val="113C161F"/>
    <w:rsid w:val="115813BD"/>
    <w:rsid w:val="115A36D7"/>
    <w:rsid w:val="117B3F2B"/>
    <w:rsid w:val="11851630"/>
    <w:rsid w:val="11A17931"/>
    <w:rsid w:val="11C33DEF"/>
    <w:rsid w:val="11CA5DEB"/>
    <w:rsid w:val="11D61CAA"/>
    <w:rsid w:val="11E94E2A"/>
    <w:rsid w:val="11EE1F77"/>
    <w:rsid w:val="11FC4573"/>
    <w:rsid w:val="1200032F"/>
    <w:rsid w:val="12072EA1"/>
    <w:rsid w:val="120E7E53"/>
    <w:rsid w:val="120F76C4"/>
    <w:rsid w:val="12130D9A"/>
    <w:rsid w:val="1216296D"/>
    <w:rsid w:val="12166FB5"/>
    <w:rsid w:val="12176D07"/>
    <w:rsid w:val="122B6698"/>
    <w:rsid w:val="12382EB4"/>
    <w:rsid w:val="123C0392"/>
    <w:rsid w:val="12511CA8"/>
    <w:rsid w:val="12543B65"/>
    <w:rsid w:val="12655CC4"/>
    <w:rsid w:val="127C300E"/>
    <w:rsid w:val="12800B53"/>
    <w:rsid w:val="128B3251"/>
    <w:rsid w:val="12973F1A"/>
    <w:rsid w:val="12975D5A"/>
    <w:rsid w:val="12AB7FC0"/>
    <w:rsid w:val="12B572A2"/>
    <w:rsid w:val="12C024FE"/>
    <w:rsid w:val="12C74B0C"/>
    <w:rsid w:val="12D65271"/>
    <w:rsid w:val="12EA3B05"/>
    <w:rsid w:val="130604E7"/>
    <w:rsid w:val="131062EA"/>
    <w:rsid w:val="13146A4C"/>
    <w:rsid w:val="131630C0"/>
    <w:rsid w:val="133121D4"/>
    <w:rsid w:val="133A1F99"/>
    <w:rsid w:val="1344047D"/>
    <w:rsid w:val="13463908"/>
    <w:rsid w:val="13564DD1"/>
    <w:rsid w:val="1358184F"/>
    <w:rsid w:val="137123CE"/>
    <w:rsid w:val="1377700D"/>
    <w:rsid w:val="138D2F40"/>
    <w:rsid w:val="13C4577E"/>
    <w:rsid w:val="13DD391B"/>
    <w:rsid w:val="13EB7513"/>
    <w:rsid w:val="13EE3A98"/>
    <w:rsid w:val="13F755AE"/>
    <w:rsid w:val="14110083"/>
    <w:rsid w:val="14171240"/>
    <w:rsid w:val="141B1ED9"/>
    <w:rsid w:val="14254B09"/>
    <w:rsid w:val="142A1E51"/>
    <w:rsid w:val="142B6EF3"/>
    <w:rsid w:val="1449479F"/>
    <w:rsid w:val="144F3FEB"/>
    <w:rsid w:val="14735DC9"/>
    <w:rsid w:val="14771CDF"/>
    <w:rsid w:val="14830684"/>
    <w:rsid w:val="14964551"/>
    <w:rsid w:val="14986355"/>
    <w:rsid w:val="14BA1BCC"/>
    <w:rsid w:val="14DE1D5E"/>
    <w:rsid w:val="14DF6786"/>
    <w:rsid w:val="14E54E9B"/>
    <w:rsid w:val="14F80EBB"/>
    <w:rsid w:val="14FB4178"/>
    <w:rsid w:val="150152B7"/>
    <w:rsid w:val="15147CD0"/>
    <w:rsid w:val="155D7127"/>
    <w:rsid w:val="15657C12"/>
    <w:rsid w:val="157F6E53"/>
    <w:rsid w:val="158F5653"/>
    <w:rsid w:val="15B51781"/>
    <w:rsid w:val="15BA424E"/>
    <w:rsid w:val="15C02C3D"/>
    <w:rsid w:val="15D203B4"/>
    <w:rsid w:val="15DF7B3C"/>
    <w:rsid w:val="15F5060E"/>
    <w:rsid w:val="15FC1E62"/>
    <w:rsid w:val="15FC5AE9"/>
    <w:rsid w:val="16005D98"/>
    <w:rsid w:val="16015432"/>
    <w:rsid w:val="162C6439"/>
    <w:rsid w:val="162E285D"/>
    <w:rsid w:val="1645302E"/>
    <w:rsid w:val="164B08A5"/>
    <w:rsid w:val="164F7D2E"/>
    <w:rsid w:val="16654E12"/>
    <w:rsid w:val="166B24BE"/>
    <w:rsid w:val="16827DDC"/>
    <w:rsid w:val="168933F0"/>
    <w:rsid w:val="16D404EA"/>
    <w:rsid w:val="17011257"/>
    <w:rsid w:val="170610D8"/>
    <w:rsid w:val="170A508C"/>
    <w:rsid w:val="171B4C60"/>
    <w:rsid w:val="171E73F6"/>
    <w:rsid w:val="171F21BA"/>
    <w:rsid w:val="17237EFC"/>
    <w:rsid w:val="17252504"/>
    <w:rsid w:val="17292D2E"/>
    <w:rsid w:val="17326391"/>
    <w:rsid w:val="17377BC6"/>
    <w:rsid w:val="17712A16"/>
    <w:rsid w:val="178B36F7"/>
    <w:rsid w:val="178B7A54"/>
    <w:rsid w:val="17A22A84"/>
    <w:rsid w:val="17B9260F"/>
    <w:rsid w:val="17D536A5"/>
    <w:rsid w:val="17D64F6F"/>
    <w:rsid w:val="17E32729"/>
    <w:rsid w:val="17FC4004"/>
    <w:rsid w:val="182E63B9"/>
    <w:rsid w:val="182F21D8"/>
    <w:rsid w:val="1830729E"/>
    <w:rsid w:val="18316649"/>
    <w:rsid w:val="18355DB6"/>
    <w:rsid w:val="183B3024"/>
    <w:rsid w:val="183E7B5A"/>
    <w:rsid w:val="184834BA"/>
    <w:rsid w:val="18494A51"/>
    <w:rsid w:val="184D03B5"/>
    <w:rsid w:val="18616AF4"/>
    <w:rsid w:val="18787DD4"/>
    <w:rsid w:val="187F028F"/>
    <w:rsid w:val="18DB577D"/>
    <w:rsid w:val="18DC2C93"/>
    <w:rsid w:val="18DF332A"/>
    <w:rsid w:val="18ED4079"/>
    <w:rsid w:val="18F0012B"/>
    <w:rsid w:val="18F40387"/>
    <w:rsid w:val="18F635AC"/>
    <w:rsid w:val="18FD12B2"/>
    <w:rsid w:val="190609BE"/>
    <w:rsid w:val="1909217C"/>
    <w:rsid w:val="190D7F49"/>
    <w:rsid w:val="19270EC3"/>
    <w:rsid w:val="194B54E8"/>
    <w:rsid w:val="194D74B2"/>
    <w:rsid w:val="194F4FD8"/>
    <w:rsid w:val="196547FC"/>
    <w:rsid w:val="19685366"/>
    <w:rsid w:val="197D69CC"/>
    <w:rsid w:val="19884F8C"/>
    <w:rsid w:val="198B5575"/>
    <w:rsid w:val="19934995"/>
    <w:rsid w:val="19C555E0"/>
    <w:rsid w:val="1A112C57"/>
    <w:rsid w:val="1A177BB8"/>
    <w:rsid w:val="1A1862C4"/>
    <w:rsid w:val="1A1C2C27"/>
    <w:rsid w:val="1A1E4DB0"/>
    <w:rsid w:val="1A231FC1"/>
    <w:rsid w:val="1A5328A6"/>
    <w:rsid w:val="1A5562D8"/>
    <w:rsid w:val="1A5672BF"/>
    <w:rsid w:val="1A5A0135"/>
    <w:rsid w:val="1A655C01"/>
    <w:rsid w:val="1A716226"/>
    <w:rsid w:val="1A8331D9"/>
    <w:rsid w:val="1A8C739D"/>
    <w:rsid w:val="1A926E98"/>
    <w:rsid w:val="1A97182C"/>
    <w:rsid w:val="1A98650B"/>
    <w:rsid w:val="1AC97505"/>
    <w:rsid w:val="1ACB235C"/>
    <w:rsid w:val="1ACF0824"/>
    <w:rsid w:val="1AD9509A"/>
    <w:rsid w:val="1AF20311"/>
    <w:rsid w:val="1AFD2812"/>
    <w:rsid w:val="1AFF2A2E"/>
    <w:rsid w:val="1B047AAF"/>
    <w:rsid w:val="1B072E29"/>
    <w:rsid w:val="1B0E3F7E"/>
    <w:rsid w:val="1B261D69"/>
    <w:rsid w:val="1B28061B"/>
    <w:rsid w:val="1B583FF2"/>
    <w:rsid w:val="1B59326E"/>
    <w:rsid w:val="1B9733D5"/>
    <w:rsid w:val="1B9C027D"/>
    <w:rsid w:val="1B9F38C9"/>
    <w:rsid w:val="1BC2775B"/>
    <w:rsid w:val="1BE1475C"/>
    <w:rsid w:val="1BE17D79"/>
    <w:rsid w:val="1BED052C"/>
    <w:rsid w:val="1BF462CD"/>
    <w:rsid w:val="1C001BF4"/>
    <w:rsid w:val="1C147F54"/>
    <w:rsid w:val="1C281B11"/>
    <w:rsid w:val="1C341D2F"/>
    <w:rsid w:val="1C49374B"/>
    <w:rsid w:val="1C6A6529"/>
    <w:rsid w:val="1C827473"/>
    <w:rsid w:val="1C90099F"/>
    <w:rsid w:val="1CB47941"/>
    <w:rsid w:val="1CB54B59"/>
    <w:rsid w:val="1CCE49AD"/>
    <w:rsid w:val="1CD37CCF"/>
    <w:rsid w:val="1CD94BA4"/>
    <w:rsid w:val="1CF64B1E"/>
    <w:rsid w:val="1CF971C7"/>
    <w:rsid w:val="1D1A443B"/>
    <w:rsid w:val="1D1F4CC2"/>
    <w:rsid w:val="1D251596"/>
    <w:rsid w:val="1D31745E"/>
    <w:rsid w:val="1D3A1F5E"/>
    <w:rsid w:val="1D5232E9"/>
    <w:rsid w:val="1D5A7F99"/>
    <w:rsid w:val="1D5E0F81"/>
    <w:rsid w:val="1D670824"/>
    <w:rsid w:val="1D7A18D9"/>
    <w:rsid w:val="1D872B47"/>
    <w:rsid w:val="1DA907C6"/>
    <w:rsid w:val="1DB93368"/>
    <w:rsid w:val="1DBD6EEA"/>
    <w:rsid w:val="1DDF26E0"/>
    <w:rsid w:val="1E1E332E"/>
    <w:rsid w:val="1E20277C"/>
    <w:rsid w:val="1E2A7CA3"/>
    <w:rsid w:val="1E2D2941"/>
    <w:rsid w:val="1E2F3610"/>
    <w:rsid w:val="1E3649B9"/>
    <w:rsid w:val="1E384809"/>
    <w:rsid w:val="1E3E561C"/>
    <w:rsid w:val="1E5033D7"/>
    <w:rsid w:val="1E5A1981"/>
    <w:rsid w:val="1E703F48"/>
    <w:rsid w:val="1E790E45"/>
    <w:rsid w:val="1E8E20FF"/>
    <w:rsid w:val="1EA32E44"/>
    <w:rsid w:val="1EB53C84"/>
    <w:rsid w:val="1EB97329"/>
    <w:rsid w:val="1EBA5BA9"/>
    <w:rsid w:val="1EF65EF6"/>
    <w:rsid w:val="1EFA7794"/>
    <w:rsid w:val="1EFE666F"/>
    <w:rsid w:val="1F047610"/>
    <w:rsid w:val="1F10156A"/>
    <w:rsid w:val="1F1B1426"/>
    <w:rsid w:val="1F4658B3"/>
    <w:rsid w:val="1F4F53ED"/>
    <w:rsid w:val="1F592F93"/>
    <w:rsid w:val="1F5B12D9"/>
    <w:rsid w:val="1F5F4B08"/>
    <w:rsid w:val="1F683BCC"/>
    <w:rsid w:val="1F6C04D6"/>
    <w:rsid w:val="1F727D41"/>
    <w:rsid w:val="1F813A12"/>
    <w:rsid w:val="1F855358"/>
    <w:rsid w:val="1FBB4220"/>
    <w:rsid w:val="1FC508AF"/>
    <w:rsid w:val="1FC87893"/>
    <w:rsid w:val="1FEE3349"/>
    <w:rsid w:val="201D1E0D"/>
    <w:rsid w:val="204C276E"/>
    <w:rsid w:val="204E71B4"/>
    <w:rsid w:val="205269AD"/>
    <w:rsid w:val="205440C9"/>
    <w:rsid w:val="206D21E8"/>
    <w:rsid w:val="208B7348"/>
    <w:rsid w:val="20964815"/>
    <w:rsid w:val="20BE7B7F"/>
    <w:rsid w:val="20E671C3"/>
    <w:rsid w:val="20F052F3"/>
    <w:rsid w:val="20F827A6"/>
    <w:rsid w:val="211A4DD5"/>
    <w:rsid w:val="21260D15"/>
    <w:rsid w:val="2131314E"/>
    <w:rsid w:val="21384E00"/>
    <w:rsid w:val="2147072C"/>
    <w:rsid w:val="21483B96"/>
    <w:rsid w:val="21661111"/>
    <w:rsid w:val="216B63DA"/>
    <w:rsid w:val="217126A1"/>
    <w:rsid w:val="219852BC"/>
    <w:rsid w:val="219A172E"/>
    <w:rsid w:val="21B10E5C"/>
    <w:rsid w:val="21C31F1F"/>
    <w:rsid w:val="21C73F97"/>
    <w:rsid w:val="21CC5490"/>
    <w:rsid w:val="21D45CEB"/>
    <w:rsid w:val="21D93A6F"/>
    <w:rsid w:val="21FC7CC7"/>
    <w:rsid w:val="22083515"/>
    <w:rsid w:val="222257E4"/>
    <w:rsid w:val="222928FC"/>
    <w:rsid w:val="223245CE"/>
    <w:rsid w:val="223615FD"/>
    <w:rsid w:val="223A1D54"/>
    <w:rsid w:val="22636486"/>
    <w:rsid w:val="227B0BEC"/>
    <w:rsid w:val="2280629B"/>
    <w:rsid w:val="228E7A3D"/>
    <w:rsid w:val="22921157"/>
    <w:rsid w:val="229E4197"/>
    <w:rsid w:val="22BF67AD"/>
    <w:rsid w:val="22C84D9B"/>
    <w:rsid w:val="22FA4207"/>
    <w:rsid w:val="23143CC1"/>
    <w:rsid w:val="23177A1D"/>
    <w:rsid w:val="2353024F"/>
    <w:rsid w:val="23607096"/>
    <w:rsid w:val="23922691"/>
    <w:rsid w:val="239E04CF"/>
    <w:rsid w:val="23F67D2D"/>
    <w:rsid w:val="24197379"/>
    <w:rsid w:val="242751B3"/>
    <w:rsid w:val="24377E1B"/>
    <w:rsid w:val="243A33A8"/>
    <w:rsid w:val="243F1FBF"/>
    <w:rsid w:val="24502F21"/>
    <w:rsid w:val="245E79A8"/>
    <w:rsid w:val="246257E4"/>
    <w:rsid w:val="247B687D"/>
    <w:rsid w:val="248B5031"/>
    <w:rsid w:val="248D10AB"/>
    <w:rsid w:val="24931217"/>
    <w:rsid w:val="24A0117F"/>
    <w:rsid w:val="24B3219E"/>
    <w:rsid w:val="24BA0C27"/>
    <w:rsid w:val="24EB6FF4"/>
    <w:rsid w:val="24F829C8"/>
    <w:rsid w:val="25306F3A"/>
    <w:rsid w:val="253357AE"/>
    <w:rsid w:val="25652EDE"/>
    <w:rsid w:val="256F2DF8"/>
    <w:rsid w:val="257133A0"/>
    <w:rsid w:val="25885517"/>
    <w:rsid w:val="25BD2FDB"/>
    <w:rsid w:val="25CA498C"/>
    <w:rsid w:val="25F40866"/>
    <w:rsid w:val="26143832"/>
    <w:rsid w:val="26355DCB"/>
    <w:rsid w:val="26400ADF"/>
    <w:rsid w:val="264E5144"/>
    <w:rsid w:val="26567E68"/>
    <w:rsid w:val="265956E8"/>
    <w:rsid w:val="2667110E"/>
    <w:rsid w:val="2671644D"/>
    <w:rsid w:val="267F3BE7"/>
    <w:rsid w:val="26911742"/>
    <w:rsid w:val="26CF4981"/>
    <w:rsid w:val="26E22BF1"/>
    <w:rsid w:val="26E825C8"/>
    <w:rsid w:val="26EB3FA9"/>
    <w:rsid w:val="26EC6827"/>
    <w:rsid w:val="26FF6345"/>
    <w:rsid w:val="27041594"/>
    <w:rsid w:val="270D202F"/>
    <w:rsid w:val="271A1CEB"/>
    <w:rsid w:val="272A2BE1"/>
    <w:rsid w:val="272C6959"/>
    <w:rsid w:val="27307F4A"/>
    <w:rsid w:val="27353751"/>
    <w:rsid w:val="273D2345"/>
    <w:rsid w:val="273D6172"/>
    <w:rsid w:val="27425763"/>
    <w:rsid w:val="274C5407"/>
    <w:rsid w:val="275A4C82"/>
    <w:rsid w:val="278E13C2"/>
    <w:rsid w:val="27AE39D3"/>
    <w:rsid w:val="27B47D3A"/>
    <w:rsid w:val="27B87362"/>
    <w:rsid w:val="27C60DFD"/>
    <w:rsid w:val="27D803C8"/>
    <w:rsid w:val="27EC6F3A"/>
    <w:rsid w:val="28074CD0"/>
    <w:rsid w:val="28083EDC"/>
    <w:rsid w:val="280E7D5E"/>
    <w:rsid w:val="282E3054"/>
    <w:rsid w:val="284366AA"/>
    <w:rsid w:val="284952E9"/>
    <w:rsid w:val="285B3874"/>
    <w:rsid w:val="286B630E"/>
    <w:rsid w:val="287A1946"/>
    <w:rsid w:val="28812CD5"/>
    <w:rsid w:val="28896A8E"/>
    <w:rsid w:val="28A84A5B"/>
    <w:rsid w:val="28B135BA"/>
    <w:rsid w:val="28B215E4"/>
    <w:rsid w:val="28C3281F"/>
    <w:rsid w:val="28D87633"/>
    <w:rsid w:val="28E374EB"/>
    <w:rsid w:val="28EA2188"/>
    <w:rsid w:val="28EC0188"/>
    <w:rsid w:val="28EC412E"/>
    <w:rsid w:val="28F060A8"/>
    <w:rsid w:val="28F7533E"/>
    <w:rsid w:val="28F811E9"/>
    <w:rsid w:val="28FD45FE"/>
    <w:rsid w:val="29122110"/>
    <w:rsid w:val="29130664"/>
    <w:rsid w:val="2927794E"/>
    <w:rsid w:val="292A6CD2"/>
    <w:rsid w:val="2937372F"/>
    <w:rsid w:val="294B27AE"/>
    <w:rsid w:val="29532A33"/>
    <w:rsid w:val="295714ED"/>
    <w:rsid w:val="29592CB5"/>
    <w:rsid w:val="295F663A"/>
    <w:rsid w:val="296A3769"/>
    <w:rsid w:val="29796974"/>
    <w:rsid w:val="297D74AC"/>
    <w:rsid w:val="29931DF2"/>
    <w:rsid w:val="299562F5"/>
    <w:rsid w:val="299A5E25"/>
    <w:rsid w:val="29C15A7E"/>
    <w:rsid w:val="29D30A87"/>
    <w:rsid w:val="29E057D9"/>
    <w:rsid w:val="29E97664"/>
    <w:rsid w:val="29F55167"/>
    <w:rsid w:val="2A020879"/>
    <w:rsid w:val="2A0960C4"/>
    <w:rsid w:val="2A0D1139"/>
    <w:rsid w:val="2A25317E"/>
    <w:rsid w:val="2A2C2CAF"/>
    <w:rsid w:val="2A3E7067"/>
    <w:rsid w:val="2A403FBB"/>
    <w:rsid w:val="2A64640A"/>
    <w:rsid w:val="2A733916"/>
    <w:rsid w:val="2A8D3378"/>
    <w:rsid w:val="2ADA202C"/>
    <w:rsid w:val="2ADB5E2C"/>
    <w:rsid w:val="2AE22BEE"/>
    <w:rsid w:val="2AE40169"/>
    <w:rsid w:val="2AFC5EFD"/>
    <w:rsid w:val="2B011CF0"/>
    <w:rsid w:val="2B08148B"/>
    <w:rsid w:val="2B444A15"/>
    <w:rsid w:val="2B536BAA"/>
    <w:rsid w:val="2B597F39"/>
    <w:rsid w:val="2B622A2F"/>
    <w:rsid w:val="2B927DF6"/>
    <w:rsid w:val="2BA43449"/>
    <w:rsid w:val="2BB673E4"/>
    <w:rsid w:val="2BBB5950"/>
    <w:rsid w:val="2BBD0B4F"/>
    <w:rsid w:val="2BC33BF1"/>
    <w:rsid w:val="2BCC24B9"/>
    <w:rsid w:val="2BD21C17"/>
    <w:rsid w:val="2BF63534"/>
    <w:rsid w:val="2BFF34B5"/>
    <w:rsid w:val="2C00323B"/>
    <w:rsid w:val="2C016A47"/>
    <w:rsid w:val="2C1E2335"/>
    <w:rsid w:val="2C251BC9"/>
    <w:rsid w:val="2C2B3683"/>
    <w:rsid w:val="2C3E71AB"/>
    <w:rsid w:val="2C4C53A8"/>
    <w:rsid w:val="2C530D18"/>
    <w:rsid w:val="2C67388E"/>
    <w:rsid w:val="2C7207CE"/>
    <w:rsid w:val="2C9A6E5B"/>
    <w:rsid w:val="2CDF2BB0"/>
    <w:rsid w:val="2CDF621C"/>
    <w:rsid w:val="2D0750FD"/>
    <w:rsid w:val="2D0B7B58"/>
    <w:rsid w:val="2D1B5BD1"/>
    <w:rsid w:val="2D224CE7"/>
    <w:rsid w:val="2D24719C"/>
    <w:rsid w:val="2D3C3886"/>
    <w:rsid w:val="2D55440F"/>
    <w:rsid w:val="2DC0604D"/>
    <w:rsid w:val="2DD61E02"/>
    <w:rsid w:val="2DDC15D2"/>
    <w:rsid w:val="2DF06312"/>
    <w:rsid w:val="2E030A1C"/>
    <w:rsid w:val="2E0A556A"/>
    <w:rsid w:val="2E0C372B"/>
    <w:rsid w:val="2E1A426F"/>
    <w:rsid w:val="2E1D349F"/>
    <w:rsid w:val="2E206AEC"/>
    <w:rsid w:val="2E2760CC"/>
    <w:rsid w:val="2E437B08"/>
    <w:rsid w:val="2E840B60"/>
    <w:rsid w:val="2EAC4558"/>
    <w:rsid w:val="2EB94466"/>
    <w:rsid w:val="2ED26821"/>
    <w:rsid w:val="2ED753FC"/>
    <w:rsid w:val="2EDF0755"/>
    <w:rsid w:val="2EFF2BA5"/>
    <w:rsid w:val="2F0361F1"/>
    <w:rsid w:val="2F0D57B1"/>
    <w:rsid w:val="2F1E7104"/>
    <w:rsid w:val="2F3D146E"/>
    <w:rsid w:val="2F61560E"/>
    <w:rsid w:val="2F7D4B4F"/>
    <w:rsid w:val="2F8243F1"/>
    <w:rsid w:val="2F9E7F3E"/>
    <w:rsid w:val="2FC66097"/>
    <w:rsid w:val="2FCF07C9"/>
    <w:rsid w:val="2FD069C3"/>
    <w:rsid w:val="2FE544AD"/>
    <w:rsid w:val="2FEA5603"/>
    <w:rsid w:val="300541EB"/>
    <w:rsid w:val="30260E83"/>
    <w:rsid w:val="302C616E"/>
    <w:rsid w:val="303D0EF1"/>
    <w:rsid w:val="30A755BA"/>
    <w:rsid w:val="30AA203C"/>
    <w:rsid w:val="30AE1048"/>
    <w:rsid w:val="30B10A2F"/>
    <w:rsid w:val="30B8125D"/>
    <w:rsid w:val="30B96527"/>
    <w:rsid w:val="30BD4AC6"/>
    <w:rsid w:val="30C93B1B"/>
    <w:rsid w:val="30E21401"/>
    <w:rsid w:val="30F45C13"/>
    <w:rsid w:val="3105683A"/>
    <w:rsid w:val="311961A0"/>
    <w:rsid w:val="312965E3"/>
    <w:rsid w:val="31366EB5"/>
    <w:rsid w:val="31380A1D"/>
    <w:rsid w:val="315B51A7"/>
    <w:rsid w:val="316D5522"/>
    <w:rsid w:val="317134CB"/>
    <w:rsid w:val="31815194"/>
    <w:rsid w:val="31943A79"/>
    <w:rsid w:val="31B43718"/>
    <w:rsid w:val="31C64502"/>
    <w:rsid w:val="31D75713"/>
    <w:rsid w:val="31D8086D"/>
    <w:rsid w:val="31FA3731"/>
    <w:rsid w:val="31FA6B58"/>
    <w:rsid w:val="320F7260"/>
    <w:rsid w:val="32167F37"/>
    <w:rsid w:val="3220530C"/>
    <w:rsid w:val="323E3D68"/>
    <w:rsid w:val="324F5BF1"/>
    <w:rsid w:val="32612368"/>
    <w:rsid w:val="32673379"/>
    <w:rsid w:val="326C4217"/>
    <w:rsid w:val="32705150"/>
    <w:rsid w:val="32717916"/>
    <w:rsid w:val="32AE2918"/>
    <w:rsid w:val="32BB5035"/>
    <w:rsid w:val="32BF2600"/>
    <w:rsid w:val="32C17517"/>
    <w:rsid w:val="32C548EF"/>
    <w:rsid w:val="32CD26E3"/>
    <w:rsid w:val="32DF0D23"/>
    <w:rsid w:val="32EB1476"/>
    <w:rsid w:val="32EC3440"/>
    <w:rsid w:val="32FC175E"/>
    <w:rsid w:val="32FF5620"/>
    <w:rsid w:val="330000E8"/>
    <w:rsid w:val="33210E3A"/>
    <w:rsid w:val="332B5291"/>
    <w:rsid w:val="333A41AC"/>
    <w:rsid w:val="335E60EC"/>
    <w:rsid w:val="336B753C"/>
    <w:rsid w:val="33736C6E"/>
    <w:rsid w:val="33820C6F"/>
    <w:rsid w:val="33830E4F"/>
    <w:rsid w:val="33936F97"/>
    <w:rsid w:val="339B301C"/>
    <w:rsid w:val="33AA4D2A"/>
    <w:rsid w:val="33B50868"/>
    <w:rsid w:val="33B54A3F"/>
    <w:rsid w:val="33BD759E"/>
    <w:rsid w:val="33C87900"/>
    <w:rsid w:val="33CB5ED1"/>
    <w:rsid w:val="33CC0208"/>
    <w:rsid w:val="33D241F8"/>
    <w:rsid w:val="33D339F2"/>
    <w:rsid w:val="33D9126B"/>
    <w:rsid w:val="3401389D"/>
    <w:rsid w:val="34045566"/>
    <w:rsid w:val="340C08D2"/>
    <w:rsid w:val="340D5A8E"/>
    <w:rsid w:val="34103C0F"/>
    <w:rsid w:val="34144CDC"/>
    <w:rsid w:val="341C1B03"/>
    <w:rsid w:val="343D21A6"/>
    <w:rsid w:val="343E5F1E"/>
    <w:rsid w:val="34597DF9"/>
    <w:rsid w:val="346678C5"/>
    <w:rsid w:val="346B298C"/>
    <w:rsid w:val="3472431D"/>
    <w:rsid w:val="348957C0"/>
    <w:rsid w:val="34A12271"/>
    <w:rsid w:val="34B51B07"/>
    <w:rsid w:val="34C24459"/>
    <w:rsid w:val="34C44675"/>
    <w:rsid w:val="34CC52D7"/>
    <w:rsid w:val="34DB3F45"/>
    <w:rsid w:val="34E37071"/>
    <w:rsid w:val="34EA24BC"/>
    <w:rsid w:val="34EB57F2"/>
    <w:rsid w:val="3507608E"/>
    <w:rsid w:val="350C2CB8"/>
    <w:rsid w:val="3514289E"/>
    <w:rsid w:val="35202A6D"/>
    <w:rsid w:val="35362E69"/>
    <w:rsid w:val="355F1FA0"/>
    <w:rsid w:val="35615282"/>
    <w:rsid w:val="356953CF"/>
    <w:rsid w:val="35730508"/>
    <w:rsid w:val="357C650A"/>
    <w:rsid w:val="35860CFD"/>
    <w:rsid w:val="35A33F55"/>
    <w:rsid w:val="35A7754B"/>
    <w:rsid w:val="35B47327"/>
    <w:rsid w:val="35BF3746"/>
    <w:rsid w:val="35C4480A"/>
    <w:rsid w:val="35CC1C0B"/>
    <w:rsid w:val="35DC414D"/>
    <w:rsid w:val="35E04F5D"/>
    <w:rsid w:val="35F909D3"/>
    <w:rsid w:val="36027A4F"/>
    <w:rsid w:val="360A6D72"/>
    <w:rsid w:val="36214425"/>
    <w:rsid w:val="36276944"/>
    <w:rsid w:val="362D2CF8"/>
    <w:rsid w:val="36407D2B"/>
    <w:rsid w:val="367E5084"/>
    <w:rsid w:val="36A55751"/>
    <w:rsid w:val="36B10C29"/>
    <w:rsid w:val="36B3040F"/>
    <w:rsid w:val="36C31CA2"/>
    <w:rsid w:val="36DA3CC8"/>
    <w:rsid w:val="36E92171"/>
    <w:rsid w:val="37091BB8"/>
    <w:rsid w:val="371735FD"/>
    <w:rsid w:val="371B2802"/>
    <w:rsid w:val="371C706E"/>
    <w:rsid w:val="371F5B92"/>
    <w:rsid w:val="373838CC"/>
    <w:rsid w:val="373A29CC"/>
    <w:rsid w:val="37502547"/>
    <w:rsid w:val="37546D06"/>
    <w:rsid w:val="37557806"/>
    <w:rsid w:val="37681B78"/>
    <w:rsid w:val="37681CBA"/>
    <w:rsid w:val="377B5084"/>
    <w:rsid w:val="37820C23"/>
    <w:rsid w:val="378325C5"/>
    <w:rsid w:val="37865C12"/>
    <w:rsid w:val="37895702"/>
    <w:rsid w:val="37AA43C4"/>
    <w:rsid w:val="37C83E3D"/>
    <w:rsid w:val="37D67444"/>
    <w:rsid w:val="37DC4B7A"/>
    <w:rsid w:val="37FC2378"/>
    <w:rsid w:val="381D56CE"/>
    <w:rsid w:val="381D6EA4"/>
    <w:rsid w:val="382913E0"/>
    <w:rsid w:val="38335517"/>
    <w:rsid w:val="383755FB"/>
    <w:rsid w:val="3841574F"/>
    <w:rsid w:val="385014F0"/>
    <w:rsid w:val="38575800"/>
    <w:rsid w:val="38765C86"/>
    <w:rsid w:val="38806B05"/>
    <w:rsid w:val="3890081A"/>
    <w:rsid w:val="389C6FE8"/>
    <w:rsid w:val="38AE2C93"/>
    <w:rsid w:val="38C452B5"/>
    <w:rsid w:val="38E5105E"/>
    <w:rsid w:val="3918374D"/>
    <w:rsid w:val="392A69BE"/>
    <w:rsid w:val="392F7DFF"/>
    <w:rsid w:val="3951395C"/>
    <w:rsid w:val="39767528"/>
    <w:rsid w:val="39940919"/>
    <w:rsid w:val="39960BB3"/>
    <w:rsid w:val="3997060B"/>
    <w:rsid w:val="399B34CA"/>
    <w:rsid w:val="39CF33B9"/>
    <w:rsid w:val="39E30491"/>
    <w:rsid w:val="39F53770"/>
    <w:rsid w:val="39F71049"/>
    <w:rsid w:val="39FA690D"/>
    <w:rsid w:val="3A0941C7"/>
    <w:rsid w:val="3A2A2E5E"/>
    <w:rsid w:val="3A2B6BE5"/>
    <w:rsid w:val="3A465B2C"/>
    <w:rsid w:val="3A4A2E69"/>
    <w:rsid w:val="3A6F07EB"/>
    <w:rsid w:val="3A78169A"/>
    <w:rsid w:val="3A871487"/>
    <w:rsid w:val="3A8A1F2C"/>
    <w:rsid w:val="3A904BA9"/>
    <w:rsid w:val="3A996757"/>
    <w:rsid w:val="3AB24F6F"/>
    <w:rsid w:val="3AC75BEF"/>
    <w:rsid w:val="3AD924FC"/>
    <w:rsid w:val="3ADB2718"/>
    <w:rsid w:val="3ADF033F"/>
    <w:rsid w:val="3AE64203"/>
    <w:rsid w:val="3AFE578D"/>
    <w:rsid w:val="3B1445B0"/>
    <w:rsid w:val="3B3970CF"/>
    <w:rsid w:val="3B4C2C28"/>
    <w:rsid w:val="3B501355"/>
    <w:rsid w:val="3B783E56"/>
    <w:rsid w:val="3B9823B7"/>
    <w:rsid w:val="3C0A5775"/>
    <w:rsid w:val="3C12543D"/>
    <w:rsid w:val="3C3A346E"/>
    <w:rsid w:val="3C4500A5"/>
    <w:rsid w:val="3C6A3D54"/>
    <w:rsid w:val="3C95702B"/>
    <w:rsid w:val="3C9863CD"/>
    <w:rsid w:val="3C9C7787"/>
    <w:rsid w:val="3CB36FF8"/>
    <w:rsid w:val="3CB47977"/>
    <w:rsid w:val="3CBE19FF"/>
    <w:rsid w:val="3CC545F1"/>
    <w:rsid w:val="3CDA12A1"/>
    <w:rsid w:val="3CE04016"/>
    <w:rsid w:val="3CE777DA"/>
    <w:rsid w:val="3D002D5D"/>
    <w:rsid w:val="3D44390E"/>
    <w:rsid w:val="3D4B391F"/>
    <w:rsid w:val="3D633838"/>
    <w:rsid w:val="3D74252B"/>
    <w:rsid w:val="3D744F82"/>
    <w:rsid w:val="3D785711"/>
    <w:rsid w:val="3D9A4279"/>
    <w:rsid w:val="3DAC3EF8"/>
    <w:rsid w:val="3DCF4D7D"/>
    <w:rsid w:val="3DCF6FB4"/>
    <w:rsid w:val="3DCF76E1"/>
    <w:rsid w:val="3DE46664"/>
    <w:rsid w:val="3DFD29A6"/>
    <w:rsid w:val="3E015FF2"/>
    <w:rsid w:val="3E0D0974"/>
    <w:rsid w:val="3E16720C"/>
    <w:rsid w:val="3E1D07E3"/>
    <w:rsid w:val="3E320C4C"/>
    <w:rsid w:val="3E33760E"/>
    <w:rsid w:val="3E6E5063"/>
    <w:rsid w:val="3E7E6C8A"/>
    <w:rsid w:val="3EB3014F"/>
    <w:rsid w:val="3EC040FF"/>
    <w:rsid w:val="3ECA0B1B"/>
    <w:rsid w:val="3EDE5CD6"/>
    <w:rsid w:val="3EE23226"/>
    <w:rsid w:val="3EF12CC6"/>
    <w:rsid w:val="3EF172A5"/>
    <w:rsid w:val="3F035D9A"/>
    <w:rsid w:val="3F1C569A"/>
    <w:rsid w:val="3F3A17B8"/>
    <w:rsid w:val="3F422D66"/>
    <w:rsid w:val="3F760446"/>
    <w:rsid w:val="3F787BB8"/>
    <w:rsid w:val="3F7C5787"/>
    <w:rsid w:val="3FAE03FB"/>
    <w:rsid w:val="3FB164B0"/>
    <w:rsid w:val="3FC03C8B"/>
    <w:rsid w:val="3FD5007D"/>
    <w:rsid w:val="3FE26923"/>
    <w:rsid w:val="40133308"/>
    <w:rsid w:val="401A6BF7"/>
    <w:rsid w:val="402A3EEB"/>
    <w:rsid w:val="40342C38"/>
    <w:rsid w:val="403716CA"/>
    <w:rsid w:val="4060401A"/>
    <w:rsid w:val="407A208B"/>
    <w:rsid w:val="407C22A8"/>
    <w:rsid w:val="40920BFB"/>
    <w:rsid w:val="40B83E74"/>
    <w:rsid w:val="40CD04C4"/>
    <w:rsid w:val="40EC1096"/>
    <w:rsid w:val="40EC510F"/>
    <w:rsid w:val="410A1752"/>
    <w:rsid w:val="414F3518"/>
    <w:rsid w:val="416C6CFD"/>
    <w:rsid w:val="41764CFB"/>
    <w:rsid w:val="417B24E1"/>
    <w:rsid w:val="41831414"/>
    <w:rsid w:val="418D5DEE"/>
    <w:rsid w:val="41911D83"/>
    <w:rsid w:val="419D24D5"/>
    <w:rsid w:val="41AA5F32"/>
    <w:rsid w:val="41AF2209"/>
    <w:rsid w:val="41B04619"/>
    <w:rsid w:val="41D42656"/>
    <w:rsid w:val="41DC0CE9"/>
    <w:rsid w:val="41DD3EE7"/>
    <w:rsid w:val="41FA7C96"/>
    <w:rsid w:val="422B74C1"/>
    <w:rsid w:val="42323D2F"/>
    <w:rsid w:val="42471454"/>
    <w:rsid w:val="424F7C37"/>
    <w:rsid w:val="42AC4E73"/>
    <w:rsid w:val="42AF0AFB"/>
    <w:rsid w:val="42E14A46"/>
    <w:rsid w:val="42F571D8"/>
    <w:rsid w:val="430D6E9D"/>
    <w:rsid w:val="43287BAE"/>
    <w:rsid w:val="433B01F8"/>
    <w:rsid w:val="43502C01"/>
    <w:rsid w:val="435F6E3A"/>
    <w:rsid w:val="43685A8E"/>
    <w:rsid w:val="436B61AE"/>
    <w:rsid w:val="436F4CF1"/>
    <w:rsid w:val="437A6BDD"/>
    <w:rsid w:val="43AA4C38"/>
    <w:rsid w:val="43B60790"/>
    <w:rsid w:val="43BE2BC1"/>
    <w:rsid w:val="43E23ABE"/>
    <w:rsid w:val="43E73EDC"/>
    <w:rsid w:val="43F10E47"/>
    <w:rsid w:val="43FA6A5B"/>
    <w:rsid w:val="441D78FE"/>
    <w:rsid w:val="4427037B"/>
    <w:rsid w:val="44330ECF"/>
    <w:rsid w:val="445A69EC"/>
    <w:rsid w:val="448D5606"/>
    <w:rsid w:val="44960B40"/>
    <w:rsid w:val="44AA6616"/>
    <w:rsid w:val="44AC7D2D"/>
    <w:rsid w:val="44B408D1"/>
    <w:rsid w:val="44C16454"/>
    <w:rsid w:val="44C5772D"/>
    <w:rsid w:val="44EE3048"/>
    <w:rsid w:val="44F561F0"/>
    <w:rsid w:val="44FE0D35"/>
    <w:rsid w:val="451535A2"/>
    <w:rsid w:val="452B48DB"/>
    <w:rsid w:val="454443FB"/>
    <w:rsid w:val="456652D4"/>
    <w:rsid w:val="456F446B"/>
    <w:rsid w:val="45790134"/>
    <w:rsid w:val="457B29E9"/>
    <w:rsid w:val="45914651"/>
    <w:rsid w:val="4592645E"/>
    <w:rsid w:val="459B3F2A"/>
    <w:rsid w:val="45AB5298"/>
    <w:rsid w:val="45BC6CA2"/>
    <w:rsid w:val="45BF468E"/>
    <w:rsid w:val="45C13186"/>
    <w:rsid w:val="45D41170"/>
    <w:rsid w:val="45DB5D4D"/>
    <w:rsid w:val="45F06F49"/>
    <w:rsid w:val="45FD385E"/>
    <w:rsid w:val="46133E4D"/>
    <w:rsid w:val="462463DD"/>
    <w:rsid w:val="463317DC"/>
    <w:rsid w:val="46435FB5"/>
    <w:rsid w:val="464758F5"/>
    <w:rsid w:val="46691B01"/>
    <w:rsid w:val="467001B9"/>
    <w:rsid w:val="46767AA4"/>
    <w:rsid w:val="4693672E"/>
    <w:rsid w:val="469B136D"/>
    <w:rsid w:val="46AF0877"/>
    <w:rsid w:val="46B300A5"/>
    <w:rsid w:val="46BC4F8C"/>
    <w:rsid w:val="46DE403C"/>
    <w:rsid w:val="46F030A7"/>
    <w:rsid w:val="47385A1A"/>
    <w:rsid w:val="474C573E"/>
    <w:rsid w:val="476756C1"/>
    <w:rsid w:val="476E3A25"/>
    <w:rsid w:val="4770099E"/>
    <w:rsid w:val="47766090"/>
    <w:rsid w:val="477A64E4"/>
    <w:rsid w:val="478441A7"/>
    <w:rsid w:val="47A42D11"/>
    <w:rsid w:val="47A53E92"/>
    <w:rsid w:val="47A619B8"/>
    <w:rsid w:val="47AF529B"/>
    <w:rsid w:val="47C26A30"/>
    <w:rsid w:val="47C72582"/>
    <w:rsid w:val="47D14C87"/>
    <w:rsid w:val="47D54E3D"/>
    <w:rsid w:val="47E8680A"/>
    <w:rsid w:val="47EF13C6"/>
    <w:rsid w:val="47F70704"/>
    <w:rsid w:val="47FC1825"/>
    <w:rsid w:val="47FC5A7C"/>
    <w:rsid w:val="47FE35A2"/>
    <w:rsid w:val="48011424"/>
    <w:rsid w:val="48061D97"/>
    <w:rsid w:val="481530A2"/>
    <w:rsid w:val="48180B08"/>
    <w:rsid w:val="48370F08"/>
    <w:rsid w:val="484005F9"/>
    <w:rsid w:val="484A7853"/>
    <w:rsid w:val="484B1E04"/>
    <w:rsid w:val="484C7E23"/>
    <w:rsid w:val="48651826"/>
    <w:rsid w:val="4866224B"/>
    <w:rsid w:val="4869579D"/>
    <w:rsid w:val="486B0DBE"/>
    <w:rsid w:val="48787B4E"/>
    <w:rsid w:val="48A0638B"/>
    <w:rsid w:val="48A709C8"/>
    <w:rsid w:val="48AC74A2"/>
    <w:rsid w:val="48B43684"/>
    <w:rsid w:val="48BA1E74"/>
    <w:rsid w:val="48D9403C"/>
    <w:rsid w:val="48E40260"/>
    <w:rsid w:val="48E7256F"/>
    <w:rsid w:val="48FF3A76"/>
    <w:rsid w:val="49004DA6"/>
    <w:rsid w:val="49061C83"/>
    <w:rsid w:val="492649E6"/>
    <w:rsid w:val="49412438"/>
    <w:rsid w:val="49432A57"/>
    <w:rsid w:val="494C7A2C"/>
    <w:rsid w:val="495B752B"/>
    <w:rsid w:val="49627B61"/>
    <w:rsid w:val="49880695"/>
    <w:rsid w:val="499C06C6"/>
    <w:rsid w:val="49AE6B75"/>
    <w:rsid w:val="49BA70C2"/>
    <w:rsid w:val="49C5081B"/>
    <w:rsid w:val="49D438AE"/>
    <w:rsid w:val="49DA412B"/>
    <w:rsid w:val="49E65258"/>
    <w:rsid w:val="49EA251B"/>
    <w:rsid w:val="4A0E21A7"/>
    <w:rsid w:val="4A191C9A"/>
    <w:rsid w:val="4A461CA2"/>
    <w:rsid w:val="4A75688F"/>
    <w:rsid w:val="4A7933B4"/>
    <w:rsid w:val="4A82109E"/>
    <w:rsid w:val="4AA91EEB"/>
    <w:rsid w:val="4AAD7E81"/>
    <w:rsid w:val="4AC01243"/>
    <w:rsid w:val="4AE36068"/>
    <w:rsid w:val="4AEB0E78"/>
    <w:rsid w:val="4AFE24C3"/>
    <w:rsid w:val="4B333B9B"/>
    <w:rsid w:val="4B431674"/>
    <w:rsid w:val="4B497830"/>
    <w:rsid w:val="4B531E57"/>
    <w:rsid w:val="4B5F4B55"/>
    <w:rsid w:val="4B75139B"/>
    <w:rsid w:val="4B773D82"/>
    <w:rsid w:val="4B810772"/>
    <w:rsid w:val="4B887D52"/>
    <w:rsid w:val="4B8C50D1"/>
    <w:rsid w:val="4BA10A86"/>
    <w:rsid w:val="4BAF18C3"/>
    <w:rsid w:val="4BB73B85"/>
    <w:rsid w:val="4BC65352"/>
    <w:rsid w:val="4BC955A7"/>
    <w:rsid w:val="4BCD472A"/>
    <w:rsid w:val="4BF03B4A"/>
    <w:rsid w:val="4C026A87"/>
    <w:rsid w:val="4C0849EF"/>
    <w:rsid w:val="4C172E84"/>
    <w:rsid w:val="4C195111"/>
    <w:rsid w:val="4C4A325A"/>
    <w:rsid w:val="4C5B5467"/>
    <w:rsid w:val="4C69283C"/>
    <w:rsid w:val="4C6F4782"/>
    <w:rsid w:val="4C7436E2"/>
    <w:rsid w:val="4C795164"/>
    <w:rsid w:val="4C932406"/>
    <w:rsid w:val="4C9B1D07"/>
    <w:rsid w:val="4C9C6AB2"/>
    <w:rsid w:val="4CA05D6D"/>
    <w:rsid w:val="4CA223B7"/>
    <w:rsid w:val="4CB20D63"/>
    <w:rsid w:val="4CC659D2"/>
    <w:rsid w:val="4CCA2AA8"/>
    <w:rsid w:val="4CCB779F"/>
    <w:rsid w:val="4CE03554"/>
    <w:rsid w:val="4CE27936"/>
    <w:rsid w:val="4CE934C2"/>
    <w:rsid w:val="4CFB6302"/>
    <w:rsid w:val="4D080457"/>
    <w:rsid w:val="4D09408C"/>
    <w:rsid w:val="4D094E99"/>
    <w:rsid w:val="4D103042"/>
    <w:rsid w:val="4D1473C4"/>
    <w:rsid w:val="4D1B3615"/>
    <w:rsid w:val="4D215C29"/>
    <w:rsid w:val="4D354F98"/>
    <w:rsid w:val="4D616AAD"/>
    <w:rsid w:val="4D7D4349"/>
    <w:rsid w:val="4D8D099B"/>
    <w:rsid w:val="4D9D457A"/>
    <w:rsid w:val="4DA62712"/>
    <w:rsid w:val="4DAE2035"/>
    <w:rsid w:val="4DBB3031"/>
    <w:rsid w:val="4DD73EA0"/>
    <w:rsid w:val="4DE84168"/>
    <w:rsid w:val="4DEB6377"/>
    <w:rsid w:val="4DF81A75"/>
    <w:rsid w:val="4E284B02"/>
    <w:rsid w:val="4E323FA5"/>
    <w:rsid w:val="4E6112EE"/>
    <w:rsid w:val="4E65437B"/>
    <w:rsid w:val="4E712FAD"/>
    <w:rsid w:val="4E752A20"/>
    <w:rsid w:val="4E94223C"/>
    <w:rsid w:val="4EA316A1"/>
    <w:rsid w:val="4EB44098"/>
    <w:rsid w:val="4EC55DC3"/>
    <w:rsid w:val="4ECA4A88"/>
    <w:rsid w:val="4ECA5998"/>
    <w:rsid w:val="4ED2381A"/>
    <w:rsid w:val="4EEA58FA"/>
    <w:rsid w:val="4EF712B1"/>
    <w:rsid w:val="4EFD2805"/>
    <w:rsid w:val="4F0E2841"/>
    <w:rsid w:val="4F124A01"/>
    <w:rsid w:val="4F166183"/>
    <w:rsid w:val="4F221A1E"/>
    <w:rsid w:val="4F2558B8"/>
    <w:rsid w:val="4F2F01CE"/>
    <w:rsid w:val="4F3424FA"/>
    <w:rsid w:val="4F39324A"/>
    <w:rsid w:val="4F395FCF"/>
    <w:rsid w:val="4F3E01E5"/>
    <w:rsid w:val="4F471CD3"/>
    <w:rsid w:val="4F8A7DAD"/>
    <w:rsid w:val="4FA825B4"/>
    <w:rsid w:val="4FC0330A"/>
    <w:rsid w:val="4FDC066D"/>
    <w:rsid w:val="4FE83D29"/>
    <w:rsid w:val="4FF8114D"/>
    <w:rsid w:val="4FFE1090"/>
    <w:rsid w:val="50151D47"/>
    <w:rsid w:val="501532DA"/>
    <w:rsid w:val="50320027"/>
    <w:rsid w:val="503B1837"/>
    <w:rsid w:val="504278B5"/>
    <w:rsid w:val="50461386"/>
    <w:rsid w:val="504A04E4"/>
    <w:rsid w:val="504B5ACC"/>
    <w:rsid w:val="50785CAC"/>
    <w:rsid w:val="509C7DFC"/>
    <w:rsid w:val="50A910AD"/>
    <w:rsid w:val="50B53E7D"/>
    <w:rsid w:val="50C555A5"/>
    <w:rsid w:val="50D15CF8"/>
    <w:rsid w:val="50D17AA6"/>
    <w:rsid w:val="50DC3A3A"/>
    <w:rsid w:val="50EE1A52"/>
    <w:rsid w:val="50F90394"/>
    <w:rsid w:val="51022355"/>
    <w:rsid w:val="51173358"/>
    <w:rsid w:val="514069D9"/>
    <w:rsid w:val="51473FB8"/>
    <w:rsid w:val="515106A3"/>
    <w:rsid w:val="515F1555"/>
    <w:rsid w:val="51645916"/>
    <w:rsid w:val="517559F5"/>
    <w:rsid w:val="518876D0"/>
    <w:rsid w:val="51BF066F"/>
    <w:rsid w:val="51CD1DAC"/>
    <w:rsid w:val="51DA6E2E"/>
    <w:rsid w:val="51E66672"/>
    <w:rsid w:val="51E7154B"/>
    <w:rsid w:val="51E952C3"/>
    <w:rsid w:val="51F003FF"/>
    <w:rsid w:val="51F53948"/>
    <w:rsid w:val="52017803"/>
    <w:rsid w:val="520420FD"/>
    <w:rsid w:val="52056906"/>
    <w:rsid w:val="520C0506"/>
    <w:rsid w:val="520F27A3"/>
    <w:rsid w:val="5237718E"/>
    <w:rsid w:val="524644C3"/>
    <w:rsid w:val="52535F5A"/>
    <w:rsid w:val="52635075"/>
    <w:rsid w:val="52731EF7"/>
    <w:rsid w:val="52816DE8"/>
    <w:rsid w:val="529956BB"/>
    <w:rsid w:val="52AF06C8"/>
    <w:rsid w:val="52B406A5"/>
    <w:rsid w:val="52B50A93"/>
    <w:rsid w:val="52EF1CE1"/>
    <w:rsid w:val="5305612D"/>
    <w:rsid w:val="533D5697"/>
    <w:rsid w:val="534F1156"/>
    <w:rsid w:val="535B3F9E"/>
    <w:rsid w:val="53631E50"/>
    <w:rsid w:val="53685BDF"/>
    <w:rsid w:val="5387030B"/>
    <w:rsid w:val="538C4158"/>
    <w:rsid w:val="53900339"/>
    <w:rsid w:val="539A4AC7"/>
    <w:rsid w:val="53AD6692"/>
    <w:rsid w:val="53B26541"/>
    <w:rsid w:val="53C86D61"/>
    <w:rsid w:val="53CD1C64"/>
    <w:rsid w:val="53CE02E4"/>
    <w:rsid w:val="53DF394E"/>
    <w:rsid w:val="53FA37B7"/>
    <w:rsid w:val="540C3DAB"/>
    <w:rsid w:val="540E6587"/>
    <w:rsid w:val="541A2241"/>
    <w:rsid w:val="541C5A4A"/>
    <w:rsid w:val="541F321E"/>
    <w:rsid w:val="542F08BB"/>
    <w:rsid w:val="544D74ED"/>
    <w:rsid w:val="54501629"/>
    <w:rsid w:val="54554E92"/>
    <w:rsid w:val="545B0F44"/>
    <w:rsid w:val="54622AD8"/>
    <w:rsid w:val="54880DC3"/>
    <w:rsid w:val="5499217E"/>
    <w:rsid w:val="54A84FC1"/>
    <w:rsid w:val="54AA79E0"/>
    <w:rsid w:val="54C31DFB"/>
    <w:rsid w:val="54CF254E"/>
    <w:rsid w:val="54D51521"/>
    <w:rsid w:val="54DE1F99"/>
    <w:rsid w:val="54F0619B"/>
    <w:rsid w:val="54F6064E"/>
    <w:rsid w:val="550400B5"/>
    <w:rsid w:val="550D751A"/>
    <w:rsid w:val="55144405"/>
    <w:rsid w:val="553C4057"/>
    <w:rsid w:val="553D1A27"/>
    <w:rsid w:val="553E1395"/>
    <w:rsid w:val="5543004D"/>
    <w:rsid w:val="555C7B5A"/>
    <w:rsid w:val="556A75DB"/>
    <w:rsid w:val="557309F7"/>
    <w:rsid w:val="55962B75"/>
    <w:rsid w:val="55985036"/>
    <w:rsid w:val="55A42B10"/>
    <w:rsid w:val="55B705FD"/>
    <w:rsid w:val="55C5354C"/>
    <w:rsid w:val="55F10BEA"/>
    <w:rsid w:val="5605418F"/>
    <w:rsid w:val="560C01BB"/>
    <w:rsid w:val="562412BD"/>
    <w:rsid w:val="562D1183"/>
    <w:rsid w:val="56386CA3"/>
    <w:rsid w:val="56452545"/>
    <w:rsid w:val="564978D9"/>
    <w:rsid w:val="564B3E56"/>
    <w:rsid w:val="568A7321"/>
    <w:rsid w:val="56A83DD6"/>
    <w:rsid w:val="56AA0436"/>
    <w:rsid w:val="56B604DC"/>
    <w:rsid w:val="56BC4D54"/>
    <w:rsid w:val="56C972B0"/>
    <w:rsid w:val="56CB3A71"/>
    <w:rsid w:val="56D32936"/>
    <w:rsid w:val="56D50B51"/>
    <w:rsid w:val="56F53449"/>
    <w:rsid w:val="56F91B04"/>
    <w:rsid w:val="57014E5D"/>
    <w:rsid w:val="5703357A"/>
    <w:rsid w:val="57063A49"/>
    <w:rsid w:val="570A1313"/>
    <w:rsid w:val="574C1EAC"/>
    <w:rsid w:val="574E6AA3"/>
    <w:rsid w:val="575729E9"/>
    <w:rsid w:val="575A6CCA"/>
    <w:rsid w:val="5773240F"/>
    <w:rsid w:val="577A7E3A"/>
    <w:rsid w:val="57890836"/>
    <w:rsid w:val="578C08DC"/>
    <w:rsid w:val="57947A7F"/>
    <w:rsid w:val="57AB2C58"/>
    <w:rsid w:val="57B02994"/>
    <w:rsid w:val="57B74973"/>
    <w:rsid w:val="57C71AB3"/>
    <w:rsid w:val="57CA7DB2"/>
    <w:rsid w:val="57D85342"/>
    <w:rsid w:val="5806097D"/>
    <w:rsid w:val="58156012"/>
    <w:rsid w:val="58256929"/>
    <w:rsid w:val="58294241"/>
    <w:rsid w:val="583015BE"/>
    <w:rsid w:val="583B33F2"/>
    <w:rsid w:val="584C7EAD"/>
    <w:rsid w:val="58535244"/>
    <w:rsid w:val="585413E7"/>
    <w:rsid w:val="58663FB8"/>
    <w:rsid w:val="586E4439"/>
    <w:rsid w:val="5888724A"/>
    <w:rsid w:val="588E34C3"/>
    <w:rsid w:val="589469D9"/>
    <w:rsid w:val="58C46142"/>
    <w:rsid w:val="58D95574"/>
    <w:rsid w:val="58ED0C62"/>
    <w:rsid w:val="58F32DD7"/>
    <w:rsid w:val="58F43336"/>
    <w:rsid w:val="59002DC2"/>
    <w:rsid w:val="590157EE"/>
    <w:rsid w:val="59154BEF"/>
    <w:rsid w:val="592310BA"/>
    <w:rsid w:val="59240EAC"/>
    <w:rsid w:val="59246BE1"/>
    <w:rsid w:val="5925451C"/>
    <w:rsid w:val="592B4413"/>
    <w:rsid w:val="592D018B"/>
    <w:rsid w:val="594F4053"/>
    <w:rsid w:val="59633BAD"/>
    <w:rsid w:val="59723F6A"/>
    <w:rsid w:val="597506E7"/>
    <w:rsid w:val="59777658"/>
    <w:rsid w:val="599251FA"/>
    <w:rsid w:val="59952D85"/>
    <w:rsid w:val="59A741F2"/>
    <w:rsid w:val="59C97EB4"/>
    <w:rsid w:val="59CD4502"/>
    <w:rsid w:val="59D124FF"/>
    <w:rsid w:val="59E500D4"/>
    <w:rsid w:val="59F20A8D"/>
    <w:rsid w:val="5A0A5DD6"/>
    <w:rsid w:val="5A0F2B27"/>
    <w:rsid w:val="5A19223F"/>
    <w:rsid w:val="5A2068C3"/>
    <w:rsid w:val="5A286830"/>
    <w:rsid w:val="5A2E41BB"/>
    <w:rsid w:val="5A4133FF"/>
    <w:rsid w:val="5A4D2A15"/>
    <w:rsid w:val="5A781C19"/>
    <w:rsid w:val="5A7C2471"/>
    <w:rsid w:val="5A89319F"/>
    <w:rsid w:val="5A8C16B2"/>
    <w:rsid w:val="5ACF74F1"/>
    <w:rsid w:val="5ADE1022"/>
    <w:rsid w:val="5ADF3707"/>
    <w:rsid w:val="5AEC7550"/>
    <w:rsid w:val="5AF90DB3"/>
    <w:rsid w:val="5AFF2F46"/>
    <w:rsid w:val="5B0608E3"/>
    <w:rsid w:val="5B3409BC"/>
    <w:rsid w:val="5B413B37"/>
    <w:rsid w:val="5B465534"/>
    <w:rsid w:val="5B6332BC"/>
    <w:rsid w:val="5B7379A0"/>
    <w:rsid w:val="5B803C9F"/>
    <w:rsid w:val="5BA504AD"/>
    <w:rsid w:val="5BA835E7"/>
    <w:rsid w:val="5BAB6A7A"/>
    <w:rsid w:val="5BD26BD7"/>
    <w:rsid w:val="5BE014E5"/>
    <w:rsid w:val="5BE24AE3"/>
    <w:rsid w:val="5BFC36DE"/>
    <w:rsid w:val="5C161F4A"/>
    <w:rsid w:val="5C277F8A"/>
    <w:rsid w:val="5C2A4E55"/>
    <w:rsid w:val="5C321615"/>
    <w:rsid w:val="5C36109E"/>
    <w:rsid w:val="5C364BFA"/>
    <w:rsid w:val="5C515F3F"/>
    <w:rsid w:val="5C544978"/>
    <w:rsid w:val="5C6E6361"/>
    <w:rsid w:val="5C725121"/>
    <w:rsid w:val="5C7B1199"/>
    <w:rsid w:val="5C7B685A"/>
    <w:rsid w:val="5C7B745F"/>
    <w:rsid w:val="5C845689"/>
    <w:rsid w:val="5C8C5260"/>
    <w:rsid w:val="5C8F13A9"/>
    <w:rsid w:val="5CC508E8"/>
    <w:rsid w:val="5CCC3817"/>
    <w:rsid w:val="5CE97645"/>
    <w:rsid w:val="5CF41F59"/>
    <w:rsid w:val="5CFE193F"/>
    <w:rsid w:val="5D0C0689"/>
    <w:rsid w:val="5D1E0517"/>
    <w:rsid w:val="5D1F5D97"/>
    <w:rsid w:val="5D2064F9"/>
    <w:rsid w:val="5D2418A5"/>
    <w:rsid w:val="5D327B1E"/>
    <w:rsid w:val="5D3758BD"/>
    <w:rsid w:val="5D3E4715"/>
    <w:rsid w:val="5D4E1C63"/>
    <w:rsid w:val="5D60463D"/>
    <w:rsid w:val="5D7F6ADB"/>
    <w:rsid w:val="5D8C3CED"/>
    <w:rsid w:val="5DB378D1"/>
    <w:rsid w:val="5DBC71DC"/>
    <w:rsid w:val="5DC47773"/>
    <w:rsid w:val="5DD3481F"/>
    <w:rsid w:val="5DFB706C"/>
    <w:rsid w:val="5DFD278A"/>
    <w:rsid w:val="5DFE5C52"/>
    <w:rsid w:val="5E160544"/>
    <w:rsid w:val="5E201E77"/>
    <w:rsid w:val="5E2966CC"/>
    <w:rsid w:val="5E4D64B9"/>
    <w:rsid w:val="5E5B12F6"/>
    <w:rsid w:val="5E5F2BAA"/>
    <w:rsid w:val="5E624DB0"/>
    <w:rsid w:val="5E731374"/>
    <w:rsid w:val="5E7D0711"/>
    <w:rsid w:val="5E84161F"/>
    <w:rsid w:val="5E8E5009"/>
    <w:rsid w:val="5EA44872"/>
    <w:rsid w:val="5EA82D65"/>
    <w:rsid w:val="5EA90D7E"/>
    <w:rsid w:val="5EBA2CCE"/>
    <w:rsid w:val="5ECA73FA"/>
    <w:rsid w:val="5EEE6FFB"/>
    <w:rsid w:val="5F0D29BD"/>
    <w:rsid w:val="5F1201C9"/>
    <w:rsid w:val="5F1A3D6B"/>
    <w:rsid w:val="5F213E29"/>
    <w:rsid w:val="5F261615"/>
    <w:rsid w:val="5F2D579D"/>
    <w:rsid w:val="5F36207E"/>
    <w:rsid w:val="5F3C47EB"/>
    <w:rsid w:val="5F5743AE"/>
    <w:rsid w:val="5F6278DF"/>
    <w:rsid w:val="5F6B5569"/>
    <w:rsid w:val="5F6E6E08"/>
    <w:rsid w:val="5F742670"/>
    <w:rsid w:val="5F751F1C"/>
    <w:rsid w:val="5F8F7ED6"/>
    <w:rsid w:val="5F976163"/>
    <w:rsid w:val="5FA2260F"/>
    <w:rsid w:val="5FB660FA"/>
    <w:rsid w:val="5FBC045A"/>
    <w:rsid w:val="5FCA7963"/>
    <w:rsid w:val="5FD229E3"/>
    <w:rsid w:val="5FE11D50"/>
    <w:rsid w:val="5FE550F4"/>
    <w:rsid w:val="5FF50CA9"/>
    <w:rsid w:val="601316F0"/>
    <w:rsid w:val="603752B7"/>
    <w:rsid w:val="606B380A"/>
    <w:rsid w:val="6084104D"/>
    <w:rsid w:val="60853FA6"/>
    <w:rsid w:val="608549D2"/>
    <w:rsid w:val="60B12A87"/>
    <w:rsid w:val="60B46A9C"/>
    <w:rsid w:val="60BE6515"/>
    <w:rsid w:val="60C2740B"/>
    <w:rsid w:val="60D65CFC"/>
    <w:rsid w:val="60EB5790"/>
    <w:rsid w:val="60EE4AFB"/>
    <w:rsid w:val="610C4B2A"/>
    <w:rsid w:val="611E5196"/>
    <w:rsid w:val="6138591F"/>
    <w:rsid w:val="615C33BC"/>
    <w:rsid w:val="61791E65"/>
    <w:rsid w:val="619509B8"/>
    <w:rsid w:val="61AD5C4B"/>
    <w:rsid w:val="61AE04F5"/>
    <w:rsid w:val="61C3343B"/>
    <w:rsid w:val="61F769AE"/>
    <w:rsid w:val="620D664D"/>
    <w:rsid w:val="62194611"/>
    <w:rsid w:val="623936FD"/>
    <w:rsid w:val="624E3FF3"/>
    <w:rsid w:val="62A956BD"/>
    <w:rsid w:val="62AF62B4"/>
    <w:rsid w:val="62B611F1"/>
    <w:rsid w:val="62CA5F40"/>
    <w:rsid w:val="62E0001C"/>
    <w:rsid w:val="62F359A3"/>
    <w:rsid w:val="62F53AC8"/>
    <w:rsid w:val="63105F78"/>
    <w:rsid w:val="631F782A"/>
    <w:rsid w:val="632B4DA6"/>
    <w:rsid w:val="633A5F15"/>
    <w:rsid w:val="63407EB7"/>
    <w:rsid w:val="63494120"/>
    <w:rsid w:val="634C03E0"/>
    <w:rsid w:val="6351582F"/>
    <w:rsid w:val="636522D0"/>
    <w:rsid w:val="63686D60"/>
    <w:rsid w:val="636B3D8A"/>
    <w:rsid w:val="63957059"/>
    <w:rsid w:val="63A22AA8"/>
    <w:rsid w:val="63CE3B0A"/>
    <w:rsid w:val="63D40C1F"/>
    <w:rsid w:val="63FD21C7"/>
    <w:rsid w:val="640259A7"/>
    <w:rsid w:val="64107237"/>
    <w:rsid w:val="641304DB"/>
    <w:rsid w:val="64246747"/>
    <w:rsid w:val="645B2050"/>
    <w:rsid w:val="645C76B6"/>
    <w:rsid w:val="647F41B9"/>
    <w:rsid w:val="649D4417"/>
    <w:rsid w:val="64A77F1C"/>
    <w:rsid w:val="64B12952"/>
    <w:rsid w:val="64D91D86"/>
    <w:rsid w:val="6502427A"/>
    <w:rsid w:val="6517115A"/>
    <w:rsid w:val="651B562B"/>
    <w:rsid w:val="65252C35"/>
    <w:rsid w:val="652811A1"/>
    <w:rsid w:val="65336FEA"/>
    <w:rsid w:val="6534741A"/>
    <w:rsid w:val="65447DBD"/>
    <w:rsid w:val="656F1EEC"/>
    <w:rsid w:val="657F1D6E"/>
    <w:rsid w:val="659B647C"/>
    <w:rsid w:val="65AA566B"/>
    <w:rsid w:val="65B838FB"/>
    <w:rsid w:val="65BC12F6"/>
    <w:rsid w:val="65C459D3"/>
    <w:rsid w:val="65C6358A"/>
    <w:rsid w:val="65D969F1"/>
    <w:rsid w:val="65E948EC"/>
    <w:rsid w:val="65EA75E8"/>
    <w:rsid w:val="65EF5E96"/>
    <w:rsid w:val="660807C7"/>
    <w:rsid w:val="662558AC"/>
    <w:rsid w:val="662B5A52"/>
    <w:rsid w:val="6635067F"/>
    <w:rsid w:val="663849C4"/>
    <w:rsid w:val="664B1C51"/>
    <w:rsid w:val="66612DBC"/>
    <w:rsid w:val="666C16FC"/>
    <w:rsid w:val="667A6834"/>
    <w:rsid w:val="667F5101"/>
    <w:rsid w:val="66A43E37"/>
    <w:rsid w:val="66A83ADF"/>
    <w:rsid w:val="66CC4F6B"/>
    <w:rsid w:val="66D94840"/>
    <w:rsid w:val="66FB00F1"/>
    <w:rsid w:val="67064DDE"/>
    <w:rsid w:val="67081924"/>
    <w:rsid w:val="670F2307"/>
    <w:rsid w:val="67220901"/>
    <w:rsid w:val="67226E55"/>
    <w:rsid w:val="673B1D02"/>
    <w:rsid w:val="6750632C"/>
    <w:rsid w:val="6751773B"/>
    <w:rsid w:val="676A6106"/>
    <w:rsid w:val="67746F85"/>
    <w:rsid w:val="67775DFD"/>
    <w:rsid w:val="677A530F"/>
    <w:rsid w:val="67A4786A"/>
    <w:rsid w:val="67A61834"/>
    <w:rsid w:val="67B0603E"/>
    <w:rsid w:val="67BD38AB"/>
    <w:rsid w:val="67C90F65"/>
    <w:rsid w:val="67F56A39"/>
    <w:rsid w:val="680601AA"/>
    <w:rsid w:val="68236DA7"/>
    <w:rsid w:val="683822DD"/>
    <w:rsid w:val="687150F2"/>
    <w:rsid w:val="68804E1B"/>
    <w:rsid w:val="68932A2F"/>
    <w:rsid w:val="6898485B"/>
    <w:rsid w:val="68AD6BF3"/>
    <w:rsid w:val="68C87588"/>
    <w:rsid w:val="68CF6B69"/>
    <w:rsid w:val="68D53504"/>
    <w:rsid w:val="68D55ADE"/>
    <w:rsid w:val="690232EF"/>
    <w:rsid w:val="690E3FD1"/>
    <w:rsid w:val="692769A5"/>
    <w:rsid w:val="692C5EB4"/>
    <w:rsid w:val="6930409B"/>
    <w:rsid w:val="6958090C"/>
    <w:rsid w:val="695A211E"/>
    <w:rsid w:val="69610663"/>
    <w:rsid w:val="697E5D3C"/>
    <w:rsid w:val="698A6CC7"/>
    <w:rsid w:val="698E6096"/>
    <w:rsid w:val="69A91168"/>
    <w:rsid w:val="69BB2425"/>
    <w:rsid w:val="69C51D40"/>
    <w:rsid w:val="69D54F09"/>
    <w:rsid w:val="69FD7CBD"/>
    <w:rsid w:val="6A130CD7"/>
    <w:rsid w:val="6A190526"/>
    <w:rsid w:val="6A31115D"/>
    <w:rsid w:val="6A3C5178"/>
    <w:rsid w:val="6A507C3E"/>
    <w:rsid w:val="6A8A105A"/>
    <w:rsid w:val="6A8A23D9"/>
    <w:rsid w:val="6A932870"/>
    <w:rsid w:val="6A974656"/>
    <w:rsid w:val="6AB73D58"/>
    <w:rsid w:val="6AB86ED1"/>
    <w:rsid w:val="6AC00E5F"/>
    <w:rsid w:val="6AC56475"/>
    <w:rsid w:val="6AD43F6F"/>
    <w:rsid w:val="6AD55452"/>
    <w:rsid w:val="6ADC798F"/>
    <w:rsid w:val="6AEF52A0"/>
    <w:rsid w:val="6AEF70D2"/>
    <w:rsid w:val="6AF428B7"/>
    <w:rsid w:val="6AFE3735"/>
    <w:rsid w:val="6B0A6130"/>
    <w:rsid w:val="6B1710C9"/>
    <w:rsid w:val="6B195C25"/>
    <w:rsid w:val="6B245366"/>
    <w:rsid w:val="6B2469B0"/>
    <w:rsid w:val="6B300988"/>
    <w:rsid w:val="6B3B4352"/>
    <w:rsid w:val="6B3D0C52"/>
    <w:rsid w:val="6B437437"/>
    <w:rsid w:val="6B56506F"/>
    <w:rsid w:val="6B637C95"/>
    <w:rsid w:val="6B6E324B"/>
    <w:rsid w:val="6B700B8F"/>
    <w:rsid w:val="6B783A3C"/>
    <w:rsid w:val="6B7B6B34"/>
    <w:rsid w:val="6B894387"/>
    <w:rsid w:val="6B8C1C9A"/>
    <w:rsid w:val="6BA62774"/>
    <w:rsid w:val="6BAE608B"/>
    <w:rsid w:val="6BC718A2"/>
    <w:rsid w:val="6BC73986"/>
    <w:rsid w:val="6BC846BD"/>
    <w:rsid w:val="6BD149A6"/>
    <w:rsid w:val="6BD83993"/>
    <w:rsid w:val="6C1A3D91"/>
    <w:rsid w:val="6C5775A1"/>
    <w:rsid w:val="6C5A4BD3"/>
    <w:rsid w:val="6C775705"/>
    <w:rsid w:val="6C7D0231"/>
    <w:rsid w:val="6C831266"/>
    <w:rsid w:val="6CAA0944"/>
    <w:rsid w:val="6CB0059A"/>
    <w:rsid w:val="6CE626D3"/>
    <w:rsid w:val="6CF070AE"/>
    <w:rsid w:val="6CF932F0"/>
    <w:rsid w:val="6D106DEC"/>
    <w:rsid w:val="6D111E67"/>
    <w:rsid w:val="6D547FD5"/>
    <w:rsid w:val="6D5A4776"/>
    <w:rsid w:val="6D6F412B"/>
    <w:rsid w:val="6D716441"/>
    <w:rsid w:val="6D7210A6"/>
    <w:rsid w:val="6D8728CC"/>
    <w:rsid w:val="6DA63809"/>
    <w:rsid w:val="6DB2645B"/>
    <w:rsid w:val="6DB35D91"/>
    <w:rsid w:val="6DB97A83"/>
    <w:rsid w:val="6DBA21C6"/>
    <w:rsid w:val="6DC44726"/>
    <w:rsid w:val="6DC76061"/>
    <w:rsid w:val="6DD3781C"/>
    <w:rsid w:val="6DE92424"/>
    <w:rsid w:val="6DEC45B6"/>
    <w:rsid w:val="6DF14710"/>
    <w:rsid w:val="6DF3598F"/>
    <w:rsid w:val="6DF404C4"/>
    <w:rsid w:val="6DF606F4"/>
    <w:rsid w:val="6E0707E7"/>
    <w:rsid w:val="6E085968"/>
    <w:rsid w:val="6E1437FD"/>
    <w:rsid w:val="6E221116"/>
    <w:rsid w:val="6E2D223C"/>
    <w:rsid w:val="6E3A41E4"/>
    <w:rsid w:val="6E41217E"/>
    <w:rsid w:val="6E41761A"/>
    <w:rsid w:val="6E502A0D"/>
    <w:rsid w:val="6E5711BD"/>
    <w:rsid w:val="6E5A65A4"/>
    <w:rsid w:val="6E6C52EA"/>
    <w:rsid w:val="6E78136D"/>
    <w:rsid w:val="6E7B3411"/>
    <w:rsid w:val="6E7F5E5A"/>
    <w:rsid w:val="6E8C43DF"/>
    <w:rsid w:val="6E9A0985"/>
    <w:rsid w:val="6EB1286D"/>
    <w:rsid w:val="6EB81E4D"/>
    <w:rsid w:val="6ED6693F"/>
    <w:rsid w:val="6EDB314F"/>
    <w:rsid w:val="6EDF387E"/>
    <w:rsid w:val="6EE21F4F"/>
    <w:rsid w:val="6EE90259"/>
    <w:rsid w:val="6F3B0863"/>
    <w:rsid w:val="6F4122B8"/>
    <w:rsid w:val="6F543096"/>
    <w:rsid w:val="6F5E777A"/>
    <w:rsid w:val="6F6052EA"/>
    <w:rsid w:val="6F6618A9"/>
    <w:rsid w:val="6F946416"/>
    <w:rsid w:val="6FB474A5"/>
    <w:rsid w:val="6FB97C2B"/>
    <w:rsid w:val="6FC1475C"/>
    <w:rsid w:val="6FC3459F"/>
    <w:rsid w:val="6FC767EC"/>
    <w:rsid w:val="6FE746BE"/>
    <w:rsid w:val="70057988"/>
    <w:rsid w:val="700C35BD"/>
    <w:rsid w:val="701A2DBF"/>
    <w:rsid w:val="70204F2E"/>
    <w:rsid w:val="70293003"/>
    <w:rsid w:val="70540AD8"/>
    <w:rsid w:val="70591CE8"/>
    <w:rsid w:val="705D3211"/>
    <w:rsid w:val="70642185"/>
    <w:rsid w:val="707A385E"/>
    <w:rsid w:val="70875F7B"/>
    <w:rsid w:val="70C41F3B"/>
    <w:rsid w:val="70C65071"/>
    <w:rsid w:val="70C87251"/>
    <w:rsid w:val="70D674EE"/>
    <w:rsid w:val="70E9176C"/>
    <w:rsid w:val="70EF06DA"/>
    <w:rsid w:val="70EF75BB"/>
    <w:rsid w:val="710D040A"/>
    <w:rsid w:val="71155335"/>
    <w:rsid w:val="71167D9D"/>
    <w:rsid w:val="711F4406"/>
    <w:rsid w:val="711F7EC5"/>
    <w:rsid w:val="71225292"/>
    <w:rsid w:val="71244A63"/>
    <w:rsid w:val="712B5B46"/>
    <w:rsid w:val="71402FBB"/>
    <w:rsid w:val="714523F4"/>
    <w:rsid w:val="714F6A99"/>
    <w:rsid w:val="71534A9C"/>
    <w:rsid w:val="718B02C8"/>
    <w:rsid w:val="719E3471"/>
    <w:rsid w:val="71A54C8A"/>
    <w:rsid w:val="71B2527A"/>
    <w:rsid w:val="71BD4A7E"/>
    <w:rsid w:val="71C57564"/>
    <w:rsid w:val="71E20EFA"/>
    <w:rsid w:val="71E26BA2"/>
    <w:rsid w:val="71F238C8"/>
    <w:rsid w:val="71F47640"/>
    <w:rsid w:val="71FF45A7"/>
    <w:rsid w:val="72012164"/>
    <w:rsid w:val="72047F9E"/>
    <w:rsid w:val="7205184D"/>
    <w:rsid w:val="720F6228"/>
    <w:rsid w:val="72205FFB"/>
    <w:rsid w:val="722F3A03"/>
    <w:rsid w:val="723A1930"/>
    <w:rsid w:val="723D2D95"/>
    <w:rsid w:val="7244267C"/>
    <w:rsid w:val="725507FE"/>
    <w:rsid w:val="72593D52"/>
    <w:rsid w:val="725A52C1"/>
    <w:rsid w:val="725B51A9"/>
    <w:rsid w:val="725B5B2D"/>
    <w:rsid w:val="726447C6"/>
    <w:rsid w:val="726C2B56"/>
    <w:rsid w:val="72901CD2"/>
    <w:rsid w:val="72AD6FA2"/>
    <w:rsid w:val="72B33057"/>
    <w:rsid w:val="72B954FB"/>
    <w:rsid w:val="72BE2C95"/>
    <w:rsid w:val="72C2061C"/>
    <w:rsid w:val="72D10C3F"/>
    <w:rsid w:val="72D17CEA"/>
    <w:rsid w:val="72DC3AFD"/>
    <w:rsid w:val="72F36F81"/>
    <w:rsid w:val="72FF30F0"/>
    <w:rsid w:val="730C2A3D"/>
    <w:rsid w:val="73156F30"/>
    <w:rsid w:val="731D16EF"/>
    <w:rsid w:val="73450C39"/>
    <w:rsid w:val="734D6E56"/>
    <w:rsid w:val="73585876"/>
    <w:rsid w:val="73606BFF"/>
    <w:rsid w:val="736E6A5D"/>
    <w:rsid w:val="73763E6C"/>
    <w:rsid w:val="737A5923"/>
    <w:rsid w:val="7397328A"/>
    <w:rsid w:val="73B8604B"/>
    <w:rsid w:val="73C53042"/>
    <w:rsid w:val="73C821BD"/>
    <w:rsid w:val="73CB0583"/>
    <w:rsid w:val="73E1332B"/>
    <w:rsid w:val="73EA3012"/>
    <w:rsid w:val="73F11447"/>
    <w:rsid w:val="740101C9"/>
    <w:rsid w:val="740F0AC2"/>
    <w:rsid w:val="741144D9"/>
    <w:rsid w:val="74185868"/>
    <w:rsid w:val="741E6BF6"/>
    <w:rsid w:val="74227C31"/>
    <w:rsid w:val="74354A54"/>
    <w:rsid w:val="744523D5"/>
    <w:rsid w:val="746C16A8"/>
    <w:rsid w:val="74970051"/>
    <w:rsid w:val="74AD1907"/>
    <w:rsid w:val="74AD6BF9"/>
    <w:rsid w:val="74B66A94"/>
    <w:rsid w:val="74D774D1"/>
    <w:rsid w:val="74ED22EB"/>
    <w:rsid w:val="74EE4475"/>
    <w:rsid w:val="75011538"/>
    <w:rsid w:val="750C2CDE"/>
    <w:rsid w:val="750F77CC"/>
    <w:rsid w:val="751A5610"/>
    <w:rsid w:val="755424EB"/>
    <w:rsid w:val="7557308A"/>
    <w:rsid w:val="755F405C"/>
    <w:rsid w:val="756C2A51"/>
    <w:rsid w:val="756F0277"/>
    <w:rsid w:val="75726984"/>
    <w:rsid w:val="75762E8C"/>
    <w:rsid w:val="758F3BEC"/>
    <w:rsid w:val="759D1102"/>
    <w:rsid w:val="75D21CE6"/>
    <w:rsid w:val="75DA0F67"/>
    <w:rsid w:val="75E14557"/>
    <w:rsid w:val="760E445E"/>
    <w:rsid w:val="7638696A"/>
    <w:rsid w:val="76440320"/>
    <w:rsid w:val="765406AD"/>
    <w:rsid w:val="76557C07"/>
    <w:rsid w:val="768014A2"/>
    <w:rsid w:val="769F29DD"/>
    <w:rsid w:val="76A33700"/>
    <w:rsid w:val="76B949B4"/>
    <w:rsid w:val="76D959F2"/>
    <w:rsid w:val="76DE0178"/>
    <w:rsid w:val="76E00193"/>
    <w:rsid w:val="76E25209"/>
    <w:rsid w:val="76E41A31"/>
    <w:rsid w:val="76F52972"/>
    <w:rsid w:val="76F61765"/>
    <w:rsid w:val="76FC709B"/>
    <w:rsid w:val="7706409E"/>
    <w:rsid w:val="771542E1"/>
    <w:rsid w:val="773270BB"/>
    <w:rsid w:val="774E77F3"/>
    <w:rsid w:val="774F7A24"/>
    <w:rsid w:val="77501EED"/>
    <w:rsid w:val="776442C8"/>
    <w:rsid w:val="777A05E8"/>
    <w:rsid w:val="77837B40"/>
    <w:rsid w:val="778B78AA"/>
    <w:rsid w:val="77E437AF"/>
    <w:rsid w:val="77E722B5"/>
    <w:rsid w:val="77E761D8"/>
    <w:rsid w:val="77E9387D"/>
    <w:rsid w:val="77F959B0"/>
    <w:rsid w:val="77FF3EDB"/>
    <w:rsid w:val="78076E5D"/>
    <w:rsid w:val="781B5F00"/>
    <w:rsid w:val="78271C81"/>
    <w:rsid w:val="782E1549"/>
    <w:rsid w:val="782E256E"/>
    <w:rsid w:val="78585BB9"/>
    <w:rsid w:val="78657EFA"/>
    <w:rsid w:val="78684872"/>
    <w:rsid w:val="78712C63"/>
    <w:rsid w:val="787C06B3"/>
    <w:rsid w:val="78992CEF"/>
    <w:rsid w:val="78994A9D"/>
    <w:rsid w:val="789D41FC"/>
    <w:rsid w:val="789E23A3"/>
    <w:rsid w:val="78BE5D96"/>
    <w:rsid w:val="78C13122"/>
    <w:rsid w:val="79202AC9"/>
    <w:rsid w:val="79206045"/>
    <w:rsid w:val="792E168A"/>
    <w:rsid w:val="79304D29"/>
    <w:rsid w:val="793D3126"/>
    <w:rsid w:val="79543940"/>
    <w:rsid w:val="79641BBB"/>
    <w:rsid w:val="796B24E7"/>
    <w:rsid w:val="79822FDC"/>
    <w:rsid w:val="79905B80"/>
    <w:rsid w:val="79940F93"/>
    <w:rsid w:val="79A538A1"/>
    <w:rsid w:val="79A84848"/>
    <w:rsid w:val="79BF6D7F"/>
    <w:rsid w:val="79E272DC"/>
    <w:rsid w:val="79F503F9"/>
    <w:rsid w:val="79FF23D6"/>
    <w:rsid w:val="7A0258FB"/>
    <w:rsid w:val="7A1B7CE2"/>
    <w:rsid w:val="7A230D90"/>
    <w:rsid w:val="7A2C70B7"/>
    <w:rsid w:val="7A2D35F8"/>
    <w:rsid w:val="7A552C46"/>
    <w:rsid w:val="7A574C10"/>
    <w:rsid w:val="7A5A1B50"/>
    <w:rsid w:val="7A6B584F"/>
    <w:rsid w:val="7A6F776C"/>
    <w:rsid w:val="7A73689F"/>
    <w:rsid w:val="7A8A7BC5"/>
    <w:rsid w:val="7A93472A"/>
    <w:rsid w:val="7AAD00C3"/>
    <w:rsid w:val="7AAD77E9"/>
    <w:rsid w:val="7AB12572"/>
    <w:rsid w:val="7ABB5634"/>
    <w:rsid w:val="7ACB262D"/>
    <w:rsid w:val="7AD26045"/>
    <w:rsid w:val="7AD95D45"/>
    <w:rsid w:val="7AF741CD"/>
    <w:rsid w:val="7B02561A"/>
    <w:rsid w:val="7B054953"/>
    <w:rsid w:val="7B060931"/>
    <w:rsid w:val="7B0C6671"/>
    <w:rsid w:val="7B0F56C1"/>
    <w:rsid w:val="7B2A58E1"/>
    <w:rsid w:val="7B2C7E4B"/>
    <w:rsid w:val="7B3363F4"/>
    <w:rsid w:val="7B392048"/>
    <w:rsid w:val="7B430ADD"/>
    <w:rsid w:val="7B483D17"/>
    <w:rsid w:val="7B6D3E0C"/>
    <w:rsid w:val="7B7B492E"/>
    <w:rsid w:val="7B824AF5"/>
    <w:rsid w:val="7B840EBD"/>
    <w:rsid w:val="7B9264F3"/>
    <w:rsid w:val="7BC24EE6"/>
    <w:rsid w:val="7BC5206A"/>
    <w:rsid w:val="7BCA4316"/>
    <w:rsid w:val="7BD52290"/>
    <w:rsid w:val="7BEF1DB7"/>
    <w:rsid w:val="7BFA1F6F"/>
    <w:rsid w:val="7BFF1753"/>
    <w:rsid w:val="7C067C6B"/>
    <w:rsid w:val="7C127041"/>
    <w:rsid w:val="7C271FA3"/>
    <w:rsid w:val="7C403A86"/>
    <w:rsid w:val="7C516883"/>
    <w:rsid w:val="7C8973EA"/>
    <w:rsid w:val="7C8B2109"/>
    <w:rsid w:val="7C973715"/>
    <w:rsid w:val="7CA02F04"/>
    <w:rsid w:val="7CAF663E"/>
    <w:rsid w:val="7CB032F1"/>
    <w:rsid w:val="7CD2087A"/>
    <w:rsid w:val="7CD347C3"/>
    <w:rsid w:val="7CDE5662"/>
    <w:rsid w:val="7CED53B8"/>
    <w:rsid w:val="7CF6346D"/>
    <w:rsid w:val="7D060228"/>
    <w:rsid w:val="7D1F0335"/>
    <w:rsid w:val="7D3B1450"/>
    <w:rsid w:val="7D5D7CF3"/>
    <w:rsid w:val="7D7D6CB6"/>
    <w:rsid w:val="7D80622C"/>
    <w:rsid w:val="7D821FA4"/>
    <w:rsid w:val="7D8801A2"/>
    <w:rsid w:val="7D961175"/>
    <w:rsid w:val="7D9C3F25"/>
    <w:rsid w:val="7DA367C3"/>
    <w:rsid w:val="7DAA0D00"/>
    <w:rsid w:val="7DAC5273"/>
    <w:rsid w:val="7DB55EF7"/>
    <w:rsid w:val="7DD379D4"/>
    <w:rsid w:val="7DE9677E"/>
    <w:rsid w:val="7DEB1B59"/>
    <w:rsid w:val="7DEC0567"/>
    <w:rsid w:val="7DF02890"/>
    <w:rsid w:val="7E1A3F8B"/>
    <w:rsid w:val="7E1B355E"/>
    <w:rsid w:val="7E257DC1"/>
    <w:rsid w:val="7E3239CA"/>
    <w:rsid w:val="7E376EA1"/>
    <w:rsid w:val="7E40401A"/>
    <w:rsid w:val="7E427958"/>
    <w:rsid w:val="7E457964"/>
    <w:rsid w:val="7E4F632A"/>
    <w:rsid w:val="7E5E7FB7"/>
    <w:rsid w:val="7E6B47E6"/>
    <w:rsid w:val="7E7124CC"/>
    <w:rsid w:val="7E745D91"/>
    <w:rsid w:val="7E837D82"/>
    <w:rsid w:val="7E8835EA"/>
    <w:rsid w:val="7E907AAC"/>
    <w:rsid w:val="7E963C2D"/>
    <w:rsid w:val="7EA877E8"/>
    <w:rsid w:val="7EA9063D"/>
    <w:rsid w:val="7EAA1415"/>
    <w:rsid w:val="7EBA7857"/>
    <w:rsid w:val="7EC00AC4"/>
    <w:rsid w:val="7EC333B4"/>
    <w:rsid w:val="7EC363D0"/>
    <w:rsid w:val="7ECB2067"/>
    <w:rsid w:val="7EDE37B3"/>
    <w:rsid w:val="7EE60B3A"/>
    <w:rsid w:val="7EE66563"/>
    <w:rsid w:val="7EED4D9C"/>
    <w:rsid w:val="7F01539B"/>
    <w:rsid w:val="7F075361"/>
    <w:rsid w:val="7F0A55BE"/>
    <w:rsid w:val="7F127250"/>
    <w:rsid w:val="7F457BEA"/>
    <w:rsid w:val="7F4C4883"/>
    <w:rsid w:val="7F6B73C2"/>
    <w:rsid w:val="7F7540AE"/>
    <w:rsid w:val="7F8C5D1C"/>
    <w:rsid w:val="7FA6057B"/>
    <w:rsid w:val="7FD60385"/>
    <w:rsid w:val="7FDF36DE"/>
    <w:rsid w:val="7FE30DC9"/>
    <w:rsid w:val="7FE42673"/>
    <w:rsid w:val="7FE50D1F"/>
    <w:rsid w:val="7FFB207D"/>
    <w:rsid w:val="7FFE02AB"/>
    <w:rsid w:val="BAFE7998"/>
    <w:rsid w:val="F77FCB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name="Body Text First Indent 2"/>
    <w:lsdException w:uiPriority="99" w:name="Note Heading" w:locked="1"/>
    <w:lsdException w:qFormat="1" w:unhideWhenUsed="0" w:uiPriority="0" w:semiHidden="0"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3"/>
    <w:next w:val="1"/>
    <w:link w:val="133"/>
    <w:qFormat/>
    <w:uiPriority w:val="99"/>
    <w:pPr>
      <w:keepNext/>
      <w:keepLines/>
      <w:spacing w:before="120" w:after="120"/>
      <w:outlineLvl w:val="0"/>
    </w:pPr>
    <w:rPr>
      <w:rFonts w:ascii="Times New Roman" w:hAnsi="Times New Roman"/>
      <w:spacing w:val="20"/>
      <w:kern w:val="44"/>
    </w:rPr>
  </w:style>
  <w:style w:type="paragraph" w:styleId="4">
    <w:name w:val="heading 2"/>
    <w:basedOn w:val="1"/>
    <w:next w:val="1"/>
    <w:link w:val="50"/>
    <w:qFormat/>
    <w:uiPriority w:val="99"/>
    <w:pPr>
      <w:keepNext/>
      <w:keepLines/>
      <w:spacing w:before="240" w:line="400" w:lineRule="exact"/>
      <w:outlineLvl w:val="1"/>
    </w:pPr>
    <w:rPr>
      <w:rFonts w:ascii="Arial" w:hAnsi="Arial"/>
      <w:b/>
      <w:color w:val="000000"/>
      <w:spacing w:val="40"/>
      <w:sz w:val="32"/>
    </w:rPr>
  </w:style>
  <w:style w:type="paragraph" w:styleId="5">
    <w:name w:val="heading 3"/>
    <w:basedOn w:val="1"/>
    <w:next w:val="1"/>
    <w:link w:val="51"/>
    <w:qFormat/>
    <w:uiPriority w:val="99"/>
    <w:pPr>
      <w:keepNext/>
      <w:keepLines/>
      <w:spacing w:before="60" w:after="60" w:line="400" w:lineRule="exact"/>
      <w:ind w:firstLine="510"/>
      <w:outlineLvl w:val="2"/>
    </w:pPr>
    <w:rPr>
      <w:rFonts w:ascii="宋体" w:hAnsi="Times New Roman"/>
      <w:b/>
      <w:sz w:val="24"/>
    </w:rPr>
  </w:style>
  <w:style w:type="paragraph" w:styleId="6">
    <w:name w:val="heading 4"/>
    <w:basedOn w:val="1"/>
    <w:next w:val="1"/>
    <w:link w:val="52"/>
    <w:qFormat/>
    <w:uiPriority w:val="99"/>
    <w:pPr>
      <w:tabs>
        <w:tab w:val="left" w:pos="2155"/>
      </w:tabs>
      <w:adjustRightInd w:val="0"/>
      <w:spacing w:before="120" w:line="360" w:lineRule="auto"/>
      <w:ind w:left="2155" w:hanging="1078"/>
      <w:textAlignment w:val="baseline"/>
      <w:outlineLvl w:val="3"/>
    </w:pPr>
    <w:rPr>
      <w:rFonts w:ascii="Arial" w:hAnsi="Arial" w:eastAsia="黑体"/>
      <w:kern w:val="0"/>
      <w:sz w:val="28"/>
    </w:rPr>
  </w:style>
  <w:style w:type="paragraph" w:styleId="7">
    <w:name w:val="heading 5"/>
    <w:basedOn w:val="8"/>
    <w:next w:val="9"/>
    <w:link w:val="53"/>
    <w:qFormat/>
    <w:uiPriority w:val="99"/>
    <w:pPr>
      <w:keepNext/>
      <w:keepLines/>
      <w:tabs>
        <w:tab w:val="left" w:pos="780"/>
      </w:tabs>
      <w:adjustRightInd w:val="0"/>
      <w:spacing w:before="280" w:after="290" w:line="376" w:lineRule="atLeast"/>
      <w:textAlignment w:val="baseline"/>
      <w:outlineLvl w:val="4"/>
    </w:pPr>
    <w:rPr>
      <w:rFonts w:ascii="Times New Roman" w:hAnsi="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locked/>
    <w:uiPriority w:val="0"/>
    <w:pPr>
      <w:spacing w:beforeLines="50" w:after="100" w:afterAutospacing="1" w:line="600" w:lineRule="exact"/>
      <w:jc w:val="center"/>
    </w:pPr>
    <w:rPr>
      <w:b/>
      <w:sz w:val="32"/>
      <w:szCs w:val="32"/>
    </w:rPr>
  </w:style>
  <w:style w:type="paragraph" w:styleId="8">
    <w:name w:val="List Number 2"/>
    <w:basedOn w:val="1"/>
    <w:semiHidden/>
    <w:unhideWhenUsed/>
    <w:qFormat/>
    <w:locked/>
    <w:uiPriority w:val="99"/>
    <w:pPr>
      <w:numPr>
        <w:ilvl w:val="0"/>
        <w:numId w:val="1"/>
      </w:numPr>
    </w:p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0">
    <w:name w:val="toc 7"/>
    <w:basedOn w:val="1"/>
    <w:next w:val="1"/>
    <w:qFormat/>
    <w:uiPriority w:val="99"/>
    <w:pPr>
      <w:ind w:left="1260"/>
      <w:jc w:val="left"/>
    </w:pPr>
    <w:rPr>
      <w:sz w:val="18"/>
      <w:szCs w:val="18"/>
    </w:rPr>
  </w:style>
  <w:style w:type="paragraph" w:styleId="11">
    <w:name w:val="Normal Indent"/>
    <w:basedOn w:val="1"/>
    <w:next w:val="1"/>
    <w:qFormat/>
    <w:uiPriority w:val="99"/>
    <w:pPr>
      <w:ind w:firstLine="420"/>
    </w:pPr>
  </w:style>
  <w:style w:type="paragraph" w:styleId="12">
    <w:name w:val="Document Map"/>
    <w:basedOn w:val="1"/>
    <w:next w:val="3"/>
    <w:link w:val="54"/>
    <w:qFormat/>
    <w:uiPriority w:val="99"/>
    <w:pPr>
      <w:shd w:val="clear" w:color="auto" w:fill="000080"/>
    </w:pPr>
  </w:style>
  <w:style w:type="paragraph" w:styleId="13">
    <w:name w:val="annotation text"/>
    <w:basedOn w:val="1"/>
    <w:link w:val="55"/>
    <w:qFormat/>
    <w:uiPriority w:val="99"/>
    <w:pPr>
      <w:jc w:val="left"/>
    </w:pPr>
    <w:rPr>
      <w:rFonts w:ascii="Times New Roman" w:hAnsi="Times New Roman"/>
    </w:rPr>
  </w:style>
  <w:style w:type="paragraph" w:styleId="14">
    <w:name w:val="Body Text 3"/>
    <w:basedOn w:val="1"/>
    <w:link w:val="56"/>
    <w:qFormat/>
    <w:uiPriority w:val="99"/>
    <w:pPr>
      <w:spacing w:after="120"/>
    </w:pPr>
    <w:rPr>
      <w:sz w:val="16"/>
      <w:szCs w:val="16"/>
    </w:rPr>
  </w:style>
  <w:style w:type="paragraph" w:styleId="15">
    <w:name w:val="Body Text"/>
    <w:basedOn w:val="1"/>
    <w:next w:val="16"/>
    <w:link w:val="57"/>
    <w:qFormat/>
    <w:uiPriority w:val="99"/>
    <w:rPr>
      <w:rFonts w:ascii="宋体" w:hAnsi="Times New Roman"/>
      <w:sz w:val="24"/>
    </w:rPr>
  </w:style>
  <w:style w:type="paragraph" w:styleId="16">
    <w:name w:val="toc 5"/>
    <w:basedOn w:val="1"/>
    <w:next w:val="1"/>
    <w:qFormat/>
    <w:uiPriority w:val="99"/>
    <w:pPr>
      <w:ind w:left="840"/>
      <w:jc w:val="left"/>
    </w:pPr>
    <w:rPr>
      <w:sz w:val="18"/>
      <w:szCs w:val="18"/>
    </w:rPr>
  </w:style>
  <w:style w:type="paragraph" w:styleId="17">
    <w:name w:val="Body Text Indent"/>
    <w:basedOn w:val="1"/>
    <w:next w:val="18"/>
    <w:link w:val="58"/>
    <w:qFormat/>
    <w:uiPriority w:val="99"/>
    <w:pPr>
      <w:spacing w:line="460" w:lineRule="exact"/>
      <w:ind w:firstLine="510"/>
    </w:pPr>
    <w:rPr>
      <w:rFonts w:ascii="Times New Roman" w:hAnsi="Times New Roman"/>
    </w:rPr>
  </w:style>
  <w:style w:type="paragraph" w:styleId="18">
    <w:name w:val="annotation subject"/>
    <w:basedOn w:val="13"/>
    <w:next w:val="1"/>
    <w:link w:val="66"/>
    <w:qFormat/>
    <w:uiPriority w:val="99"/>
    <w:rPr>
      <w:b/>
      <w:bCs/>
    </w:rPr>
  </w:style>
  <w:style w:type="paragraph" w:styleId="19">
    <w:name w:val="toc 3"/>
    <w:basedOn w:val="1"/>
    <w:next w:val="1"/>
    <w:qFormat/>
    <w:uiPriority w:val="99"/>
    <w:pPr>
      <w:ind w:left="420"/>
      <w:jc w:val="left"/>
    </w:pPr>
    <w:rPr>
      <w:i/>
      <w:iCs/>
      <w:sz w:val="20"/>
    </w:rPr>
  </w:style>
  <w:style w:type="paragraph" w:styleId="20">
    <w:name w:val="Plain Text"/>
    <w:basedOn w:val="1"/>
    <w:next w:val="1"/>
    <w:link w:val="59"/>
    <w:qFormat/>
    <w:uiPriority w:val="99"/>
    <w:rPr>
      <w:rFonts w:ascii="宋体" w:hAnsi="Times New Roman"/>
    </w:rPr>
  </w:style>
  <w:style w:type="paragraph" w:styleId="21">
    <w:name w:val="toc 8"/>
    <w:basedOn w:val="1"/>
    <w:next w:val="1"/>
    <w:qFormat/>
    <w:uiPriority w:val="99"/>
    <w:pPr>
      <w:ind w:left="1470"/>
      <w:jc w:val="left"/>
    </w:pPr>
    <w:rPr>
      <w:sz w:val="18"/>
      <w:szCs w:val="18"/>
    </w:rPr>
  </w:style>
  <w:style w:type="paragraph" w:styleId="22">
    <w:name w:val="Date"/>
    <w:basedOn w:val="1"/>
    <w:next w:val="1"/>
    <w:link w:val="60"/>
    <w:qFormat/>
    <w:uiPriority w:val="99"/>
    <w:rPr>
      <w:rFonts w:ascii="Times New Roman" w:hAnsi="Times New Roman"/>
      <w:kern w:val="0"/>
      <w:sz w:val="28"/>
    </w:rPr>
  </w:style>
  <w:style w:type="paragraph" w:styleId="23">
    <w:name w:val="Body Text Indent 2"/>
    <w:basedOn w:val="1"/>
    <w:link w:val="61"/>
    <w:qFormat/>
    <w:uiPriority w:val="99"/>
    <w:pPr>
      <w:spacing w:line="500" w:lineRule="exact"/>
      <w:ind w:firstLine="510"/>
    </w:pPr>
    <w:rPr>
      <w:rFonts w:ascii="宋体" w:hAnsi="Times New Roman"/>
      <w:sz w:val="24"/>
    </w:rPr>
  </w:style>
  <w:style w:type="paragraph" w:styleId="24">
    <w:name w:val="Balloon Text"/>
    <w:basedOn w:val="1"/>
    <w:link w:val="62"/>
    <w:qFormat/>
    <w:uiPriority w:val="99"/>
    <w:rPr>
      <w:rFonts w:ascii="Times New Roman" w:hAnsi="Times New Roman"/>
      <w:sz w:val="18"/>
      <w:szCs w:val="18"/>
    </w:rPr>
  </w:style>
  <w:style w:type="paragraph" w:styleId="25">
    <w:name w:val="footer"/>
    <w:basedOn w:val="1"/>
    <w:link w:val="63"/>
    <w:qFormat/>
    <w:uiPriority w:val="99"/>
    <w:pPr>
      <w:tabs>
        <w:tab w:val="center" w:pos="4153"/>
        <w:tab w:val="right" w:pos="8306"/>
      </w:tabs>
      <w:snapToGrid w:val="0"/>
      <w:jc w:val="left"/>
    </w:pPr>
    <w:rPr>
      <w:rFonts w:ascii="Times New Roman" w:hAnsi="Times New Roman"/>
      <w:sz w:val="18"/>
    </w:rPr>
  </w:style>
  <w:style w:type="paragraph" w:styleId="26">
    <w:name w:val="header"/>
    <w:basedOn w:val="1"/>
    <w:next w:val="25"/>
    <w:link w:val="64"/>
    <w:qFormat/>
    <w:uiPriority w:val="99"/>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99"/>
    <w:pPr>
      <w:tabs>
        <w:tab w:val="right" w:leader="dot" w:pos="9663"/>
      </w:tabs>
      <w:spacing w:before="120" w:after="120"/>
      <w:jc w:val="left"/>
    </w:pPr>
    <w:rPr>
      <w:b/>
      <w:bCs/>
      <w:caps/>
      <w:sz w:val="28"/>
      <w:szCs w:val="28"/>
    </w:rPr>
  </w:style>
  <w:style w:type="paragraph" w:styleId="28">
    <w:name w:val="toc 4"/>
    <w:basedOn w:val="1"/>
    <w:next w:val="1"/>
    <w:qFormat/>
    <w:uiPriority w:val="99"/>
    <w:pPr>
      <w:ind w:left="630"/>
      <w:jc w:val="left"/>
    </w:pPr>
    <w:rPr>
      <w:sz w:val="18"/>
      <w:szCs w:val="18"/>
    </w:rPr>
  </w:style>
  <w:style w:type="paragraph" w:styleId="29">
    <w:name w:val="toc 6"/>
    <w:basedOn w:val="1"/>
    <w:next w:val="1"/>
    <w:qFormat/>
    <w:uiPriority w:val="99"/>
    <w:pPr>
      <w:ind w:left="1050"/>
      <w:jc w:val="left"/>
    </w:pPr>
    <w:rPr>
      <w:sz w:val="18"/>
      <w:szCs w:val="18"/>
    </w:rPr>
  </w:style>
  <w:style w:type="paragraph" w:styleId="30">
    <w:name w:val="Body Text Indent 3"/>
    <w:basedOn w:val="1"/>
    <w:link w:val="65"/>
    <w:qFormat/>
    <w:uiPriority w:val="99"/>
    <w:pPr>
      <w:spacing w:line="500" w:lineRule="exact"/>
      <w:ind w:firstLine="510"/>
    </w:pPr>
    <w:rPr>
      <w:rFonts w:ascii="宋体"/>
      <w:color w:val="000000"/>
      <w:sz w:val="26"/>
    </w:rPr>
  </w:style>
  <w:style w:type="paragraph" w:styleId="31">
    <w:name w:val="table of figures"/>
    <w:basedOn w:val="1"/>
    <w:next w:val="1"/>
    <w:qFormat/>
    <w:uiPriority w:val="99"/>
    <w:pPr>
      <w:ind w:left="840" w:hanging="420"/>
    </w:pPr>
  </w:style>
  <w:style w:type="paragraph" w:styleId="32">
    <w:name w:val="toc 2"/>
    <w:basedOn w:val="1"/>
    <w:next w:val="1"/>
    <w:qFormat/>
    <w:uiPriority w:val="99"/>
    <w:pPr>
      <w:ind w:left="210"/>
      <w:jc w:val="left"/>
    </w:pPr>
    <w:rPr>
      <w:smallCaps/>
      <w:sz w:val="20"/>
    </w:rPr>
  </w:style>
  <w:style w:type="paragraph" w:styleId="33">
    <w:name w:val="toc 9"/>
    <w:basedOn w:val="1"/>
    <w:next w:val="1"/>
    <w:qFormat/>
    <w:uiPriority w:val="99"/>
    <w:pPr>
      <w:ind w:left="1680"/>
      <w:jc w:val="left"/>
    </w:pPr>
    <w:rPr>
      <w:sz w:val="18"/>
      <w:szCs w:val="18"/>
    </w:rPr>
  </w:style>
  <w:style w:type="paragraph" w:styleId="34">
    <w:name w:val="Body Text 2"/>
    <w:basedOn w:val="1"/>
    <w:qFormat/>
    <w:locked/>
    <w:uiPriority w:val="0"/>
    <w:pPr>
      <w:spacing w:after="120" w:line="480" w:lineRule="auto"/>
    </w:pPr>
    <w:rPr>
      <w:szCs w:val="24"/>
    </w:rPr>
  </w:style>
  <w:style w:type="paragraph" w:styleId="35">
    <w:name w:val="Body Text First Indent"/>
    <w:basedOn w:val="15"/>
    <w:qFormat/>
    <w:locked/>
    <w:uiPriority w:val="0"/>
    <w:pPr>
      <w:ind w:firstLine="420" w:firstLineChars="100"/>
    </w:pPr>
    <w:rPr>
      <w:rFonts w:ascii="Calibri" w:hAnsi="Calibri"/>
      <w:szCs w:val="22"/>
    </w:rPr>
  </w:style>
  <w:style w:type="paragraph" w:styleId="36">
    <w:name w:val="Body Text First Indent 2"/>
    <w:basedOn w:val="17"/>
    <w:link w:val="67"/>
    <w:semiHidden/>
    <w:qFormat/>
    <w:uiPriority w:val="99"/>
    <w:pPr>
      <w:spacing w:after="120" w:line="240" w:lineRule="auto"/>
      <w:ind w:left="420" w:leftChars="200" w:firstLine="420" w:firstLineChars="200"/>
    </w:pPr>
  </w:style>
  <w:style w:type="table" w:styleId="38">
    <w:name w:val="Table Grid"/>
    <w:basedOn w:val="3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99"/>
    <w:rPr>
      <w:rFonts w:cs="Times New Roman"/>
      <w:b/>
    </w:rPr>
  </w:style>
  <w:style w:type="character" w:styleId="41">
    <w:name w:val="page number"/>
    <w:basedOn w:val="39"/>
    <w:qFormat/>
    <w:uiPriority w:val="99"/>
    <w:rPr>
      <w:rFonts w:cs="Times New Roman"/>
    </w:rPr>
  </w:style>
  <w:style w:type="character" w:styleId="42">
    <w:name w:val="FollowedHyperlink"/>
    <w:basedOn w:val="39"/>
    <w:semiHidden/>
    <w:unhideWhenUsed/>
    <w:qFormat/>
    <w:locked/>
    <w:uiPriority w:val="99"/>
    <w:rPr>
      <w:color w:val="000084"/>
      <w:u w:val="none"/>
    </w:rPr>
  </w:style>
  <w:style w:type="character" w:styleId="43">
    <w:name w:val="Hyperlink"/>
    <w:basedOn w:val="39"/>
    <w:qFormat/>
    <w:uiPriority w:val="99"/>
    <w:rPr>
      <w:rFonts w:ascii="宋体" w:hAnsi="宋体" w:eastAsia="宋体" w:cs="Times New Roman"/>
      <w:color w:val="0033CC"/>
      <w:sz w:val="18"/>
      <w:u w:val="none"/>
    </w:rPr>
  </w:style>
  <w:style w:type="character" w:styleId="44">
    <w:name w:val="annotation reference"/>
    <w:basedOn w:val="39"/>
    <w:qFormat/>
    <w:uiPriority w:val="99"/>
    <w:rPr>
      <w:rFonts w:cs="Times New Roman"/>
      <w:sz w:val="21"/>
    </w:rPr>
  </w:style>
  <w:style w:type="paragraph" w:customStyle="1" w:styleId="4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style4"/>
    <w:basedOn w:val="47"/>
    <w:next w:val="48"/>
    <w:qFormat/>
    <w:uiPriority w:val="0"/>
    <w:pPr>
      <w:spacing w:before="100" w:beforeAutospacing="1" w:after="100" w:afterAutospacing="1"/>
      <w:jc w:val="left"/>
    </w:pPr>
    <w:rPr>
      <w:rFonts w:ascii="宋体" w:hAnsi="宋体" w:cs="宋体"/>
      <w:kern w:val="0"/>
      <w:sz w:val="18"/>
      <w:szCs w:val="18"/>
    </w:rPr>
  </w:style>
  <w:style w:type="paragraph" w:customStyle="1" w:styleId="47">
    <w:name w:val="正文1"/>
    <w:next w:val="35"/>
    <w:qFormat/>
    <w:uiPriority w:val="99"/>
    <w:pPr>
      <w:jc w:val="both"/>
    </w:pPr>
    <w:rPr>
      <w:rFonts w:ascii="Calibri" w:hAnsi="Calibri" w:eastAsia="宋体" w:cs="Times New Roman"/>
      <w:kern w:val="2"/>
      <w:sz w:val="21"/>
      <w:szCs w:val="21"/>
      <w:lang w:val="en-US" w:eastAsia="zh-CN" w:bidi="ar-SA"/>
    </w:rPr>
  </w:style>
  <w:style w:type="paragraph" w:customStyle="1" w:styleId="48">
    <w:name w:val="2"/>
    <w:basedOn w:val="1"/>
    <w:next w:val="1"/>
    <w:qFormat/>
    <w:uiPriority w:val="0"/>
    <w:pPr>
      <w:spacing w:line="360" w:lineRule="auto"/>
    </w:pPr>
    <w:rPr>
      <w:rFonts w:ascii="Times New Roman" w:hAnsi="Times New Roman" w:eastAsia="仿宋_GB2312"/>
      <w:sz w:val="28"/>
      <w:szCs w:val="28"/>
    </w:rPr>
  </w:style>
  <w:style w:type="character" w:customStyle="1" w:styleId="49">
    <w:name w:val="标题 1 Char"/>
    <w:basedOn w:val="39"/>
    <w:qFormat/>
    <w:locked/>
    <w:uiPriority w:val="99"/>
    <w:rPr>
      <w:b/>
      <w:spacing w:val="20"/>
      <w:kern w:val="44"/>
      <w:sz w:val="32"/>
    </w:rPr>
  </w:style>
  <w:style w:type="character" w:customStyle="1" w:styleId="50">
    <w:name w:val="标题 2 字符"/>
    <w:basedOn w:val="39"/>
    <w:link w:val="4"/>
    <w:qFormat/>
    <w:locked/>
    <w:uiPriority w:val="99"/>
    <w:rPr>
      <w:rFonts w:ascii="Arial" w:hAnsi="Arial"/>
      <w:b/>
      <w:color w:val="000000"/>
      <w:spacing w:val="40"/>
      <w:kern w:val="2"/>
      <w:sz w:val="32"/>
    </w:rPr>
  </w:style>
  <w:style w:type="character" w:customStyle="1" w:styleId="51">
    <w:name w:val="标题 3 字符"/>
    <w:basedOn w:val="39"/>
    <w:link w:val="5"/>
    <w:qFormat/>
    <w:locked/>
    <w:uiPriority w:val="99"/>
    <w:rPr>
      <w:rFonts w:ascii="宋体"/>
      <w:b/>
      <w:kern w:val="2"/>
      <w:sz w:val="24"/>
    </w:rPr>
  </w:style>
  <w:style w:type="character" w:customStyle="1" w:styleId="52">
    <w:name w:val="标题 4 字符"/>
    <w:basedOn w:val="39"/>
    <w:link w:val="6"/>
    <w:qFormat/>
    <w:locked/>
    <w:uiPriority w:val="99"/>
    <w:rPr>
      <w:rFonts w:ascii="Arial" w:hAnsi="Arial" w:eastAsia="黑体"/>
      <w:sz w:val="28"/>
    </w:rPr>
  </w:style>
  <w:style w:type="character" w:customStyle="1" w:styleId="53">
    <w:name w:val="标题 5 字符"/>
    <w:basedOn w:val="39"/>
    <w:link w:val="7"/>
    <w:qFormat/>
    <w:locked/>
    <w:uiPriority w:val="99"/>
    <w:rPr>
      <w:b/>
      <w:sz w:val="24"/>
    </w:rPr>
  </w:style>
  <w:style w:type="character" w:customStyle="1" w:styleId="54">
    <w:name w:val="文档结构图 字符"/>
    <w:basedOn w:val="39"/>
    <w:link w:val="12"/>
    <w:semiHidden/>
    <w:qFormat/>
    <w:uiPriority w:val="99"/>
    <w:rPr>
      <w:sz w:val="0"/>
      <w:szCs w:val="0"/>
    </w:rPr>
  </w:style>
  <w:style w:type="character" w:customStyle="1" w:styleId="55">
    <w:name w:val="批注文字 字符"/>
    <w:basedOn w:val="39"/>
    <w:link w:val="13"/>
    <w:qFormat/>
    <w:locked/>
    <w:uiPriority w:val="99"/>
    <w:rPr>
      <w:kern w:val="2"/>
      <w:sz w:val="21"/>
    </w:rPr>
  </w:style>
  <w:style w:type="character" w:customStyle="1" w:styleId="56">
    <w:name w:val="正文文本 3 字符"/>
    <w:basedOn w:val="39"/>
    <w:link w:val="14"/>
    <w:semiHidden/>
    <w:qFormat/>
    <w:uiPriority w:val="99"/>
    <w:rPr>
      <w:rFonts w:ascii="Calibri" w:hAnsi="Calibri"/>
      <w:sz w:val="16"/>
      <w:szCs w:val="16"/>
    </w:rPr>
  </w:style>
  <w:style w:type="character" w:customStyle="1" w:styleId="57">
    <w:name w:val="正文文本 字符"/>
    <w:basedOn w:val="39"/>
    <w:link w:val="15"/>
    <w:qFormat/>
    <w:locked/>
    <w:uiPriority w:val="99"/>
    <w:rPr>
      <w:rFonts w:ascii="宋体"/>
      <w:kern w:val="2"/>
      <w:sz w:val="24"/>
    </w:rPr>
  </w:style>
  <w:style w:type="character" w:customStyle="1" w:styleId="58">
    <w:name w:val="正文文本缩进 字符"/>
    <w:basedOn w:val="39"/>
    <w:link w:val="17"/>
    <w:qFormat/>
    <w:locked/>
    <w:uiPriority w:val="99"/>
    <w:rPr>
      <w:kern w:val="2"/>
      <w:sz w:val="21"/>
    </w:rPr>
  </w:style>
  <w:style w:type="character" w:customStyle="1" w:styleId="59">
    <w:name w:val="纯文本 字符"/>
    <w:basedOn w:val="39"/>
    <w:link w:val="20"/>
    <w:qFormat/>
    <w:locked/>
    <w:uiPriority w:val="99"/>
    <w:rPr>
      <w:rFonts w:ascii="宋体" w:eastAsia="宋体"/>
      <w:kern w:val="2"/>
      <w:sz w:val="21"/>
      <w:lang w:val="en-US" w:eastAsia="zh-CN"/>
    </w:rPr>
  </w:style>
  <w:style w:type="character" w:customStyle="1" w:styleId="60">
    <w:name w:val="日期 字符"/>
    <w:basedOn w:val="39"/>
    <w:link w:val="22"/>
    <w:qFormat/>
    <w:locked/>
    <w:uiPriority w:val="99"/>
    <w:rPr>
      <w:sz w:val="28"/>
    </w:rPr>
  </w:style>
  <w:style w:type="character" w:customStyle="1" w:styleId="61">
    <w:name w:val="正文文本缩进 2 字符"/>
    <w:basedOn w:val="39"/>
    <w:link w:val="23"/>
    <w:qFormat/>
    <w:locked/>
    <w:uiPriority w:val="99"/>
    <w:rPr>
      <w:rFonts w:ascii="宋体"/>
      <w:kern w:val="2"/>
      <w:sz w:val="24"/>
    </w:rPr>
  </w:style>
  <w:style w:type="character" w:customStyle="1" w:styleId="62">
    <w:name w:val="批注框文本 字符"/>
    <w:basedOn w:val="39"/>
    <w:link w:val="24"/>
    <w:qFormat/>
    <w:locked/>
    <w:uiPriority w:val="99"/>
    <w:rPr>
      <w:kern w:val="2"/>
      <w:sz w:val="18"/>
    </w:rPr>
  </w:style>
  <w:style w:type="character" w:customStyle="1" w:styleId="63">
    <w:name w:val="页脚 字符"/>
    <w:basedOn w:val="39"/>
    <w:link w:val="25"/>
    <w:qFormat/>
    <w:locked/>
    <w:uiPriority w:val="99"/>
    <w:rPr>
      <w:kern w:val="2"/>
      <w:sz w:val="18"/>
    </w:rPr>
  </w:style>
  <w:style w:type="character" w:customStyle="1" w:styleId="64">
    <w:name w:val="页眉 字符"/>
    <w:basedOn w:val="39"/>
    <w:link w:val="26"/>
    <w:semiHidden/>
    <w:qFormat/>
    <w:uiPriority w:val="99"/>
    <w:rPr>
      <w:rFonts w:ascii="Calibri" w:hAnsi="Calibri"/>
      <w:sz w:val="18"/>
      <w:szCs w:val="18"/>
    </w:rPr>
  </w:style>
  <w:style w:type="character" w:customStyle="1" w:styleId="65">
    <w:name w:val="正文文本缩进 3 字符"/>
    <w:basedOn w:val="39"/>
    <w:link w:val="30"/>
    <w:semiHidden/>
    <w:qFormat/>
    <w:uiPriority w:val="99"/>
    <w:rPr>
      <w:rFonts w:ascii="Calibri" w:hAnsi="Calibri"/>
      <w:sz w:val="16"/>
      <w:szCs w:val="16"/>
    </w:rPr>
  </w:style>
  <w:style w:type="character" w:customStyle="1" w:styleId="66">
    <w:name w:val="批注主题 字符"/>
    <w:basedOn w:val="55"/>
    <w:link w:val="18"/>
    <w:semiHidden/>
    <w:qFormat/>
    <w:uiPriority w:val="99"/>
    <w:rPr>
      <w:rFonts w:ascii="Calibri" w:hAnsi="Calibri"/>
      <w:b/>
      <w:bCs/>
      <w:kern w:val="2"/>
      <w:sz w:val="21"/>
      <w:szCs w:val="20"/>
    </w:rPr>
  </w:style>
  <w:style w:type="character" w:customStyle="1" w:styleId="67">
    <w:name w:val="正文文本首行缩进 2 字符"/>
    <w:basedOn w:val="58"/>
    <w:link w:val="36"/>
    <w:semiHidden/>
    <w:qFormat/>
    <w:uiPriority w:val="99"/>
    <w:rPr>
      <w:rFonts w:ascii="Calibri" w:hAnsi="Calibri"/>
      <w:kern w:val="2"/>
      <w:sz w:val="21"/>
      <w:szCs w:val="20"/>
    </w:rPr>
  </w:style>
  <w:style w:type="character" w:customStyle="1" w:styleId="68">
    <w:name w:val="访问过的超链接1"/>
    <w:qFormat/>
    <w:uiPriority w:val="99"/>
    <w:rPr>
      <w:rFonts w:ascii="宋体" w:hAnsi="宋体" w:eastAsia="宋体"/>
      <w:color w:val="0033CC"/>
      <w:sz w:val="18"/>
      <w:u w:val="none"/>
    </w:rPr>
  </w:style>
  <w:style w:type="character" w:customStyle="1" w:styleId="69">
    <w:name w:val="GW-正文 Char"/>
    <w:link w:val="70"/>
    <w:qFormat/>
    <w:locked/>
    <w:uiPriority w:val="99"/>
    <w:rPr>
      <w:rFonts w:eastAsia="仿宋_GB2312"/>
      <w:kern w:val="2"/>
      <w:sz w:val="24"/>
    </w:rPr>
  </w:style>
  <w:style w:type="paragraph" w:customStyle="1" w:styleId="70">
    <w:name w:val="GW-正文"/>
    <w:basedOn w:val="1"/>
    <w:link w:val="69"/>
    <w:qFormat/>
    <w:uiPriority w:val="99"/>
    <w:pPr>
      <w:spacing w:line="360" w:lineRule="auto"/>
      <w:ind w:firstLine="200" w:firstLineChars="200"/>
    </w:pPr>
    <w:rPr>
      <w:rFonts w:ascii="Times New Roman" w:hAnsi="Times New Roman" w:eastAsia="仿宋_GB2312"/>
      <w:sz w:val="24"/>
      <w:szCs w:val="24"/>
    </w:rPr>
  </w:style>
  <w:style w:type="character" w:customStyle="1" w:styleId="71">
    <w:name w:val="font81"/>
    <w:qFormat/>
    <w:uiPriority w:val="99"/>
    <w:rPr>
      <w:rFonts w:ascii="宋体" w:hAnsi="宋体" w:eastAsia="宋体"/>
      <w:color w:val="auto"/>
      <w:sz w:val="22"/>
      <w:u w:val="single"/>
    </w:rPr>
  </w:style>
  <w:style w:type="character" w:customStyle="1" w:styleId="72">
    <w:name w:val="grame"/>
    <w:qFormat/>
    <w:uiPriority w:val="99"/>
  </w:style>
  <w:style w:type="character" w:customStyle="1" w:styleId="73">
    <w:name w:val="font51"/>
    <w:qFormat/>
    <w:uiPriority w:val="99"/>
    <w:rPr>
      <w:rFonts w:ascii="宋体" w:hAnsi="宋体" w:eastAsia="宋体"/>
      <w:color w:val="auto"/>
      <w:sz w:val="22"/>
      <w:u w:val="none"/>
    </w:rPr>
  </w:style>
  <w:style w:type="character" w:customStyle="1" w:styleId="74">
    <w:name w:val="纯文本 Char2"/>
    <w:qFormat/>
    <w:uiPriority w:val="99"/>
    <w:rPr>
      <w:rFonts w:ascii="宋体" w:eastAsia="宋体"/>
      <w:kern w:val="2"/>
      <w:sz w:val="21"/>
      <w:lang w:val="en-US" w:eastAsia="zh-CN"/>
    </w:rPr>
  </w:style>
  <w:style w:type="character" w:customStyle="1" w:styleId="75">
    <w:name w:val="font41"/>
    <w:qFormat/>
    <w:uiPriority w:val="99"/>
    <w:rPr>
      <w:rFonts w:ascii="宋体" w:hAnsi="宋体" w:eastAsia="宋体"/>
      <w:color w:val="FF0000"/>
      <w:sz w:val="20"/>
      <w:u w:val="none"/>
    </w:rPr>
  </w:style>
  <w:style w:type="character" w:customStyle="1" w:styleId="76">
    <w:name w:val="short_text1"/>
    <w:qFormat/>
    <w:uiPriority w:val="99"/>
    <w:rPr>
      <w:sz w:val="26"/>
    </w:rPr>
  </w:style>
  <w:style w:type="character" w:customStyle="1" w:styleId="77">
    <w:name w:val="不明显强调1"/>
    <w:qFormat/>
    <w:uiPriority w:val="99"/>
    <w:rPr>
      <w:rFonts w:eastAsia="仿宋_GB2312"/>
      <w:color w:val="auto"/>
      <w:sz w:val="24"/>
    </w:rPr>
  </w:style>
  <w:style w:type="character" w:customStyle="1" w:styleId="78">
    <w:name w:val="标题 3 Char1"/>
    <w:qFormat/>
    <w:uiPriority w:val="99"/>
    <w:rPr>
      <w:rFonts w:eastAsia="宋体"/>
      <w:b/>
      <w:kern w:val="2"/>
      <w:sz w:val="32"/>
      <w:lang w:val="en-US" w:eastAsia="zh-CN"/>
    </w:rPr>
  </w:style>
  <w:style w:type="character" w:customStyle="1" w:styleId="79">
    <w:name w:val="style131"/>
    <w:qFormat/>
    <w:uiPriority w:val="99"/>
    <w:rPr>
      <w:sz w:val="18"/>
    </w:rPr>
  </w:style>
  <w:style w:type="character" w:customStyle="1" w:styleId="80">
    <w:name w:val="纯文本 Char1"/>
    <w:qFormat/>
    <w:uiPriority w:val="99"/>
    <w:rPr>
      <w:rFonts w:ascii="宋体" w:eastAsia="宋体"/>
      <w:kern w:val="2"/>
      <w:sz w:val="21"/>
      <w:lang w:val="en-US" w:eastAsia="zh-CN"/>
    </w:rPr>
  </w:style>
  <w:style w:type="character" w:customStyle="1" w:styleId="81">
    <w:name w:val="孙普文字 Char"/>
    <w:qFormat/>
    <w:uiPriority w:val="99"/>
    <w:rPr>
      <w:rFonts w:ascii="宋体" w:hAnsi="Times New Roman" w:eastAsia="宋体"/>
      <w:sz w:val="20"/>
    </w:rPr>
  </w:style>
  <w:style w:type="character" w:customStyle="1" w:styleId="82">
    <w:name w:val="font31"/>
    <w:qFormat/>
    <w:uiPriority w:val="99"/>
    <w:rPr>
      <w:rFonts w:ascii="font-weight : 400" w:hAnsi="font-weight : 400" w:eastAsia="Times New Roman"/>
      <w:color w:val="000000"/>
      <w:sz w:val="20"/>
      <w:u w:val="none"/>
    </w:rPr>
  </w:style>
  <w:style w:type="character" w:customStyle="1" w:styleId="83">
    <w:name w:val="标题 3 Char"/>
    <w:qFormat/>
    <w:uiPriority w:val="99"/>
    <w:rPr>
      <w:rFonts w:eastAsia="宋体"/>
      <w:b/>
      <w:kern w:val="2"/>
      <w:sz w:val="32"/>
      <w:lang w:val="en-US" w:eastAsia="zh-CN"/>
    </w:rPr>
  </w:style>
  <w:style w:type="paragraph" w:customStyle="1" w:styleId="84">
    <w:name w:val="目录"/>
    <w:basedOn w:val="1"/>
    <w:qFormat/>
    <w:uiPriority w:val="99"/>
    <w:pPr>
      <w:widowControl/>
      <w:jc w:val="center"/>
    </w:pPr>
    <w:rPr>
      <w:rFonts w:ascii="宋体"/>
      <w:b/>
      <w:kern w:val="0"/>
      <w:sz w:val="36"/>
    </w:rPr>
  </w:style>
  <w:style w:type="paragraph" w:customStyle="1" w:styleId="85">
    <w:name w:val="抬头"/>
    <w:basedOn w:val="1"/>
    <w:qFormat/>
    <w:uiPriority w:val="99"/>
    <w:pPr>
      <w:spacing w:beforeLines="50" w:line="360" w:lineRule="auto"/>
    </w:pPr>
    <w:rPr>
      <w:rFonts w:ascii="宋体"/>
      <w:sz w:val="24"/>
      <w:szCs w:val="24"/>
    </w:rPr>
  </w:style>
  <w:style w:type="paragraph" w:customStyle="1" w:styleId="86">
    <w:name w:val="无间距"/>
    <w:qFormat/>
    <w:uiPriority w:val="99"/>
    <w:pPr>
      <w:widowControl w:val="0"/>
      <w:jc w:val="both"/>
    </w:pPr>
    <w:rPr>
      <w:rFonts w:ascii="Calibri" w:hAnsi="Calibri" w:eastAsia="宋体" w:cs="Times New Roman"/>
      <w:kern w:val="2"/>
      <w:sz w:val="21"/>
      <w:szCs w:val="24"/>
      <w:lang w:val="en-US" w:eastAsia="zh-CN" w:bidi="ar-SA"/>
    </w:rPr>
  </w:style>
  <w:style w:type="paragraph" w:customStyle="1" w:styleId="87">
    <w:name w:val="Char"/>
    <w:basedOn w:val="1"/>
    <w:qFormat/>
    <w:uiPriority w:val="99"/>
    <w:pPr>
      <w:widowControl/>
      <w:spacing w:after="160" w:line="240" w:lineRule="exact"/>
      <w:jc w:val="left"/>
    </w:pPr>
    <w:rPr>
      <w:rFonts w:ascii="Verdana" w:hAnsi="Verdana"/>
      <w:kern w:val="0"/>
      <w:sz w:val="20"/>
      <w:lang w:eastAsia="en-US"/>
    </w:rPr>
  </w:style>
  <w:style w:type="paragraph" w:styleId="88">
    <w:name w:val="List Paragraph"/>
    <w:basedOn w:val="1"/>
    <w:qFormat/>
    <w:uiPriority w:val="99"/>
    <w:pPr>
      <w:ind w:firstLine="420" w:firstLineChars="200"/>
    </w:pPr>
    <w:rPr>
      <w:szCs w:val="24"/>
    </w:rPr>
  </w:style>
  <w:style w:type="paragraph" w:customStyle="1" w:styleId="89">
    <w:name w:val="子弹"/>
    <w:basedOn w:val="1"/>
    <w:qFormat/>
    <w:uiPriority w:val="99"/>
    <w:pPr>
      <w:tabs>
        <w:tab w:val="left" w:pos="1134"/>
        <w:tab w:val="right" w:pos="9356"/>
      </w:tabs>
      <w:ind w:left="720" w:hanging="360"/>
    </w:pPr>
    <w:rPr>
      <w:rFonts w:ascii="新宋体" w:hAnsi="新宋体" w:eastAsia="新宋体"/>
      <w:sz w:val="28"/>
      <w:szCs w:val="28"/>
    </w:rPr>
  </w:style>
  <w:style w:type="paragraph" w:customStyle="1" w:styleId="90">
    <w:name w:val="xl23"/>
    <w:next w:val="33"/>
    <w:qFormat/>
    <w:uiPriority w:val="99"/>
    <w:pPr>
      <w:spacing w:before="100" w:beforeAutospacing="1" w:after="100" w:afterAutospacing="1"/>
      <w:jc w:val="center"/>
    </w:pPr>
    <w:rPr>
      <w:rFonts w:ascii="Arial Unicode MS" w:hAnsi="Arial Unicode MS" w:eastAsia="宋体" w:cs="Times New Roman"/>
      <w:sz w:val="24"/>
      <w:lang w:val="en-US" w:eastAsia="zh-CN" w:bidi="ar-SA"/>
    </w:rPr>
  </w:style>
  <w:style w:type="paragraph" w:customStyle="1" w:styleId="91">
    <w:name w:val="1"/>
    <w:qFormat/>
    <w:uiPriority w:val="99"/>
    <w:pPr>
      <w:widowControl w:val="0"/>
      <w:jc w:val="both"/>
    </w:pPr>
    <w:rPr>
      <w:rFonts w:ascii="Calibri" w:hAnsi="Calibri" w:eastAsia="宋体" w:cs="Times New Roman"/>
      <w:kern w:val="2"/>
      <w:sz w:val="21"/>
      <w:lang w:val="en-US" w:eastAsia="zh-CN" w:bidi="ar-SA"/>
    </w:rPr>
  </w:style>
  <w:style w:type="paragraph" w:customStyle="1" w:styleId="92">
    <w:name w:val="正文五号"/>
    <w:basedOn w:val="1"/>
    <w:qFormat/>
    <w:uiPriority w:val="99"/>
    <w:rPr>
      <w:rFonts w:ascii="宋体" w:eastAsia="仿宋_GB2312"/>
    </w:rPr>
  </w:style>
  <w:style w:type="paragraph" w:customStyle="1" w:styleId="93">
    <w:name w:val="子弹１"/>
    <w:basedOn w:val="89"/>
    <w:qFormat/>
    <w:uiPriority w:val="99"/>
    <w:pPr>
      <w:tabs>
        <w:tab w:val="left" w:pos="873"/>
        <w:tab w:val="clear" w:pos="1134"/>
        <w:tab w:val="clear" w:pos="9356"/>
      </w:tabs>
    </w:pPr>
  </w:style>
  <w:style w:type="paragraph" w:customStyle="1" w:styleId="94">
    <w:name w:val="修订1"/>
    <w:semiHidden/>
    <w:qFormat/>
    <w:uiPriority w:val="99"/>
    <w:rPr>
      <w:rFonts w:ascii="Calibri" w:hAnsi="Calibri" w:eastAsia="宋体" w:cs="Times New Roman"/>
      <w:kern w:val="2"/>
      <w:sz w:val="21"/>
      <w:lang w:val="en-US" w:eastAsia="zh-CN" w:bidi="ar-SA"/>
    </w:rPr>
  </w:style>
  <w:style w:type="paragraph" w:customStyle="1" w:styleId="95">
    <w:name w:val="表格"/>
    <w:basedOn w:val="1"/>
    <w:qFormat/>
    <w:uiPriority w:val="99"/>
    <w:pPr>
      <w:tabs>
        <w:tab w:val="left" w:pos="1200"/>
      </w:tabs>
      <w:spacing w:line="500" w:lineRule="exact"/>
      <w:jc w:val="center"/>
    </w:pPr>
    <w:rPr>
      <w:rFonts w:ascii="宋体"/>
      <w:sz w:val="24"/>
      <w:szCs w:val="18"/>
    </w:rPr>
  </w:style>
  <w:style w:type="paragraph" w:customStyle="1" w:styleId="96">
    <w:name w:val="样式1"/>
    <w:basedOn w:val="4"/>
    <w:qFormat/>
    <w:uiPriority w:val="99"/>
    <w:pPr>
      <w:adjustRightInd w:val="0"/>
      <w:spacing w:line="416" w:lineRule="atLeast"/>
      <w:jc w:val="left"/>
      <w:textAlignment w:val="baseline"/>
    </w:pPr>
    <w:rPr>
      <w:rFonts w:eastAsia="黑体"/>
      <w:spacing w:val="0"/>
      <w:kern w:val="0"/>
      <w:sz w:val="30"/>
    </w:rPr>
  </w:style>
  <w:style w:type="paragraph" w:customStyle="1" w:styleId="97">
    <w:name w:val="Char Char Char Char"/>
    <w:basedOn w:val="1"/>
    <w:qFormat/>
    <w:uiPriority w:val="99"/>
    <w:rPr>
      <w:szCs w:val="24"/>
    </w:rPr>
  </w:style>
  <w:style w:type="paragraph" w:customStyle="1" w:styleId="98">
    <w:name w:val="正文 New New New"/>
    <w:qFormat/>
    <w:uiPriority w:val="99"/>
    <w:pPr>
      <w:jc w:val="both"/>
    </w:pPr>
    <w:rPr>
      <w:rFonts w:ascii="Calibri" w:hAnsi="Calibri" w:eastAsia="宋体" w:cs="Times New Roman"/>
      <w:kern w:val="2"/>
      <w:sz w:val="21"/>
      <w:lang w:val="en-US" w:eastAsia="zh-CN" w:bidi="ar-SA"/>
    </w:rPr>
  </w:style>
  <w:style w:type="paragraph" w:customStyle="1" w:styleId="99">
    <w:name w:val="Absatz2AL"/>
    <w:basedOn w:val="15"/>
    <w:next w:val="1"/>
    <w:qFormat/>
    <w:uiPriority w:val="99"/>
    <w:pPr>
      <w:widowControl/>
      <w:overflowPunct w:val="0"/>
      <w:autoSpaceDE w:val="0"/>
      <w:autoSpaceDN w:val="0"/>
      <w:adjustRightInd w:val="0"/>
      <w:textAlignment w:val="baseline"/>
    </w:pPr>
    <w:rPr>
      <w:rFonts w:ascii="Times New Roman" w:eastAsia="楷体_GB2312"/>
      <w:kern w:val="0"/>
      <w:lang w:val="de-DE" w:eastAsia="de-DE"/>
    </w:rPr>
  </w:style>
  <w:style w:type="paragraph" w:customStyle="1" w:styleId="100">
    <w:name w:val="Char Char1 Char Char"/>
    <w:basedOn w:val="1"/>
    <w:qFormat/>
    <w:uiPriority w:val="99"/>
    <w:pPr>
      <w:tabs>
        <w:tab w:val="left" w:pos="360"/>
      </w:tabs>
    </w:pPr>
  </w:style>
  <w:style w:type="paragraph" w:customStyle="1" w:styleId="101">
    <w:name w:val="样式2"/>
    <w:basedOn w:val="1"/>
    <w:qFormat/>
    <w:uiPriority w:val="99"/>
    <w:pPr>
      <w:spacing w:line="360" w:lineRule="auto"/>
    </w:pPr>
    <w:rPr>
      <w:rFonts w:ascii="Century Gothic" w:hAnsi="Century Gothic" w:eastAsia="黑体"/>
      <w:b/>
      <w:sz w:val="32"/>
      <w:szCs w:val="30"/>
    </w:rPr>
  </w:style>
  <w:style w:type="paragraph" w:customStyle="1" w:styleId="102">
    <w:name w:val="_Style 1"/>
    <w:basedOn w:val="1"/>
    <w:qFormat/>
    <w:uiPriority w:val="99"/>
    <w:pPr>
      <w:spacing w:line="276" w:lineRule="auto"/>
      <w:ind w:left="720"/>
      <w:contextualSpacing/>
    </w:pPr>
    <w:rPr>
      <w:szCs w:val="24"/>
    </w:rPr>
  </w:style>
  <w:style w:type="paragraph" w:customStyle="1" w:styleId="103">
    <w:name w:val="Char Char Char Char1"/>
    <w:basedOn w:val="12"/>
    <w:qFormat/>
    <w:uiPriority w:val="99"/>
    <w:pPr>
      <w:adjustRightInd w:val="0"/>
      <w:snapToGrid w:val="0"/>
      <w:spacing w:line="360" w:lineRule="auto"/>
    </w:pPr>
    <w:rPr>
      <w:rFonts w:ascii="Tahoma" w:hAnsi="Tahoma"/>
      <w:sz w:val="24"/>
      <w:szCs w:val="24"/>
    </w:rPr>
  </w:style>
  <w:style w:type="paragraph" w:customStyle="1" w:styleId="104">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Char Char Char Char Char Char Char Char Char Char Char Char"/>
    <w:basedOn w:val="1"/>
    <w:qFormat/>
    <w:uiPriority w:val="99"/>
    <w:pPr>
      <w:tabs>
        <w:tab w:val="right" w:pos="-2120"/>
      </w:tabs>
      <w:snapToGrid w:val="0"/>
    </w:pPr>
    <w:rPr>
      <w:rFonts w:ascii="Tahoma" w:hAnsi="Tahoma"/>
      <w:spacing w:val="6"/>
      <w:sz w:val="24"/>
    </w:rPr>
  </w:style>
  <w:style w:type="paragraph" w:customStyle="1" w:styleId="106">
    <w:name w:val="Char1"/>
    <w:basedOn w:val="1"/>
    <w:qFormat/>
    <w:uiPriority w:val="99"/>
    <w:rPr>
      <w:rFonts w:ascii="Tahoma" w:hAnsi="Tahoma"/>
      <w:sz w:val="24"/>
    </w:rPr>
  </w:style>
  <w:style w:type="paragraph" w:customStyle="1" w:styleId="107">
    <w:name w:val="Char Char1"/>
    <w:basedOn w:val="1"/>
    <w:qFormat/>
    <w:uiPriority w:val="99"/>
    <w:pPr>
      <w:widowControl/>
      <w:spacing w:after="160" w:line="240" w:lineRule="exact"/>
      <w:jc w:val="left"/>
    </w:pPr>
    <w:rPr>
      <w:rFonts w:ascii="Verdana" w:hAnsi="Verdana" w:eastAsia="仿宋_GB2312"/>
      <w:kern w:val="0"/>
      <w:sz w:val="20"/>
      <w:lang w:eastAsia="en-US"/>
    </w:rPr>
  </w:style>
  <w:style w:type="paragraph" w:customStyle="1" w:styleId="108">
    <w:name w:val="TOC 标题1"/>
    <w:basedOn w:val="2"/>
    <w:next w:val="1"/>
    <w:qFormat/>
    <w:uiPriority w:val="99"/>
    <w:pPr>
      <w:widowControl/>
      <w:spacing w:before="480" w:after="0" w:line="276" w:lineRule="auto"/>
      <w:jc w:val="left"/>
      <w:outlineLvl w:val="9"/>
    </w:pPr>
    <w:rPr>
      <w:rFonts w:ascii="Cambria" w:hAnsi="Cambria"/>
      <w:bCs/>
      <w:color w:val="366091"/>
      <w:spacing w:val="0"/>
      <w:kern w:val="0"/>
      <w:sz w:val="28"/>
      <w:szCs w:val="28"/>
    </w:rPr>
  </w:style>
  <w:style w:type="paragraph" w:customStyle="1" w:styleId="109">
    <w:name w:val="Char13"/>
    <w:basedOn w:val="1"/>
    <w:qFormat/>
    <w:uiPriority w:val="99"/>
    <w:rPr>
      <w:szCs w:val="24"/>
    </w:rPr>
  </w:style>
  <w:style w:type="paragraph" w:customStyle="1" w:styleId="110">
    <w:name w:val="默认段落字体 Para Char Char Char Char"/>
    <w:basedOn w:val="1"/>
    <w:qFormat/>
    <w:uiPriority w:val="99"/>
    <w:rPr>
      <w:szCs w:val="24"/>
    </w:rPr>
  </w:style>
  <w:style w:type="paragraph" w:customStyle="1" w:styleId="111">
    <w:name w:val="5"/>
    <w:basedOn w:val="1"/>
    <w:qFormat/>
    <w:uiPriority w:val="99"/>
    <w:pPr>
      <w:tabs>
        <w:tab w:val="right" w:pos="-2120"/>
      </w:tabs>
      <w:snapToGrid w:val="0"/>
    </w:pPr>
    <w:rPr>
      <w:rFonts w:ascii="Tahoma" w:hAnsi="Tahoma"/>
      <w:spacing w:val="6"/>
      <w:sz w:val="24"/>
    </w:rPr>
  </w:style>
  <w:style w:type="paragraph" w:customStyle="1" w:styleId="112">
    <w:name w:val="缺省文本"/>
    <w:basedOn w:val="1"/>
    <w:qFormat/>
    <w:uiPriority w:val="99"/>
    <w:pPr>
      <w:autoSpaceDE w:val="0"/>
      <w:autoSpaceDN w:val="0"/>
      <w:adjustRightInd w:val="0"/>
      <w:jc w:val="left"/>
    </w:pPr>
    <w:rPr>
      <w:kern w:val="0"/>
      <w:sz w:val="24"/>
    </w:rPr>
  </w:style>
  <w:style w:type="paragraph" w:customStyle="1" w:styleId="113">
    <w:name w:val="Char Char Char"/>
    <w:basedOn w:val="1"/>
    <w:qFormat/>
    <w:uiPriority w:val="99"/>
    <w:pPr>
      <w:ind w:firstLine="200" w:firstLineChars="200"/>
    </w:pPr>
    <w:rPr>
      <w:sz w:val="24"/>
      <w:szCs w:val="24"/>
    </w:rPr>
  </w:style>
  <w:style w:type="paragraph" w:customStyle="1" w:styleId="114">
    <w:name w:val="p2"/>
    <w:basedOn w:val="1"/>
    <w:qFormat/>
    <w:uiPriority w:val="99"/>
    <w:pPr>
      <w:widowControl/>
      <w:spacing w:line="480" w:lineRule="auto"/>
      <w:ind w:firstLine="420"/>
      <w:jc w:val="left"/>
    </w:pPr>
    <w:rPr>
      <w:rFonts w:ascii="宋体" w:hAnsi="宋体" w:cs="宋体"/>
      <w:kern w:val="0"/>
      <w:szCs w:val="21"/>
    </w:rPr>
  </w:style>
  <w:style w:type="paragraph" w:customStyle="1" w:styleId="115">
    <w:name w:val="列出段落1"/>
    <w:basedOn w:val="1"/>
    <w:qFormat/>
    <w:uiPriority w:val="99"/>
    <w:pPr>
      <w:ind w:firstLine="420" w:firstLineChars="200"/>
    </w:pPr>
    <w:rPr>
      <w:szCs w:val="22"/>
    </w:rPr>
  </w:style>
  <w:style w:type="paragraph" w:customStyle="1" w:styleId="116">
    <w:name w:val="xl7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117">
    <w:name w:val="more"/>
    <w:basedOn w:val="39"/>
    <w:qFormat/>
    <w:uiPriority w:val="0"/>
  </w:style>
  <w:style w:type="paragraph" w:customStyle="1" w:styleId="118">
    <w:name w:val="_Style 111"/>
    <w:basedOn w:val="1"/>
    <w:next w:val="1"/>
    <w:qFormat/>
    <w:uiPriority w:val="0"/>
    <w:pPr>
      <w:pBdr>
        <w:bottom w:val="single" w:color="auto" w:sz="6" w:space="1"/>
      </w:pBdr>
      <w:jc w:val="center"/>
    </w:pPr>
    <w:rPr>
      <w:rFonts w:ascii="Arial"/>
      <w:vanish/>
      <w:sz w:val="16"/>
    </w:rPr>
  </w:style>
  <w:style w:type="paragraph" w:customStyle="1" w:styleId="119">
    <w:name w:val="_Style 112"/>
    <w:basedOn w:val="1"/>
    <w:next w:val="1"/>
    <w:qFormat/>
    <w:uiPriority w:val="0"/>
    <w:pPr>
      <w:pBdr>
        <w:top w:val="single" w:color="auto" w:sz="6" w:space="1"/>
      </w:pBdr>
      <w:jc w:val="center"/>
    </w:pPr>
    <w:rPr>
      <w:rFonts w:ascii="Arial"/>
      <w:vanish/>
      <w:sz w:val="16"/>
    </w:rPr>
  </w:style>
  <w:style w:type="paragraph" w:customStyle="1" w:styleId="120">
    <w:name w:val="M报告正文"/>
    <w:basedOn w:val="1"/>
    <w:qFormat/>
    <w:uiPriority w:val="0"/>
    <w:pPr>
      <w:widowControl/>
      <w:ind w:firstLine="200" w:firstLineChars="200"/>
      <w:contextualSpacing/>
    </w:pPr>
    <w:rPr>
      <w:kern w:val="0"/>
      <w:szCs w:val="21"/>
    </w:rPr>
  </w:style>
  <w:style w:type="paragraph" w:customStyle="1" w:styleId="121">
    <w:name w:val="M表中文字"/>
    <w:basedOn w:val="1"/>
    <w:next w:val="1"/>
    <w:qFormat/>
    <w:uiPriority w:val="0"/>
    <w:pPr>
      <w:jc w:val="center"/>
    </w:pPr>
    <w:rPr>
      <w:szCs w:val="36"/>
    </w:rPr>
  </w:style>
  <w:style w:type="paragraph" w:customStyle="1" w:styleId="122">
    <w:name w:val="M表标题"/>
    <w:basedOn w:val="1"/>
    <w:qFormat/>
    <w:uiPriority w:val="0"/>
    <w:pPr>
      <w:jc w:val="center"/>
    </w:pPr>
    <w:rPr>
      <w:b/>
      <w:bCs/>
      <w:sz w:val="24"/>
      <w:szCs w:val="21"/>
    </w:rPr>
  </w:style>
  <w:style w:type="paragraph" w:customStyle="1" w:styleId="123">
    <w:name w:val="图表标题"/>
    <w:basedOn w:val="1"/>
    <w:qFormat/>
    <w:uiPriority w:val="0"/>
    <w:pPr>
      <w:adjustRightInd w:val="0"/>
      <w:snapToGrid w:val="0"/>
      <w:jc w:val="center"/>
    </w:pPr>
    <w:rPr>
      <w:rFonts w:ascii="仿宋_GB2312"/>
      <w:b/>
      <w:color w:val="000000"/>
      <w:sz w:val="24"/>
    </w:rPr>
  </w:style>
  <w:style w:type="character" w:customStyle="1" w:styleId="124">
    <w:name w:val="font01"/>
    <w:basedOn w:val="39"/>
    <w:qFormat/>
    <w:uiPriority w:val="0"/>
    <w:rPr>
      <w:rFonts w:ascii="微软雅黑" w:hAnsi="微软雅黑" w:eastAsia="微软雅黑" w:cs="微软雅黑"/>
      <w:color w:val="000000"/>
      <w:sz w:val="21"/>
      <w:szCs w:val="21"/>
      <w:u w:val="none"/>
    </w:rPr>
  </w:style>
  <w:style w:type="character" w:customStyle="1" w:styleId="125">
    <w:name w:val="font11"/>
    <w:basedOn w:val="39"/>
    <w:qFormat/>
    <w:uiPriority w:val="0"/>
    <w:rPr>
      <w:rFonts w:hint="default" w:ascii="仿宋_GB2312" w:eastAsia="仿宋_GB2312" w:cs="仿宋_GB2312"/>
      <w:color w:val="000000"/>
      <w:sz w:val="21"/>
      <w:szCs w:val="21"/>
      <w:u w:val="none"/>
    </w:rPr>
  </w:style>
  <w:style w:type="character" w:customStyle="1" w:styleId="126">
    <w:name w:val="font21"/>
    <w:basedOn w:val="39"/>
    <w:qFormat/>
    <w:uiPriority w:val="0"/>
    <w:rPr>
      <w:rFonts w:hint="default" w:ascii="Times New Roman" w:hAnsi="Times New Roman" w:cs="Times New Roman"/>
      <w:color w:val="000000"/>
      <w:sz w:val="21"/>
      <w:szCs w:val="21"/>
      <w:u w:val="none"/>
    </w:rPr>
  </w:style>
  <w:style w:type="paragraph" w:customStyle="1" w:styleId="127">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128">
    <w:name w:val="Table Text"/>
    <w:basedOn w:val="1"/>
    <w:semiHidden/>
    <w:qFormat/>
    <w:uiPriority w:val="0"/>
    <w:rPr>
      <w:rFonts w:ascii="宋体" w:hAnsi="宋体" w:cs="宋体"/>
      <w:sz w:val="26"/>
      <w:szCs w:val="26"/>
      <w:lang w:eastAsia="en-US"/>
    </w:rPr>
  </w:style>
  <w:style w:type="table" w:customStyle="1" w:styleId="129">
    <w:name w:val="Table Normal"/>
    <w:semiHidden/>
    <w:unhideWhenUsed/>
    <w:qFormat/>
    <w:uiPriority w:val="0"/>
    <w:tblPr>
      <w:tblCellMar>
        <w:top w:w="0" w:type="dxa"/>
        <w:left w:w="0" w:type="dxa"/>
        <w:bottom w:w="0" w:type="dxa"/>
        <w:right w:w="0" w:type="dxa"/>
      </w:tblCellMar>
    </w:tblPr>
  </w:style>
  <w:style w:type="paragraph" w:customStyle="1" w:styleId="130">
    <w:name w:val="B正文"/>
    <w:basedOn w:val="1"/>
    <w:qFormat/>
    <w:uiPriority w:val="0"/>
    <w:pPr>
      <w:ind w:firstLine="200"/>
    </w:pPr>
    <w:rPr>
      <w:rFonts w:ascii="Times New Roman" w:hAnsi="Times New Roman"/>
    </w:rPr>
  </w:style>
  <w:style w:type="paragraph" w:customStyle="1" w:styleId="131">
    <w:name w:val="正常"/>
    <w:basedOn w:val="132"/>
    <w:qFormat/>
    <w:uiPriority w:val="0"/>
    <w:rPr>
      <w:sz w:val="24"/>
    </w:rPr>
  </w:style>
  <w:style w:type="paragraph" w:customStyle="1" w:styleId="132">
    <w:name w:val="小正常"/>
    <w:basedOn w:val="1"/>
    <w:qFormat/>
    <w:uiPriority w:val="0"/>
    <w:rPr>
      <w:sz w:val="20"/>
    </w:rPr>
  </w:style>
  <w:style w:type="character" w:customStyle="1" w:styleId="133">
    <w:name w:val="标题 1 字符"/>
    <w:link w:val="2"/>
    <w:qFormat/>
    <w:locked/>
    <w:uiPriority w:val="0"/>
    <w:rPr>
      <w:rFonts w:ascii="宋体" w:hAnsi="宋体" w:eastAsia="宋体"/>
      <w:b/>
      <w:bCs/>
      <w:kern w:val="44"/>
      <w:sz w:val="30"/>
      <w:szCs w:val="44"/>
      <w:lang w:val="en-US" w:eastAsia="zh-CN" w:bidi="ar-SA"/>
    </w:rPr>
  </w:style>
  <w:style w:type="paragraph" w:customStyle="1" w:styleId="134">
    <w:name w:val="表格1"/>
    <w:basedOn w:val="135"/>
    <w:qFormat/>
    <w:uiPriority w:val="0"/>
    <w:pPr>
      <w:ind w:left="562"/>
    </w:pPr>
  </w:style>
  <w:style w:type="paragraph" w:customStyle="1" w:styleId="135">
    <w:name w:val="表格2"/>
    <w:basedOn w:val="136"/>
    <w:qFormat/>
    <w:uiPriority w:val="0"/>
    <w:pPr>
      <w:numPr>
        <w:ilvl w:val="0"/>
        <w:numId w:val="2"/>
      </w:numPr>
      <w:ind w:left="704"/>
    </w:pPr>
  </w:style>
  <w:style w:type="paragraph" w:customStyle="1" w:styleId="136">
    <w:name w:val="表格 正文"/>
    <w:basedOn w:val="1"/>
    <w:qFormat/>
    <w:uiPriority w:val="0"/>
    <w:pPr>
      <w:widowControl/>
    </w:pPr>
  </w:style>
  <w:style w:type="paragraph" w:customStyle="1" w:styleId="137">
    <w:name w:val="普通(网站)1"/>
    <w:basedOn w:val="1"/>
    <w:qFormat/>
    <w:uiPriority w:val="0"/>
    <w:pPr>
      <w:widowControl/>
      <w:spacing w:before="100" w:beforeAutospacing="1" w:after="100" w:afterAutospacing="1"/>
      <w:jc w:val="left"/>
    </w:pPr>
    <w:rPr>
      <w:rFonts w:ascii="Arial Unicode MS" w:hAnsi="Arial Unicode MS" w:eastAsia="Arial Unicode MS" w:cs="华文仿宋"/>
      <w:kern w:val="0"/>
      <w:sz w:val="24"/>
    </w:rPr>
  </w:style>
  <w:style w:type="paragraph" w:customStyle="1" w:styleId="138">
    <w:name w:val="Table Paragraph"/>
    <w:basedOn w:val="1"/>
    <w:qFormat/>
    <w:uiPriority w:val="1"/>
    <w:pPr>
      <w:autoSpaceDE w:val="0"/>
      <w:autoSpaceDN w:val="0"/>
      <w:adjustRightInd w:val="0"/>
      <w:jc w:val="left"/>
    </w:pPr>
    <w:rPr>
      <w:rFonts w:ascii="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56</Pages>
  <Words>30586</Words>
  <Characters>32519</Characters>
  <Lines>243</Lines>
  <Paragraphs>68</Paragraphs>
  <TotalTime>14</TotalTime>
  <ScaleCrop>false</ScaleCrop>
  <LinksUpToDate>false</LinksUpToDate>
  <CharactersWithSpaces>33807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2026-03-25T02:57:00Z</dcterms:created>
  <dc:creator>Windows 用户</dc:creator>
  <cp:lastModifiedBy>Äzûrë</cp:lastModifiedBy>
  <cp:lastPrinted>2020-05-25T20:23:00Z</cp:lastPrinted>
  <dcterms:modified xsi:type="dcterms:W3CDTF">2026-05-26T09:46:49Z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568DEF2B784C4C9798A4D8F5B0C62BEB</vt:lpwstr>
  </property>
  <property fmtid="{D5CDD505-2E9C-101B-9397-08002B2CF9AE}" pid="4" name="KSOTemplateDocerSaveRecord">
    <vt:lpwstr>eyJoZGlkIjoiY2RhN2I4ZGZjMzViNzgwYzBlZWYyYzRmODk0MmI5NjAiLCJ1c2VySWQiOiIyODU5MzQ2MDUifQ==</vt:lpwstr>
  </property>
</Properties>
</file>