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B2FD3">
      <w:pPr>
        <w:pStyle w:val="33"/>
        <w:widowControl w:val="0"/>
        <w:adjustRightInd w:val="0"/>
        <w:snapToGrid w:val="0"/>
        <w:spacing w:line="360" w:lineRule="auto"/>
        <w:ind w:firstLine="0"/>
        <w:rPr>
          <w:rFonts w:ascii="仿宋" w:hAnsi="仿宋" w:eastAsia="仿宋" w:cs="仿宋"/>
          <w:color w:val="auto"/>
          <w:sz w:val="52"/>
          <w:szCs w:val="52"/>
          <w:highlight w:val="none"/>
        </w:rPr>
      </w:pPr>
    </w:p>
    <w:p w14:paraId="75ABECB7">
      <w:pPr>
        <w:adjustRightInd w:val="0"/>
        <w:snapToGrid w:val="0"/>
        <w:spacing w:line="360" w:lineRule="auto"/>
        <w:jc w:val="center"/>
        <w:rPr>
          <w:rFonts w:hint="eastAsia" w:eastAsia="仿宋"/>
          <w:b/>
          <w:bCs/>
          <w:sz w:val="44"/>
          <w:szCs w:val="44"/>
          <w:highlight w:val="none"/>
          <w:lang w:eastAsia="zh-CN"/>
        </w:rPr>
      </w:pPr>
      <w:r>
        <w:rPr>
          <w:rFonts w:hint="eastAsia" w:eastAsia="仿宋"/>
          <w:b/>
          <w:bCs/>
          <w:sz w:val="44"/>
          <w:szCs w:val="44"/>
          <w:highlight w:val="none"/>
          <w:lang w:eastAsia="zh-CN"/>
        </w:rPr>
        <w:t>新疆维吾尔自治区天山东部国有林管理局哈密分局2026年森林生态修复项目一森林管护服务</w:t>
      </w:r>
    </w:p>
    <w:p w14:paraId="15B71AD1">
      <w:pPr>
        <w:pStyle w:val="11"/>
        <w:spacing w:line="360" w:lineRule="auto"/>
        <w:rPr>
          <w:highlight w:val="none"/>
        </w:rPr>
      </w:pPr>
    </w:p>
    <w:p w14:paraId="1C3FE451">
      <w:pPr>
        <w:spacing w:line="360" w:lineRule="auto"/>
        <w:jc w:val="center"/>
        <w:rPr>
          <w:rFonts w:ascii="仿宋" w:hAnsi="仿宋" w:eastAsia="仿宋" w:cs="仿宋"/>
          <w:b/>
          <w:szCs w:val="84"/>
          <w:highlight w:val="none"/>
        </w:rPr>
      </w:pPr>
    </w:p>
    <w:p w14:paraId="432820B7">
      <w:pPr>
        <w:spacing w:line="360" w:lineRule="auto"/>
        <w:jc w:val="center"/>
        <w:rPr>
          <w:rFonts w:ascii="仿宋" w:hAnsi="仿宋" w:eastAsia="仿宋" w:cs="仿宋"/>
          <w:b/>
          <w:szCs w:val="84"/>
          <w:highlight w:val="none"/>
        </w:rPr>
      </w:pPr>
    </w:p>
    <w:p w14:paraId="53B5399D">
      <w:pPr>
        <w:spacing w:line="360" w:lineRule="auto"/>
        <w:jc w:val="center"/>
        <w:rPr>
          <w:rFonts w:ascii="仿宋" w:hAnsi="仿宋" w:eastAsia="仿宋" w:cs="仿宋"/>
          <w:b/>
          <w:szCs w:val="84"/>
          <w:highlight w:val="none"/>
        </w:rPr>
      </w:pPr>
    </w:p>
    <w:p w14:paraId="6AE0A6D8">
      <w:pPr>
        <w:spacing w:line="360" w:lineRule="auto"/>
        <w:jc w:val="center"/>
        <w:rPr>
          <w:rFonts w:ascii="仿宋" w:hAnsi="仿宋" w:eastAsia="仿宋" w:cs="仿宋"/>
          <w:b/>
          <w:szCs w:val="84"/>
          <w:highlight w:val="none"/>
        </w:rPr>
      </w:pPr>
      <w:r>
        <w:rPr>
          <w:rFonts w:hint="eastAsia" w:ascii="仿宋" w:hAnsi="仿宋" w:eastAsia="仿宋" w:cs="仿宋"/>
          <w:b/>
          <w:spacing w:val="40"/>
          <w:w w:val="80"/>
          <w:sz w:val="96"/>
          <w:szCs w:val="96"/>
          <w:highlight w:val="none"/>
          <w:lang w:bidi="th-TH"/>
        </w:rPr>
        <w:t>招 标 文 件</w:t>
      </w:r>
    </w:p>
    <w:p w14:paraId="63FB5D69">
      <w:pPr>
        <w:spacing w:line="360" w:lineRule="auto"/>
        <w:jc w:val="center"/>
        <w:rPr>
          <w:rFonts w:ascii="仿宋" w:hAnsi="仿宋" w:eastAsia="仿宋" w:cs="仿宋"/>
          <w:b/>
          <w:szCs w:val="84"/>
          <w:highlight w:val="none"/>
        </w:rPr>
      </w:pPr>
    </w:p>
    <w:p w14:paraId="775F78B9">
      <w:pPr>
        <w:jc w:val="center"/>
        <w:rPr>
          <w:rFonts w:hint="eastAsia" w:asciiTheme="majorEastAsia" w:hAnsiTheme="majorEastAsia" w:eastAsiaTheme="majorEastAsia" w:cstheme="majorEastAsia"/>
          <w:b/>
          <w:bCs w:val="0"/>
          <w:color w:val="auto"/>
          <w:highlight w:val="none"/>
          <w:lang w:val="en-US" w:eastAsia="zh-CN"/>
        </w:rPr>
      </w:pPr>
      <w:r>
        <w:rPr>
          <w:rFonts w:hint="eastAsia" w:asciiTheme="majorEastAsia" w:hAnsiTheme="majorEastAsia" w:eastAsiaTheme="majorEastAsia" w:cstheme="majorEastAsia"/>
          <w:b/>
          <w:bCs w:val="0"/>
          <w:color w:val="auto"/>
          <w:w w:val="80"/>
          <w:sz w:val="36"/>
          <w:szCs w:val="36"/>
          <w:highlight w:val="none"/>
          <w:lang w:bidi="th-TH"/>
        </w:rPr>
        <w:t>项目编号：</w:t>
      </w:r>
      <w:r>
        <w:rPr>
          <w:rFonts w:hint="eastAsia" w:asciiTheme="majorEastAsia" w:hAnsiTheme="majorEastAsia" w:eastAsiaTheme="majorEastAsia" w:cstheme="majorEastAsia"/>
          <w:b/>
          <w:bCs w:val="0"/>
          <w:color w:val="auto"/>
          <w:w w:val="80"/>
          <w:sz w:val="36"/>
          <w:szCs w:val="36"/>
          <w:highlight w:val="none"/>
          <w:lang w:eastAsia="zh-CN" w:bidi="th-TH"/>
        </w:rPr>
        <w:t>XJMTZBCG(2026)-026</w:t>
      </w:r>
    </w:p>
    <w:p w14:paraId="4F9EE8A9">
      <w:pPr>
        <w:pStyle w:val="11"/>
        <w:rPr>
          <w:highlight w:val="none"/>
        </w:rPr>
      </w:pPr>
    </w:p>
    <w:p w14:paraId="7FED048B">
      <w:pPr>
        <w:rPr>
          <w:rFonts w:ascii="仿宋" w:hAnsi="仿宋" w:eastAsia="仿宋" w:cs="仿宋"/>
          <w:b/>
          <w:highlight w:val="none"/>
        </w:rPr>
      </w:pPr>
    </w:p>
    <w:p w14:paraId="32B1ACB1">
      <w:pPr>
        <w:rPr>
          <w:rFonts w:ascii="仿宋" w:hAnsi="仿宋" w:eastAsia="仿宋" w:cs="仿宋"/>
          <w:b/>
          <w:highlight w:val="none"/>
        </w:rPr>
      </w:pPr>
    </w:p>
    <w:p w14:paraId="7787425D">
      <w:pPr>
        <w:rPr>
          <w:rFonts w:ascii="仿宋" w:hAnsi="仿宋" w:eastAsia="仿宋" w:cs="仿宋"/>
          <w:b/>
          <w:highlight w:val="none"/>
        </w:rPr>
      </w:pPr>
    </w:p>
    <w:p w14:paraId="545D8D1F">
      <w:pPr>
        <w:pStyle w:val="2"/>
        <w:rPr>
          <w:rFonts w:ascii="仿宋" w:hAnsi="仿宋" w:eastAsia="仿宋" w:cs="仿宋"/>
          <w:b/>
          <w:highlight w:val="none"/>
        </w:rPr>
      </w:pPr>
    </w:p>
    <w:p w14:paraId="47C318AB">
      <w:pPr>
        <w:pStyle w:val="3"/>
        <w:rPr>
          <w:rFonts w:ascii="仿宋" w:hAnsi="仿宋" w:eastAsia="仿宋" w:cs="仿宋"/>
          <w:b/>
          <w:highlight w:val="none"/>
        </w:rPr>
      </w:pPr>
    </w:p>
    <w:p w14:paraId="5D3CDBB0">
      <w:pPr>
        <w:pStyle w:val="4"/>
        <w:rPr>
          <w:rFonts w:ascii="仿宋" w:hAnsi="仿宋" w:eastAsia="仿宋" w:cs="仿宋"/>
          <w:b/>
          <w:highlight w:val="none"/>
        </w:rPr>
      </w:pPr>
    </w:p>
    <w:p w14:paraId="100A4CD3"/>
    <w:p w14:paraId="155CBC3A">
      <w:pPr>
        <w:jc w:val="left"/>
        <w:rPr>
          <w:rFonts w:ascii="仿宋" w:hAnsi="仿宋" w:eastAsia="仿宋" w:cs="仿宋"/>
          <w:b/>
          <w:sz w:val="18"/>
          <w:szCs w:val="21"/>
          <w:highlight w:val="none"/>
        </w:rPr>
      </w:pPr>
    </w:p>
    <w:p w14:paraId="38AB8B05">
      <w:pPr>
        <w:pStyle w:val="13"/>
        <w:spacing w:line="360" w:lineRule="auto"/>
        <w:jc w:val="left"/>
        <w:rPr>
          <w:rFonts w:hint="eastAsia" w:ascii="仿宋" w:hAnsi="仿宋" w:eastAsia="仿宋" w:cs="仿宋"/>
          <w:b w:val="0"/>
          <w:bCs/>
          <w:sz w:val="32"/>
          <w:szCs w:val="28"/>
          <w:highlight w:val="none"/>
          <w:lang w:eastAsia="zh-CN"/>
        </w:rPr>
      </w:pPr>
      <w:r>
        <w:rPr>
          <w:rFonts w:hint="eastAsia" w:ascii="仿宋" w:hAnsi="仿宋" w:eastAsia="仿宋" w:cs="仿宋"/>
          <w:b w:val="0"/>
          <w:bCs/>
          <w:sz w:val="32"/>
          <w:szCs w:val="28"/>
          <w:highlight w:val="none"/>
          <w:lang w:eastAsia="zh-CN"/>
        </w:rPr>
        <w:t>采购人：  新疆维吾尔自治区天山东部国有林管理局哈密分局</w:t>
      </w:r>
    </w:p>
    <w:p w14:paraId="4C1DF447">
      <w:pPr>
        <w:pStyle w:val="13"/>
        <w:spacing w:line="360" w:lineRule="auto"/>
        <w:jc w:val="left"/>
        <w:rPr>
          <w:rFonts w:hint="eastAsia" w:ascii="仿宋" w:hAnsi="仿宋" w:eastAsia="仿宋" w:cs="仿宋"/>
          <w:b w:val="0"/>
          <w:bCs/>
          <w:sz w:val="32"/>
          <w:szCs w:val="28"/>
          <w:highlight w:val="none"/>
          <w:lang w:eastAsia="zh-CN"/>
        </w:rPr>
      </w:pPr>
    </w:p>
    <w:p w14:paraId="3A08B22F">
      <w:pPr>
        <w:pStyle w:val="13"/>
        <w:spacing w:line="360" w:lineRule="auto"/>
        <w:jc w:val="left"/>
        <w:rPr>
          <w:rFonts w:hint="eastAsia" w:ascii="仿宋" w:hAnsi="仿宋" w:eastAsia="仿宋" w:cs="仿宋"/>
          <w:b w:val="0"/>
          <w:bCs/>
          <w:sz w:val="32"/>
          <w:szCs w:val="28"/>
          <w:highlight w:val="none"/>
          <w:lang w:eastAsia="zh-CN"/>
        </w:rPr>
      </w:pPr>
      <w:r>
        <w:rPr>
          <w:rFonts w:hint="eastAsia" w:ascii="仿宋" w:hAnsi="仿宋" w:eastAsia="仿宋" w:cs="仿宋"/>
          <w:b w:val="0"/>
          <w:bCs/>
          <w:sz w:val="32"/>
          <w:szCs w:val="28"/>
          <w:highlight w:val="none"/>
          <w:lang w:eastAsia="zh-CN"/>
        </w:rPr>
        <w:t>招标代理机构：新疆蒙泰工程项目管理有限公司</w:t>
      </w:r>
    </w:p>
    <w:p w14:paraId="2D2E9497">
      <w:pPr>
        <w:pStyle w:val="13"/>
        <w:spacing w:line="360" w:lineRule="auto"/>
        <w:jc w:val="left"/>
        <w:rPr>
          <w:rFonts w:hint="eastAsia" w:ascii="仿宋" w:hAnsi="仿宋" w:eastAsia="仿宋" w:cs="仿宋"/>
          <w:b w:val="0"/>
          <w:bCs/>
          <w:sz w:val="32"/>
          <w:szCs w:val="28"/>
          <w:highlight w:val="none"/>
          <w:lang w:eastAsia="zh-CN"/>
        </w:rPr>
      </w:pPr>
    </w:p>
    <w:p w14:paraId="6EB57E96">
      <w:pPr>
        <w:pStyle w:val="13"/>
        <w:spacing w:line="360" w:lineRule="auto"/>
        <w:jc w:val="left"/>
        <w:rPr>
          <w:rFonts w:hint="eastAsia" w:ascii="仿宋" w:hAnsi="仿宋" w:eastAsia="仿宋" w:cs="仿宋"/>
          <w:b w:val="0"/>
          <w:bCs/>
          <w:sz w:val="32"/>
          <w:szCs w:val="28"/>
          <w:highlight w:val="none"/>
          <w:lang w:eastAsia="zh-CN"/>
        </w:rPr>
      </w:pPr>
    </w:p>
    <w:p w14:paraId="433509B4">
      <w:pPr>
        <w:pStyle w:val="13"/>
        <w:spacing w:line="360" w:lineRule="auto"/>
        <w:jc w:val="center"/>
        <w:rPr>
          <w:rFonts w:hint="default" w:ascii="仿宋" w:hAnsi="仿宋" w:eastAsia="仿宋" w:cs="仿宋"/>
          <w:b w:val="0"/>
          <w:bCs/>
          <w:sz w:val="32"/>
          <w:szCs w:val="28"/>
          <w:highlight w:val="none"/>
          <w:lang w:val="en-US" w:eastAsia="zh-CN"/>
        </w:rPr>
        <w:sectPr>
          <w:headerReference r:id="rId4" w:type="first"/>
          <w:headerReference r:id="rId3" w:type="default"/>
          <w:pgSz w:w="11906" w:h="16838"/>
          <w:pgMar w:top="1418" w:right="1418" w:bottom="1134" w:left="1418" w:header="851" w:footer="680" w:gutter="0"/>
          <w:pgNumType w:start="1"/>
          <w:cols w:space="720" w:num="1"/>
          <w:docGrid w:linePitch="312" w:charSpace="0"/>
        </w:sectPr>
      </w:pPr>
      <w:r>
        <w:rPr>
          <w:rFonts w:hint="eastAsia" w:ascii="仿宋" w:hAnsi="仿宋" w:eastAsia="仿宋" w:cs="仿宋"/>
          <w:b w:val="0"/>
          <w:bCs/>
          <w:sz w:val="32"/>
          <w:szCs w:val="28"/>
          <w:highlight w:val="none"/>
          <w:lang w:val="en-US" w:eastAsia="zh-CN"/>
        </w:rPr>
        <w:t>2026年6月</w:t>
      </w:r>
    </w:p>
    <w:p w14:paraId="5B5F8643">
      <w:pPr>
        <w:pStyle w:val="18"/>
        <w:tabs>
          <w:tab w:val="right" w:leader="dot" w:pos="9070"/>
          <w:tab w:val="clear" w:pos="8720"/>
        </w:tabs>
        <w:rPr>
          <w:highlight w:val="none"/>
        </w:rPr>
      </w:pPr>
      <w:bookmarkStart w:id="0" w:name="_Toc21665"/>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TOC \o "1-1" \h \u </w:instrText>
      </w:r>
      <w:r>
        <w:rPr>
          <w:rFonts w:hint="eastAsia" w:ascii="仿宋" w:hAnsi="仿宋" w:eastAsia="仿宋" w:cs="仿宋"/>
          <w:szCs w:val="21"/>
          <w:highlight w:val="none"/>
        </w:rPr>
        <w:fldChar w:fldCharType="separate"/>
      </w:r>
    </w:p>
    <w:sdt>
      <w:sdtPr>
        <w:rPr>
          <w:rFonts w:ascii="宋体" w:hAnsi="宋体"/>
          <w:b/>
          <w:bCs/>
          <w:sz w:val="36"/>
          <w:szCs w:val="44"/>
          <w:highlight w:val="none"/>
        </w:rPr>
        <w:id w:val="147475191"/>
        <w:docPartObj>
          <w:docPartGallery w:val="Table of Contents"/>
          <w:docPartUnique/>
        </w:docPartObj>
      </w:sdtPr>
      <w:sdtEndPr>
        <w:rPr>
          <w:rFonts w:ascii="宋体" w:hAnsi="宋体"/>
          <w:b/>
          <w:bCs/>
          <w:sz w:val="28"/>
          <w:szCs w:val="36"/>
          <w:highlight w:val="none"/>
        </w:rPr>
      </w:sdtEndPr>
      <w:sdtContent>
        <w:p w14:paraId="65144F4F">
          <w:pPr>
            <w:jc w:val="center"/>
            <w:rPr>
              <w:b/>
              <w:bCs/>
              <w:sz w:val="36"/>
              <w:szCs w:val="44"/>
              <w:highlight w:val="none"/>
            </w:rPr>
          </w:pPr>
          <w:r>
            <w:rPr>
              <w:rFonts w:ascii="宋体" w:hAnsi="宋体"/>
              <w:b/>
              <w:bCs/>
              <w:sz w:val="36"/>
              <w:szCs w:val="44"/>
              <w:highlight w:val="none"/>
            </w:rPr>
            <w:t>目录</w:t>
          </w:r>
        </w:p>
        <w:p w14:paraId="5D5ACD60">
          <w:pPr>
            <w:pStyle w:val="18"/>
            <w:keepNext w:val="0"/>
            <w:keepLines w:val="0"/>
            <w:pageBreakBefore w:val="0"/>
            <w:widowControl w:val="0"/>
            <w:tabs>
              <w:tab w:val="right" w:leader="dot" w:pos="9070"/>
              <w:tab w:val="clear" w:pos="8720"/>
            </w:tabs>
            <w:kinsoku/>
            <w:wordWrap/>
            <w:overflowPunct/>
            <w:topLinePunct w:val="0"/>
            <w:autoSpaceDE/>
            <w:autoSpaceDN/>
            <w:bidi w:val="0"/>
            <w:adjustRightInd/>
            <w:snapToGrid/>
            <w:spacing w:line="480" w:lineRule="auto"/>
            <w:textAlignment w:val="auto"/>
            <w:rPr>
              <w:sz w:val="28"/>
              <w:szCs w:val="28"/>
              <w:highlight w:val="none"/>
            </w:rPr>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r>
            <w:rPr>
              <w:sz w:val="21"/>
              <w:szCs w:val="21"/>
              <w:highlight w:val="none"/>
            </w:rPr>
            <w:fldChar w:fldCharType="begin"/>
          </w:r>
          <w:r>
            <w:rPr>
              <w:sz w:val="21"/>
              <w:szCs w:val="21"/>
              <w:highlight w:val="none"/>
            </w:rPr>
            <w:instrText xml:space="preserve"> HYPERLINK \l "_Toc24895" </w:instrText>
          </w:r>
          <w:r>
            <w:rPr>
              <w:sz w:val="21"/>
              <w:szCs w:val="21"/>
              <w:highlight w:val="none"/>
            </w:rPr>
            <w:fldChar w:fldCharType="separate"/>
          </w:r>
          <w:r>
            <w:rPr>
              <w:rFonts w:hint="eastAsia" w:ascii="仿宋" w:hAnsi="仿宋" w:eastAsia="仿宋" w:cs="仿宋"/>
              <w:sz w:val="28"/>
              <w:szCs w:val="44"/>
              <w:highlight w:val="none"/>
            </w:rPr>
            <w:t>第一部分  采购公告</w:t>
          </w:r>
          <w:r>
            <w:rPr>
              <w:sz w:val="28"/>
              <w:szCs w:val="28"/>
              <w:highlight w:val="none"/>
            </w:rPr>
            <w:tab/>
          </w:r>
          <w:r>
            <w:rPr>
              <w:rFonts w:hint="eastAsia"/>
              <w:sz w:val="28"/>
              <w:szCs w:val="28"/>
              <w:highlight w:val="none"/>
            </w:rPr>
            <w:t>2</w:t>
          </w:r>
          <w:r>
            <w:rPr>
              <w:rFonts w:hint="eastAsia"/>
              <w:sz w:val="28"/>
              <w:szCs w:val="28"/>
              <w:highlight w:val="none"/>
            </w:rPr>
            <w:fldChar w:fldCharType="end"/>
          </w:r>
        </w:p>
        <w:p w14:paraId="10D45D54">
          <w:pPr>
            <w:pStyle w:val="18"/>
            <w:keepNext w:val="0"/>
            <w:keepLines w:val="0"/>
            <w:pageBreakBefore w:val="0"/>
            <w:widowControl w:val="0"/>
            <w:tabs>
              <w:tab w:val="right" w:leader="dot" w:pos="9070"/>
              <w:tab w:val="clear" w:pos="8720"/>
            </w:tabs>
            <w:kinsoku/>
            <w:wordWrap/>
            <w:overflowPunct/>
            <w:topLinePunct w:val="0"/>
            <w:autoSpaceDE/>
            <w:autoSpaceDN/>
            <w:bidi w:val="0"/>
            <w:adjustRightInd/>
            <w:snapToGrid/>
            <w:spacing w:line="480" w:lineRule="auto"/>
            <w:textAlignment w:val="auto"/>
            <w:rPr>
              <w:sz w:val="28"/>
              <w:szCs w:val="28"/>
              <w:highlight w:val="none"/>
            </w:rPr>
          </w:pPr>
          <w:r>
            <w:rPr>
              <w:sz w:val="21"/>
              <w:szCs w:val="21"/>
              <w:highlight w:val="none"/>
            </w:rPr>
            <w:fldChar w:fldCharType="begin"/>
          </w:r>
          <w:r>
            <w:rPr>
              <w:sz w:val="21"/>
              <w:szCs w:val="21"/>
              <w:highlight w:val="none"/>
            </w:rPr>
            <w:instrText xml:space="preserve"> HYPERLINK \l "_Toc6274" </w:instrText>
          </w:r>
          <w:r>
            <w:rPr>
              <w:sz w:val="21"/>
              <w:szCs w:val="21"/>
              <w:highlight w:val="none"/>
            </w:rPr>
            <w:fldChar w:fldCharType="separate"/>
          </w:r>
          <w:r>
            <w:rPr>
              <w:rFonts w:hint="eastAsia" w:ascii="仿宋" w:hAnsi="仿宋" w:eastAsia="仿宋" w:cs="仿宋"/>
              <w:sz w:val="28"/>
              <w:szCs w:val="44"/>
              <w:highlight w:val="none"/>
            </w:rPr>
            <w:t>第二部分  投标须知</w:t>
          </w:r>
          <w:r>
            <w:rPr>
              <w:sz w:val="28"/>
              <w:szCs w:val="28"/>
              <w:highlight w:val="none"/>
            </w:rPr>
            <w:tab/>
          </w:r>
          <w:r>
            <w:rPr>
              <w:sz w:val="28"/>
              <w:szCs w:val="28"/>
              <w:highlight w:val="none"/>
            </w:rPr>
            <w:fldChar w:fldCharType="begin"/>
          </w:r>
          <w:r>
            <w:rPr>
              <w:sz w:val="28"/>
              <w:szCs w:val="28"/>
              <w:highlight w:val="none"/>
            </w:rPr>
            <w:instrText xml:space="preserve"> PAGEREF _Toc6274 \h </w:instrText>
          </w:r>
          <w:r>
            <w:rPr>
              <w:sz w:val="28"/>
              <w:szCs w:val="28"/>
              <w:highlight w:val="none"/>
            </w:rPr>
            <w:fldChar w:fldCharType="separate"/>
          </w:r>
          <w:r>
            <w:rPr>
              <w:sz w:val="28"/>
              <w:szCs w:val="28"/>
              <w:highlight w:val="none"/>
            </w:rPr>
            <w:t>13</w:t>
          </w:r>
          <w:r>
            <w:rPr>
              <w:sz w:val="28"/>
              <w:szCs w:val="28"/>
              <w:highlight w:val="none"/>
            </w:rPr>
            <w:fldChar w:fldCharType="end"/>
          </w:r>
          <w:r>
            <w:rPr>
              <w:sz w:val="28"/>
              <w:szCs w:val="28"/>
              <w:highlight w:val="none"/>
            </w:rPr>
            <w:fldChar w:fldCharType="end"/>
          </w:r>
        </w:p>
        <w:p w14:paraId="08888961">
          <w:pPr>
            <w:pStyle w:val="18"/>
            <w:keepNext w:val="0"/>
            <w:keepLines w:val="0"/>
            <w:pageBreakBefore w:val="0"/>
            <w:widowControl w:val="0"/>
            <w:tabs>
              <w:tab w:val="right" w:leader="dot" w:pos="9070"/>
              <w:tab w:val="clear" w:pos="8720"/>
            </w:tabs>
            <w:kinsoku/>
            <w:wordWrap/>
            <w:overflowPunct/>
            <w:topLinePunct w:val="0"/>
            <w:autoSpaceDE/>
            <w:autoSpaceDN/>
            <w:bidi w:val="0"/>
            <w:adjustRightInd/>
            <w:snapToGrid/>
            <w:spacing w:line="480" w:lineRule="auto"/>
            <w:textAlignment w:val="auto"/>
            <w:rPr>
              <w:sz w:val="28"/>
              <w:szCs w:val="28"/>
              <w:highlight w:val="none"/>
            </w:rPr>
          </w:pPr>
          <w:r>
            <w:rPr>
              <w:sz w:val="21"/>
              <w:szCs w:val="21"/>
              <w:highlight w:val="none"/>
            </w:rPr>
            <w:fldChar w:fldCharType="begin"/>
          </w:r>
          <w:r>
            <w:rPr>
              <w:sz w:val="21"/>
              <w:szCs w:val="21"/>
              <w:highlight w:val="none"/>
            </w:rPr>
            <w:instrText xml:space="preserve"> HYPERLINK \l "_Toc3298" </w:instrText>
          </w:r>
          <w:r>
            <w:rPr>
              <w:sz w:val="21"/>
              <w:szCs w:val="21"/>
              <w:highlight w:val="none"/>
            </w:rPr>
            <w:fldChar w:fldCharType="separate"/>
          </w:r>
          <w:r>
            <w:rPr>
              <w:rFonts w:hint="eastAsia" w:ascii="仿宋" w:hAnsi="仿宋" w:eastAsia="仿宋" w:cs="仿宋"/>
              <w:sz w:val="28"/>
              <w:szCs w:val="44"/>
              <w:highlight w:val="none"/>
            </w:rPr>
            <w:t>第三部分 采购需求</w:t>
          </w:r>
          <w:r>
            <w:rPr>
              <w:sz w:val="28"/>
              <w:szCs w:val="28"/>
              <w:highlight w:val="none"/>
            </w:rPr>
            <w:tab/>
          </w:r>
          <w:r>
            <w:rPr>
              <w:sz w:val="28"/>
              <w:szCs w:val="28"/>
              <w:highlight w:val="none"/>
            </w:rPr>
            <w:fldChar w:fldCharType="begin"/>
          </w:r>
          <w:r>
            <w:rPr>
              <w:sz w:val="28"/>
              <w:szCs w:val="28"/>
              <w:highlight w:val="none"/>
            </w:rPr>
            <w:instrText xml:space="preserve"> PAGEREF _Toc3298 \h </w:instrText>
          </w:r>
          <w:r>
            <w:rPr>
              <w:sz w:val="28"/>
              <w:szCs w:val="28"/>
              <w:highlight w:val="none"/>
            </w:rPr>
            <w:fldChar w:fldCharType="separate"/>
          </w:r>
          <w:r>
            <w:rPr>
              <w:sz w:val="28"/>
              <w:szCs w:val="28"/>
              <w:highlight w:val="none"/>
            </w:rPr>
            <w:t>26</w:t>
          </w:r>
          <w:r>
            <w:rPr>
              <w:sz w:val="28"/>
              <w:szCs w:val="28"/>
              <w:highlight w:val="none"/>
            </w:rPr>
            <w:fldChar w:fldCharType="end"/>
          </w:r>
          <w:r>
            <w:rPr>
              <w:sz w:val="28"/>
              <w:szCs w:val="28"/>
              <w:highlight w:val="none"/>
            </w:rPr>
            <w:fldChar w:fldCharType="end"/>
          </w:r>
        </w:p>
        <w:p w14:paraId="3A769415">
          <w:pPr>
            <w:pStyle w:val="18"/>
            <w:keepNext w:val="0"/>
            <w:keepLines w:val="0"/>
            <w:pageBreakBefore w:val="0"/>
            <w:widowControl w:val="0"/>
            <w:tabs>
              <w:tab w:val="right" w:leader="dot" w:pos="9070"/>
              <w:tab w:val="clear" w:pos="8720"/>
            </w:tabs>
            <w:kinsoku/>
            <w:wordWrap/>
            <w:overflowPunct/>
            <w:topLinePunct w:val="0"/>
            <w:autoSpaceDE/>
            <w:autoSpaceDN/>
            <w:bidi w:val="0"/>
            <w:adjustRightInd/>
            <w:snapToGrid/>
            <w:spacing w:line="480" w:lineRule="auto"/>
            <w:textAlignment w:val="auto"/>
            <w:rPr>
              <w:sz w:val="28"/>
              <w:szCs w:val="28"/>
              <w:highlight w:val="none"/>
            </w:rPr>
          </w:pPr>
          <w:r>
            <w:rPr>
              <w:sz w:val="21"/>
              <w:szCs w:val="21"/>
              <w:highlight w:val="none"/>
            </w:rPr>
            <w:fldChar w:fldCharType="begin"/>
          </w:r>
          <w:r>
            <w:rPr>
              <w:sz w:val="21"/>
              <w:szCs w:val="21"/>
              <w:highlight w:val="none"/>
            </w:rPr>
            <w:instrText xml:space="preserve"> HYPERLINK \l "_Toc31361" </w:instrText>
          </w:r>
          <w:r>
            <w:rPr>
              <w:sz w:val="21"/>
              <w:szCs w:val="21"/>
              <w:highlight w:val="none"/>
            </w:rPr>
            <w:fldChar w:fldCharType="separate"/>
          </w:r>
          <w:r>
            <w:rPr>
              <w:rFonts w:hint="eastAsia" w:ascii="仿宋" w:hAnsi="仿宋" w:eastAsia="仿宋" w:cs="仿宋"/>
              <w:sz w:val="28"/>
              <w:szCs w:val="44"/>
              <w:highlight w:val="none"/>
            </w:rPr>
            <w:t>第四部分  评标办法</w:t>
          </w:r>
          <w:r>
            <w:rPr>
              <w:sz w:val="28"/>
              <w:szCs w:val="28"/>
              <w:highlight w:val="none"/>
            </w:rPr>
            <w:tab/>
          </w:r>
          <w:r>
            <w:rPr>
              <w:sz w:val="28"/>
              <w:szCs w:val="28"/>
              <w:highlight w:val="none"/>
            </w:rPr>
            <w:fldChar w:fldCharType="begin"/>
          </w:r>
          <w:r>
            <w:rPr>
              <w:sz w:val="28"/>
              <w:szCs w:val="28"/>
              <w:highlight w:val="none"/>
            </w:rPr>
            <w:instrText xml:space="preserve"> PAGEREF _Toc31361 \h </w:instrText>
          </w:r>
          <w:r>
            <w:rPr>
              <w:sz w:val="28"/>
              <w:szCs w:val="28"/>
              <w:highlight w:val="none"/>
            </w:rPr>
            <w:fldChar w:fldCharType="separate"/>
          </w:r>
          <w:r>
            <w:rPr>
              <w:sz w:val="28"/>
              <w:szCs w:val="28"/>
              <w:highlight w:val="none"/>
            </w:rPr>
            <w:t>26</w:t>
          </w:r>
          <w:r>
            <w:rPr>
              <w:sz w:val="28"/>
              <w:szCs w:val="28"/>
              <w:highlight w:val="none"/>
            </w:rPr>
            <w:fldChar w:fldCharType="end"/>
          </w:r>
          <w:r>
            <w:rPr>
              <w:sz w:val="28"/>
              <w:szCs w:val="28"/>
              <w:highlight w:val="none"/>
            </w:rPr>
            <w:fldChar w:fldCharType="end"/>
          </w:r>
        </w:p>
        <w:p w14:paraId="737ECF67">
          <w:pPr>
            <w:pStyle w:val="18"/>
            <w:keepNext w:val="0"/>
            <w:keepLines w:val="0"/>
            <w:pageBreakBefore w:val="0"/>
            <w:widowControl w:val="0"/>
            <w:tabs>
              <w:tab w:val="right" w:leader="dot" w:pos="9070"/>
              <w:tab w:val="clear" w:pos="8720"/>
            </w:tabs>
            <w:kinsoku/>
            <w:wordWrap/>
            <w:overflowPunct/>
            <w:topLinePunct w:val="0"/>
            <w:autoSpaceDE/>
            <w:autoSpaceDN/>
            <w:bidi w:val="0"/>
            <w:adjustRightInd/>
            <w:snapToGrid/>
            <w:spacing w:line="480" w:lineRule="auto"/>
            <w:textAlignment w:val="auto"/>
            <w:rPr>
              <w:sz w:val="28"/>
              <w:szCs w:val="28"/>
              <w:highlight w:val="none"/>
            </w:rPr>
          </w:pPr>
          <w:r>
            <w:rPr>
              <w:sz w:val="21"/>
              <w:szCs w:val="21"/>
              <w:highlight w:val="none"/>
            </w:rPr>
            <w:fldChar w:fldCharType="begin"/>
          </w:r>
          <w:r>
            <w:rPr>
              <w:sz w:val="21"/>
              <w:szCs w:val="21"/>
              <w:highlight w:val="none"/>
            </w:rPr>
            <w:instrText xml:space="preserve"> HYPERLINK \l "_Toc15789" </w:instrText>
          </w:r>
          <w:r>
            <w:rPr>
              <w:sz w:val="21"/>
              <w:szCs w:val="21"/>
              <w:highlight w:val="none"/>
            </w:rPr>
            <w:fldChar w:fldCharType="separate"/>
          </w:r>
          <w:r>
            <w:rPr>
              <w:rFonts w:hint="eastAsia" w:ascii="仿宋" w:hAnsi="仿宋" w:eastAsia="仿宋" w:cs="仿宋"/>
              <w:sz w:val="28"/>
              <w:szCs w:val="44"/>
              <w:highlight w:val="none"/>
            </w:rPr>
            <w:t>第五部分  合同条款</w:t>
          </w:r>
          <w:r>
            <w:rPr>
              <w:sz w:val="28"/>
              <w:szCs w:val="28"/>
              <w:highlight w:val="none"/>
            </w:rPr>
            <w:tab/>
          </w:r>
          <w:r>
            <w:rPr>
              <w:sz w:val="28"/>
              <w:szCs w:val="28"/>
              <w:highlight w:val="none"/>
            </w:rPr>
            <w:fldChar w:fldCharType="begin"/>
          </w:r>
          <w:r>
            <w:rPr>
              <w:sz w:val="28"/>
              <w:szCs w:val="28"/>
              <w:highlight w:val="none"/>
            </w:rPr>
            <w:instrText xml:space="preserve"> PAGEREF _Toc15789 \h </w:instrText>
          </w:r>
          <w:r>
            <w:rPr>
              <w:sz w:val="28"/>
              <w:szCs w:val="28"/>
              <w:highlight w:val="none"/>
            </w:rPr>
            <w:fldChar w:fldCharType="separate"/>
          </w:r>
          <w:r>
            <w:rPr>
              <w:sz w:val="28"/>
              <w:szCs w:val="28"/>
              <w:highlight w:val="none"/>
            </w:rPr>
            <w:t>34</w:t>
          </w:r>
          <w:r>
            <w:rPr>
              <w:sz w:val="28"/>
              <w:szCs w:val="28"/>
              <w:highlight w:val="none"/>
            </w:rPr>
            <w:fldChar w:fldCharType="end"/>
          </w:r>
          <w:r>
            <w:rPr>
              <w:sz w:val="28"/>
              <w:szCs w:val="28"/>
              <w:highlight w:val="none"/>
            </w:rPr>
            <w:fldChar w:fldCharType="end"/>
          </w:r>
        </w:p>
        <w:p w14:paraId="41908F61">
          <w:pPr>
            <w:pStyle w:val="18"/>
            <w:keepNext w:val="0"/>
            <w:keepLines w:val="0"/>
            <w:pageBreakBefore w:val="0"/>
            <w:widowControl w:val="0"/>
            <w:tabs>
              <w:tab w:val="right" w:leader="dot" w:pos="9070"/>
              <w:tab w:val="clear" w:pos="8720"/>
            </w:tabs>
            <w:kinsoku/>
            <w:wordWrap/>
            <w:overflowPunct/>
            <w:topLinePunct w:val="0"/>
            <w:autoSpaceDE/>
            <w:autoSpaceDN/>
            <w:bidi w:val="0"/>
            <w:adjustRightInd/>
            <w:snapToGrid/>
            <w:spacing w:line="480" w:lineRule="auto"/>
            <w:textAlignment w:val="auto"/>
            <w:rPr>
              <w:sz w:val="28"/>
              <w:szCs w:val="28"/>
              <w:highlight w:val="none"/>
            </w:rPr>
          </w:pPr>
          <w:r>
            <w:rPr>
              <w:sz w:val="21"/>
              <w:szCs w:val="21"/>
              <w:highlight w:val="none"/>
            </w:rPr>
            <w:fldChar w:fldCharType="begin"/>
          </w:r>
          <w:r>
            <w:rPr>
              <w:sz w:val="21"/>
              <w:szCs w:val="21"/>
              <w:highlight w:val="none"/>
            </w:rPr>
            <w:instrText xml:space="preserve"> HYPERLINK \l "_Toc6879" </w:instrText>
          </w:r>
          <w:r>
            <w:rPr>
              <w:sz w:val="21"/>
              <w:szCs w:val="21"/>
              <w:highlight w:val="none"/>
            </w:rPr>
            <w:fldChar w:fldCharType="separate"/>
          </w:r>
          <w:r>
            <w:rPr>
              <w:rFonts w:hint="eastAsia" w:ascii="仿宋" w:hAnsi="仿宋" w:eastAsia="仿宋" w:cs="仿宋"/>
              <w:sz w:val="28"/>
              <w:szCs w:val="44"/>
              <w:highlight w:val="none"/>
            </w:rPr>
            <w:t>第六部分  投标文件格式</w:t>
          </w:r>
          <w:r>
            <w:rPr>
              <w:sz w:val="28"/>
              <w:szCs w:val="28"/>
              <w:highlight w:val="none"/>
            </w:rPr>
            <w:tab/>
          </w:r>
          <w:r>
            <w:rPr>
              <w:rFonts w:hint="eastAsia"/>
              <w:sz w:val="28"/>
              <w:szCs w:val="28"/>
              <w:highlight w:val="none"/>
            </w:rPr>
            <w:t>3</w:t>
          </w:r>
          <w:r>
            <w:rPr>
              <w:rFonts w:hint="eastAsia"/>
              <w:sz w:val="28"/>
              <w:szCs w:val="28"/>
              <w:highlight w:val="none"/>
            </w:rPr>
            <w:fldChar w:fldCharType="end"/>
          </w:r>
          <w:r>
            <w:rPr>
              <w:rFonts w:hint="eastAsia"/>
              <w:sz w:val="28"/>
              <w:szCs w:val="28"/>
              <w:highlight w:val="none"/>
            </w:rPr>
            <w:t>9</w:t>
          </w:r>
        </w:p>
        <w:p w14:paraId="24F5C2E6">
          <w:pPr>
            <w:keepNext w:val="0"/>
            <w:keepLines w:val="0"/>
            <w:pageBreakBefore w:val="0"/>
            <w:widowControl w:val="0"/>
            <w:kinsoku/>
            <w:wordWrap/>
            <w:overflowPunct/>
            <w:topLinePunct w:val="0"/>
            <w:autoSpaceDE/>
            <w:autoSpaceDN/>
            <w:bidi w:val="0"/>
            <w:adjustRightInd/>
            <w:snapToGrid/>
            <w:spacing w:line="480" w:lineRule="auto"/>
            <w:textAlignment w:val="auto"/>
            <w:rPr>
              <w:highlight w:val="none"/>
            </w:rPr>
          </w:pPr>
          <w:r>
            <w:rPr>
              <w:sz w:val="28"/>
              <w:szCs w:val="28"/>
              <w:highlight w:val="none"/>
            </w:rPr>
            <w:fldChar w:fldCharType="end"/>
          </w:r>
        </w:p>
      </w:sdtContent>
    </w:sdt>
    <w:p w14:paraId="35643E38">
      <w:pPr>
        <w:rPr>
          <w:highlight w:val="none"/>
        </w:rPr>
      </w:pPr>
    </w:p>
    <w:p w14:paraId="6AB075F8">
      <w:pPr>
        <w:pStyle w:val="18"/>
        <w:tabs>
          <w:tab w:val="right" w:leader="dot" w:pos="9070"/>
          <w:tab w:val="clear" w:pos="8720"/>
        </w:tabs>
        <w:rPr>
          <w:rFonts w:ascii="仿宋" w:hAnsi="仿宋" w:eastAsia="仿宋" w:cs="仿宋"/>
          <w:szCs w:val="21"/>
          <w:highlight w:val="none"/>
        </w:rPr>
      </w:pPr>
      <w:r>
        <w:rPr>
          <w:rFonts w:hint="eastAsia" w:ascii="仿宋" w:hAnsi="仿宋" w:eastAsia="仿宋" w:cs="仿宋"/>
          <w:szCs w:val="21"/>
          <w:highlight w:val="none"/>
        </w:rPr>
        <w:fldChar w:fldCharType="end"/>
      </w:r>
    </w:p>
    <w:p w14:paraId="5A37681C">
      <w:pPr>
        <w:rPr>
          <w:rFonts w:ascii="仿宋" w:hAnsi="仿宋" w:eastAsia="仿宋" w:cs="仿宋"/>
          <w:szCs w:val="21"/>
          <w:highlight w:val="none"/>
        </w:rPr>
      </w:pPr>
    </w:p>
    <w:p w14:paraId="71F33CF0">
      <w:pPr>
        <w:widowControl/>
        <w:jc w:val="left"/>
        <w:rPr>
          <w:rFonts w:ascii="仿宋" w:hAnsi="仿宋" w:eastAsia="仿宋" w:cs="仿宋"/>
          <w:b/>
          <w:sz w:val="30"/>
          <w:szCs w:val="30"/>
          <w:highlight w:val="none"/>
        </w:rPr>
      </w:pPr>
      <w:r>
        <w:rPr>
          <w:rFonts w:ascii="仿宋" w:hAnsi="仿宋" w:eastAsia="仿宋" w:cs="仿宋"/>
          <w:b/>
          <w:sz w:val="30"/>
          <w:szCs w:val="30"/>
          <w:highlight w:val="none"/>
        </w:rPr>
        <w:br w:type="page"/>
      </w:r>
    </w:p>
    <w:p w14:paraId="0CF41F64">
      <w:pPr>
        <w:adjustRightInd w:val="0"/>
        <w:snapToGrid w:val="0"/>
        <w:spacing w:before="120" w:beforeLines="50" w:after="120" w:afterLines="50" w:line="360" w:lineRule="auto"/>
        <w:jc w:val="center"/>
        <w:outlineLvl w:val="0"/>
        <w:rPr>
          <w:rFonts w:ascii="仿宋" w:hAnsi="仿宋" w:eastAsia="仿宋" w:cs="仿宋"/>
          <w:b/>
          <w:sz w:val="36"/>
          <w:szCs w:val="36"/>
          <w:highlight w:val="none"/>
        </w:rPr>
      </w:pPr>
      <w:bookmarkStart w:id="1" w:name="_Toc31471"/>
      <w:bookmarkStart w:id="2" w:name="_Toc13392"/>
      <w:bookmarkStart w:id="3" w:name="_Toc24895"/>
      <w:r>
        <w:rPr>
          <w:rFonts w:hint="eastAsia" w:ascii="仿宋" w:hAnsi="仿宋" w:eastAsia="仿宋" w:cs="仿宋"/>
          <w:b/>
          <w:sz w:val="36"/>
          <w:szCs w:val="36"/>
          <w:highlight w:val="none"/>
        </w:rPr>
        <w:t xml:space="preserve">第一部分  </w:t>
      </w:r>
      <w:r>
        <w:rPr>
          <w:rFonts w:hint="eastAsia" w:ascii="仿宋" w:hAnsi="仿宋" w:eastAsia="仿宋" w:cs="仿宋"/>
          <w:b/>
          <w:sz w:val="36"/>
          <w:szCs w:val="36"/>
          <w:highlight w:val="none"/>
          <w:lang w:eastAsia="zh-CN"/>
        </w:rPr>
        <w:t>招标</w:t>
      </w:r>
      <w:r>
        <w:rPr>
          <w:rFonts w:hint="eastAsia" w:ascii="仿宋" w:hAnsi="仿宋" w:eastAsia="仿宋" w:cs="仿宋"/>
          <w:b/>
          <w:sz w:val="36"/>
          <w:szCs w:val="36"/>
          <w:highlight w:val="none"/>
        </w:rPr>
        <w:t>公告</w:t>
      </w:r>
      <w:bookmarkEnd w:id="0"/>
      <w:bookmarkEnd w:id="1"/>
      <w:bookmarkEnd w:id="2"/>
      <w:bookmarkEnd w:id="3"/>
    </w:p>
    <w:p w14:paraId="12102B7F">
      <w:pPr>
        <w:pBdr>
          <w:top w:val="single" w:color="auto" w:sz="4" w:space="1"/>
          <w:left w:val="single" w:color="auto" w:sz="4" w:space="4"/>
          <w:bottom w:val="single" w:color="auto" w:sz="4" w:space="1"/>
          <w:right w:val="single" w:color="auto" w:sz="4" w:space="4"/>
        </w:pBdr>
        <w:spacing w:line="480" w:lineRule="exact"/>
        <w:outlineLvl w:val="0"/>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pPr>
      <w:bookmarkStart w:id="4" w:name="_Toc7704"/>
      <w:r>
        <w:rPr>
          <w:rFonts w:hint="eastAsia" w:asciiTheme="minorEastAsia" w:hAnsiTheme="minorEastAsia" w:eastAsiaTheme="minorEastAsia" w:cstheme="minorEastAsia"/>
          <w:sz w:val="28"/>
          <w:szCs w:val="28"/>
          <w:highlight w:val="none"/>
        </w:rPr>
        <w:t>项目概况</w:t>
      </w:r>
      <w:bookmarkEnd w:id="4"/>
    </w:p>
    <w:p w14:paraId="018A0EA7">
      <w:pPr>
        <w:pBdr>
          <w:top w:val="single" w:color="auto" w:sz="4" w:space="1"/>
          <w:left w:val="single" w:color="auto" w:sz="4" w:space="4"/>
          <w:bottom w:val="single" w:color="auto" w:sz="4" w:space="1"/>
          <w:right w:val="single" w:color="auto" w:sz="4" w:space="4"/>
        </w:pBdr>
        <w:spacing w:line="480" w:lineRule="exact"/>
        <w:ind w:firstLine="482" w:firstLineChars="200"/>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pPr>
    </w:p>
    <w:p w14:paraId="194A1379">
      <w:pPr>
        <w:pBdr>
          <w:top w:val="single" w:color="auto" w:sz="4" w:space="1"/>
          <w:left w:val="single" w:color="auto" w:sz="4" w:space="4"/>
          <w:bottom w:val="single" w:color="auto" w:sz="4" w:space="1"/>
          <w:right w:val="single" w:color="auto" w:sz="4" w:space="4"/>
        </w:pBdr>
        <w:spacing w:line="480" w:lineRule="exact"/>
        <w:ind w:firstLine="482"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新疆维吾尔自治区天山东部国有林管理局哈密分局2026年森林生态修复项目一森林管护服务</w:t>
      </w:r>
      <w:r>
        <w:rPr>
          <w:rFonts w:hint="eastAsia" w:asciiTheme="minorEastAsia" w:hAnsiTheme="minorEastAsia" w:eastAsiaTheme="minorEastAsia" w:cstheme="minorEastAsia"/>
          <w:sz w:val="24"/>
          <w:highlight w:val="none"/>
        </w:rPr>
        <w:t>的潜在供应商应在政采云平台线上获取招标文件，并于</w:t>
      </w:r>
      <w:r>
        <w:rPr>
          <w:rFonts w:hint="eastAsia" w:asciiTheme="minorEastAsia" w:hAnsiTheme="minorEastAsia" w:eastAsiaTheme="minorEastAsia" w:cstheme="minorEastAsia"/>
          <w:b/>
          <w:bCs/>
          <w:sz w:val="24"/>
          <w:highlight w:val="none"/>
        </w:rPr>
        <w:t>202</w:t>
      </w:r>
      <w:r>
        <w:rPr>
          <w:rFonts w:hint="eastAsia" w:asciiTheme="minorEastAsia" w:hAnsiTheme="minorEastAsia" w:eastAsiaTheme="minorEastAsia" w:cstheme="minorEastAsia"/>
          <w:b/>
          <w:bCs/>
          <w:sz w:val="24"/>
          <w:highlight w:val="none"/>
          <w:lang w:val="en-US" w:eastAsia="zh-CN"/>
        </w:rPr>
        <w:t>6</w:t>
      </w:r>
      <w:r>
        <w:rPr>
          <w:rFonts w:hint="eastAsia" w:asciiTheme="minorEastAsia" w:hAnsiTheme="minorEastAsia" w:eastAsiaTheme="minorEastAsia" w:cstheme="minorEastAsia"/>
          <w:b/>
          <w:bCs/>
          <w:sz w:val="24"/>
          <w:highlight w:val="none"/>
        </w:rPr>
        <w:t>年</w:t>
      </w:r>
      <w:r>
        <w:rPr>
          <w:rFonts w:hint="eastAsia" w:asciiTheme="minorEastAsia" w:hAnsiTheme="minorEastAsia" w:eastAsiaTheme="minorEastAsia" w:cstheme="minorEastAsia"/>
          <w:b/>
          <w:bCs/>
          <w:sz w:val="24"/>
          <w:highlight w:val="none"/>
          <w:lang w:val="en-US" w:eastAsia="zh-CN"/>
        </w:rPr>
        <w:t>06</w:t>
      </w:r>
      <w:r>
        <w:rPr>
          <w:rFonts w:hint="eastAsia" w:asciiTheme="minorEastAsia" w:hAnsiTheme="minorEastAsia" w:eastAsiaTheme="minorEastAsia" w:cstheme="minorEastAsia"/>
          <w:b/>
          <w:bCs/>
          <w:sz w:val="24"/>
          <w:highlight w:val="none"/>
        </w:rPr>
        <w:t>月</w:t>
      </w:r>
      <w:r>
        <w:rPr>
          <w:rFonts w:hint="eastAsia" w:asciiTheme="minorEastAsia" w:hAnsiTheme="minorEastAsia" w:eastAsiaTheme="minorEastAsia" w:cstheme="minorEastAsia"/>
          <w:b/>
          <w:bCs/>
          <w:sz w:val="24"/>
          <w:highlight w:val="none"/>
          <w:lang w:val="en-US" w:eastAsia="zh-CN"/>
        </w:rPr>
        <w:t>25</w:t>
      </w:r>
      <w:r>
        <w:rPr>
          <w:rFonts w:hint="eastAsia" w:asciiTheme="minorEastAsia" w:hAnsiTheme="minorEastAsia" w:eastAsiaTheme="minorEastAsia" w:cstheme="minorEastAsia"/>
          <w:b/>
          <w:bCs/>
          <w:sz w:val="24"/>
          <w:highlight w:val="none"/>
        </w:rPr>
        <w:t>日</w:t>
      </w:r>
      <w:r>
        <w:rPr>
          <w:rFonts w:hint="eastAsia" w:asciiTheme="minorEastAsia" w:hAnsiTheme="minorEastAsia" w:eastAsiaTheme="minorEastAsia" w:cstheme="minorEastAsia"/>
          <w:b/>
          <w:bCs/>
          <w:sz w:val="24"/>
          <w:highlight w:val="none"/>
          <w:lang w:val="en-US" w:eastAsia="zh-CN"/>
        </w:rPr>
        <w:t>10:00</w:t>
      </w:r>
      <w:r>
        <w:rPr>
          <w:rFonts w:hint="eastAsia" w:asciiTheme="minorEastAsia" w:hAnsiTheme="minorEastAsia" w:eastAsiaTheme="minorEastAsia" w:cstheme="minorEastAsia"/>
          <w:sz w:val="24"/>
          <w:highlight w:val="none"/>
        </w:rPr>
        <w:t>（北京时间）前递交（上传）投标文件。</w:t>
      </w:r>
      <w:bookmarkStart w:id="5" w:name="_Toc3502"/>
    </w:p>
    <w:p w14:paraId="4BFBDBCB">
      <w:pPr>
        <w:pStyle w:val="4"/>
        <w:adjustRightInd w:val="0"/>
        <w:snapToGrid w:val="0"/>
        <w:spacing w:before="0" w:beforeAutospacing="0" w:after="0" w:afterAutospacing="0" w:line="480" w:lineRule="auto"/>
        <w:ind w:firstLine="482" w:firstLineChars="200"/>
        <w:outlineLvl w:val="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一、项目基本情况</w:t>
      </w:r>
      <w:bookmarkEnd w:id="5"/>
    </w:p>
    <w:p w14:paraId="027491FB">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highlight w:val="none"/>
        </w:rPr>
        <w:t>项目编号：</w:t>
      </w:r>
      <w:r>
        <w:rPr>
          <w:rFonts w:hint="eastAsia" w:asciiTheme="minorEastAsia" w:hAnsiTheme="minorEastAsia" w:eastAsiaTheme="minorEastAsia" w:cstheme="minorEastAsia"/>
          <w:color w:val="auto"/>
          <w:sz w:val="24"/>
          <w:highlight w:val="none"/>
          <w:lang w:eastAsia="zh-CN"/>
        </w:rPr>
        <w:t>XJMTZBCG(2026)-026</w:t>
      </w:r>
    </w:p>
    <w:p w14:paraId="5B247AE4">
      <w:pPr>
        <w:pStyle w:val="4"/>
        <w:adjustRightInd w:val="0"/>
        <w:snapToGrid w:val="0"/>
        <w:spacing w:before="0" w:beforeAutospacing="0" w:after="0" w:afterAutospacing="0" w:line="360" w:lineRule="auto"/>
        <w:ind w:left="1679" w:leftChars="228" w:hanging="1200" w:hangingChars="5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sz w:val="24"/>
          <w:highlight w:val="none"/>
        </w:rPr>
        <w:t>项目名称：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新疆维吾尔自治区天山东部国有林管理局哈密分局2026年森林生态修复项目一森林管护服务</w:t>
      </w:r>
    </w:p>
    <w:p w14:paraId="33641692">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采购方式：公开招标</w:t>
      </w:r>
    </w:p>
    <w:p w14:paraId="0ADAF485">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预算金额（元）：</w:t>
      </w:r>
      <w:r>
        <w:rPr>
          <w:rFonts w:hint="eastAsia" w:asciiTheme="minorEastAsia" w:hAnsiTheme="minorEastAsia" w:eastAsiaTheme="minorEastAsia" w:cstheme="minorEastAsia"/>
          <w:sz w:val="24"/>
          <w:highlight w:val="none"/>
          <w:lang w:val="en-US" w:eastAsia="zh-CN"/>
        </w:rPr>
        <w:t>4101600</w:t>
      </w:r>
      <w:r>
        <w:rPr>
          <w:rFonts w:hint="eastAsia" w:asciiTheme="minorEastAsia" w:hAnsiTheme="minorEastAsia" w:eastAsiaTheme="minorEastAsia" w:cstheme="minorEastAsia"/>
          <w:sz w:val="24"/>
          <w:highlight w:val="none"/>
        </w:rPr>
        <w:t>.00</w:t>
      </w:r>
      <w:r>
        <w:rPr>
          <w:rFonts w:hint="eastAsia" w:asciiTheme="minorEastAsia" w:hAnsiTheme="minorEastAsia" w:eastAsiaTheme="minorEastAsia" w:cstheme="minorEastAsia"/>
          <w:sz w:val="24"/>
          <w:highlight w:val="none"/>
          <w:lang w:eastAsia="zh-CN"/>
        </w:rPr>
        <w:t>元</w:t>
      </w:r>
    </w:p>
    <w:p w14:paraId="0147900D">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最高限价（元）：</w:t>
      </w:r>
      <w:r>
        <w:rPr>
          <w:rFonts w:hint="eastAsia" w:asciiTheme="minorEastAsia" w:hAnsiTheme="minorEastAsia" w:eastAsiaTheme="minorEastAsia" w:cstheme="minorEastAsia"/>
          <w:sz w:val="24"/>
          <w:highlight w:val="none"/>
          <w:lang w:val="en-US" w:eastAsia="zh-CN"/>
        </w:rPr>
        <w:t>4101600</w:t>
      </w:r>
      <w:r>
        <w:rPr>
          <w:rFonts w:hint="eastAsia" w:asciiTheme="minorEastAsia" w:hAnsiTheme="minorEastAsia" w:eastAsiaTheme="minorEastAsia" w:cstheme="minorEastAsia"/>
          <w:sz w:val="24"/>
          <w:highlight w:val="none"/>
        </w:rPr>
        <w:t>.00</w:t>
      </w:r>
      <w:r>
        <w:rPr>
          <w:rFonts w:hint="eastAsia" w:asciiTheme="minorEastAsia" w:hAnsiTheme="minorEastAsia" w:eastAsiaTheme="minorEastAsia" w:cstheme="minorEastAsia"/>
          <w:sz w:val="24"/>
          <w:highlight w:val="none"/>
          <w:lang w:eastAsia="zh-CN"/>
        </w:rPr>
        <w:t>元</w:t>
      </w:r>
    </w:p>
    <w:p w14:paraId="27E34C3D">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采购需求：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补充管护队伍，稳步推进林业生态建设，提高就业率（具体内容详见第三部分采购需求）。</w:t>
      </w:r>
    </w:p>
    <w:p w14:paraId="01D9EF80">
      <w:pPr>
        <w:pStyle w:val="4"/>
        <w:adjustRightInd w:val="0"/>
        <w:snapToGrid w:val="0"/>
        <w:spacing w:before="0" w:beforeAutospacing="0" w:after="0" w:afterAutospacing="0" w:line="360" w:lineRule="auto"/>
        <w:ind w:firstLine="480" w:firstLineChars="200"/>
        <w:rPr>
          <w:rFonts w:hint="default"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合同履约期限：</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一年。</w:t>
      </w:r>
    </w:p>
    <w:p w14:paraId="13740C95">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本项目</w:t>
      </w:r>
      <w:r>
        <w:rPr>
          <w:rFonts w:hint="eastAsia" w:asciiTheme="minorEastAsia" w:hAnsiTheme="minorEastAsia" w:eastAsiaTheme="minorEastAsia" w:cstheme="minorEastAsia"/>
          <w:sz w:val="24"/>
          <w:highlight w:val="none"/>
          <w:lang w:eastAsia="zh-CN"/>
        </w:rPr>
        <w:t>不</w:t>
      </w:r>
      <w:r>
        <w:rPr>
          <w:rFonts w:hint="eastAsia" w:asciiTheme="minorEastAsia" w:hAnsiTheme="minorEastAsia" w:eastAsiaTheme="minorEastAsia" w:cstheme="minorEastAsia"/>
          <w:sz w:val="24"/>
          <w:highlight w:val="none"/>
        </w:rPr>
        <w:t>接受联合体投标。</w:t>
      </w:r>
      <w:bookmarkStart w:id="6" w:name="_Toc15607"/>
    </w:p>
    <w:p w14:paraId="44FDC683">
      <w:pPr>
        <w:pStyle w:val="4"/>
        <w:adjustRightInd w:val="0"/>
        <w:snapToGrid w:val="0"/>
        <w:spacing w:before="0" w:beforeAutospacing="0" w:after="0" w:afterAutospacing="0" w:line="480" w:lineRule="auto"/>
        <w:ind w:firstLine="482" w:firstLineChars="200"/>
        <w:outlineLvl w:val="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二、申请人的资格要求：</w:t>
      </w:r>
      <w:bookmarkEnd w:id="6"/>
    </w:p>
    <w:p w14:paraId="59C5A9CA">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14:paraId="56F102FC">
      <w:pPr>
        <w:pStyle w:val="4"/>
        <w:adjustRightInd w:val="0"/>
        <w:snapToGrid w:val="0"/>
        <w:spacing w:before="0" w:beforeAutospacing="0" w:after="0" w:afterAutospacing="0" w:line="360" w:lineRule="auto"/>
        <w:ind w:left="479" w:leftChars="228"/>
        <w:rPr>
          <w:rFonts w:hint="eastAsia" w:asciiTheme="minorEastAsia" w:hAnsiTheme="minorEastAsia" w:eastAsiaTheme="minorEastAsia" w:cstheme="minorEastAsia"/>
          <w:color w:val="0000FF"/>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color w:val="0000FF"/>
          <w:sz w:val="24"/>
          <w:highlight w:val="none"/>
        </w:rPr>
        <w:t>.</w:t>
      </w:r>
      <w:r>
        <w:rPr>
          <w:rFonts w:hint="eastAsia" w:asciiTheme="minorEastAsia" w:hAnsiTheme="minorEastAsia" w:eastAsiaTheme="minorEastAsia" w:cstheme="minorEastAsia"/>
          <w:sz w:val="24"/>
          <w:highlight w:val="none"/>
        </w:rPr>
        <w:t>落实政府采购政策需满足的资格要求：供应商为</w:t>
      </w:r>
      <w:r>
        <w:rPr>
          <w:rFonts w:hint="eastAsia" w:asciiTheme="minorEastAsia" w:hAnsiTheme="minorEastAsia" w:eastAsiaTheme="minorEastAsia" w:cstheme="minorEastAsia"/>
          <w:sz w:val="24"/>
          <w:highlight w:val="none"/>
          <w:lang w:eastAsia="zh-CN"/>
        </w:rPr>
        <w:t>小微</w:t>
      </w:r>
      <w:r>
        <w:rPr>
          <w:rFonts w:hint="eastAsia" w:asciiTheme="minorEastAsia" w:hAnsiTheme="minorEastAsia" w:eastAsiaTheme="minorEastAsia" w:cstheme="minorEastAsia"/>
          <w:sz w:val="24"/>
          <w:highlight w:val="none"/>
        </w:rPr>
        <w:t>企业</w:t>
      </w:r>
    </w:p>
    <w:p w14:paraId="578D43F5">
      <w:pPr>
        <w:pStyle w:val="4"/>
        <w:adjustRightInd w:val="0"/>
        <w:snapToGrid w:val="0"/>
        <w:spacing w:before="0" w:beforeAutospacing="0" w:after="0" w:afterAutospacing="0" w:line="360" w:lineRule="auto"/>
        <w:ind w:left="479" w:leftChars="228"/>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3.本项目的特定资格要求：</w:t>
      </w:r>
      <w:r>
        <w:rPr>
          <w:rFonts w:hint="eastAsia" w:asciiTheme="minorEastAsia" w:hAnsiTheme="minorEastAsia" w:eastAsiaTheme="minorEastAsia" w:cstheme="minorEastAsia"/>
          <w:sz w:val="24"/>
          <w:highlight w:val="none"/>
          <w:lang w:val="en-US" w:eastAsia="zh-CN"/>
        </w:rPr>
        <w:t>具有有效的《劳务派遣经营许可证》和《人力资源服务许可证》</w:t>
      </w:r>
    </w:p>
    <w:p w14:paraId="4F59C700">
      <w:pPr>
        <w:pStyle w:val="4"/>
        <w:adjustRightInd w:val="0"/>
        <w:snapToGrid w:val="0"/>
        <w:spacing w:before="0" w:beforeAutospacing="0" w:after="0" w:afterAutospacing="0" w:line="360" w:lineRule="auto"/>
        <w:ind w:left="479" w:leftChars="228"/>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单位负责人为同一人或者存在控股、管理关系的不同供应商，不得参加同一合同项下的政府采购活动（供应商提供相关内容承诺或者说明等证明材料）；</w:t>
      </w:r>
    </w:p>
    <w:p w14:paraId="2AF0543E">
      <w:pPr>
        <w:pStyle w:val="4"/>
        <w:adjustRightInd w:val="0"/>
        <w:snapToGrid w:val="0"/>
        <w:spacing w:before="0" w:beforeAutospacing="0" w:after="0" w:afterAutospacing="0" w:line="360" w:lineRule="auto"/>
        <w:ind w:firstLine="482" w:firstLineChars="200"/>
        <w:outlineLvl w:val="0"/>
        <w:rPr>
          <w:rFonts w:hint="eastAsia" w:asciiTheme="minorEastAsia" w:hAnsiTheme="minorEastAsia" w:eastAsiaTheme="minorEastAsia" w:cstheme="minorEastAsia"/>
          <w:b/>
          <w:sz w:val="24"/>
          <w:highlight w:val="none"/>
        </w:rPr>
      </w:pPr>
      <w:bookmarkStart w:id="7" w:name="_Toc9129"/>
      <w:r>
        <w:rPr>
          <w:rFonts w:hint="eastAsia" w:asciiTheme="minorEastAsia" w:hAnsiTheme="minorEastAsia" w:eastAsiaTheme="minorEastAsia" w:cstheme="minorEastAsia"/>
          <w:b/>
          <w:sz w:val="24"/>
          <w:highlight w:val="none"/>
        </w:rPr>
        <w:t>三、获取招标文件</w:t>
      </w:r>
      <w:bookmarkEnd w:id="7"/>
    </w:p>
    <w:p w14:paraId="2AE64EB4">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时间：202</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06</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04</w:t>
      </w:r>
      <w:r>
        <w:rPr>
          <w:rFonts w:hint="eastAsia" w:asciiTheme="minorEastAsia" w:hAnsiTheme="minorEastAsia" w:eastAsiaTheme="minorEastAsia" w:cstheme="minorEastAsia"/>
          <w:sz w:val="24"/>
          <w:highlight w:val="none"/>
        </w:rPr>
        <w:t>日至202</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06</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11</w:t>
      </w:r>
      <w:r>
        <w:rPr>
          <w:rFonts w:hint="eastAsia" w:asciiTheme="minorEastAsia" w:hAnsiTheme="minorEastAsia" w:eastAsiaTheme="minorEastAsia" w:cstheme="minorEastAsia"/>
          <w:sz w:val="24"/>
          <w:highlight w:val="none"/>
        </w:rPr>
        <w:t>日，每天上午09:30至13:30，下午1</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0至</w:t>
      </w:r>
      <w:r>
        <w:rPr>
          <w:rFonts w:hint="eastAsia" w:asciiTheme="minorEastAsia" w:hAnsiTheme="minorEastAsia" w:eastAsiaTheme="minorEastAsia" w:cstheme="minorEastAsia"/>
          <w:sz w:val="24"/>
          <w:highlight w:val="none"/>
          <w:lang w:val="en-US" w:eastAsia="zh-CN"/>
        </w:rPr>
        <w:t>20</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0（北京时间，法定节假日除外）</w:t>
      </w:r>
    </w:p>
    <w:p w14:paraId="0B98DA8E">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地点：政采云平台线上获取（https://www.zcygov.cn/）</w:t>
      </w:r>
    </w:p>
    <w:p w14:paraId="6CC06418">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方式：供应商登录政采云平台https://www.zcygov.cn/在线申请获取采购文件（进入“项目采购”应用，在获取采购文件菜单中选择项目，申请获取采购文件）。</w:t>
      </w:r>
    </w:p>
    <w:p w14:paraId="031C4849">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售价（元）：0</w:t>
      </w:r>
      <w:bookmarkStart w:id="8" w:name="_Toc1503"/>
    </w:p>
    <w:p w14:paraId="1D5A0838">
      <w:pPr>
        <w:pStyle w:val="4"/>
        <w:adjustRightInd w:val="0"/>
        <w:snapToGrid w:val="0"/>
        <w:spacing w:before="0" w:beforeAutospacing="0" w:after="0" w:afterAutospacing="0" w:line="480" w:lineRule="auto"/>
        <w:ind w:firstLine="482" w:firstLineChars="200"/>
        <w:outlineLvl w:val="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四、提交投标文件截止时间、开标时间和地点</w:t>
      </w:r>
      <w:bookmarkEnd w:id="8"/>
    </w:p>
    <w:p w14:paraId="217610F6">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sz w:val="24"/>
          <w:highlight w:val="none"/>
        </w:rPr>
        <w:t>提交投标文件截止时间：</w:t>
      </w:r>
      <w:r>
        <w:rPr>
          <w:rFonts w:hint="eastAsia" w:asciiTheme="minorEastAsia" w:hAnsiTheme="minorEastAsia" w:eastAsiaTheme="minorEastAsia" w:cstheme="minorEastAsia"/>
          <w:sz w:val="24"/>
          <w:highlight w:val="none"/>
          <w:lang w:eastAsia="zh-CN"/>
        </w:rPr>
        <w:t>2026年0</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lang w:eastAsia="zh-CN"/>
        </w:rPr>
        <w:t>月</w:t>
      </w:r>
      <w:r>
        <w:rPr>
          <w:rFonts w:hint="eastAsia" w:asciiTheme="minorEastAsia" w:hAnsiTheme="minorEastAsia" w:eastAsiaTheme="minorEastAsia" w:cstheme="minorEastAsia"/>
          <w:sz w:val="24"/>
          <w:highlight w:val="none"/>
          <w:lang w:val="en-US" w:eastAsia="zh-CN"/>
        </w:rPr>
        <w:t>25</w:t>
      </w:r>
      <w:r>
        <w:rPr>
          <w:rFonts w:hint="eastAsia" w:asciiTheme="minorEastAsia" w:hAnsiTheme="minorEastAsia" w:eastAsiaTheme="minorEastAsia" w:cstheme="minorEastAsia"/>
          <w:sz w:val="24"/>
          <w:highlight w:val="none"/>
          <w:lang w:eastAsia="zh-CN"/>
        </w:rPr>
        <w:t>日</w:t>
      </w:r>
      <w:r>
        <w:rPr>
          <w:rFonts w:hint="eastAsia" w:asciiTheme="minorEastAsia" w:hAnsiTheme="minorEastAsia" w:eastAsiaTheme="minorEastAsia" w:cstheme="minorEastAsia"/>
          <w:sz w:val="24"/>
          <w:highlight w:val="none"/>
          <w:lang w:val="en-US" w:eastAsia="zh-CN"/>
        </w:rPr>
        <w:t>10:00</w:t>
      </w:r>
      <w:r>
        <w:rPr>
          <w:rFonts w:hint="eastAsia" w:asciiTheme="minorEastAsia" w:hAnsiTheme="minorEastAsia" w:eastAsiaTheme="minorEastAsia" w:cstheme="minorEastAsia"/>
          <w:sz w:val="24"/>
          <w:highlight w:val="none"/>
        </w:rPr>
        <w:t>（北京时间）</w:t>
      </w:r>
    </w:p>
    <w:p w14:paraId="2FE7F2ED">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投标地点：政采云（https://www.zcygov.cn/）不见面开标大厅</w:t>
      </w:r>
    </w:p>
    <w:p w14:paraId="0131B21D">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sz w:val="24"/>
          <w:highlight w:val="none"/>
        </w:rPr>
        <w:t>开标时间：</w:t>
      </w:r>
      <w:r>
        <w:rPr>
          <w:rFonts w:hint="eastAsia" w:asciiTheme="minorEastAsia" w:hAnsiTheme="minorEastAsia" w:eastAsiaTheme="minorEastAsia" w:cstheme="minorEastAsia"/>
          <w:sz w:val="24"/>
          <w:highlight w:val="none"/>
          <w:lang w:eastAsia="zh-CN"/>
        </w:rPr>
        <w:t>2026年0</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lang w:eastAsia="zh-CN"/>
        </w:rPr>
        <w:t>月</w:t>
      </w:r>
      <w:r>
        <w:rPr>
          <w:rFonts w:hint="eastAsia" w:asciiTheme="minorEastAsia" w:hAnsiTheme="minorEastAsia" w:eastAsiaTheme="minorEastAsia" w:cstheme="minorEastAsia"/>
          <w:sz w:val="24"/>
          <w:highlight w:val="none"/>
          <w:lang w:val="en-US" w:eastAsia="zh-CN"/>
        </w:rPr>
        <w:t>25</w:t>
      </w:r>
      <w:r>
        <w:rPr>
          <w:rFonts w:hint="eastAsia" w:asciiTheme="minorEastAsia" w:hAnsiTheme="minorEastAsia" w:eastAsiaTheme="minorEastAsia" w:cstheme="minorEastAsia"/>
          <w:sz w:val="24"/>
          <w:highlight w:val="none"/>
          <w:lang w:eastAsia="zh-CN"/>
        </w:rPr>
        <w:t>日</w:t>
      </w:r>
      <w:r>
        <w:rPr>
          <w:rFonts w:hint="eastAsia" w:asciiTheme="minorEastAsia" w:hAnsiTheme="minorEastAsia" w:eastAsiaTheme="minorEastAsia" w:cstheme="minorEastAsia"/>
          <w:sz w:val="24"/>
          <w:highlight w:val="none"/>
          <w:lang w:val="en-US" w:eastAsia="zh-CN"/>
        </w:rPr>
        <w:t>10:00</w:t>
      </w:r>
      <w:r>
        <w:rPr>
          <w:rFonts w:hint="eastAsia" w:asciiTheme="minorEastAsia" w:hAnsiTheme="minorEastAsia" w:eastAsiaTheme="minorEastAsia" w:cstheme="minorEastAsia"/>
          <w:sz w:val="24"/>
          <w:highlight w:val="none"/>
        </w:rPr>
        <w:t>（北京时间）</w:t>
      </w:r>
    </w:p>
    <w:p w14:paraId="61DA8123">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开标地点：政采云（https://www.zcygov.cn/）不见面开标大厅</w:t>
      </w:r>
      <w:bookmarkStart w:id="9" w:name="_Toc138"/>
    </w:p>
    <w:p w14:paraId="7A21F11B">
      <w:pPr>
        <w:pStyle w:val="4"/>
        <w:adjustRightInd w:val="0"/>
        <w:snapToGrid w:val="0"/>
        <w:spacing w:before="0" w:beforeAutospacing="0" w:after="0" w:afterAutospacing="0" w:line="480" w:lineRule="auto"/>
        <w:ind w:firstLine="482" w:firstLineChars="200"/>
        <w:outlineLvl w:val="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五、公告期限</w:t>
      </w:r>
      <w:bookmarkEnd w:id="9"/>
    </w:p>
    <w:p w14:paraId="5BAA7910">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自本公告发布之日起5个工作日。</w:t>
      </w:r>
      <w:bookmarkStart w:id="10" w:name="_Toc16399"/>
    </w:p>
    <w:p w14:paraId="0E2BD212">
      <w:pPr>
        <w:pStyle w:val="4"/>
        <w:adjustRightInd w:val="0"/>
        <w:snapToGrid w:val="0"/>
        <w:spacing w:before="0" w:beforeAutospacing="0" w:after="0" w:afterAutospacing="0" w:line="480" w:lineRule="auto"/>
        <w:ind w:firstLine="482" w:firstLineChars="200"/>
        <w:outlineLvl w:val="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六、其他补充事宜</w:t>
      </w:r>
      <w:bookmarkEnd w:id="10"/>
    </w:p>
    <w:p w14:paraId="61C9E5C9">
      <w:pPr>
        <w:pStyle w:val="4"/>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auto"/>
        <w:ind w:left="0" w:right="0" w:firstLine="210" w:firstLineChars="10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1"/>
          <w:szCs w:val="21"/>
        </w:rPr>
        <w:t> </w:t>
      </w:r>
      <w:r>
        <w:rPr>
          <w:rFonts w:hint="eastAsia" w:asciiTheme="minorEastAsia" w:hAnsiTheme="minorEastAsia" w:eastAsiaTheme="minorEastAsia" w:cstheme="minorEastAsia"/>
          <w:i w:val="0"/>
          <w:iCs w:val="0"/>
          <w:caps w:val="0"/>
          <w:color w:val="000000"/>
          <w:spacing w:val="0"/>
          <w:sz w:val="24"/>
          <w:szCs w:val="24"/>
        </w:rPr>
        <w:t>1、本项目实行网上投标，采用电子投标文件。</w:t>
      </w:r>
    </w:p>
    <w:p w14:paraId="662DC1F5">
      <w:pPr>
        <w:pStyle w:val="4"/>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5308733">
      <w:pPr>
        <w:pStyle w:val="4"/>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3、供应商将政采云电子交易客户端下载、安装完成后，可通过账号密码或CA登录客户端进行投标文件的制作。在使用政采云投标客户端时，建议使用WIN7及以上操作系统。</w:t>
      </w:r>
    </w:p>
    <w:p w14:paraId="28AD109A">
      <w:pPr>
        <w:pStyle w:val="4"/>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auto"/>
        <w:ind w:left="0" w:right="0" w:firstLine="266"/>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4、其他事项：请投标单位随时关注本项目的澄清、答疑、变更事项。</w:t>
      </w:r>
    </w:p>
    <w:p w14:paraId="67232BC6">
      <w:pPr>
        <w:pStyle w:val="4"/>
        <w:spacing w:before="60" w:beforeAutospacing="0" w:after="60" w:afterAutospacing="0"/>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sz w:val="20"/>
          <w:szCs w:val="20"/>
          <w:highlight w:val="none"/>
        </w:rPr>
        <w:t>特别提示：</w:t>
      </w:r>
    </w:p>
    <w:p w14:paraId="40DE09B4">
      <w:pPr>
        <w:pStyle w:val="4"/>
        <w:spacing w:before="60" w:beforeAutospacing="0" w:after="60" w:afterAutospacing="0"/>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sz w:val="20"/>
          <w:szCs w:val="20"/>
          <w:highlight w:val="none"/>
        </w:rPr>
        <w:t>1、采购限额标准以上，200万元以下的货物和服务采购项目、400万元以下的工程采购项目，适宜由中小企业提供的，采购人应当专门面向中小企业采购。</w:t>
      </w:r>
    </w:p>
    <w:p w14:paraId="55486EB5">
      <w:pPr>
        <w:pStyle w:val="4"/>
        <w:spacing w:before="60" w:beforeAutospacing="0" w:after="60" w:afterAutospacing="0"/>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sz w:val="20"/>
          <w:szCs w:val="20"/>
          <w:highlight w:val="none"/>
        </w:rPr>
        <w:t>2、超过200万元的货物和服务采购项目，预留该部分采购项目预算总额的30%以上专门面向中小企业采购，其中预留给小微企业的比例不低于60%。</w:t>
      </w:r>
    </w:p>
    <w:p w14:paraId="75E3C22A">
      <w:pPr>
        <w:pStyle w:val="4"/>
        <w:spacing w:before="60" w:beforeAutospacing="0" w:after="60" w:afterAutospacing="0"/>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sz w:val="20"/>
          <w:szCs w:val="20"/>
          <w:highlight w:val="none"/>
        </w:rPr>
        <w:t>3、超过400万元的工程采购项目中适宜由中小企业提供的，预留该部分采购项目预算总额的40%以上专门面向中小企业采购，其中预留给小微企业的比例不低于60%。</w:t>
      </w:r>
    </w:p>
    <w:p w14:paraId="6240C41D">
      <w:pPr>
        <w:pStyle w:val="4"/>
        <w:spacing w:before="60" w:beforeAutospacing="0" w:after="60" w:afterAutospacing="0"/>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sz w:val="20"/>
          <w:szCs w:val="20"/>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53F0559">
      <w:pPr>
        <w:pStyle w:val="4"/>
        <w:spacing w:before="60" w:beforeAutospacing="0" w:after="60" w:afterAutospacing="0"/>
        <w:rPr>
          <w:rFonts w:hint="eastAsia" w:asciiTheme="minorEastAsia" w:hAnsiTheme="minorEastAsia" w:eastAsiaTheme="minorEastAsia" w:cstheme="minorEastAsia"/>
          <w:color w:val="0000FF"/>
          <w:sz w:val="24"/>
          <w:highlight w:val="none"/>
        </w:rPr>
      </w:pPr>
      <w:r>
        <w:rPr>
          <w:rFonts w:hint="eastAsia" w:asciiTheme="minorEastAsia" w:hAnsiTheme="minorEastAsia" w:eastAsiaTheme="minorEastAsia" w:cstheme="minorEastAsia"/>
          <w:color w:val="000000"/>
          <w:sz w:val="20"/>
          <w:szCs w:val="20"/>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B2DC22A">
      <w:pPr>
        <w:rPr>
          <w:rFonts w:hint="eastAsia" w:asciiTheme="minorEastAsia" w:hAnsiTheme="minorEastAsia" w:eastAsiaTheme="minorEastAsia" w:cstheme="minorEastAsia"/>
          <w:b/>
          <w:sz w:val="24"/>
          <w:highlight w:val="none"/>
        </w:rPr>
      </w:pPr>
      <w:bookmarkStart w:id="11" w:name="_Toc30880"/>
    </w:p>
    <w:p w14:paraId="22EFC628">
      <w:pPr>
        <w:rPr>
          <w:rFonts w:hint="eastAsia" w:asciiTheme="minorEastAsia" w:hAnsiTheme="minorEastAsia" w:eastAsiaTheme="minorEastAsia" w:cstheme="minorEastAsia"/>
          <w:b/>
          <w:sz w:val="24"/>
          <w:highlight w:val="none"/>
        </w:rPr>
      </w:pPr>
    </w:p>
    <w:p w14:paraId="6ECC76B6">
      <w:pPr>
        <w:rPr>
          <w:rFonts w:hint="eastAsia" w:asciiTheme="minorEastAsia" w:hAnsiTheme="minorEastAsia" w:eastAsiaTheme="minorEastAsia" w:cstheme="minorEastAsia"/>
          <w:b/>
          <w:sz w:val="24"/>
          <w:highlight w:val="none"/>
        </w:rPr>
      </w:pPr>
    </w:p>
    <w:p w14:paraId="7BF37EC8">
      <w:pP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七、对本次采购提出询问、质疑、投诉，请按以下方式联系</w:t>
      </w:r>
      <w:bookmarkEnd w:id="11"/>
    </w:p>
    <w:p w14:paraId="0BEB35C8">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rPr>
      </w:pPr>
    </w:p>
    <w:p w14:paraId="2BD80412">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1.采购人信息</w:t>
      </w:r>
    </w:p>
    <w:p w14:paraId="48C75DE0">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名 </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称：</w:t>
      </w:r>
      <w:r>
        <w:rPr>
          <w:rFonts w:hint="eastAsia" w:asciiTheme="minorEastAsia" w:hAnsiTheme="minorEastAsia" w:eastAsiaTheme="minorEastAsia" w:cstheme="minorEastAsia"/>
          <w:sz w:val="24"/>
          <w:highlight w:val="none"/>
          <w:lang w:eastAsia="zh-CN"/>
        </w:rPr>
        <w:t>新疆维吾尔自治区天山东部国有林管理局哈密分局</w:t>
      </w:r>
      <w:r>
        <w:rPr>
          <w:rFonts w:hint="eastAsia" w:asciiTheme="minorEastAsia" w:hAnsiTheme="minorEastAsia" w:eastAsiaTheme="minorEastAsia" w:cstheme="minorEastAsia"/>
          <w:sz w:val="24"/>
          <w:highlight w:val="none"/>
        </w:rPr>
        <w:t xml:space="preserve"> </w:t>
      </w:r>
    </w:p>
    <w:p w14:paraId="52A4107A">
      <w:pPr>
        <w:pStyle w:val="4"/>
        <w:shd w:val="clear" w:color="auto" w:fill="FFFFFF"/>
        <w:adjustRightInd w:val="0"/>
        <w:snapToGrid w:val="0"/>
        <w:spacing w:before="0" w:beforeAutospacing="0" w:after="0" w:afterAutospacing="0" w:line="360" w:lineRule="auto"/>
        <w:ind w:firstLine="480" w:firstLineChars="200"/>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 xml:space="preserve">地 </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址：</w:t>
      </w:r>
      <w:r>
        <w:rPr>
          <w:rFonts w:hint="eastAsia" w:asciiTheme="minorEastAsia" w:hAnsiTheme="minorEastAsia" w:eastAsiaTheme="minorEastAsia" w:cstheme="minorEastAsia"/>
          <w:sz w:val="24"/>
          <w:highlight w:val="none"/>
          <w:lang w:eastAsia="zh-CN"/>
        </w:rPr>
        <w:t>哈密市伊州区德林名苑</w:t>
      </w:r>
      <w:r>
        <w:rPr>
          <w:rFonts w:hint="eastAsia" w:asciiTheme="minorEastAsia" w:hAnsiTheme="minorEastAsia" w:eastAsiaTheme="minorEastAsia" w:cstheme="minorEastAsia"/>
          <w:sz w:val="24"/>
          <w:highlight w:val="none"/>
          <w:lang w:val="en-US" w:eastAsia="zh-CN"/>
        </w:rPr>
        <w:t>A区1栋天东林管局哈密分局</w:t>
      </w:r>
    </w:p>
    <w:p w14:paraId="31D3F970">
      <w:pPr>
        <w:pStyle w:val="4"/>
        <w:shd w:val="clear" w:color="auto" w:fill="FFFFFF"/>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联</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系</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 xml:space="preserve">人： </w:t>
      </w:r>
      <w:r>
        <w:rPr>
          <w:rFonts w:hint="eastAsia" w:asciiTheme="minorEastAsia" w:hAnsiTheme="minorEastAsia" w:eastAsiaTheme="minorEastAsia" w:cstheme="minorEastAsia"/>
          <w:sz w:val="24"/>
          <w:highlight w:val="none"/>
          <w:lang w:eastAsia="zh-CN"/>
        </w:rPr>
        <w:t>王晓玉</w:t>
      </w:r>
    </w:p>
    <w:p w14:paraId="184D585D">
      <w:pPr>
        <w:pStyle w:val="4"/>
        <w:shd w:val="clear" w:color="auto" w:fill="FFFFFF"/>
        <w:adjustRightInd w:val="0"/>
        <w:snapToGrid w:val="0"/>
        <w:spacing w:before="0" w:beforeAutospacing="0" w:after="0" w:afterAutospacing="0" w:line="360" w:lineRule="auto"/>
        <w:ind w:firstLine="480" w:firstLineChars="200"/>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联</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系</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方</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式：</w:t>
      </w:r>
      <w:r>
        <w:rPr>
          <w:rFonts w:hint="eastAsia" w:asciiTheme="minorEastAsia" w:hAnsiTheme="minorEastAsia" w:eastAsiaTheme="minorEastAsia" w:cstheme="minorEastAsia"/>
          <w:sz w:val="24"/>
          <w:highlight w:val="none"/>
          <w:lang w:val="en-US" w:eastAsia="zh-CN"/>
        </w:rPr>
        <w:t>19990259089</w:t>
      </w:r>
    </w:p>
    <w:p w14:paraId="627A936C">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2.采购代理机构信息</w:t>
      </w:r>
    </w:p>
    <w:p w14:paraId="6FF80A36">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名</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 xml:space="preserve"> 称：新疆蒙泰工程项目管理有限公司</w:t>
      </w:r>
    </w:p>
    <w:p w14:paraId="352B49D5">
      <w:pPr>
        <w:pStyle w:val="4"/>
        <w:adjustRightInd w:val="0"/>
        <w:snapToGrid w:val="0"/>
        <w:spacing w:before="0" w:beforeAutospacing="0" w:after="0" w:afterAutospacing="0" w:line="360" w:lineRule="auto"/>
        <w:ind w:left="2159" w:leftChars="228" w:hanging="1680" w:hangingChars="7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 xml:space="preserve"> 址：新疆哈密市伊州区阿牙南路39号方盛翰林小区20栋底商2层201号商铺 </w:t>
      </w:r>
    </w:p>
    <w:p w14:paraId="14780B5E">
      <w:pPr>
        <w:pStyle w:val="4"/>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项目联系人：</w:t>
      </w:r>
      <w:r>
        <w:rPr>
          <w:rFonts w:hint="eastAsia" w:asciiTheme="minorEastAsia" w:hAnsiTheme="minorEastAsia" w:eastAsiaTheme="minorEastAsia" w:cstheme="minorEastAsia"/>
          <w:sz w:val="24"/>
          <w:highlight w:val="none"/>
          <w:lang w:eastAsia="zh-CN"/>
        </w:rPr>
        <w:t>冯瑞</w:t>
      </w:r>
    </w:p>
    <w:p w14:paraId="717FE01A">
      <w:pPr>
        <w:pStyle w:val="4"/>
        <w:adjustRightInd w:val="0"/>
        <w:snapToGrid w:val="0"/>
        <w:spacing w:before="0" w:beforeAutospacing="0" w:after="0" w:afterAutospacing="0" w:line="360" w:lineRule="auto"/>
        <w:ind w:firstLine="480" w:firstLineChars="200"/>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联</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系</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方</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式：</w:t>
      </w:r>
      <w:r>
        <w:rPr>
          <w:rFonts w:hint="eastAsia" w:asciiTheme="minorEastAsia" w:hAnsiTheme="minorEastAsia" w:eastAsiaTheme="minorEastAsia" w:cstheme="minorEastAsia"/>
          <w:sz w:val="24"/>
          <w:highlight w:val="none"/>
          <w:lang w:val="en-US" w:eastAsia="zh-CN"/>
        </w:rPr>
        <w:t>15022811141</w:t>
      </w:r>
    </w:p>
    <w:p w14:paraId="593A547C">
      <w:pPr>
        <w:widowControl/>
        <w:adjustRightInd w:val="0"/>
        <w:snapToGrid w:val="0"/>
        <w:spacing w:line="360" w:lineRule="auto"/>
        <w:ind w:firstLine="440" w:firstLineChars="200"/>
        <w:jc w:val="left"/>
        <w:rPr>
          <w:rFonts w:hint="eastAsia" w:asciiTheme="minorEastAsia" w:hAnsiTheme="minorEastAsia" w:eastAsiaTheme="minorEastAsia" w:cstheme="minorEastAsia"/>
          <w:kern w:val="0"/>
          <w:sz w:val="22"/>
          <w:szCs w:val="21"/>
          <w:highlight w:val="none"/>
        </w:rPr>
      </w:pPr>
    </w:p>
    <w:p w14:paraId="30753F5B">
      <w:pPr>
        <w:widowControl/>
        <w:tabs>
          <w:tab w:val="left" w:pos="8647"/>
        </w:tabs>
        <w:adjustRightInd w:val="0"/>
        <w:snapToGrid w:val="0"/>
        <w:spacing w:line="360" w:lineRule="auto"/>
        <w:jc w:val="center"/>
        <w:rPr>
          <w:rFonts w:hint="eastAsia" w:asciiTheme="minorEastAsia" w:hAnsiTheme="minorEastAsia" w:eastAsiaTheme="minorEastAsia" w:cstheme="minorEastAsia"/>
          <w:b/>
          <w:sz w:val="32"/>
          <w:szCs w:val="30"/>
          <w:highlight w:val="none"/>
        </w:rPr>
        <w:sectPr>
          <w:footerReference r:id="rId5" w:type="default"/>
          <w:pgSz w:w="11906" w:h="16838"/>
          <w:pgMar w:top="1418" w:right="1418" w:bottom="1134" w:left="1418" w:header="851" w:footer="680" w:gutter="0"/>
          <w:pgNumType w:start="1"/>
          <w:cols w:space="720" w:num="1"/>
          <w:docGrid w:linePitch="312" w:charSpace="0"/>
        </w:sectPr>
      </w:pPr>
    </w:p>
    <w:p w14:paraId="4F2ACAC8">
      <w:pPr>
        <w:widowControl/>
        <w:tabs>
          <w:tab w:val="left" w:pos="8647"/>
        </w:tabs>
        <w:adjustRightInd w:val="0"/>
        <w:snapToGrid w:val="0"/>
        <w:spacing w:line="360" w:lineRule="auto"/>
        <w:jc w:val="center"/>
        <w:rPr>
          <w:rFonts w:ascii="仿宋" w:hAnsi="仿宋" w:eastAsia="仿宋" w:cs="仿宋"/>
          <w:b/>
          <w:sz w:val="30"/>
          <w:szCs w:val="30"/>
          <w:highlight w:val="none"/>
        </w:rPr>
      </w:pPr>
      <w:bookmarkStart w:id="12" w:name="_Toc9571"/>
      <w:bookmarkStart w:id="13" w:name="_Toc1959"/>
      <w:r>
        <w:rPr>
          <w:rFonts w:hint="eastAsia" w:ascii="仿宋" w:hAnsi="仿宋" w:eastAsia="仿宋" w:cs="仿宋"/>
          <w:b/>
          <w:sz w:val="30"/>
          <w:szCs w:val="30"/>
          <w:highlight w:val="none"/>
        </w:rPr>
        <w:t xml:space="preserve"> 投标人须知前附表</w:t>
      </w:r>
      <w:bookmarkEnd w:id="12"/>
      <w:bookmarkEnd w:id="13"/>
    </w:p>
    <w:tbl>
      <w:tblPr>
        <w:tblStyle w:val="22"/>
        <w:tblW w:w="9510" w:type="dxa"/>
        <w:jc w:val="center"/>
        <w:tblLayout w:type="fixed"/>
        <w:tblCellMar>
          <w:top w:w="0" w:type="dxa"/>
          <w:left w:w="0" w:type="dxa"/>
          <w:bottom w:w="0" w:type="dxa"/>
          <w:right w:w="0" w:type="dxa"/>
        </w:tblCellMar>
      </w:tblPr>
      <w:tblGrid>
        <w:gridCol w:w="572"/>
        <w:gridCol w:w="1631"/>
        <w:gridCol w:w="7307"/>
      </w:tblGrid>
      <w:tr w14:paraId="5806B78E">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0363935D">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序号</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0FC49A38">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内容</w:t>
            </w:r>
          </w:p>
        </w:tc>
        <w:tc>
          <w:tcPr>
            <w:tcW w:w="7307" w:type="dxa"/>
            <w:tcBorders>
              <w:top w:val="single" w:color="auto" w:sz="4" w:space="0"/>
              <w:left w:val="nil"/>
              <w:bottom w:val="single" w:color="auto" w:sz="4" w:space="0"/>
              <w:right w:val="single" w:color="auto" w:sz="4" w:space="0"/>
            </w:tcBorders>
            <w:shd w:val="clear" w:color="auto" w:fill="auto"/>
            <w:vAlign w:val="center"/>
          </w:tcPr>
          <w:p w14:paraId="7CF0B65F">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说明与要求</w:t>
            </w:r>
          </w:p>
        </w:tc>
      </w:tr>
      <w:tr w14:paraId="5CDAB206">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1BBDFE13">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1</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742CCBAA">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项目名称</w:t>
            </w:r>
          </w:p>
        </w:tc>
        <w:tc>
          <w:tcPr>
            <w:tcW w:w="7307" w:type="dxa"/>
            <w:tcBorders>
              <w:top w:val="single" w:color="auto" w:sz="4" w:space="0"/>
              <w:left w:val="nil"/>
              <w:bottom w:val="single" w:color="auto" w:sz="4" w:space="0"/>
              <w:right w:val="single" w:color="auto" w:sz="4" w:space="0"/>
            </w:tcBorders>
            <w:shd w:val="clear" w:color="auto" w:fill="auto"/>
            <w:vAlign w:val="center"/>
          </w:tcPr>
          <w:p w14:paraId="26504BF8">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color w:val="000000" w:themeColor="text1"/>
                <w:sz w:val="24"/>
                <w:szCs w:val="24"/>
                <w:highlight w:val="none"/>
                <w14:textFill>
                  <w14:solidFill>
                    <w14:schemeClr w14:val="tx1"/>
                  </w14:solidFill>
                </w14:textFill>
              </w:rPr>
              <w:t>新疆维吾尔自治区天山东部国有林管理局哈密分局2026年森林生态修复项目一森林管护服务</w:t>
            </w:r>
          </w:p>
        </w:tc>
      </w:tr>
      <w:tr w14:paraId="39A63585">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6EF849E9">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2</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41554DFC">
            <w:pPr>
              <w:pStyle w:val="51"/>
              <w:spacing w:before="0" w:after="0" w:line="360" w:lineRule="auto"/>
              <w:jc w:val="center"/>
              <w:rPr>
                <w:rStyle w:val="52"/>
                <w:rFonts w:hint="eastAsia" w:ascii="仿宋" w:hAnsi="仿宋" w:eastAsia="仿宋" w:cs="仿宋"/>
                <w:color w:val="000000" w:themeColor="text1"/>
                <w:sz w:val="24"/>
                <w:szCs w:val="24"/>
                <w:highlight w:val="none"/>
                <w14:textFill>
                  <w14:solidFill>
                    <w14:schemeClr w14:val="tx1"/>
                  </w14:solidFill>
                </w14:textFill>
              </w:rPr>
            </w:pPr>
            <w:r>
              <w:rPr>
                <w:rStyle w:val="52"/>
                <w:rFonts w:hint="eastAsia" w:ascii="仿宋" w:hAnsi="仿宋" w:eastAsia="仿宋" w:cs="仿宋"/>
                <w:color w:val="000000" w:themeColor="text1"/>
                <w:sz w:val="24"/>
                <w:szCs w:val="24"/>
                <w:highlight w:val="none"/>
                <w14:textFill>
                  <w14:solidFill>
                    <w14:schemeClr w14:val="tx1"/>
                  </w14:solidFill>
                </w14:textFill>
              </w:rPr>
              <w:t>项目编号</w:t>
            </w:r>
          </w:p>
        </w:tc>
        <w:tc>
          <w:tcPr>
            <w:tcW w:w="7307" w:type="dxa"/>
            <w:tcBorders>
              <w:top w:val="single" w:color="auto" w:sz="4" w:space="0"/>
              <w:left w:val="nil"/>
              <w:bottom w:val="single" w:color="auto" w:sz="4" w:space="0"/>
              <w:right w:val="single" w:color="auto" w:sz="4" w:space="0"/>
            </w:tcBorders>
            <w:shd w:val="clear" w:color="auto" w:fill="auto"/>
            <w:vAlign w:val="center"/>
          </w:tcPr>
          <w:p w14:paraId="7EC1995A">
            <w:pPr>
              <w:pStyle w:val="51"/>
              <w:spacing w:before="0" w:after="0" w:line="360" w:lineRule="auto"/>
              <w:rPr>
                <w:rStyle w:val="52"/>
                <w:rFonts w:hint="eastAsia" w:ascii="仿宋" w:hAnsi="仿宋" w:eastAsia="仿宋" w:cs="仿宋"/>
                <w:color w:val="000000" w:themeColor="text1"/>
                <w:sz w:val="24"/>
                <w:szCs w:val="24"/>
                <w:highlight w:val="none"/>
                <w:lang w:val="en-US" w:eastAsia="zh-CN"/>
                <w14:textFill>
                  <w14:solidFill>
                    <w14:schemeClr w14:val="tx1"/>
                  </w14:solidFill>
                </w14:textFill>
              </w:rPr>
            </w:pPr>
            <w:r>
              <w:rPr>
                <w:rStyle w:val="52"/>
                <w:rFonts w:hint="eastAsia" w:ascii="仿宋" w:hAnsi="仿宋" w:eastAsia="仿宋" w:cs="仿宋"/>
                <w:color w:val="000000" w:themeColor="text1"/>
                <w:sz w:val="24"/>
                <w:szCs w:val="24"/>
                <w:highlight w:val="none"/>
                <w:lang w:eastAsia="zh-CN"/>
                <w14:textFill>
                  <w14:solidFill>
                    <w14:schemeClr w14:val="tx1"/>
                  </w14:solidFill>
                </w14:textFill>
              </w:rPr>
              <w:t>XJMTZBCG(2026)-026</w:t>
            </w:r>
          </w:p>
        </w:tc>
      </w:tr>
      <w:tr w14:paraId="03ED1C49">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33F6EABB">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3</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37B9AFAC">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联系方式</w:t>
            </w:r>
          </w:p>
        </w:tc>
        <w:tc>
          <w:tcPr>
            <w:tcW w:w="7307" w:type="dxa"/>
            <w:tcBorders>
              <w:top w:val="single" w:color="auto" w:sz="4" w:space="0"/>
              <w:left w:val="nil"/>
              <w:bottom w:val="single" w:color="auto" w:sz="4" w:space="0"/>
              <w:right w:val="single" w:color="auto" w:sz="4" w:space="0"/>
            </w:tcBorders>
            <w:shd w:val="clear" w:color="auto" w:fill="auto"/>
            <w:vAlign w:val="center"/>
          </w:tcPr>
          <w:p w14:paraId="072E1575">
            <w:pPr>
              <w:pStyle w:val="51"/>
              <w:spacing w:before="0" w:after="0" w:line="360" w:lineRule="auto"/>
              <w:rPr>
                <w:rFonts w:ascii="仿宋" w:hAnsi="仿宋" w:eastAsia="仿宋" w:cs="仿宋"/>
                <w:color w:val="000000"/>
                <w:spacing w:val="0"/>
                <w:szCs w:val="24"/>
                <w:highlight w:val="none"/>
              </w:rPr>
            </w:pPr>
            <w:r>
              <w:rPr>
                <w:rFonts w:hint="eastAsia" w:ascii="仿宋" w:hAnsi="仿宋" w:eastAsia="仿宋" w:cs="仿宋"/>
                <w:color w:val="000000"/>
                <w:spacing w:val="0"/>
                <w:szCs w:val="24"/>
                <w:highlight w:val="none"/>
              </w:rPr>
              <w:t>1.采购人信息</w:t>
            </w:r>
          </w:p>
          <w:p w14:paraId="77DD6B83">
            <w:pPr>
              <w:pStyle w:val="51"/>
              <w:spacing w:before="0" w:after="0" w:line="360" w:lineRule="auto"/>
              <w:rPr>
                <w:rFonts w:ascii="仿宋" w:hAnsi="仿宋" w:eastAsia="仿宋" w:cs="仿宋"/>
                <w:color w:val="000000" w:themeColor="text1"/>
                <w:spacing w:val="0"/>
                <w:szCs w:val="24"/>
                <w:highlight w:val="none"/>
                <w14:textFill>
                  <w14:solidFill>
                    <w14:schemeClr w14:val="tx1"/>
                  </w14:solidFill>
                </w14:textFill>
              </w:rPr>
            </w:pPr>
            <w:r>
              <w:rPr>
                <w:rFonts w:hint="eastAsia" w:ascii="仿宋" w:hAnsi="仿宋" w:eastAsia="仿宋" w:cs="仿宋"/>
                <w:color w:val="000000"/>
                <w:spacing w:val="0"/>
                <w:szCs w:val="24"/>
                <w:highlight w:val="none"/>
              </w:rPr>
              <w:t>名 称：</w:t>
            </w:r>
            <w:r>
              <w:rPr>
                <w:rFonts w:hint="eastAsia" w:ascii="仿宋" w:hAnsi="仿宋" w:eastAsia="仿宋" w:cs="仿宋"/>
                <w:color w:val="000000" w:themeColor="text1"/>
                <w:spacing w:val="0"/>
                <w:szCs w:val="24"/>
                <w:highlight w:val="none"/>
                <w:lang w:eastAsia="zh-CN"/>
                <w14:textFill>
                  <w14:solidFill>
                    <w14:schemeClr w14:val="tx1"/>
                  </w14:solidFill>
                </w14:textFill>
              </w:rPr>
              <w:t>新疆维吾尔自治区天山东部国有林管理局哈密分局</w:t>
            </w:r>
            <w:r>
              <w:rPr>
                <w:rFonts w:hint="eastAsia" w:ascii="仿宋" w:hAnsi="仿宋" w:eastAsia="仿宋" w:cs="仿宋"/>
                <w:color w:val="000000" w:themeColor="text1"/>
                <w:spacing w:val="0"/>
                <w:szCs w:val="24"/>
                <w:highlight w:val="none"/>
                <w14:textFill>
                  <w14:solidFill>
                    <w14:schemeClr w14:val="tx1"/>
                  </w14:solidFill>
                </w14:textFill>
              </w:rPr>
              <w:t xml:space="preserve"> </w:t>
            </w:r>
          </w:p>
          <w:p w14:paraId="732E3260">
            <w:pPr>
              <w:pStyle w:val="51"/>
              <w:spacing w:before="0" w:after="0" w:line="360" w:lineRule="auto"/>
              <w:rPr>
                <w:rFonts w:hint="eastAsia" w:ascii="仿宋" w:hAnsi="仿宋" w:eastAsia="仿宋" w:cs="仿宋"/>
                <w:color w:val="000000"/>
                <w:spacing w:val="0"/>
                <w:szCs w:val="24"/>
                <w:highlight w:val="none"/>
                <w:lang w:val="en-US" w:eastAsia="zh-CN"/>
              </w:rPr>
            </w:pPr>
            <w:r>
              <w:rPr>
                <w:rFonts w:hint="eastAsia" w:ascii="仿宋" w:hAnsi="仿宋" w:eastAsia="仿宋" w:cs="仿宋"/>
                <w:color w:val="000000"/>
                <w:spacing w:val="0"/>
                <w:szCs w:val="24"/>
                <w:highlight w:val="none"/>
              </w:rPr>
              <w:t xml:space="preserve">地 </w:t>
            </w:r>
            <w:r>
              <w:rPr>
                <w:rFonts w:hint="eastAsia" w:ascii="仿宋" w:hAnsi="仿宋" w:eastAsia="仿宋" w:cs="仿宋"/>
                <w:color w:val="000000"/>
                <w:spacing w:val="0"/>
                <w:szCs w:val="24"/>
                <w:highlight w:val="none"/>
                <w:lang w:val="en-US" w:eastAsia="zh-CN"/>
              </w:rPr>
              <w:t xml:space="preserve">      </w:t>
            </w:r>
            <w:r>
              <w:rPr>
                <w:rFonts w:hint="eastAsia" w:ascii="仿宋" w:hAnsi="仿宋" w:eastAsia="仿宋" w:cs="仿宋"/>
                <w:color w:val="000000"/>
                <w:spacing w:val="0"/>
                <w:szCs w:val="24"/>
                <w:highlight w:val="none"/>
              </w:rPr>
              <w:t>址：</w:t>
            </w:r>
            <w:r>
              <w:rPr>
                <w:rFonts w:hint="eastAsia" w:ascii="仿宋" w:hAnsi="仿宋" w:eastAsia="仿宋" w:cs="仿宋"/>
                <w:color w:val="000000"/>
                <w:spacing w:val="0"/>
                <w:szCs w:val="24"/>
                <w:highlight w:val="none"/>
                <w:lang w:eastAsia="zh-CN"/>
              </w:rPr>
              <w:t>哈密市伊州区德林名苑</w:t>
            </w:r>
            <w:r>
              <w:rPr>
                <w:rFonts w:hint="eastAsia" w:ascii="仿宋" w:hAnsi="仿宋" w:eastAsia="仿宋" w:cs="仿宋"/>
                <w:color w:val="000000"/>
                <w:spacing w:val="0"/>
                <w:szCs w:val="24"/>
                <w:highlight w:val="none"/>
                <w:lang w:val="en-US" w:eastAsia="zh-CN"/>
              </w:rPr>
              <w:t>A区1栋天东林管局哈密分局</w:t>
            </w:r>
          </w:p>
          <w:p w14:paraId="541EDD82">
            <w:pPr>
              <w:pStyle w:val="51"/>
              <w:spacing w:before="0" w:after="0" w:line="360" w:lineRule="auto"/>
              <w:rPr>
                <w:rFonts w:hint="eastAsia" w:ascii="仿宋" w:hAnsi="仿宋" w:eastAsia="仿宋" w:cs="仿宋"/>
                <w:color w:val="000000"/>
                <w:spacing w:val="0"/>
                <w:szCs w:val="24"/>
                <w:highlight w:val="none"/>
                <w:lang w:eastAsia="zh-CN"/>
              </w:rPr>
            </w:pPr>
            <w:r>
              <w:rPr>
                <w:rFonts w:hint="eastAsia" w:ascii="仿宋" w:hAnsi="仿宋" w:eastAsia="仿宋" w:cs="仿宋"/>
                <w:color w:val="000000"/>
                <w:spacing w:val="0"/>
                <w:szCs w:val="24"/>
                <w:highlight w:val="none"/>
              </w:rPr>
              <w:t>联</w:t>
            </w:r>
            <w:r>
              <w:rPr>
                <w:rFonts w:hint="eastAsia" w:ascii="仿宋" w:hAnsi="仿宋" w:eastAsia="仿宋" w:cs="仿宋"/>
                <w:color w:val="000000"/>
                <w:spacing w:val="0"/>
                <w:szCs w:val="24"/>
                <w:highlight w:val="none"/>
                <w:lang w:val="en-US" w:eastAsia="zh-CN"/>
              </w:rPr>
              <w:t xml:space="preserve">  </w:t>
            </w:r>
            <w:r>
              <w:rPr>
                <w:rFonts w:hint="eastAsia" w:ascii="仿宋" w:hAnsi="仿宋" w:eastAsia="仿宋" w:cs="仿宋"/>
                <w:color w:val="000000"/>
                <w:spacing w:val="0"/>
                <w:szCs w:val="24"/>
                <w:highlight w:val="none"/>
              </w:rPr>
              <w:t>系</w:t>
            </w:r>
            <w:r>
              <w:rPr>
                <w:rFonts w:hint="eastAsia" w:ascii="仿宋" w:hAnsi="仿宋" w:eastAsia="仿宋" w:cs="仿宋"/>
                <w:color w:val="000000"/>
                <w:spacing w:val="0"/>
                <w:szCs w:val="24"/>
                <w:highlight w:val="none"/>
                <w:lang w:val="en-US" w:eastAsia="zh-CN"/>
              </w:rPr>
              <w:t xml:space="preserve">   </w:t>
            </w:r>
            <w:r>
              <w:rPr>
                <w:rFonts w:hint="eastAsia" w:ascii="仿宋" w:hAnsi="仿宋" w:eastAsia="仿宋" w:cs="仿宋"/>
                <w:color w:val="000000"/>
                <w:spacing w:val="0"/>
                <w:szCs w:val="24"/>
                <w:highlight w:val="none"/>
              </w:rPr>
              <w:t xml:space="preserve">人： </w:t>
            </w:r>
            <w:r>
              <w:rPr>
                <w:rFonts w:hint="eastAsia" w:ascii="仿宋" w:hAnsi="仿宋" w:eastAsia="仿宋" w:cs="仿宋"/>
                <w:color w:val="000000"/>
                <w:spacing w:val="0"/>
                <w:szCs w:val="24"/>
                <w:highlight w:val="none"/>
                <w:lang w:eastAsia="zh-CN"/>
              </w:rPr>
              <w:t>王晓玉</w:t>
            </w:r>
          </w:p>
          <w:p w14:paraId="46684698">
            <w:pPr>
              <w:pStyle w:val="51"/>
              <w:spacing w:before="0" w:after="0" w:line="360" w:lineRule="auto"/>
              <w:rPr>
                <w:rFonts w:hint="eastAsia" w:ascii="仿宋" w:hAnsi="仿宋" w:eastAsia="仿宋" w:cs="仿宋"/>
                <w:color w:val="000000"/>
                <w:spacing w:val="0"/>
                <w:szCs w:val="24"/>
                <w:highlight w:val="none"/>
                <w:lang w:val="en-US" w:eastAsia="zh-CN"/>
              </w:rPr>
            </w:pPr>
            <w:r>
              <w:rPr>
                <w:rFonts w:hint="eastAsia" w:ascii="仿宋" w:hAnsi="仿宋" w:eastAsia="仿宋" w:cs="仿宋"/>
                <w:color w:val="000000"/>
                <w:spacing w:val="0"/>
                <w:szCs w:val="24"/>
                <w:highlight w:val="none"/>
              </w:rPr>
              <w:t>联</w:t>
            </w:r>
            <w:r>
              <w:rPr>
                <w:rFonts w:hint="eastAsia" w:ascii="仿宋" w:hAnsi="仿宋" w:eastAsia="仿宋" w:cs="仿宋"/>
                <w:color w:val="000000"/>
                <w:spacing w:val="0"/>
                <w:szCs w:val="24"/>
                <w:highlight w:val="none"/>
                <w:lang w:val="en-US" w:eastAsia="zh-CN"/>
              </w:rPr>
              <w:t xml:space="preserve"> </w:t>
            </w:r>
            <w:r>
              <w:rPr>
                <w:rFonts w:hint="eastAsia" w:ascii="仿宋" w:hAnsi="仿宋" w:eastAsia="仿宋" w:cs="仿宋"/>
                <w:color w:val="000000"/>
                <w:spacing w:val="0"/>
                <w:szCs w:val="24"/>
                <w:highlight w:val="none"/>
              </w:rPr>
              <w:t>系</w:t>
            </w:r>
            <w:r>
              <w:rPr>
                <w:rFonts w:hint="eastAsia" w:ascii="仿宋" w:hAnsi="仿宋" w:eastAsia="仿宋" w:cs="仿宋"/>
                <w:color w:val="000000"/>
                <w:spacing w:val="0"/>
                <w:szCs w:val="24"/>
                <w:highlight w:val="none"/>
                <w:lang w:val="en-US" w:eastAsia="zh-CN"/>
              </w:rPr>
              <w:t xml:space="preserve"> </w:t>
            </w:r>
            <w:r>
              <w:rPr>
                <w:rFonts w:hint="eastAsia" w:ascii="仿宋" w:hAnsi="仿宋" w:eastAsia="仿宋" w:cs="仿宋"/>
                <w:color w:val="000000"/>
                <w:spacing w:val="0"/>
                <w:szCs w:val="24"/>
                <w:highlight w:val="none"/>
              </w:rPr>
              <w:t>方</w:t>
            </w:r>
            <w:r>
              <w:rPr>
                <w:rFonts w:hint="eastAsia" w:ascii="仿宋" w:hAnsi="仿宋" w:eastAsia="仿宋" w:cs="仿宋"/>
                <w:color w:val="000000"/>
                <w:spacing w:val="0"/>
                <w:szCs w:val="24"/>
                <w:highlight w:val="none"/>
                <w:lang w:val="en-US" w:eastAsia="zh-CN"/>
              </w:rPr>
              <w:t xml:space="preserve"> </w:t>
            </w:r>
            <w:r>
              <w:rPr>
                <w:rFonts w:hint="eastAsia" w:ascii="仿宋" w:hAnsi="仿宋" w:eastAsia="仿宋" w:cs="仿宋"/>
                <w:color w:val="000000"/>
                <w:spacing w:val="0"/>
                <w:szCs w:val="24"/>
                <w:highlight w:val="none"/>
              </w:rPr>
              <w:t>式：</w:t>
            </w:r>
            <w:r>
              <w:rPr>
                <w:rFonts w:hint="eastAsia" w:ascii="仿宋" w:hAnsi="仿宋" w:eastAsia="仿宋" w:cs="仿宋"/>
                <w:color w:val="000000"/>
                <w:spacing w:val="0"/>
                <w:szCs w:val="24"/>
                <w:highlight w:val="none"/>
                <w:lang w:val="en-US" w:eastAsia="zh-CN"/>
              </w:rPr>
              <w:t>19990259089</w:t>
            </w:r>
          </w:p>
          <w:p w14:paraId="45CF4017">
            <w:pPr>
              <w:pStyle w:val="51"/>
              <w:spacing w:before="0" w:after="0" w:line="360" w:lineRule="auto"/>
              <w:rPr>
                <w:rFonts w:ascii="仿宋" w:hAnsi="仿宋" w:eastAsia="仿宋" w:cs="仿宋"/>
                <w:color w:val="000000"/>
                <w:spacing w:val="0"/>
                <w:szCs w:val="24"/>
                <w:highlight w:val="none"/>
              </w:rPr>
            </w:pPr>
            <w:r>
              <w:rPr>
                <w:rFonts w:hint="eastAsia" w:ascii="仿宋" w:hAnsi="仿宋" w:eastAsia="仿宋" w:cs="仿宋"/>
                <w:color w:val="000000"/>
                <w:spacing w:val="0"/>
                <w:szCs w:val="24"/>
                <w:highlight w:val="none"/>
              </w:rPr>
              <w:t>2.采购代理机构信息</w:t>
            </w:r>
          </w:p>
          <w:p w14:paraId="583D28D8">
            <w:pPr>
              <w:pStyle w:val="51"/>
              <w:spacing w:before="0" w:after="0" w:line="360" w:lineRule="auto"/>
              <w:rPr>
                <w:rFonts w:ascii="仿宋" w:hAnsi="仿宋" w:eastAsia="仿宋" w:cs="仿宋"/>
                <w:color w:val="000000"/>
                <w:spacing w:val="0"/>
                <w:szCs w:val="24"/>
                <w:highlight w:val="none"/>
              </w:rPr>
            </w:pPr>
            <w:r>
              <w:rPr>
                <w:rFonts w:hint="eastAsia" w:ascii="仿宋" w:hAnsi="仿宋" w:eastAsia="仿宋" w:cs="仿宋"/>
                <w:color w:val="000000"/>
                <w:spacing w:val="0"/>
                <w:szCs w:val="24"/>
                <w:highlight w:val="none"/>
              </w:rPr>
              <w:t>名 称：新疆蒙泰工程项目管理有限公司</w:t>
            </w:r>
          </w:p>
          <w:p w14:paraId="1307A3DC">
            <w:pPr>
              <w:pStyle w:val="51"/>
              <w:spacing w:before="0" w:after="0" w:line="360" w:lineRule="auto"/>
              <w:rPr>
                <w:rFonts w:ascii="仿宋" w:hAnsi="仿宋" w:eastAsia="仿宋" w:cs="仿宋"/>
                <w:color w:val="000000"/>
                <w:spacing w:val="0"/>
                <w:szCs w:val="24"/>
                <w:highlight w:val="none"/>
              </w:rPr>
            </w:pPr>
            <w:r>
              <w:rPr>
                <w:rFonts w:hint="eastAsia" w:ascii="仿宋" w:hAnsi="仿宋" w:eastAsia="仿宋" w:cs="仿宋"/>
                <w:color w:val="000000"/>
                <w:spacing w:val="0"/>
                <w:szCs w:val="24"/>
                <w:highlight w:val="none"/>
              </w:rPr>
              <w:t xml:space="preserve">地 址：新疆哈密市伊州区阿牙南路39号方盛翰林小区20栋底商2层201号商铺 </w:t>
            </w:r>
          </w:p>
          <w:p w14:paraId="2F3FF14E">
            <w:pPr>
              <w:pStyle w:val="51"/>
              <w:spacing w:before="0" w:after="0" w:line="360" w:lineRule="auto"/>
              <w:rPr>
                <w:rFonts w:hint="eastAsia" w:ascii="仿宋" w:hAnsi="仿宋" w:eastAsia="仿宋" w:cs="仿宋"/>
                <w:color w:val="000000"/>
                <w:spacing w:val="0"/>
                <w:szCs w:val="24"/>
                <w:highlight w:val="none"/>
                <w:lang w:eastAsia="zh-CN"/>
              </w:rPr>
            </w:pPr>
            <w:r>
              <w:rPr>
                <w:rFonts w:hint="eastAsia" w:ascii="仿宋" w:hAnsi="仿宋" w:eastAsia="仿宋" w:cs="仿宋"/>
                <w:color w:val="000000"/>
                <w:spacing w:val="0"/>
                <w:szCs w:val="24"/>
                <w:highlight w:val="none"/>
              </w:rPr>
              <w:t>项目联系人：</w:t>
            </w:r>
            <w:r>
              <w:rPr>
                <w:rFonts w:hint="eastAsia" w:ascii="仿宋" w:hAnsi="仿宋" w:eastAsia="仿宋" w:cs="仿宋"/>
                <w:color w:val="000000"/>
                <w:spacing w:val="0"/>
                <w:szCs w:val="24"/>
                <w:highlight w:val="none"/>
                <w:lang w:eastAsia="zh-CN"/>
              </w:rPr>
              <w:t>冯瑞</w:t>
            </w:r>
          </w:p>
          <w:p w14:paraId="3E0B50AF">
            <w:pPr>
              <w:pStyle w:val="51"/>
              <w:spacing w:before="0" w:after="0" w:line="360" w:lineRule="auto"/>
              <w:rPr>
                <w:rFonts w:hint="default" w:ascii="仿宋" w:hAnsi="仿宋" w:eastAsia="仿宋" w:cs="仿宋"/>
                <w:color w:val="000000"/>
                <w:spacing w:val="0"/>
                <w:szCs w:val="24"/>
                <w:highlight w:val="none"/>
                <w:lang w:val="en-US" w:eastAsia="zh-CN"/>
              </w:rPr>
            </w:pPr>
            <w:r>
              <w:rPr>
                <w:rFonts w:hint="eastAsia" w:ascii="仿宋" w:hAnsi="仿宋" w:eastAsia="仿宋" w:cs="仿宋"/>
                <w:color w:val="000000"/>
                <w:spacing w:val="0"/>
                <w:szCs w:val="24"/>
                <w:highlight w:val="none"/>
              </w:rPr>
              <w:t>电 话：</w:t>
            </w:r>
            <w:r>
              <w:rPr>
                <w:rFonts w:hint="eastAsia" w:ascii="仿宋" w:hAnsi="仿宋" w:eastAsia="仿宋" w:cs="仿宋"/>
                <w:color w:val="000000"/>
                <w:spacing w:val="0"/>
                <w:szCs w:val="24"/>
                <w:highlight w:val="none"/>
                <w:lang w:val="en-US" w:eastAsia="zh-CN"/>
              </w:rPr>
              <w:t>15022811141</w:t>
            </w:r>
          </w:p>
          <w:p w14:paraId="238BEE20">
            <w:pPr>
              <w:pStyle w:val="51"/>
              <w:spacing w:before="0" w:after="0" w:line="360" w:lineRule="auto"/>
              <w:rPr>
                <w:rStyle w:val="52"/>
                <w:rFonts w:ascii="仿宋" w:hAnsi="仿宋" w:eastAsia="仿宋" w:cs="仿宋"/>
                <w:sz w:val="24"/>
                <w:szCs w:val="24"/>
                <w:highlight w:val="none"/>
              </w:rPr>
            </w:pPr>
            <w:r>
              <w:rPr>
                <w:rFonts w:hint="eastAsia" w:ascii="仿宋" w:hAnsi="仿宋" w:eastAsia="仿宋" w:cs="仿宋"/>
                <w:color w:val="000000"/>
                <w:spacing w:val="0"/>
                <w:szCs w:val="24"/>
                <w:highlight w:val="none"/>
              </w:rPr>
              <w:t>电子邮箱：</w:t>
            </w:r>
            <w:r>
              <w:rPr>
                <w:rFonts w:hint="eastAsia" w:ascii="仿宋" w:hAnsi="仿宋" w:eastAsia="仿宋" w:cs="仿宋"/>
                <w:color w:val="000000"/>
                <w:spacing w:val="0"/>
                <w:szCs w:val="24"/>
                <w:highlight w:val="none"/>
                <w:lang w:val="en-US" w:eastAsia="zh-CN"/>
              </w:rPr>
              <w:t>2589773846</w:t>
            </w:r>
            <w:r>
              <w:rPr>
                <w:rFonts w:hint="eastAsia" w:ascii="仿宋" w:hAnsi="仿宋" w:eastAsia="仿宋" w:cs="仿宋"/>
                <w:color w:val="000000"/>
                <w:spacing w:val="0"/>
                <w:szCs w:val="24"/>
                <w:highlight w:val="none"/>
              </w:rPr>
              <w:t>@qq.com　</w:t>
            </w:r>
            <w:r>
              <w:rPr>
                <w:rStyle w:val="52"/>
                <w:rFonts w:hint="eastAsia" w:ascii="仿宋" w:hAnsi="仿宋" w:eastAsia="仿宋" w:cs="仿宋"/>
                <w:sz w:val="24"/>
                <w:szCs w:val="24"/>
                <w:highlight w:val="none"/>
              </w:rPr>
              <w:t>　　　　　　　　　　</w:t>
            </w:r>
          </w:p>
        </w:tc>
      </w:tr>
      <w:tr w14:paraId="6F0FA6C0">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1B5A27A2">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4</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0CE7DF04">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是否接受联合体投标</w:t>
            </w:r>
          </w:p>
        </w:tc>
        <w:tc>
          <w:tcPr>
            <w:tcW w:w="7307" w:type="dxa"/>
            <w:tcBorders>
              <w:top w:val="single" w:color="auto" w:sz="4" w:space="0"/>
              <w:left w:val="nil"/>
              <w:bottom w:val="single" w:color="auto" w:sz="4" w:space="0"/>
              <w:right w:val="single" w:color="auto" w:sz="4" w:space="0"/>
            </w:tcBorders>
            <w:shd w:val="clear" w:color="auto" w:fill="auto"/>
            <w:vAlign w:val="center"/>
          </w:tcPr>
          <w:p w14:paraId="057858A4">
            <w:pPr>
              <w:pStyle w:val="51"/>
              <w:spacing w:before="0" w:after="0" w:line="360" w:lineRule="auto"/>
              <w:rPr>
                <w:rFonts w:ascii="仿宋" w:hAnsi="仿宋" w:eastAsia="仿宋" w:cs="仿宋"/>
                <w:szCs w:val="24"/>
                <w:highlight w:val="none"/>
              </w:rPr>
            </w:pPr>
            <w:r>
              <w:rPr>
                <w:rStyle w:val="52"/>
                <w:rFonts w:hint="eastAsia" w:ascii="仿宋" w:hAnsi="仿宋" w:eastAsia="仿宋" w:cs="仿宋"/>
                <w:sz w:val="24"/>
                <w:szCs w:val="24"/>
                <w:highlight w:val="none"/>
              </w:rPr>
              <w:fldChar w:fldCharType="begin"/>
            </w:r>
            <w:r>
              <w:rPr>
                <w:rStyle w:val="52"/>
                <w:rFonts w:hint="eastAsia" w:ascii="仿宋" w:hAnsi="仿宋" w:eastAsia="仿宋" w:cs="仿宋"/>
                <w:sz w:val="24"/>
                <w:szCs w:val="24"/>
                <w:highlight w:val="none"/>
              </w:rPr>
              <w:instrText xml:space="preserve"> eq \o\ac(</w:instrText>
            </w:r>
            <w:r>
              <w:rPr>
                <w:rStyle w:val="52"/>
                <w:rFonts w:hint="eastAsia" w:ascii="仿宋" w:hAnsi="仿宋" w:eastAsia="仿宋" w:cs="仿宋"/>
                <w:position w:val="-4"/>
                <w:sz w:val="24"/>
                <w:szCs w:val="24"/>
                <w:highlight w:val="none"/>
              </w:rPr>
              <w:instrText xml:space="preserve">□,</w:instrText>
            </w:r>
            <w:r>
              <w:rPr>
                <w:rStyle w:val="52"/>
                <w:rFonts w:hint="eastAsia" w:ascii="仿宋" w:hAnsi="仿宋" w:eastAsia="仿宋" w:cs="仿宋"/>
                <w:sz w:val="24"/>
                <w:szCs w:val="24"/>
                <w:highlight w:val="none"/>
              </w:rPr>
              <w:instrText xml:space="preserve">√)</w:instrText>
            </w:r>
            <w:r>
              <w:rPr>
                <w:rStyle w:val="52"/>
                <w:rFonts w:hint="eastAsia" w:ascii="仿宋" w:hAnsi="仿宋" w:eastAsia="仿宋" w:cs="仿宋"/>
                <w:sz w:val="24"/>
                <w:szCs w:val="24"/>
                <w:highlight w:val="none"/>
              </w:rPr>
              <w:fldChar w:fldCharType="end"/>
            </w:r>
            <w:r>
              <w:rPr>
                <w:rFonts w:hint="eastAsia" w:ascii="仿宋" w:hAnsi="仿宋" w:eastAsia="仿宋" w:cs="仿宋"/>
                <w:szCs w:val="24"/>
                <w:highlight w:val="none"/>
              </w:rPr>
              <w:t xml:space="preserve">不接受 </w:t>
            </w:r>
          </w:p>
          <w:p w14:paraId="39216509">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fldChar w:fldCharType="begin"/>
            </w:r>
            <w:r>
              <w:rPr>
                <w:rStyle w:val="52"/>
                <w:rFonts w:hint="eastAsia" w:ascii="仿宋" w:hAnsi="仿宋" w:eastAsia="仿宋" w:cs="仿宋"/>
                <w:sz w:val="24"/>
                <w:szCs w:val="24"/>
                <w:highlight w:val="none"/>
              </w:rPr>
              <w:instrText xml:space="preserve"> eq \o\ac(</w:instrText>
            </w:r>
            <w:r>
              <w:rPr>
                <w:rStyle w:val="52"/>
                <w:rFonts w:hint="eastAsia" w:ascii="仿宋" w:hAnsi="仿宋" w:eastAsia="仿宋" w:cs="仿宋"/>
                <w:position w:val="-4"/>
                <w:sz w:val="24"/>
                <w:szCs w:val="24"/>
                <w:highlight w:val="none"/>
              </w:rPr>
              <w:instrText xml:space="preserve">□</w:instrText>
            </w:r>
            <w:r>
              <w:rPr>
                <w:rStyle w:val="52"/>
                <w:rFonts w:hint="eastAsia" w:ascii="仿宋" w:hAnsi="仿宋" w:eastAsia="仿宋" w:cs="仿宋"/>
                <w:sz w:val="24"/>
                <w:szCs w:val="24"/>
                <w:highlight w:val="none"/>
              </w:rPr>
              <w:instrText xml:space="preserve">)</w:instrText>
            </w:r>
            <w:r>
              <w:rPr>
                <w:rStyle w:val="52"/>
                <w:rFonts w:hint="eastAsia" w:ascii="仿宋" w:hAnsi="仿宋" w:eastAsia="仿宋" w:cs="仿宋"/>
                <w:sz w:val="24"/>
                <w:szCs w:val="24"/>
                <w:highlight w:val="none"/>
              </w:rPr>
              <w:fldChar w:fldCharType="end"/>
            </w:r>
            <w:r>
              <w:rPr>
                <w:rFonts w:hint="eastAsia" w:ascii="仿宋" w:hAnsi="仿宋" w:eastAsia="仿宋" w:cs="仿宋"/>
                <w:szCs w:val="24"/>
                <w:highlight w:val="none"/>
              </w:rPr>
              <w:t>接受，应满足下列要求：</w:t>
            </w:r>
          </w:p>
        </w:tc>
      </w:tr>
      <w:tr w14:paraId="78809B38">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059413BC">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5</w:t>
            </w:r>
          </w:p>
        </w:tc>
        <w:tc>
          <w:tcPr>
            <w:tcW w:w="1631" w:type="dxa"/>
            <w:tcBorders>
              <w:top w:val="nil"/>
              <w:left w:val="single" w:color="auto" w:sz="4" w:space="0"/>
              <w:bottom w:val="single" w:color="auto" w:sz="4" w:space="0"/>
              <w:right w:val="single" w:color="auto" w:sz="4" w:space="0"/>
            </w:tcBorders>
            <w:shd w:val="clear" w:color="auto" w:fill="auto"/>
            <w:vAlign w:val="center"/>
          </w:tcPr>
          <w:p w14:paraId="21F4DD8C">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采购需求▲</w:t>
            </w:r>
          </w:p>
        </w:tc>
        <w:tc>
          <w:tcPr>
            <w:tcW w:w="7307" w:type="dxa"/>
            <w:tcBorders>
              <w:top w:val="nil"/>
              <w:left w:val="nil"/>
              <w:bottom w:val="single" w:color="auto" w:sz="4" w:space="0"/>
              <w:right w:val="single" w:color="auto" w:sz="4" w:space="0"/>
            </w:tcBorders>
            <w:shd w:val="clear" w:color="auto" w:fill="auto"/>
            <w:vAlign w:val="center"/>
          </w:tcPr>
          <w:p w14:paraId="2FF45A98">
            <w:pPr>
              <w:pStyle w:val="51"/>
              <w:spacing w:before="0" w:after="0" w:line="360" w:lineRule="auto"/>
              <w:rPr>
                <w:rStyle w:val="52"/>
                <w:rFonts w:ascii="仿宋" w:hAnsi="仿宋" w:eastAsia="仿宋" w:cs="仿宋"/>
                <w:color w:val="0000FF"/>
                <w:sz w:val="24"/>
                <w:szCs w:val="24"/>
                <w:highlight w:val="none"/>
              </w:rPr>
            </w:pPr>
            <w:r>
              <w:rPr>
                <w:rStyle w:val="52"/>
                <w:rFonts w:hint="eastAsia" w:ascii="仿宋" w:hAnsi="仿宋" w:eastAsia="仿宋" w:cs="仿宋"/>
                <w:color w:val="000000" w:themeColor="text1"/>
                <w:sz w:val="24"/>
                <w:szCs w:val="24"/>
                <w:highlight w:val="none"/>
                <w:lang w:val="en-US"/>
                <w14:textFill>
                  <w14:solidFill>
                    <w14:schemeClr w14:val="tx1"/>
                  </w14:solidFill>
                </w14:textFill>
              </w:rPr>
              <w:t>1.</w:t>
            </w:r>
            <w:r>
              <w:rPr>
                <w:rStyle w:val="52"/>
                <w:rFonts w:hint="eastAsia" w:ascii="仿宋" w:hAnsi="仿宋" w:eastAsia="仿宋" w:cs="仿宋"/>
                <w:color w:val="000000" w:themeColor="text1"/>
                <w:sz w:val="24"/>
                <w:szCs w:val="24"/>
                <w:highlight w:val="none"/>
                <w14:textFill>
                  <w14:solidFill>
                    <w14:schemeClr w14:val="tx1"/>
                  </w14:solidFill>
                </w14:textFill>
              </w:rPr>
              <w:t>预算金额：</w:t>
            </w:r>
            <w:r>
              <w:rPr>
                <w:rStyle w:val="52"/>
                <w:rFonts w:hint="eastAsia" w:ascii="仿宋" w:hAnsi="仿宋" w:eastAsia="仿宋" w:cs="仿宋"/>
                <w:color w:val="000000" w:themeColor="text1"/>
                <w:sz w:val="24"/>
                <w:szCs w:val="24"/>
                <w:highlight w:val="none"/>
                <w:lang w:val="en-US"/>
                <w14:textFill>
                  <w14:solidFill>
                    <w14:schemeClr w14:val="tx1"/>
                  </w14:solidFill>
                </w14:textFill>
              </w:rPr>
              <w:t>410</w:t>
            </w:r>
            <w:r>
              <w:rPr>
                <w:rStyle w:val="52"/>
                <w:rFonts w:hint="eastAsia" w:ascii="仿宋" w:hAnsi="仿宋" w:eastAsia="仿宋" w:cs="仿宋"/>
                <w:sz w:val="24"/>
                <w:szCs w:val="24"/>
                <w:highlight w:val="none"/>
                <w:lang w:val="en-US"/>
              </w:rPr>
              <w:t>16</w:t>
            </w:r>
            <w:r>
              <w:rPr>
                <w:rStyle w:val="52"/>
                <w:rFonts w:hint="eastAsia" w:ascii="仿宋" w:hAnsi="仿宋" w:eastAsia="仿宋" w:cs="仿宋"/>
                <w:sz w:val="24"/>
                <w:szCs w:val="24"/>
                <w:highlight w:val="none"/>
              </w:rPr>
              <w:t>00.00元；</w:t>
            </w:r>
          </w:p>
          <w:p w14:paraId="117238A0">
            <w:pPr>
              <w:pStyle w:val="51"/>
              <w:spacing w:before="0" w:after="0" w:line="360" w:lineRule="auto"/>
              <w:rPr>
                <w:rStyle w:val="52"/>
                <w:rFonts w:ascii="仿宋" w:hAnsi="仿宋" w:eastAsia="仿宋" w:cs="仿宋"/>
                <w:color w:val="000000" w:themeColor="text1"/>
                <w:sz w:val="24"/>
                <w:szCs w:val="24"/>
                <w:highlight w:val="none"/>
                <w14:textFill>
                  <w14:solidFill>
                    <w14:schemeClr w14:val="tx1"/>
                  </w14:solidFill>
                </w14:textFill>
              </w:rPr>
            </w:pPr>
            <w:r>
              <w:rPr>
                <w:rStyle w:val="52"/>
                <w:rFonts w:hint="eastAsia" w:ascii="仿宋" w:hAnsi="仿宋" w:eastAsia="仿宋" w:cs="仿宋"/>
                <w:color w:val="000000" w:themeColor="text1"/>
                <w:sz w:val="24"/>
                <w:szCs w:val="24"/>
                <w:highlight w:val="none"/>
                <w:lang w:val="en-US"/>
                <w14:textFill>
                  <w14:solidFill>
                    <w14:schemeClr w14:val="tx1"/>
                  </w14:solidFill>
                </w14:textFill>
              </w:rPr>
              <w:t>2.</w:t>
            </w:r>
            <w:r>
              <w:rPr>
                <w:rStyle w:val="52"/>
                <w:rFonts w:hint="eastAsia" w:ascii="仿宋" w:hAnsi="仿宋" w:eastAsia="仿宋" w:cs="仿宋"/>
                <w:color w:val="000000" w:themeColor="text1"/>
                <w:sz w:val="24"/>
                <w:szCs w:val="24"/>
                <w:highlight w:val="none"/>
                <w14:textFill>
                  <w14:solidFill>
                    <w14:schemeClr w14:val="tx1"/>
                  </w14:solidFill>
                </w14:textFill>
              </w:rPr>
              <w:t>采购内容：补充管护队伍，稳步推进林业生态建设，提高就业率（具体内容详见第三部分采购需求）。</w:t>
            </w:r>
          </w:p>
          <w:p w14:paraId="78F5CE8E">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color w:val="000000" w:themeColor="text1"/>
                <w:sz w:val="24"/>
                <w:szCs w:val="24"/>
                <w:highlight w:val="none"/>
                <w:lang w:val="en-US"/>
                <w14:textFill>
                  <w14:solidFill>
                    <w14:schemeClr w14:val="tx1"/>
                  </w14:solidFill>
                </w14:textFill>
              </w:rPr>
              <w:t>3.</w:t>
            </w:r>
            <w:r>
              <w:rPr>
                <w:rStyle w:val="52"/>
                <w:rFonts w:hint="eastAsia" w:ascii="仿宋" w:hAnsi="仿宋" w:eastAsia="仿宋" w:cs="仿宋"/>
                <w:color w:val="000000" w:themeColor="text1"/>
                <w:sz w:val="24"/>
                <w:szCs w:val="24"/>
                <w:highlight w:val="none"/>
                <w14:textFill>
                  <w14:solidFill>
                    <w14:schemeClr w14:val="tx1"/>
                  </w14:solidFill>
                </w14:textFill>
              </w:rPr>
              <w:t>项目地点</w:t>
            </w:r>
            <w:r>
              <w:rPr>
                <w:rStyle w:val="52"/>
                <w:rFonts w:hint="eastAsia" w:ascii="仿宋" w:hAnsi="仿宋" w:eastAsia="仿宋" w:cs="仿宋"/>
                <w:sz w:val="24"/>
                <w:szCs w:val="24"/>
                <w:highlight w:val="none"/>
              </w:rPr>
              <w:t>：招标人指定地点</w:t>
            </w:r>
          </w:p>
        </w:tc>
      </w:tr>
      <w:tr w14:paraId="5A968223">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7D0116A7">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6</w:t>
            </w:r>
          </w:p>
        </w:tc>
        <w:tc>
          <w:tcPr>
            <w:tcW w:w="1631" w:type="dxa"/>
            <w:tcBorders>
              <w:top w:val="nil"/>
              <w:left w:val="single" w:color="auto" w:sz="4" w:space="0"/>
              <w:bottom w:val="single" w:color="auto" w:sz="4" w:space="0"/>
              <w:right w:val="single" w:color="auto" w:sz="4" w:space="0"/>
            </w:tcBorders>
            <w:shd w:val="clear" w:color="auto" w:fill="auto"/>
            <w:vAlign w:val="center"/>
          </w:tcPr>
          <w:p w14:paraId="0CD5A598">
            <w:pPr>
              <w:pStyle w:val="51"/>
              <w:spacing w:before="0" w:after="0" w:line="360" w:lineRule="auto"/>
              <w:jc w:val="center"/>
              <w:rPr>
                <w:rStyle w:val="52"/>
                <w:rFonts w:ascii="仿宋" w:hAnsi="仿宋" w:eastAsia="仿宋" w:cs="仿宋"/>
                <w:color w:val="000000" w:themeColor="text1"/>
                <w:sz w:val="24"/>
                <w:szCs w:val="24"/>
                <w:highlight w:val="none"/>
                <w14:textFill>
                  <w14:solidFill>
                    <w14:schemeClr w14:val="tx1"/>
                  </w14:solidFill>
                </w14:textFill>
              </w:rPr>
            </w:pPr>
            <w:r>
              <w:rPr>
                <w:rStyle w:val="52"/>
                <w:rFonts w:hint="eastAsia" w:ascii="仿宋" w:hAnsi="仿宋" w:eastAsia="仿宋" w:cs="仿宋"/>
                <w:color w:val="000000" w:themeColor="text1"/>
                <w:sz w:val="24"/>
                <w:szCs w:val="24"/>
                <w:highlight w:val="none"/>
                <w14:textFill>
                  <w14:solidFill>
                    <w14:schemeClr w14:val="tx1"/>
                  </w14:solidFill>
                </w14:textFill>
              </w:rPr>
              <w:t>投标人资格要求</w:t>
            </w:r>
            <w:r>
              <w:rPr>
                <w:rFonts w:hint="eastAsia" w:ascii="仿宋_GB2312" w:hAnsi="仿宋" w:eastAsia="仿宋_GB2312"/>
                <w:b/>
                <w:color w:val="000000" w:themeColor="text1"/>
                <w:highlight w:val="none"/>
                <w14:textFill>
                  <w14:solidFill>
                    <w14:schemeClr w14:val="tx1"/>
                  </w14:solidFill>
                </w14:textFill>
              </w:rPr>
              <w:t>▲</w:t>
            </w:r>
          </w:p>
        </w:tc>
        <w:tc>
          <w:tcPr>
            <w:tcW w:w="7307" w:type="dxa"/>
            <w:tcBorders>
              <w:top w:val="nil"/>
              <w:left w:val="nil"/>
              <w:bottom w:val="single" w:color="auto" w:sz="4" w:space="0"/>
              <w:right w:val="single" w:color="auto" w:sz="4" w:space="0"/>
            </w:tcBorders>
            <w:shd w:val="clear" w:color="auto" w:fill="auto"/>
            <w:vAlign w:val="center"/>
          </w:tcPr>
          <w:p w14:paraId="02A47CB4">
            <w:pPr>
              <w:pStyle w:val="51"/>
              <w:numPr>
                <w:ilvl w:val="0"/>
                <w:numId w:val="2"/>
              </w:numPr>
              <w:spacing w:before="0" w:after="0" w:line="360" w:lineRule="auto"/>
              <w:rPr>
                <w:rFonts w:ascii="仿宋" w:hAnsi="仿宋" w:eastAsia="仿宋" w:cs="仿宋"/>
                <w:color w:val="000000" w:themeColor="text1"/>
                <w:spacing w:val="0"/>
                <w:szCs w:val="24"/>
                <w:highlight w:val="none"/>
                <w14:textFill>
                  <w14:solidFill>
                    <w14:schemeClr w14:val="tx1"/>
                  </w14:solidFill>
                </w14:textFill>
              </w:rPr>
            </w:pPr>
            <w:r>
              <w:rPr>
                <w:rFonts w:hint="eastAsia" w:ascii="仿宋" w:hAnsi="仿宋" w:eastAsia="仿宋" w:cs="仿宋"/>
                <w:color w:val="000000" w:themeColor="text1"/>
                <w:spacing w:val="0"/>
                <w:szCs w:val="24"/>
                <w:highlight w:val="none"/>
                <w14:textFill>
                  <w14:solidFill>
                    <w14:schemeClr w14:val="tx1"/>
                  </w14:solidFill>
                </w14:textFill>
              </w:rPr>
              <w:t>供应商需满足《中华人民共和国政府采购法》第二十二条规定；</w:t>
            </w:r>
          </w:p>
          <w:p w14:paraId="25B7F763">
            <w:pPr>
              <w:pStyle w:val="51"/>
              <w:numPr>
                <w:ilvl w:val="0"/>
                <w:numId w:val="3"/>
              </w:numPr>
              <w:spacing w:before="0" w:after="0" w:line="360" w:lineRule="auto"/>
              <w:rPr>
                <w:rFonts w:ascii="仿宋" w:hAnsi="仿宋" w:eastAsia="仿宋" w:cs="仿宋"/>
                <w:color w:val="000000" w:themeColor="text1"/>
                <w:spacing w:val="0"/>
                <w:szCs w:val="24"/>
                <w:highlight w:val="none"/>
                <w14:textFill>
                  <w14:solidFill>
                    <w14:schemeClr w14:val="tx1"/>
                  </w14:solidFill>
                </w14:textFill>
              </w:rPr>
            </w:pPr>
            <w:r>
              <w:rPr>
                <w:rFonts w:hint="eastAsia" w:ascii="仿宋" w:hAnsi="仿宋" w:eastAsia="仿宋" w:cs="仿宋"/>
                <w:color w:val="000000" w:themeColor="text1"/>
                <w:spacing w:val="0"/>
                <w:szCs w:val="24"/>
                <w:highlight w:val="none"/>
                <w14:textFill>
                  <w14:solidFill>
                    <w14:schemeClr w14:val="tx1"/>
                  </w14:solidFill>
                </w14:textFill>
              </w:rPr>
              <w:t>在中华人民共和国境内注册，具有独立承担民事责任的能力；（</w:t>
            </w:r>
            <w:r>
              <w:rPr>
                <w:rFonts w:hint="eastAsia" w:ascii="仿宋" w:hAnsi="仿宋" w:eastAsia="仿宋" w:cs="仿宋"/>
                <w:color w:val="000000" w:themeColor="text1"/>
                <w:highlight w:val="none"/>
                <w14:textFill>
                  <w14:solidFill>
                    <w14:schemeClr w14:val="tx1"/>
                  </w14:solidFill>
                </w14:textFill>
              </w:rPr>
              <w:t>提供有效的营业执照</w:t>
            </w:r>
            <w:r>
              <w:rPr>
                <w:rFonts w:hint="eastAsia" w:ascii="仿宋" w:hAnsi="仿宋" w:eastAsia="仿宋" w:cs="仿宋"/>
                <w:color w:val="000000" w:themeColor="text1"/>
                <w:spacing w:val="0"/>
                <w:szCs w:val="24"/>
                <w:highlight w:val="none"/>
                <w14:textFill>
                  <w14:solidFill>
                    <w14:schemeClr w14:val="tx1"/>
                  </w14:solidFill>
                </w14:textFill>
              </w:rPr>
              <w:t>）。</w:t>
            </w:r>
          </w:p>
          <w:p w14:paraId="6CFD57BD">
            <w:pPr>
              <w:pStyle w:val="51"/>
              <w:spacing w:before="0" w:after="0" w:line="360" w:lineRule="auto"/>
              <w:rPr>
                <w:rFonts w:ascii="仿宋" w:hAnsi="仿宋" w:eastAsia="仿宋" w:cs="仿宋"/>
                <w:color w:val="000000" w:themeColor="text1"/>
                <w:spacing w:val="0"/>
                <w:szCs w:val="24"/>
                <w:highlight w:val="none"/>
                <w14:textFill>
                  <w14:solidFill>
                    <w14:schemeClr w14:val="tx1"/>
                  </w14:solidFill>
                </w14:textFill>
              </w:rPr>
            </w:pPr>
            <w:r>
              <w:rPr>
                <w:rFonts w:hint="eastAsia" w:ascii="仿宋" w:hAnsi="仿宋" w:eastAsia="仿宋" w:cs="仿宋"/>
                <w:color w:val="000000" w:themeColor="text1"/>
                <w:spacing w:val="0"/>
                <w:szCs w:val="24"/>
                <w:highlight w:val="none"/>
                <w14:textFill>
                  <w14:solidFill>
                    <w14:schemeClr w14:val="tx1"/>
                  </w14:solidFill>
                </w14:textFill>
              </w:rPr>
              <w:t>（二）具有良好的商业信誉和健全的财务会计制度；（</w:t>
            </w:r>
            <w:r>
              <w:rPr>
                <w:rFonts w:hint="eastAsia" w:ascii="仿宋" w:hAnsi="仿宋" w:eastAsia="仿宋" w:cs="仿宋"/>
                <w:color w:val="000000" w:themeColor="text1"/>
                <w:highlight w:val="none"/>
                <w14:textFill>
                  <w14:solidFill>
                    <w14:schemeClr w14:val="tx1"/>
                  </w14:solidFill>
                </w14:textFill>
              </w:rPr>
              <w:t>提供2024年度或2025年度的经会计师事务所审计的完整财务报告，成立不足一年的提供成立至今的财务报表</w:t>
            </w:r>
            <w:r>
              <w:rPr>
                <w:rFonts w:hint="eastAsia" w:ascii="仿宋" w:hAnsi="仿宋" w:eastAsia="仿宋" w:cs="仿宋"/>
                <w:color w:val="000000" w:themeColor="text1"/>
                <w:spacing w:val="0"/>
                <w:szCs w:val="24"/>
                <w:highlight w:val="none"/>
                <w14:textFill>
                  <w14:solidFill>
                    <w14:schemeClr w14:val="tx1"/>
                  </w14:solidFill>
                </w14:textFill>
              </w:rPr>
              <w:t>）。</w:t>
            </w:r>
          </w:p>
          <w:p w14:paraId="3E1BF7FB">
            <w:pPr>
              <w:pStyle w:val="51"/>
              <w:spacing w:before="0" w:after="0" w:line="360" w:lineRule="auto"/>
              <w:rPr>
                <w:rFonts w:ascii="仿宋" w:hAnsi="仿宋" w:eastAsia="仿宋" w:cs="仿宋"/>
                <w:color w:val="000000" w:themeColor="text1"/>
                <w:spacing w:val="0"/>
                <w:szCs w:val="24"/>
                <w:highlight w:val="none"/>
                <w14:textFill>
                  <w14:solidFill>
                    <w14:schemeClr w14:val="tx1"/>
                  </w14:solidFill>
                </w14:textFill>
              </w:rPr>
            </w:pPr>
            <w:r>
              <w:rPr>
                <w:rFonts w:hint="eastAsia" w:ascii="仿宋" w:hAnsi="仿宋" w:eastAsia="仿宋" w:cs="仿宋"/>
                <w:color w:val="000000" w:themeColor="text1"/>
                <w:spacing w:val="0"/>
                <w:szCs w:val="24"/>
                <w:highlight w:val="none"/>
                <w14:textFill>
                  <w14:solidFill>
                    <w14:schemeClr w14:val="tx1"/>
                  </w14:solidFill>
                </w14:textFill>
              </w:rPr>
              <w:t>（三）具有履行合同所必需的设备和专业技术能力；（</w:t>
            </w:r>
            <w:r>
              <w:rPr>
                <w:rFonts w:hint="eastAsia" w:ascii="仿宋" w:hAnsi="仿宋" w:eastAsia="仿宋" w:cs="仿宋"/>
                <w:color w:val="000000" w:themeColor="text1"/>
                <w:highlight w:val="none"/>
                <w14:textFill>
                  <w14:solidFill>
                    <w14:schemeClr w14:val="tx1"/>
                  </w14:solidFill>
                </w14:textFill>
              </w:rPr>
              <w:t>根据项目需求提供履行合同所必需的设备和专业技术能力的加盖单位公章的书面承诺函</w:t>
            </w:r>
            <w:r>
              <w:rPr>
                <w:rFonts w:hint="eastAsia" w:ascii="仿宋" w:hAnsi="仿宋" w:eastAsia="仿宋" w:cs="仿宋"/>
                <w:color w:val="000000" w:themeColor="text1"/>
                <w:spacing w:val="0"/>
                <w:szCs w:val="24"/>
                <w:highlight w:val="none"/>
                <w14:textFill>
                  <w14:solidFill>
                    <w14:schemeClr w14:val="tx1"/>
                  </w14:solidFill>
                </w14:textFill>
              </w:rPr>
              <w:t>）。</w:t>
            </w:r>
          </w:p>
          <w:p w14:paraId="69DF17F4">
            <w:pPr>
              <w:pStyle w:val="51"/>
              <w:spacing w:before="0" w:after="0" w:line="360" w:lineRule="auto"/>
              <w:rPr>
                <w:rFonts w:ascii="仿宋" w:hAnsi="仿宋" w:eastAsia="仿宋" w:cs="仿宋"/>
                <w:color w:val="000000" w:themeColor="text1"/>
                <w:spacing w:val="0"/>
                <w:szCs w:val="24"/>
                <w:highlight w:val="none"/>
                <w14:textFill>
                  <w14:solidFill>
                    <w14:schemeClr w14:val="tx1"/>
                  </w14:solidFill>
                </w14:textFill>
              </w:rPr>
            </w:pPr>
            <w:r>
              <w:rPr>
                <w:rFonts w:hint="eastAsia" w:ascii="仿宋" w:hAnsi="仿宋" w:eastAsia="仿宋" w:cs="仿宋"/>
                <w:color w:val="000000" w:themeColor="text1"/>
                <w:spacing w:val="0"/>
                <w:szCs w:val="24"/>
                <w:highlight w:val="none"/>
                <w14:textFill>
                  <w14:solidFill>
                    <w14:schemeClr w14:val="tx1"/>
                  </w14:solidFill>
                </w14:textFill>
              </w:rPr>
              <w:t>（四）有依法缴纳税收和社会保障资金的良好记录；（</w:t>
            </w:r>
            <w:r>
              <w:rPr>
                <w:rFonts w:hint="eastAsia" w:ascii="仿宋" w:hAnsi="仿宋" w:eastAsia="仿宋" w:cs="仿宋"/>
                <w:color w:val="000000" w:themeColor="text1"/>
                <w:highlight w:val="none"/>
                <w14:textFill>
                  <w14:solidFill>
                    <w14:schemeClr w14:val="tx1"/>
                  </w14:solidFill>
                </w14:textFill>
              </w:rPr>
              <w:t>提供参加本次政府采购活动前近半年内任意一个月的依法缴纳税收和社会保障资金等相关证明材料</w:t>
            </w:r>
            <w:r>
              <w:rPr>
                <w:rFonts w:hint="eastAsia" w:ascii="仿宋" w:hAnsi="仿宋" w:eastAsia="仿宋" w:cs="仿宋"/>
                <w:color w:val="000000" w:themeColor="text1"/>
                <w:spacing w:val="0"/>
                <w:szCs w:val="24"/>
                <w:highlight w:val="none"/>
                <w14:textFill>
                  <w14:solidFill>
                    <w14:schemeClr w14:val="tx1"/>
                  </w14:solidFill>
                </w14:textFill>
              </w:rPr>
              <w:t>）。</w:t>
            </w:r>
          </w:p>
          <w:p w14:paraId="14908DE1">
            <w:pPr>
              <w:pStyle w:val="51"/>
              <w:spacing w:before="0" w:after="0" w:line="360" w:lineRule="auto"/>
              <w:rPr>
                <w:rFonts w:ascii="仿宋" w:hAnsi="仿宋" w:eastAsia="仿宋" w:cs="仿宋"/>
                <w:color w:val="000000" w:themeColor="text1"/>
                <w:spacing w:val="0"/>
                <w:szCs w:val="24"/>
                <w:highlight w:val="none"/>
                <w14:textFill>
                  <w14:solidFill>
                    <w14:schemeClr w14:val="tx1"/>
                  </w14:solidFill>
                </w14:textFill>
              </w:rPr>
            </w:pPr>
            <w:r>
              <w:rPr>
                <w:rFonts w:hint="eastAsia" w:ascii="仿宋" w:hAnsi="仿宋" w:eastAsia="仿宋" w:cs="仿宋"/>
                <w:color w:val="000000" w:themeColor="text1"/>
                <w:spacing w:val="0"/>
                <w:szCs w:val="24"/>
                <w:highlight w:val="none"/>
                <w14:textFill>
                  <w14:solidFill>
                    <w14:schemeClr w14:val="tx1"/>
                  </w14:solidFill>
                </w14:textFill>
              </w:rPr>
              <w:t>（五）参加政府采购活动前三年内，在经营活动中没有重大违法记录；（</w:t>
            </w:r>
            <w:r>
              <w:rPr>
                <w:rFonts w:hint="eastAsia" w:ascii="仿宋" w:hAnsi="仿宋" w:eastAsia="仿宋" w:cs="仿宋"/>
                <w:color w:val="000000" w:themeColor="text1"/>
                <w:highlight w:val="none"/>
                <w14:textFill>
                  <w14:solidFill>
                    <w14:schemeClr w14:val="tx1"/>
                  </w14:solidFill>
                </w14:textFill>
              </w:rPr>
              <w:t>提供参加本次政府采购活动前3年内在经营活动中没有重大违法记录的书面承诺函并加盖单位公章</w:t>
            </w:r>
            <w:r>
              <w:rPr>
                <w:rFonts w:hint="eastAsia" w:ascii="仿宋" w:hAnsi="仿宋" w:eastAsia="仿宋" w:cs="仿宋"/>
                <w:color w:val="000000" w:themeColor="text1"/>
                <w:spacing w:val="0"/>
                <w:szCs w:val="24"/>
                <w:highlight w:val="none"/>
                <w14:textFill>
                  <w14:solidFill>
                    <w14:schemeClr w14:val="tx1"/>
                  </w14:solidFill>
                </w14:textFill>
              </w:rPr>
              <w:t>）。</w:t>
            </w:r>
          </w:p>
          <w:p w14:paraId="5C0D3392">
            <w:pPr>
              <w:pStyle w:val="51"/>
              <w:spacing w:before="0" w:after="0" w:line="360" w:lineRule="auto"/>
              <w:rPr>
                <w:rFonts w:hint="eastAsia" w:ascii="仿宋" w:hAnsi="仿宋" w:eastAsia="仿宋" w:cs="仿宋"/>
                <w:color w:val="000000" w:themeColor="text1"/>
                <w:spacing w:val="0"/>
                <w:szCs w:val="24"/>
                <w:highlight w:val="none"/>
                <w:lang w:eastAsia="zh-CN"/>
                <w14:textFill>
                  <w14:solidFill>
                    <w14:schemeClr w14:val="tx1"/>
                  </w14:solidFill>
                </w14:textFill>
              </w:rPr>
            </w:pPr>
            <w:r>
              <w:rPr>
                <w:rFonts w:hint="eastAsia" w:ascii="仿宋" w:hAnsi="仿宋" w:eastAsia="仿宋" w:cs="仿宋"/>
                <w:color w:val="000000" w:themeColor="text1"/>
                <w:spacing w:val="0"/>
                <w:szCs w:val="24"/>
                <w:highlight w:val="none"/>
                <w14:textFill>
                  <w14:solidFill>
                    <w14:schemeClr w14:val="tx1"/>
                  </w14:solidFill>
                </w14:textFill>
              </w:rPr>
              <w:t>（六）法律、行政法规规定的其他条件；</w:t>
            </w:r>
            <w:r>
              <w:rPr>
                <w:rFonts w:hint="eastAsia" w:ascii="仿宋" w:hAnsi="仿宋" w:eastAsia="仿宋" w:cs="仿宋"/>
                <w:color w:val="000000" w:themeColor="text1"/>
                <w:spacing w:val="0"/>
                <w:szCs w:val="24"/>
                <w:highlight w:val="none"/>
                <w:lang w:eastAsia="zh-CN"/>
                <w14:textFill>
                  <w14:solidFill>
                    <w14:schemeClr w14:val="tx1"/>
                  </w14:solidFill>
                </w14:textFill>
              </w:rPr>
              <w:t>（</w:t>
            </w:r>
            <w:r>
              <w:rPr>
                <w:rFonts w:hint="eastAsia" w:ascii="仿宋" w:hAnsi="仿宋" w:eastAsia="仿宋" w:cs="仿宋"/>
                <w:sz w:val="24"/>
                <w:highlight w:val="none"/>
              </w:rPr>
              <w:t xml:space="preserve">投标人根据《财政部关于在政府采购活动中查询及使用信用记录有关问题的通知》（财库﹝2016﹞125号）的要求，凡拟参加本次招标项目的投标人，如在“信用中国”网站（www.creditchina.gov.cn </w:t>
            </w:r>
            <w:r>
              <w:rPr>
                <w:highlight w:val="none"/>
              </w:rPr>
              <w:fldChar w:fldCharType="begin"/>
            </w:r>
            <w:r>
              <w:rPr>
                <w:highlight w:val="none"/>
              </w:rPr>
              <w:instrText xml:space="preserve"> HYPERLINK "http://www.creditchina.gov.cn）被列入重大税收违法失信主体、失信被执行人（中国执行信息公开网），中国政府采购网（http:/www.ccgp.gov.cn/search/cr/）严重违法失信行为记录名单的（尚在处罚期内的），将拒绝其参加本次招标活动；" </w:instrText>
            </w:r>
            <w:r>
              <w:rPr>
                <w:highlight w:val="none"/>
              </w:rPr>
              <w:fldChar w:fldCharType="separate"/>
            </w:r>
            <w:r>
              <w:rPr>
                <w:rFonts w:hint="eastAsia" w:ascii="仿宋" w:hAnsi="仿宋" w:eastAsia="仿宋" w:cs="仿宋"/>
                <w:sz w:val="24"/>
                <w:highlight w:val="none"/>
              </w:rPr>
              <w:t>）被列入重大税收违法失信主体、失信被执行人（中国执行信息公开网），中国政府采购网（http://www.ccgp.gov.cn/search/cr/）严重违法失信行为记录名单的（尚在处罚期内的），将拒绝其参加本次招标活动；</w:t>
            </w:r>
            <w:r>
              <w:rPr>
                <w:rFonts w:hint="eastAsia" w:ascii="仿宋" w:hAnsi="仿宋" w:eastAsia="仿宋" w:cs="仿宋"/>
                <w:sz w:val="24"/>
                <w:highlight w:val="none"/>
              </w:rPr>
              <w:fldChar w:fldCharType="end"/>
            </w:r>
            <w:r>
              <w:rPr>
                <w:rFonts w:hint="eastAsia" w:ascii="仿宋" w:hAnsi="仿宋" w:eastAsia="仿宋" w:cs="仿宋"/>
                <w:color w:val="000000" w:themeColor="text1"/>
                <w:spacing w:val="0"/>
                <w:szCs w:val="24"/>
                <w:highlight w:val="none"/>
                <w:lang w:eastAsia="zh-CN"/>
                <w14:textFill>
                  <w14:solidFill>
                    <w14:schemeClr w14:val="tx1"/>
                  </w14:solidFill>
                </w14:textFill>
              </w:rPr>
              <w:t>）</w:t>
            </w:r>
          </w:p>
          <w:p w14:paraId="43F94FE2">
            <w:pPr>
              <w:pStyle w:val="51"/>
              <w:spacing w:before="0" w:after="0" w:line="360" w:lineRule="auto"/>
              <w:rPr>
                <w:rFonts w:ascii="仿宋" w:hAnsi="仿宋" w:eastAsia="仿宋" w:cs="仿宋"/>
                <w:color w:val="000000" w:themeColor="text1"/>
                <w:spacing w:val="0"/>
                <w:szCs w:val="24"/>
                <w:highlight w:val="none"/>
                <w14:textFill>
                  <w14:solidFill>
                    <w14:schemeClr w14:val="tx1"/>
                  </w14:solidFill>
                </w14:textFill>
              </w:rPr>
            </w:pPr>
            <w:r>
              <w:rPr>
                <w:rFonts w:hint="eastAsia" w:ascii="仿宋" w:hAnsi="仿宋" w:eastAsia="仿宋" w:cs="仿宋"/>
                <w:color w:val="000000" w:themeColor="text1"/>
                <w:spacing w:val="0"/>
                <w:szCs w:val="24"/>
                <w:highlight w:val="none"/>
                <w14:textFill>
                  <w14:solidFill>
                    <w14:schemeClr w14:val="tx1"/>
                  </w14:solidFill>
                </w14:textFill>
              </w:rPr>
              <w:t>2.落实政府采购政策需满足的资格要求：供应商为中小企业 </w:t>
            </w:r>
          </w:p>
          <w:p w14:paraId="42BB0B22">
            <w:pPr>
              <w:pStyle w:val="51"/>
              <w:spacing w:before="0" w:after="0" w:line="360" w:lineRule="auto"/>
              <w:rPr>
                <w:rFonts w:ascii="仿宋" w:hAnsi="仿宋" w:eastAsia="仿宋" w:cs="仿宋"/>
                <w:color w:val="000000" w:themeColor="text1"/>
                <w:spacing w:val="0"/>
                <w:szCs w:val="24"/>
                <w:highlight w:val="none"/>
                <w14:textFill>
                  <w14:solidFill>
                    <w14:schemeClr w14:val="tx1"/>
                  </w14:solidFill>
                </w14:textFill>
              </w:rPr>
            </w:pPr>
            <w:r>
              <w:rPr>
                <w:rFonts w:hint="eastAsia" w:ascii="仿宋" w:hAnsi="仿宋" w:eastAsia="仿宋" w:cs="仿宋"/>
                <w:color w:val="000000" w:themeColor="text1"/>
                <w:spacing w:val="0"/>
                <w:szCs w:val="24"/>
                <w:highlight w:val="none"/>
                <w14:textFill>
                  <w14:solidFill>
                    <w14:schemeClr w14:val="tx1"/>
                  </w14:solidFill>
                </w14:textFill>
              </w:rPr>
              <w:t>3.本项目的特定资格要求：</w:t>
            </w:r>
            <w:r>
              <w:rPr>
                <w:rFonts w:hint="eastAsia" w:ascii="仿宋" w:hAnsi="仿宋" w:eastAsia="仿宋" w:cs="仿宋"/>
                <w:color w:val="000000" w:themeColor="text1"/>
                <w:spacing w:val="0"/>
                <w:szCs w:val="24"/>
                <w:highlight w:val="none"/>
                <w:lang w:val="en-US" w:eastAsia="zh-CN"/>
                <w14:textFill>
                  <w14:solidFill>
                    <w14:schemeClr w14:val="tx1"/>
                  </w14:solidFill>
                </w14:textFill>
              </w:rPr>
              <w:t>具有有效的《劳务派遣经营许可证》和《人力资源服务许可证》</w:t>
            </w:r>
          </w:p>
          <w:p w14:paraId="27A47083">
            <w:pPr>
              <w:pStyle w:val="51"/>
              <w:spacing w:before="0" w:after="0" w:line="360" w:lineRule="auto"/>
              <w:rPr>
                <w:rStyle w:val="52"/>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0"/>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0"/>
                <w:szCs w:val="24"/>
                <w:highlight w:val="none"/>
                <w14:textFill>
                  <w14:solidFill>
                    <w14:schemeClr w14:val="tx1"/>
                  </w14:solidFill>
                </w14:textFill>
              </w:rPr>
              <w:t>单位负责人为同一人或者存在控股、管理关系的不同供应商，不得参加同一合同项下的政府采购活动（投标人提供相关内容承诺或者说明等证明材料）；</w:t>
            </w:r>
          </w:p>
        </w:tc>
      </w:tr>
      <w:tr w14:paraId="1B1D24F3">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28DBCB03">
            <w:pPr>
              <w:pStyle w:val="21"/>
              <w:ind w:firstLine="240" w:firstLineChars="100"/>
              <w:rPr>
                <w:highlight w:val="none"/>
              </w:rPr>
            </w:pPr>
            <w:r>
              <w:rPr>
                <w:rFonts w:hint="eastAsia" w:ascii="仿宋" w:hAnsi="仿宋" w:eastAsia="仿宋" w:cs="仿宋"/>
                <w:bCs/>
                <w:color w:val="000000"/>
                <w:kern w:val="0"/>
                <w:sz w:val="24"/>
                <w:highlight w:val="none"/>
              </w:rPr>
              <w:t>7</w:t>
            </w:r>
          </w:p>
        </w:tc>
        <w:tc>
          <w:tcPr>
            <w:tcW w:w="1631" w:type="dxa"/>
            <w:tcBorders>
              <w:top w:val="nil"/>
              <w:left w:val="single" w:color="auto" w:sz="4" w:space="0"/>
              <w:bottom w:val="single" w:color="auto" w:sz="4" w:space="0"/>
              <w:right w:val="single" w:color="auto" w:sz="4" w:space="0"/>
            </w:tcBorders>
            <w:shd w:val="clear" w:color="auto" w:fill="auto"/>
            <w:vAlign w:val="center"/>
          </w:tcPr>
          <w:p w14:paraId="7F6F6434">
            <w:pPr>
              <w:pStyle w:val="21"/>
              <w:ind w:firstLine="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合同履约期限</w:t>
            </w:r>
          </w:p>
        </w:tc>
        <w:tc>
          <w:tcPr>
            <w:tcW w:w="7307" w:type="dxa"/>
            <w:tcBorders>
              <w:top w:val="nil"/>
              <w:left w:val="nil"/>
              <w:bottom w:val="single" w:color="auto" w:sz="4" w:space="0"/>
              <w:right w:val="single" w:color="auto" w:sz="4" w:space="0"/>
            </w:tcBorders>
            <w:shd w:val="clear" w:color="auto" w:fill="auto"/>
            <w:vAlign w:val="center"/>
          </w:tcPr>
          <w:p w14:paraId="430DE343">
            <w:pPr>
              <w:pStyle w:val="21"/>
              <w:ind w:firstLine="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一年。</w:t>
            </w:r>
          </w:p>
        </w:tc>
      </w:tr>
      <w:tr w14:paraId="510906F3">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063B0A15">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8</w:t>
            </w:r>
          </w:p>
        </w:tc>
        <w:tc>
          <w:tcPr>
            <w:tcW w:w="1631" w:type="dxa"/>
            <w:tcBorders>
              <w:top w:val="nil"/>
              <w:left w:val="single" w:color="auto" w:sz="4" w:space="0"/>
              <w:bottom w:val="single" w:color="auto" w:sz="4" w:space="0"/>
              <w:right w:val="single" w:color="auto" w:sz="4" w:space="0"/>
            </w:tcBorders>
            <w:shd w:val="clear" w:color="auto" w:fill="auto"/>
            <w:vAlign w:val="center"/>
          </w:tcPr>
          <w:p w14:paraId="096604C6">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是否需要提交样品</w:t>
            </w:r>
          </w:p>
        </w:tc>
        <w:tc>
          <w:tcPr>
            <w:tcW w:w="7307" w:type="dxa"/>
            <w:tcBorders>
              <w:top w:val="nil"/>
              <w:left w:val="nil"/>
              <w:bottom w:val="single" w:color="auto" w:sz="4" w:space="0"/>
              <w:right w:val="single" w:color="auto" w:sz="4" w:space="0"/>
            </w:tcBorders>
            <w:shd w:val="clear" w:color="auto" w:fill="auto"/>
            <w:vAlign w:val="center"/>
          </w:tcPr>
          <w:p w14:paraId="573E52BD">
            <w:pPr>
              <w:autoSpaceDE w:val="0"/>
              <w:autoSpaceDN w:val="0"/>
              <w:adjustRightInd w:val="0"/>
              <w:spacing w:line="360" w:lineRule="auto"/>
              <w:ind w:left="360" w:hanging="360"/>
              <w:rPr>
                <w:rFonts w:ascii="仿宋" w:hAnsi="仿宋" w:eastAsia="仿宋" w:cs="仿宋"/>
                <w:sz w:val="24"/>
                <w:highlight w:val="none"/>
                <w:lang w:val="zh-CN"/>
              </w:rPr>
            </w:pPr>
            <w:r>
              <w:rPr>
                <w:rStyle w:val="52"/>
                <w:rFonts w:hint="eastAsia" w:ascii="仿宋" w:hAnsi="仿宋" w:eastAsia="仿宋" w:cs="仿宋"/>
                <w:sz w:val="24"/>
                <w:highlight w:val="none"/>
              </w:rPr>
              <w:fldChar w:fldCharType="begin"/>
            </w:r>
            <w:r>
              <w:rPr>
                <w:rStyle w:val="52"/>
                <w:rFonts w:hint="eastAsia" w:ascii="仿宋" w:hAnsi="仿宋" w:eastAsia="仿宋" w:cs="仿宋"/>
                <w:sz w:val="24"/>
                <w:highlight w:val="none"/>
              </w:rPr>
              <w:instrText xml:space="preserve"> eq \o\ac(</w:instrText>
            </w:r>
            <w:r>
              <w:rPr>
                <w:rStyle w:val="52"/>
                <w:rFonts w:hint="eastAsia" w:ascii="仿宋" w:hAnsi="仿宋" w:eastAsia="仿宋" w:cs="仿宋"/>
                <w:position w:val="-4"/>
                <w:sz w:val="24"/>
                <w:highlight w:val="none"/>
              </w:rPr>
              <w:instrText xml:space="preserve">□,</w:instrText>
            </w:r>
            <w:r>
              <w:rPr>
                <w:rStyle w:val="52"/>
                <w:rFonts w:hint="eastAsia" w:ascii="仿宋" w:hAnsi="仿宋" w:eastAsia="仿宋" w:cs="仿宋"/>
                <w:sz w:val="24"/>
                <w:highlight w:val="none"/>
              </w:rPr>
              <w:instrText xml:space="preserve">√)</w:instrText>
            </w:r>
            <w:r>
              <w:rPr>
                <w:rStyle w:val="52"/>
                <w:rFonts w:hint="eastAsia" w:ascii="仿宋" w:hAnsi="仿宋" w:eastAsia="仿宋" w:cs="仿宋"/>
                <w:sz w:val="24"/>
                <w:highlight w:val="none"/>
              </w:rPr>
              <w:fldChar w:fldCharType="end"/>
            </w:r>
            <w:r>
              <w:rPr>
                <w:rFonts w:hint="eastAsia" w:ascii="仿宋" w:hAnsi="仿宋" w:eastAsia="仿宋" w:cs="仿宋"/>
                <w:sz w:val="24"/>
                <w:highlight w:val="none"/>
                <w:lang w:val="zh-CN"/>
              </w:rPr>
              <w:t>不需要。</w:t>
            </w:r>
          </w:p>
          <w:p w14:paraId="6E7DA932">
            <w:pPr>
              <w:autoSpaceDE w:val="0"/>
              <w:autoSpaceDN w:val="0"/>
              <w:adjustRightInd w:val="0"/>
              <w:spacing w:line="360" w:lineRule="auto"/>
              <w:ind w:left="360" w:hanging="360"/>
              <w:rPr>
                <w:rStyle w:val="52"/>
                <w:rFonts w:ascii="仿宋" w:hAnsi="仿宋" w:eastAsia="仿宋" w:cs="仿宋"/>
                <w:sz w:val="24"/>
                <w:highlight w:val="none"/>
              </w:rPr>
            </w:pPr>
            <w:r>
              <w:rPr>
                <w:rStyle w:val="52"/>
                <w:rFonts w:hint="eastAsia" w:ascii="仿宋" w:hAnsi="仿宋" w:eastAsia="仿宋" w:cs="仿宋"/>
                <w:sz w:val="24"/>
                <w:highlight w:val="none"/>
              </w:rPr>
              <w:fldChar w:fldCharType="begin"/>
            </w:r>
            <w:r>
              <w:rPr>
                <w:rStyle w:val="52"/>
                <w:rFonts w:hint="eastAsia" w:ascii="仿宋" w:hAnsi="仿宋" w:eastAsia="仿宋" w:cs="仿宋"/>
                <w:sz w:val="24"/>
                <w:highlight w:val="none"/>
              </w:rPr>
              <w:instrText xml:space="preserve"> eq \o\ac(</w:instrText>
            </w:r>
            <w:r>
              <w:rPr>
                <w:rStyle w:val="52"/>
                <w:rFonts w:hint="eastAsia" w:ascii="仿宋" w:hAnsi="仿宋" w:eastAsia="仿宋" w:cs="仿宋"/>
                <w:position w:val="-4"/>
                <w:sz w:val="24"/>
                <w:highlight w:val="none"/>
              </w:rPr>
              <w:instrText xml:space="preserve">□</w:instrText>
            </w:r>
            <w:r>
              <w:rPr>
                <w:rStyle w:val="52"/>
                <w:rFonts w:hint="eastAsia" w:ascii="仿宋" w:hAnsi="仿宋" w:eastAsia="仿宋" w:cs="仿宋"/>
                <w:sz w:val="24"/>
                <w:highlight w:val="none"/>
              </w:rPr>
              <w:instrText xml:space="preserve">)</w:instrText>
            </w:r>
            <w:r>
              <w:rPr>
                <w:rStyle w:val="52"/>
                <w:rFonts w:hint="eastAsia" w:ascii="仿宋" w:hAnsi="仿宋" w:eastAsia="仿宋" w:cs="仿宋"/>
                <w:sz w:val="24"/>
                <w:highlight w:val="none"/>
              </w:rPr>
              <w:fldChar w:fldCharType="end"/>
            </w:r>
            <w:r>
              <w:rPr>
                <w:rFonts w:hint="eastAsia" w:ascii="仿宋" w:hAnsi="仿宋" w:eastAsia="仿宋" w:cs="仿宋"/>
                <w:sz w:val="24"/>
                <w:highlight w:val="none"/>
                <w:lang w:val="zh-CN"/>
              </w:rPr>
              <w:t>需要，样品要求如下：</w:t>
            </w:r>
          </w:p>
        </w:tc>
      </w:tr>
      <w:tr w14:paraId="47526718">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75AB206B">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9</w:t>
            </w:r>
          </w:p>
        </w:tc>
        <w:tc>
          <w:tcPr>
            <w:tcW w:w="1631" w:type="dxa"/>
            <w:tcBorders>
              <w:top w:val="nil"/>
              <w:left w:val="single" w:color="auto" w:sz="4" w:space="0"/>
              <w:bottom w:val="single" w:color="auto" w:sz="4" w:space="0"/>
              <w:right w:val="single" w:color="auto" w:sz="4" w:space="0"/>
            </w:tcBorders>
            <w:shd w:val="clear" w:color="auto" w:fill="auto"/>
            <w:vAlign w:val="center"/>
          </w:tcPr>
          <w:p w14:paraId="3B05009E">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踏勘现场</w:t>
            </w:r>
          </w:p>
        </w:tc>
        <w:tc>
          <w:tcPr>
            <w:tcW w:w="7307" w:type="dxa"/>
            <w:tcBorders>
              <w:top w:val="nil"/>
              <w:left w:val="nil"/>
              <w:bottom w:val="single" w:color="auto" w:sz="4" w:space="0"/>
              <w:right w:val="single" w:color="auto" w:sz="4" w:space="0"/>
            </w:tcBorders>
            <w:shd w:val="clear" w:color="auto" w:fill="auto"/>
            <w:vAlign w:val="center"/>
          </w:tcPr>
          <w:p w14:paraId="5CDF8421">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fldChar w:fldCharType="begin"/>
            </w:r>
            <w:r>
              <w:rPr>
                <w:rStyle w:val="52"/>
                <w:rFonts w:hint="eastAsia" w:ascii="仿宋" w:hAnsi="仿宋" w:eastAsia="仿宋" w:cs="仿宋"/>
                <w:sz w:val="24"/>
                <w:szCs w:val="24"/>
                <w:highlight w:val="none"/>
              </w:rPr>
              <w:instrText xml:space="preserve"> eq \o\ac(</w:instrText>
            </w:r>
            <w:r>
              <w:rPr>
                <w:rStyle w:val="52"/>
                <w:rFonts w:hint="eastAsia" w:ascii="仿宋" w:hAnsi="仿宋" w:eastAsia="仿宋" w:cs="仿宋"/>
                <w:position w:val="-4"/>
                <w:sz w:val="24"/>
                <w:szCs w:val="24"/>
                <w:highlight w:val="none"/>
              </w:rPr>
              <w:instrText xml:space="preserve">□</w:instrText>
            </w:r>
            <w:r>
              <w:rPr>
                <w:rStyle w:val="52"/>
                <w:rFonts w:hint="eastAsia" w:ascii="仿宋" w:hAnsi="仿宋" w:eastAsia="仿宋" w:cs="仿宋"/>
                <w:sz w:val="24"/>
                <w:szCs w:val="24"/>
                <w:highlight w:val="none"/>
              </w:rPr>
              <w:instrText xml:space="preserve">,√)</w:instrText>
            </w:r>
            <w:r>
              <w:rPr>
                <w:rStyle w:val="52"/>
                <w:rFonts w:hint="eastAsia" w:ascii="仿宋" w:hAnsi="仿宋" w:eastAsia="仿宋" w:cs="仿宋"/>
                <w:sz w:val="24"/>
                <w:szCs w:val="24"/>
                <w:highlight w:val="none"/>
              </w:rPr>
              <w:fldChar w:fldCharType="end"/>
            </w:r>
            <w:r>
              <w:rPr>
                <w:rStyle w:val="52"/>
                <w:rFonts w:hint="eastAsia" w:ascii="仿宋" w:hAnsi="仿宋" w:eastAsia="仿宋" w:cs="仿宋"/>
                <w:sz w:val="24"/>
                <w:szCs w:val="24"/>
                <w:highlight w:val="none"/>
              </w:rPr>
              <w:t>否，自行踏勘。</w:t>
            </w:r>
          </w:p>
          <w:p w14:paraId="466F7B0C">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fldChar w:fldCharType="begin"/>
            </w:r>
            <w:r>
              <w:rPr>
                <w:rStyle w:val="52"/>
                <w:rFonts w:hint="eastAsia" w:ascii="仿宋" w:hAnsi="仿宋" w:eastAsia="仿宋" w:cs="仿宋"/>
                <w:sz w:val="24"/>
                <w:szCs w:val="24"/>
                <w:highlight w:val="none"/>
              </w:rPr>
              <w:instrText xml:space="preserve"> eq \o\ac(</w:instrText>
            </w:r>
            <w:r>
              <w:rPr>
                <w:rStyle w:val="52"/>
                <w:rFonts w:hint="eastAsia" w:ascii="仿宋" w:hAnsi="仿宋" w:eastAsia="仿宋" w:cs="仿宋"/>
                <w:position w:val="-4"/>
                <w:sz w:val="24"/>
                <w:szCs w:val="24"/>
                <w:highlight w:val="none"/>
              </w:rPr>
              <w:instrText xml:space="preserve">□</w:instrText>
            </w:r>
            <w:r>
              <w:rPr>
                <w:rStyle w:val="52"/>
                <w:rFonts w:hint="eastAsia" w:ascii="仿宋" w:hAnsi="仿宋" w:eastAsia="仿宋" w:cs="仿宋"/>
                <w:sz w:val="24"/>
                <w:szCs w:val="24"/>
                <w:highlight w:val="none"/>
              </w:rPr>
              <w:instrText xml:space="preserve">)</w:instrText>
            </w:r>
            <w:r>
              <w:rPr>
                <w:rStyle w:val="52"/>
                <w:rFonts w:hint="eastAsia" w:ascii="仿宋" w:hAnsi="仿宋" w:eastAsia="仿宋" w:cs="仿宋"/>
                <w:sz w:val="24"/>
                <w:szCs w:val="24"/>
                <w:highlight w:val="none"/>
              </w:rPr>
              <w:fldChar w:fldCharType="end"/>
            </w:r>
            <w:r>
              <w:rPr>
                <w:rStyle w:val="52"/>
                <w:rFonts w:hint="eastAsia" w:ascii="仿宋" w:hAnsi="仿宋" w:eastAsia="仿宋" w:cs="仿宋"/>
                <w:sz w:val="24"/>
                <w:szCs w:val="24"/>
                <w:highlight w:val="none"/>
              </w:rPr>
              <w:t>统一组织。</w:t>
            </w:r>
          </w:p>
          <w:p w14:paraId="6E8E6142">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联系人：/    联系电话：/</w:t>
            </w:r>
          </w:p>
          <w:p w14:paraId="5DA14FA8">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 xml:space="preserve">踏勘时间：/    踏勘地点：/  </w:t>
            </w:r>
          </w:p>
        </w:tc>
      </w:tr>
      <w:tr w14:paraId="35C440C4">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13082947">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10</w:t>
            </w:r>
          </w:p>
        </w:tc>
        <w:tc>
          <w:tcPr>
            <w:tcW w:w="1631" w:type="dxa"/>
            <w:tcBorders>
              <w:top w:val="nil"/>
              <w:left w:val="single" w:color="auto" w:sz="4" w:space="0"/>
              <w:bottom w:val="single" w:color="auto" w:sz="4" w:space="0"/>
              <w:right w:val="single" w:color="auto" w:sz="4" w:space="0"/>
            </w:tcBorders>
            <w:shd w:val="clear" w:color="auto" w:fill="auto"/>
            <w:vAlign w:val="center"/>
          </w:tcPr>
          <w:p w14:paraId="45F312EA">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投标前答疑会</w:t>
            </w:r>
          </w:p>
        </w:tc>
        <w:tc>
          <w:tcPr>
            <w:tcW w:w="7307" w:type="dxa"/>
            <w:tcBorders>
              <w:top w:val="nil"/>
              <w:left w:val="nil"/>
              <w:bottom w:val="single" w:color="auto" w:sz="4" w:space="0"/>
              <w:right w:val="single" w:color="auto" w:sz="4" w:space="0"/>
            </w:tcBorders>
            <w:shd w:val="clear" w:color="auto" w:fill="auto"/>
            <w:vAlign w:val="center"/>
          </w:tcPr>
          <w:p w14:paraId="1EF0FC69">
            <w:pPr>
              <w:pStyle w:val="51"/>
              <w:spacing w:before="0" w:after="0" w:line="360" w:lineRule="auto"/>
              <w:rPr>
                <w:rFonts w:ascii="仿宋" w:hAnsi="仿宋" w:eastAsia="仿宋" w:cs="仿宋"/>
                <w:szCs w:val="24"/>
                <w:highlight w:val="none"/>
              </w:rPr>
            </w:pPr>
            <w:r>
              <w:rPr>
                <w:rStyle w:val="52"/>
                <w:rFonts w:hint="eastAsia" w:ascii="仿宋" w:hAnsi="仿宋" w:eastAsia="仿宋" w:cs="仿宋"/>
                <w:sz w:val="24"/>
                <w:szCs w:val="24"/>
                <w:highlight w:val="none"/>
              </w:rPr>
              <w:fldChar w:fldCharType="begin"/>
            </w:r>
            <w:r>
              <w:rPr>
                <w:rStyle w:val="52"/>
                <w:rFonts w:hint="eastAsia" w:ascii="仿宋" w:hAnsi="仿宋" w:eastAsia="仿宋" w:cs="仿宋"/>
                <w:sz w:val="24"/>
                <w:szCs w:val="24"/>
                <w:highlight w:val="none"/>
              </w:rPr>
              <w:instrText xml:space="preserve"> eq \o\ac(</w:instrText>
            </w:r>
            <w:r>
              <w:rPr>
                <w:rStyle w:val="52"/>
                <w:rFonts w:hint="eastAsia" w:ascii="仿宋" w:hAnsi="仿宋" w:eastAsia="仿宋" w:cs="仿宋"/>
                <w:position w:val="-4"/>
                <w:sz w:val="24"/>
                <w:szCs w:val="24"/>
                <w:highlight w:val="none"/>
              </w:rPr>
              <w:instrText xml:space="preserve">□</w:instrText>
            </w:r>
            <w:r>
              <w:rPr>
                <w:rStyle w:val="52"/>
                <w:rFonts w:hint="eastAsia" w:ascii="仿宋" w:hAnsi="仿宋" w:eastAsia="仿宋" w:cs="仿宋"/>
                <w:sz w:val="24"/>
                <w:szCs w:val="24"/>
                <w:highlight w:val="none"/>
              </w:rPr>
              <w:instrText xml:space="preserve">,√)</w:instrText>
            </w:r>
            <w:r>
              <w:rPr>
                <w:rStyle w:val="52"/>
                <w:rFonts w:hint="eastAsia" w:ascii="仿宋" w:hAnsi="仿宋" w:eastAsia="仿宋" w:cs="仿宋"/>
                <w:sz w:val="24"/>
                <w:szCs w:val="24"/>
                <w:highlight w:val="none"/>
              </w:rPr>
              <w:fldChar w:fldCharType="end"/>
            </w:r>
            <w:r>
              <w:rPr>
                <w:rFonts w:hint="eastAsia" w:ascii="仿宋" w:hAnsi="仿宋" w:eastAsia="仿宋" w:cs="仿宋"/>
                <w:szCs w:val="24"/>
                <w:highlight w:val="none"/>
              </w:rPr>
              <w:t>不组织</w:t>
            </w:r>
            <w:r>
              <w:rPr>
                <w:rStyle w:val="52"/>
                <w:rFonts w:hint="eastAsia" w:ascii="仿宋" w:hAnsi="仿宋" w:eastAsia="仿宋" w:cs="仿宋"/>
                <w:sz w:val="24"/>
                <w:szCs w:val="24"/>
                <w:highlight w:val="none"/>
              </w:rPr>
              <w:t>答疑会</w:t>
            </w:r>
            <w:r>
              <w:rPr>
                <w:rFonts w:hint="eastAsia" w:ascii="仿宋" w:hAnsi="仿宋" w:eastAsia="仿宋" w:cs="仿宋"/>
                <w:szCs w:val="24"/>
                <w:highlight w:val="none"/>
              </w:rPr>
              <w:t xml:space="preserve"> </w:t>
            </w:r>
          </w:p>
          <w:p w14:paraId="550965DB">
            <w:pPr>
              <w:pStyle w:val="51"/>
              <w:spacing w:before="0" w:after="0" w:line="360" w:lineRule="auto"/>
              <w:rPr>
                <w:rFonts w:ascii="仿宋" w:hAnsi="仿宋" w:eastAsia="仿宋" w:cs="仿宋"/>
                <w:szCs w:val="24"/>
                <w:highlight w:val="none"/>
              </w:rPr>
            </w:pPr>
            <w:r>
              <w:rPr>
                <w:rStyle w:val="52"/>
                <w:rFonts w:hint="eastAsia" w:ascii="仿宋" w:hAnsi="仿宋" w:eastAsia="仿宋" w:cs="仿宋"/>
                <w:sz w:val="24"/>
                <w:szCs w:val="24"/>
                <w:highlight w:val="none"/>
              </w:rPr>
              <w:fldChar w:fldCharType="begin"/>
            </w:r>
            <w:r>
              <w:rPr>
                <w:rStyle w:val="52"/>
                <w:rFonts w:hint="eastAsia" w:ascii="仿宋" w:hAnsi="仿宋" w:eastAsia="仿宋" w:cs="仿宋"/>
                <w:sz w:val="24"/>
                <w:szCs w:val="24"/>
                <w:highlight w:val="none"/>
              </w:rPr>
              <w:instrText xml:space="preserve"> eq \o\ac(</w:instrText>
            </w:r>
            <w:r>
              <w:rPr>
                <w:rStyle w:val="52"/>
                <w:rFonts w:hint="eastAsia" w:ascii="仿宋" w:hAnsi="仿宋" w:eastAsia="仿宋" w:cs="仿宋"/>
                <w:position w:val="-4"/>
                <w:sz w:val="24"/>
                <w:szCs w:val="24"/>
                <w:highlight w:val="none"/>
              </w:rPr>
              <w:instrText xml:space="preserve">□</w:instrText>
            </w:r>
            <w:r>
              <w:rPr>
                <w:rStyle w:val="52"/>
                <w:rFonts w:hint="eastAsia" w:ascii="仿宋" w:hAnsi="仿宋" w:eastAsia="仿宋" w:cs="仿宋"/>
                <w:sz w:val="24"/>
                <w:szCs w:val="24"/>
                <w:highlight w:val="none"/>
              </w:rPr>
              <w:instrText xml:space="preserve">)</w:instrText>
            </w:r>
            <w:r>
              <w:rPr>
                <w:rStyle w:val="52"/>
                <w:rFonts w:hint="eastAsia" w:ascii="仿宋" w:hAnsi="仿宋" w:eastAsia="仿宋" w:cs="仿宋"/>
                <w:sz w:val="24"/>
                <w:szCs w:val="24"/>
                <w:highlight w:val="none"/>
              </w:rPr>
              <w:fldChar w:fldCharType="end"/>
            </w:r>
            <w:r>
              <w:rPr>
                <w:rFonts w:hint="eastAsia" w:ascii="仿宋" w:hAnsi="仿宋" w:eastAsia="仿宋" w:cs="仿宋"/>
                <w:szCs w:val="24"/>
                <w:highlight w:val="none"/>
              </w:rPr>
              <w:t>组织</w:t>
            </w:r>
            <w:r>
              <w:rPr>
                <w:rStyle w:val="52"/>
                <w:rFonts w:hint="eastAsia" w:ascii="仿宋" w:hAnsi="仿宋" w:eastAsia="仿宋" w:cs="仿宋"/>
                <w:sz w:val="24"/>
                <w:szCs w:val="24"/>
                <w:highlight w:val="none"/>
              </w:rPr>
              <w:t>答疑会</w:t>
            </w:r>
          </w:p>
          <w:p w14:paraId="20D263E6">
            <w:pPr>
              <w:pStyle w:val="51"/>
              <w:spacing w:before="0" w:after="0" w:line="360" w:lineRule="auto"/>
              <w:rPr>
                <w:rFonts w:ascii="仿宋" w:hAnsi="仿宋" w:eastAsia="仿宋" w:cs="仿宋"/>
                <w:szCs w:val="24"/>
                <w:highlight w:val="none"/>
              </w:rPr>
            </w:pPr>
            <w:r>
              <w:rPr>
                <w:rFonts w:hint="eastAsia" w:ascii="仿宋" w:hAnsi="仿宋" w:eastAsia="仿宋" w:cs="仿宋"/>
                <w:szCs w:val="24"/>
                <w:highlight w:val="none"/>
              </w:rPr>
              <w:t>组织</w:t>
            </w:r>
            <w:r>
              <w:rPr>
                <w:rStyle w:val="52"/>
                <w:rFonts w:hint="eastAsia" w:ascii="仿宋" w:hAnsi="仿宋" w:eastAsia="仿宋" w:cs="仿宋"/>
                <w:sz w:val="24"/>
                <w:szCs w:val="24"/>
                <w:highlight w:val="none"/>
              </w:rPr>
              <w:t>答疑</w:t>
            </w:r>
            <w:r>
              <w:rPr>
                <w:rFonts w:hint="eastAsia" w:ascii="仿宋" w:hAnsi="仿宋" w:eastAsia="仿宋" w:cs="仿宋"/>
                <w:szCs w:val="24"/>
                <w:highlight w:val="none"/>
              </w:rPr>
              <w:t>时间：</w:t>
            </w:r>
          </w:p>
          <w:p w14:paraId="0649BEE6">
            <w:pPr>
              <w:pStyle w:val="51"/>
              <w:spacing w:before="0" w:after="0" w:line="360" w:lineRule="auto"/>
              <w:rPr>
                <w:rStyle w:val="52"/>
                <w:rFonts w:ascii="仿宋" w:hAnsi="仿宋" w:eastAsia="仿宋" w:cs="仿宋"/>
                <w:sz w:val="24"/>
                <w:szCs w:val="24"/>
                <w:highlight w:val="none"/>
              </w:rPr>
            </w:pPr>
            <w:r>
              <w:rPr>
                <w:rFonts w:hint="eastAsia" w:ascii="仿宋" w:hAnsi="仿宋" w:eastAsia="仿宋" w:cs="仿宋"/>
                <w:szCs w:val="24"/>
                <w:highlight w:val="none"/>
              </w:rPr>
              <w:t>组织</w:t>
            </w:r>
            <w:r>
              <w:rPr>
                <w:rStyle w:val="52"/>
                <w:rFonts w:hint="eastAsia" w:ascii="仿宋" w:hAnsi="仿宋" w:eastAsia="仿宋" w:cs="仿宋"/>
                <w:sz w:val="24"/>
                <w:szCs w:val="24"/>
                <w:highlight w:val="none"/>
              </w:rPr>
              <w:t>答疑</w:t>
            </w:r>
            <w:r>
              <w:rPr>
                <w:rFonts w:hint="eastAsia" w:ascii="仿宋" w:hAnsi="仿宋" w:eastAsia="仿宋" w:cs="仿宋"/>
                <w:szCs w:val="24"/>
                <w:highlight w:val="none"/>
              </w:rPr>
              <w:t>地点：</w:t>
            </w:r>
            <w:r>
              <w:rPr>
                <w:rStyle w:val="52"/>
                <w:rFonts w:hint="eastAsia" w:ascii="仿宋" w:hAnsi="仿宋" w:eastAsia="仿宋" w:cs="仿宋"/>
                <w:sz w:val="24"/>
                <w:szCs w:val="24"/>
                <w:highlight w:val="none"/>
              </w:rPr>
              <w:t xml:space="preserve"> </w:t>
            </w:r>
          </w:p>
        </w:tc>
      </w:tr>
      <w:tr w14:paraId="0356A245">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6102108C">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11</w:t>
            </w:r>
          </w:p>
        </w:tc>
        <w:tc>
          <w:tcPr>
            <w:tcW w:w="1631" w:type="dxa"/>
            <w:tcBorders>
              <w:top w:val="nil"/>
              <w:left w:val="single" w:color="auto" w:sz="4" w:space="0"/>
              <w:bottom w:val="single" w:color="auto" w:sz="4" w:space="0"/>
              <w:right w:val="single" w:color="auto" w:sz="4" w:space="0"/>
            </w:tcBorders>
            <w:shd w:val="clear" w:color="auto" w:fill="auto"/>
            <w:vAlign w:val="center"/>
          </w:tcPr>
          <w:p w14:paraId="40444579">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投标有效期</w:t>
            </w:r>
            <w:r>
              <w:rPr>
                <w:rFonts w:hint="eastAsia" w:ascii="仿宋_GB2312" w:hAnsi="仿宋" w:eastAsia="仿宋_GB2312"/>
                <w:b/>
                <w:highlight w:val="none"/>
              </w:rPr>
              <w:t>▲</w:t>
            </w:r>
          </w:p>
        </w:tc>
        <w:tc>
          <w:tcPr>
            <w:tcW w:w="7307" w:type="dxa"/>
            <w:tcBorders>
              <w:top w:val="nil"/>
              <w:left w:val="nil"/>
              <w:bottom w:val="single" w:color="auto" w:sz="4" w:space="0"/>
              <w:right w:val="single" w:color="auto" w:sz="4" w:space="0"/>
            </w:tcBorders>
            <w:shd w:val="clear" w:color="auto" w:fill="auto"/>
            <w:vAlign w:val="center"/>
          </w:tcPr>
          <w:p w14:paraId="67E65372">
            <w:pPr>
              <w:pStyle w:val="51"/>
              <w:spacing w:before="0" w:after="0" w:line="360" w:lineRule="auto"/>
              <w:rPr>
                <w:rStyle w:val="52"/>
                <w:rFonts w:ascii="仿宋" w:hAnsi="仿宋" w:eastAsia="仿宋" w:cs="仿宋"/>
                <w:sz w:val="24"/>
                <w:szCs w:val="24"/>
                <w:highlight w:val="none"/>
              </w:rPr>
            </w:pPr>
            <w:r>
              <w:rPr>
                <w:rFonts w:hint="eastAsia" w:ascii="仿宋" w:hAnsi="仿宋" w:eastAsia="仿宋" w:cs="仿宋"/>
                <w:szCs w:val="24"/>
                <w:highlight w:val="none"/>
                <w:lang w:val="zh-CN"/>
              </w:rPr>
              <w:t>自投标截止之日起</w:t>
            </w:r>
            <w:r>
              <w:rPr>
                <w:rFonts w:hint="eastAsia" w:ascii="仿宋" w:hAnsi="仿宋" w:eastAsia="仿宋" w:cs="仿宋"/>
                <w:szCs w:val="24"/>
                <w:highlight w:val="none"/>
                <w:u w:val="single"/>
              </w:rPr>
              <w:t xml:space="preserve"> 90 </w:t>
            </w:r>
            <w:r>
              <w:rPr>
                <w:rFonts w:hint="eastAsia" w:ascii="仿宋" w:hAnsi="仿宋" w:eastAsia="仿宋" w:cs="仿宋"/>
                <w:szCs w:val="24"/>
                <w:highlight w:val="none"/>
                <w:lang w:val="zh-CN"/>
              </w:rPr>
              <w:t>日历天。</w:t>
            </w:r>
          </w:p>
        </w:tc>
      </w:tr>
      <w:tr w14:paraId="0CD67CEF">
        <w:tblPrEx>
          <w:tblCellMar>
            <w:top w:w="0" w:type="dxa"/>
            <w:left w:w="0" w:type="dxa"/>
            <w:bottom w:w="0" w:type="dxa"/>
            <w:right w:w="0" w:type="dxa"/>
          </w:tblCellMar>
        </w:tblPrEx>
        <w:trPr>
          <w:trHeight w:val="394"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1F8840C3">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12</w:t>
            </w:r>
          </w:p>
        </w:tc>
        <w:tc>
          <w:tcPr>
            <w:tcW w:w="1631" w:type="dxa"/>
            <w:tcBorders>
              <w:top w:val="nil"/>
              <w:left w:val="single" w:color="auto" w:sz="4" w:space="0"/>
              <w:bottom w:val="single" w:color="auto" w:sz="4" w:space="0"/>
              <w:right w:val="single" w:color="auto" w:sz="4" w:space="0"/>
            </w:tcBorders>
            <w:shd w:val="clear" w:color="auto" w:fill="auto"/>
            <w:vAlign w:val="center"/>
          </w:tcPr>
          <w:p w14:paraId="5A43367D">
            <w:pPr>
              <w:pStyle w:val="51"/>
              <w:spacing w:before="0" w:after="0" w:line="360" w:lineRule="auto"/>
              <w:jc w:val="center"/>
              <w:rPr>
                <w:rStyle w:val="52"/>
                <w:rFonts w:ascii="仿宋" w:hAnsi="仿宋" w:eastAsia="仿宋" w:cs="仿宋"/>
                <w:color w:val="000000" w:themeColor="text1"/>
                <w:sz w:val="24"/>
                <w:szCs w:val="24"/>
                <w:highlight w:val="none"/>
                <w14:textFill>
                  <w14:solidFill>
                    <w14:schemeClr w14:val="tx1"/>
                  </w14:solidFill>
                </w14:textFill>
              </w:rPr>
            </w:pPr>
            <w:r>
              <w:rPr>
                <w:rStyle w:val="52"/>
                <w:rFonts w:hint="eastAsia" w:ascii="仿宋" w:hAnsi="仿宋" w:eastAsia="仿宋" w:cs="仿宋"/>
                <w:color w:val="000000" w:themeColor="text1"/>
                <w:sz w:val="24"/>
                <w:szCs w:val="24"/>
                <w:highlight w:val="none"/>
                <w14:textFill>
                  <w14:solidFill>
                    <w14:schemeClr w14:val="tx1"/>
                  </w14:solidFill>
                </w14:textFill>
              </w:rPr>
              <w:t>投标保证金</w:t>
            </w:r>
            <w:r>
              <w:rPr>
                <w:rFonts w:hint="eastAsia" w:ascii="仿宋_GB2312" w:hAnsi="仿宋" w:eastAsia="仿宋_GB2312"/>
                <w:b/>
                <w:color w:val="000000" w:themeColor="text1"/>
                <w:highlight w:val="none"/>
                <w14:textFill>
                  <w14:solidFill>
                    <w14:schemeClr w14:val="tx1"/>
                  </w14:solidFill>
                </w14:textFill>
              </w:rPr>
              <w:t>▲</w:t>
            </w:r>
          </w:p>
        </w:tc>
        <w:tc>
          <w:tcPr>
            <w:tcW w:w="7307" w:type="dxa"/>
            <w:tcBorders>
              <w:top w:val="nil"/>
              <w:left w:val="nil"/>
              <w:bottom w:val="single" w:color="auto" w:sz="4" w:space="0"/>
              <w:right w:val="single" w:color="auto" w:sz="4" w:space="0"/>
            </w:tcBorders>
            <w:shd w:val="clear" w:color="auto" w:fill="auto"/>
            <w:vAlign w:val="center"/>
          </w:tcPr>
          <w:p w14:paraId="7C4C295C">
            <w:pPr>
              <w:pStyle w:val="51"/>
              <w:numPr>
                <w:ilvl w:val="0"/>
                <w:numId w:val="4"/>
              </w:numPr>
              <w:spacing w:before="0" w:after="0" w:line="360" w:lineRule="auto"/>
              <w:rPr>
                <w:rStyle w:val="52"/>
                <w:rFonts w:ascii="仿宋" w:hAnsi="仿宋" w:eastAsia="仿宋" w:cs="仿宋"/>
                <w:color w:val="000000" w:themeColor="text1"/>
                <w:sz w:val="24"/>
                <w:szCs w:val="24"/>
                <w:highlight w:val="none"/>
                <w14:textFill>
                  <w14:solidFill>
                    <w14:schemeClr w14:val="tx1"/>
                  </w14:solidFill>
                </w14:textFill>
              </w:rPr>
            </w:pPr>
            <w:r>
              <w:rPr>
                <w:rStyle w:val="52"/>
                <w:rFonts w:hint="eastAsia" w:ascii="仿宋" w:hAnsi="仿宋" w:eastAsia="仿宋" w:cs="仿宋"/>
                <w:color w:val="000000" w:themeColor="text1"/>
                <w:sz w:val="24"/>
                <w:szCs w:val="24"/>
                <w:highlight w:val="none"/>
                <w14:textFill>
                  <w14:solidFill>
                    <w14:schemeClr w14:val="tx1"/>
                  </w14:solidFill>
                </w14:textFill>
              </w:rPr>
              <w:t>投标保证金的金额：</w:t>
            </w:r>
            <w:r>
              <w:rPr>
                <w:rStyle w:val="52"/>
                <w:rFonts w:hint="eastAsia" w:ascii="仿宋" w:hAnsi="仿宋" w:eastAsia="仿宋" w:cs="仿宋"/>
                <w:color w:val="000000" w:themeColor="text1"/>
                <w:sz w:val="24"/>
                <w:szCs w:val="24"/>
                <w:highlight w:val="none"/>
                <w:lang w:val="en-US"/>
                <w14:textFill>
                  <w14:solidFill>
                    <w14:schemeClr w14:val="tx1"/>
                  </w14:solidFill>
                </w14:textFill>
              </w:rPr>
              <w:t>¥80</w:t>
            </w:r>
            <w:r>
              <w:rPr>
                <w:rStyle w:val="52"/>
                <w:rFonts w:hint="eastAsia" w:ascii="仿宋" w:hAnsi="仿宋" w:eastAsia="仿宋" w:cs="仿宋"/>
                <w:color w:val="000000" w:themeColor="text1"/>
                <w:sz w:val="24"/>
                <w:szCs w:val="24"/>
                <w:highlight w:val="none"/>
                <w14:textFill>
                  <w14:solidFill>
                    <w14:schemeClr w14:val="tx1"/>
                  </w14:solidFill>
                </w14:textFill>
              </w:rPr>
              <w:t>000</w:t>
            </w:r>
            <w:r>
              <w:rPr>
                <w:rStyle w:val="52"/>
                <w:rFonts w:hint="eastAsia" w:ascii="仿宋" w:hAnsi="仿宋" w:eastAsia="仿宋" w:cs="仿宋"/>
                <w:color w:val="000000" w:themeColor="text1"/>
                <w:sz w:val="24"/>
                <w:szCs w:val="24"/>
                <w:highlight w:val="none"/>
                <w:lang w:val="en-US"/>
                <w14:textFill>
                  <w14:solidFill>
                    <w14:schemeClr w14:val="tx1"/>
                  </w14:solidFill>
                </w14:textFill>
              </w:rPr>
              <w:t>.00</w:t>
            </w:r>
            <w:r>
              <w:rPr>
                <w:rStyle w:val="52"/>
                <w:rFonts w:hint="eastAsia" w:ascii="仿宋" w:hAnsi="仿宋" w:eastAsia="仿宋" w:cs="仿宋"/>
                <w:color w:val="000000" w:themeColor="text1"/>
                <w:sz w:val="24"/>
                <w:szCs w:val="24"/>
                <w:highlight w:val="none"/>
                <w14:textFill>
                  <w14:solidFill>
                    <w14:schemeClr w14:val="tx1"/>
                  </w14:solidFill>
                </w14:textFill>
              </w:rPr>
              <w:t>元 (大写：</w:t>
            </w:r>
            <w:r>
              <w:rPr>
                <w:rStyle w:val="52"/>
                <w:rFonts w:hint="eastAsia" w:ascii="仿宋" w:hAnsi="仿宋" w:eastAsia="仿宋" w:cs="仿宋"/>
                <w:color w:val="000000" w:themeColor="text1"/>
                <w:sz w:val="24"/>
                <w:szCs w:val="24"/>
                <w:highlight w:val="none"/>
                <w:lang w:val="en-US"/>
                <w14:textFill>
                  <w14:solidFill>
                    <w14:schemeClr w14:val="tx1"/>
                  </w14:solidFill>
                </w14:textFill>
              </w:rPr>
              <w:t>捌万元整</w:t>
            </w:r>
            <w:r>
              <w:rPr>
                <w:rStyle w:val="52"/>
                <w:rFonts w:hint="eastAsia" w:ascii="仿宋" w:hAnsi="仿宋" w:eastAsia="仿宋" w:cs="仿宋"/>
                <w:color w:val="000000" w:themeColor="text1"/>
                <w:sz w:val="24"/>
                <w:szCs w:val="24"/>
                <w:highlight w:val="none"/>
                <w14:textFill>
                  <w14:solidFill>
                    <w14:schemeClr w14:val="tx1"/>
                  </w14:solidFill>
                </w14:textFill>
              </w:rPr>
              <w:t>）</w:t>
            </w:r>
          </w:p>
          <w:p w14:paraId="31012429">
            <w:pPr>
              <w:pStyle w:val="51"/>
              <w:spacing w:before="0" w:after="0" w:line="360" w:lineRule="auto"/>
              <w:rPr>
                <w:rStyle w:val="52"/>
                <w:rFonts w:ascii="仿宋" w:hAnsi="仿宋" w:eastAsia="仿宋" w:cs="仿宋"/>
                <w:color w:val="auto"/>
                <w:sz w:val="24"/>
                <w:szCs w:val="24"/>
                <w:highlight w:val="none"/>
              </w:rPr>
            </w:pPr>
            <w:r>
              <w:rPr>
                <w:rStyle w:val="52"/>
                <w:rFonts w:hint="eastAsia" w:ascii="仿宋" w:hAnsi="仿宋" w:eastAsia="仿宋" w:cs="仿宋"/>
                <w:color w:val="000000" w:themeColor="text1"/>
                <w:sz w:val="24"/>
                <w:szCs w:val="24"/>
                <w:highlight w:val="none"/>
                <w14:textFill>
                  <w14:solidFill>
                    <w14:schemeClr w14:val="tx1"/>
                  </w14:solidFill>
                </w14:textFill>
              </w:rPr>
              <w:t>2</w:t>
            </w:r>
            <w:r>
              <w:rPr>
                <w:rStyle w:val="52"/>
                <w:rFonts w:hint="eastAsia" w:ascii="仿宋" w:hAnsi="仿宋" w:eastAsia="仿宋" w:cs="仿宋"/>
                <w:color w:val="auto"/>
                <w:sz w:val="24"/>
                <w:szCs w:val="24"/>
                <w:highlight w:val="none"/>
              </w:rPr>
              <w:t>.单位名称：哈密市公共资源交易服务中心</w:t>
            </w:r>
          </w:p>
          <w:p w14:paraId="3B66148B">
            <w:pPr>
              <w:pStyle w:val="51"/>
              <w:spacing w:before="0" w:after="0" w:line="360" w:lineRule="auto"/>
              <w:rPr>
                <w:rStyle w:val="52"/>
                <w:rFonts w:ascii="仿宋" w:hAnsi="仿宋" w:eastAsia="仿宋" w:cs="仿宋"/>
                <w:color w:val="auto"/>
                <w:sz w:val="24"/>
                <w:szCs w:val="24"/>
                <w:highlight w:val="none"/>
              </w:rPr>
            </w:pPr>
            <w:r>
              <w:rPr>
                <w:rStyle w:val="52"/>
                <w:rFonts w:hint="eastAsia" w:ascii="仿宋" w:hAnsi="仿宋" w:eastAsia="仿宋" w:cs="仿宋"/>
                <w:color w:val="auto"/>
                <w:sz w:val="24"/>
                <w:szCs w:val="24"/>
                <w:highlight w:val="none"/>
              </w:rPr>
              <w:t>开户行：工行新疆哈密解放路支行</w:t>
            </w:r>
          </w:p>
          <w:p w14:paraId="26DE417E">
            <w:pPr>
              <w:pStyle w:val="51"/>
              <w:spacing w:before="0" w:after="0" w:line="360" w:lineRule="auto"/>
              <w:rPr>
                <w:rStyle w:val="52"/>
                <w:rFonts w:hint="default" w:ascii="仿宋" w:hAnsi="仿宋" w:eastAsia="仿宋" w:cs="仿宋"/>
                <w:color w:val="auto"/>
                <w:sz w:val="24"/>
                <w:szCs w:val="24"/>
                <w:highlight w:val="none"/>
                <w:lang w:val="en-US"/>
              </w:rPr>
            </w:pPr>
            <w:r>
              <w:rPr>
                <w:rStyle w:val="52"/>
                <w:rFonts w:hint="eastAsia" w:ascii="仿宋" w:hAnsi="仿宋" w:eastAsia="仿宋" w:cs="仿宋"/>
                <w:color w:val="auto"/>
                <w:sz w:val="24"/>
                <w:szCs w:val="24"/>
                <w:highlight w:val="none"/>
              </w:rPr>
              <w:t>账    号：</w:t>
            </w:r>
            <w:r>
              <w:rPr>
                <w:rStyle w:val="52"/>
                <w:rFonts w:hint="eastAsia" w:ascii="仿宋" w:hAnsi="仿宋" w:eastAsia="仿宋" w:cs="仿宋"/>
                <w:color w:val="auto"/>
                <w:sz w:val="24"/>
                <w:szCs w:val="24"/>
                <w:highlight w:val="none"/>
                <w:lang w:val="en-US"/>
              </w:rPr>
              <w:t>9558833011000072742</w:t>
            </w:r>
          </w:p>
          <w:p w14:paraId="28848FEA">
            <w:pPr>
              <w:pStyle w:val="51"/>
              <w:spacing w:before="0" w:after="0" w:line="360" w:lineRule="auto"/>
              <w:rPr>
                <w:rStyle w:val="52"/>
                <w:rFonts w:ascii="仿宋" w:hAnsi="仿宋" w:eastAsia="仿宋" w:cs="仿宋"/>
                <w:color w:val="000000" w:themeColor="text1"/>
                <w:sz w:val="24"/>
                <w:szCs w:val="24"/>
                <w:highlight w:val="none"/>
                <w14:textFill>
                  <w14:solidFill>
                    <w14:schemeClr w14:val="tx1"/>
                  </w14:solidFill>
                </w14:textFill>
              </w:rPr>
            </w:pPr>
            <w:r>
              <w:rPr>
                <w:rStyle w:val="52"/>
                <w:rFonts w:hint="eastAsia" w:ascii="仿宋" w:hAnsi="仿宋" w:eastAsia="仿宋" w:cs="仿宋"/>
                <w:color w:val="000000" w:themeColor="text1"/>
                <w:sz w:val="24"/>
                <w:szCs w:val="24"/>
                <w:highlight w:val="none"/>
                <w14:textFill>
                  <w14:solidFill>
                    <w14:schemeClr w14:val="tx1"/>
                  </w14:solidFill>
                </w14:textFill>
              </w:rPr>
              <w:t>保证金缴纳方式：各投标单位自行选择电子保函(通过政采云平台办理)、银行电汇、网银转账、银行保函的方式缴纳投标保证金。投标保证金的各种缴纳方式均须从总公司基本账户支出（</w:t>
            </w:r>
            <w:r>
              <w:rPr>
                <w:rStyle w:val="52"/>
                <w:rFonts w:hint="eastAsia" w:ascii="仿宋" w:hAnsi="仿宋" w:eastAsia="仿宋" w:cs="仿宋"/>
                <w:color w:val="000000" w:themeColor="text1"/>
                <w:sz w:val="24"/>
                <w:szCs w:val="24"/>
                <w:highlight w:val="none"/>
                <w:lang w:val="en-US"/>
                <w14:textFill>
                  <w14:solidFill>
                    <w14:schemeClr w14:val="tx1"/>
                  </w14:solidFill>
                </w14:textFill>
              </w:rPr>
              <w:t>提供总公司基本账户开户信息）</w:t>
            </w:r>
            <w:r>
              <w:rPr>
                <w:rStyle w:val="52"/>
                <w:rFonts w:hint="eastAsia" w:ascii="仿宋" w:hAnsi="仿宋" w:eastAsia="仿宋" w:cs="仿宋"/>
                <w:color w:val="000000" w:themeColor="text1"/>
                <w:sz w:val="24"/>
                <w:szCs w:val="24"/>
                <w:highlight w:val="none"/>
                <w14:textFill>
                  <w14:solidFill>
                    <w14:schemeClr w14:val="tx1"/>
                  </w14:solidFill>
                </w14:textFill>
              </w:rPr>
              <w:t xml:space="preserve">，其他账户支出的保证金无效。 </w:t>
            </w:r>
          </w:p>
          <w:p w14:paraId="1E0DD757">
            <w:pPr>
              <w:pStyle w:val="51"/>
              <w:spacing w:before="0" w:after="0" w:line="360" w:lineRule="auto"/>
              <w:rPr>
                <w:rStyle w:val="52"/>
                <w:rFonts w:ascii="仿宋" w:hAnsi="仿宋" w:eastAsia="仿宋" w:cs="仿宋"/>
                <w:color w:val="000000" w:themeColor="text1"/>
                <w:sz w:val="24"/>
                <w:szCs w:val="24"/>
                <w:highlight w:val="none"/>
                <w14:textFill>
                  <w14:solidFill>
                    <w14:schemeClr w14:val="tx1"/>
                  </w14:solidFill>
                </w14:textFill>
              </w:rPr>
            </w:pPr>
            <w:r>
              <w:rPr>
                <w:rStyle w:val="52"/>
                <w:rFonts w:hint="eastAsia" w:ascii="仿宋" w:hAnsi="仿宋" w:eastAsia="仿宋" w:cs="仿宋"/>
                <w:color w:val="000000" w:themeColor="text1"/>
                <w:sz w:val="24"/>
                <w:szCs w:val="24"/>
                <w:highlight w:val="none"/>
                <w14:textFill>
                  <w14:solidFill>
                    <w14:schemeClr w14:val="tx1"/>
                  </w14:solidFill>
                </w14:textFill>
              </w:rPr>
              <w:t>注：须注明项目名称（简写）或项目编号。</w:t>
            </w:r>
          </w:p>
        </w:tc>
      </w:tr>
      <w:tr w14:paraId="355168F0">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4CCAE98B">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13</w:t>
            </w:r>
          </w:p>
        </w:tc>
        <w:tc>
          <w:tcPr>
            <w:tcW w:w="1631" w:type="dxa"/>
            <w:tcBorders>
              <w:top w:val="nil"/>
              <w:left w:val="single" w:color="auto" w:sz="4" w:space="0"/>
              <w:bottom w:val="single" w:color="auto" w:sz="4" w:space="0"/>
              <w:right w:val="single" w:color="auto" w:sz="4" w:space="0"/>
            </w:tcBorders>
            <w:shd w:val="clear" w:color="auto" w:fill="auto"/>
            <w:vAlign w:val="center"/>
          </w:tcPr>
          <w:p w14:paraId="49C9F0A6">
            <w:pPr>
              <w:spacing w:line="360" w:lineRule="auto"/>
              <w:jc w:val="center"/>
              <w:rPr>
                <w:rStyle w:val="52"/>
                <w:rFonts w:ascii="仿宋" w:hAnsi="仿宋" w:eastAsia="仿宋" w:cs="仿宋"/>
                <w:bCs/>
                <w:sz w:val="24"/>
                <w:highlight w:val="none"/>
              </w:rPr>
            </w:pPr>
            <w:r>
              <w:rPr>
                <w:rFonts w:hint="eastAsia" w:ascii="仿宋" w:hAnsi="仿宋" w:eastAsia="仿宋" w:cs="仿宋"/>
                <w:bCs/>
                <w:sz w:val="24"/>
                <w:highlight w:val="none"/>
              </w:rPr>
              <w:t>招标文件答疑</w:t>
            </w:r>
          </w:p>
        </w:tc>
        <w:tc>
          <w:tcPr>
            <w:tcW w:w="7307" w:type="dxa"/>
            <w:tcBorders>
              <w:top w:val="nil"/>
              <w:left w:val="nil"/>
              <w:bottom w:val="single" w:color="auto" w:sz="4" w:space="0"/>
              <w:right w:val="single" w:color="auto" w:sz="4" w:space="0"/>
            </w:tcBorders>
            <w:shd w:val="clear" w:color="auto" w:fill="auto"/>
            <w:vAlign w:val="center"/>
          </w:tcPr>
          <w:p w14:paraId="34FBAC4F">
            <w:pPr>
              <w:autoSpaceDE w:val="0"/>
              <w:autoSpaceDN w:val="0"/>
              <w:adjustRightInd w:val="0"/>
              <w:spacing w:line="360" w:lineRule="auto"/>
              <w:rPr>
                <w:rFonts w:ascii="仿宋" w:hAnsi="仿宋" w:eastAsia="仿宋" w:cs="仿宋"/>
                <w:bCs/>
                <w:kern w:val="0"/>
                <w:sz w:val="24"/>
                <w:highlight w:val="none"/>
              </w:rPr>
            </w:pPr>
            <w:r>
              <w:rPr>
                <w:rFonts w:hint="eastAsia" w:ascii="仿宋" w:hAnsi="仿宋" w:eastAsia="仿宋" w:cs="仿宋"/>
                <w:bCs/>
                <w:kern w:val="0"/>
                <w:sz w:val="24"/>
                <w:highlight w:val="none"/>
              </w:rPr>
              <w:t>各投标人应在投标文件递交前10内对招标文件异议以书面形式递交至采购代理机构</w:t>
            </w:r>
            <w:r>
              <w:rPr>
                <w:rFonts w:hint="eastAsia" w:ascii="仿宋" w:hAnsi="仿宋" w:eastAsia="仿宋" w:cs="仿宋"/>
                <w:bCs/>
                <w:kern w:val="0"/>
                <w:sz w:val="24"/>
                <w:highlight w:val="none"/>
                <w:lang w:eastAsia="zh-CN"/>
              </w:rPr>
              <w:t>，</w:t>
            </w:r>
            <w:r>
              <w:rPr>
                <w:rFonts w:hint="eastAsia" w:ascii="仿宋" w:hAnsi="仿宋" w:eastAsia="仿宋" w:cs="仿宋"/>
                <w:bCs/>
                <w:kern w:val="0"/>
                <w:sz w:val="24"/>
                <w:highlight w:val="none"/>
                <w:lang w:val="en-US" w:eastAsia="zh-CN"/>
              </w:rPr>
              <w:t>由</w:t>
            </w:r>
            <w:r>
              <w:rPr>
                <w:rFonts w:hint="eastAsia" w:ascii="仿宋" w:hAnsi="仿宋" w:eastAsia="仿宋" w:cs="仿宋"/>
                <w:bCs/>
                <w:kern w:val="0"/>
                <w:sz w:val="24"/>
                <w:highlight w:val="none"/>
              </w:rPr>
              <w:t>采购人或采购代理机构做出澄清回复。</w:t>
            </w:r>
          </w:p>
          <w:p w14:paraId="167E6C1E">
            <w:pPr>
              <w:autoSpaceDE w:val="0"/>
              <w:autoSpaceDN w:val="0"/>
              <w:adjustRightInd w:val="0"/>
              <w:spacing w:line="360" w:lineRule="auto"/>
              <w:rPr>
                <w:rFonts w:ascii="仿宋" w:hAnsi="仿宋" w:eastAsia="仿宋" w:cs="仿宋"/>
                <w:bCs/>
                <w:color w:val="0000FF"/>
                <w:kern w:val="0"/>
                <w:sz w:val="24"/>
                <w:highlight w:val="none"/>
              </w:rPr>
            </w:pPr>
            <w:r>
              <w:rPr>
                <w:rFonts w:hint="eastAsia" w:ascii="仿宋" w:hAnsi="仿宋" w:eastAsia="仿宋" w:cs="仿宋"/>
                <w:bCs/>
                <w:kern w:val="0"/>
                <w:sz w:val="24"/>
                <w:highlight w:val="none"/>
              </w:rPr>
              <w:t>联系人：</w:t>
            </w:r>
            <w:r>
              <w:rPr>
                <w:rFonts w:hint="eastAsia" w:ascii="仿宋" w:hAnsi="仿宋" w:eastAsia="仿宋" w:cs="仿宋"/>
                <w:bCs/>
                <w:sz w:val="24"/>
                <w:highlight w:val="none"/>
                <w:u w:val="single"/>
                <w:lang w:eastAsia="zh-CN"/>
              </w:rPr>
              <w:t>冯瑞</w:t>
            </w:r>
            <w:r>
              <w:rPr>
                <w:rFonts w:hint="eastAsia" w:ascii="仿宋" w:hAnsi="仿宋" w:eastAsia="仿宋" w:cs="仿宋"/>
                <w:bCs/>
                <w:sz w:val="24"/>
                <w:highlight w:val="none"/>
              </w:rPr>
              <w:t xml:space="preserve"> </w:t>
            </w:r>
            <w:r>
              <w:rPr>
                <w:rFonts w:hint="eastAsia" w:ascii="仿宋" w:hAnsi="仿宋" w:eastAsia="仿宋" w:cs="仿宋"/>
                <w:bCs/>
                <w:color w:val="0000FF"/>
                <w:kern w:val="0"/>
                <w:sz w:val="24"/>
                <w:highlight w:val="none"/>
              </w:rPr>
              <w:t xml:space="preserve">     </w:t>
            </w:r>
          </w:p>
          <w:p w14:paraId="702F285B">
            <w:pPr>
              <w:autoSpaceDE w:val="0"/>
              <w:autoSpaceDN w:val="0"/>
              <w:adjustRightInd w:val="0"/>
              <w:spacing w:line="360" w:lineRule="auto"/>
              <w:rPr>
                <w:rFonts w:hint="default" w:ascii="仿宋" w:hAnsi="仿宋" w:eastAsia="仿宋" w:cs="仿宋"/>
                <w:bCs/>
                <w:sz w:val="24"/>
                <w:highlight w:val="none"/>
                <w:lang w:val="en-US" w:eastAsia="zh-CN"/>
              </w:rPr>
            </w:pPr>
            <w:r>
              <w:rPr>
                <w:rFonts w:hint="eastAsia" w:ascii="仿宋" w:hAnsi="仿宋" w:eastAsia="仿宋" w:cs="仿宋"/>
                <w:bCs/>
                <w:kern w:val="0"/>
                <w:sz w:val="24"/>
                <w:highlight w:val="none"/>
              </w:rPr>
              <w:t>联系电话：</w:t>
            </w:r>
            <w:r>
              <w:rPr>
                <w:rFonts w:hint="eastAsia" w:ascii="仿宋" w:hAnsi="仿宋" w:eastAsia="仿宋" w:cs="仿宋"/>
                <w:bCs/>
                <w:sz w:val="24"/>
                <w:highlight w:val="none"/>
                <w:u w:val="single"/>
                <w:lang w:val="en-US" w:eastAsia="zh-CN"/>
              </w:rPr>
              <w:t>15022811141</w:t>
            </w:r>
          </w:p>
          <w:p w14:paraId="193C31A3">
            <w:pPr>
              <w:spacing w:line="360" w:lineRule="auto"/>
              <w:rPr>
                <w:rStyle w:val="52"/>
                <w:rFonts w:ascii="仿宋" w:hAnsi="仿宋" w:eastAsia="仿宋" w:cs="仿宋"/>
                <w:bCs/>
                <w:sz w:val="24"/>
                <w:highlight w:val="none"/>
              </w:rPr>
            </w:pPr>
            <w:r>
              <w:rPr>
                <w:rFonts w:hint="eastAsia" w:ascii="仿宋" w:hAnsi="仿宋" w:eastAsia="仿宋" w:cs="仿宋"/>
                <w:bCs/>
                <w:kern w:val="0"/>
                <w:sz w:val="24"/>
                <w:highlight w:val="none"/>
              </w:rPr>
              <w:t>提交方式：澄清、修改、更正文件发出后，投标人必须使用最新的更正文件制作投标文件</w:t>
            </w:r>
            <w:r>
              <w:rPr>
                <w:rFonts w:hint="eastAsia" w:ascii="仿宋" w:hAnsi="仿宋" w:eastAsia="仿宋" w:cs="仿宋"/>
                <w:bCs/>
                <w:sz w:val="24"/>
                <w:highlight w:val="none"/>
              </w:rPr>
              <w:t>。</w:t>
            </w:r>
          </w:p>
        </w:tc>
      </w:tr>
      <w:tr w14:paraId="20E69C5B">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065DD374">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14</w:t>
            </w:r>
          </w:p>
        </w:tc>
        <w:tc>
          <w:tcPr>
            <w:tcW w:w="1631" w:type="dxa"/>
            <w:tcBorders>
              <w:top w:val="nil"/>
              <w:left w:val="single" w:color="auto" w:sz="4" w:space="0"/>
              <w:bottom w:val="single" w:color="auto" w:sz="4" w:space="0"/>
              <w:right w:val="single" w:color="auto" w:sz="4" w:space="0"/>
            </w:tcBorders>
            <w:shd w:val="clear" w:color="auto" w:fill="auto"/>
            <w:vAlign w:val="center"/>
          </w:tcPr>
          <w:p w14:paraId="5751BA4E">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投标文件递交形式</w:t>
            </w:r>
            <w:r>
              <w:rPr>
                <w:rFonts w:hint="eastAsia" w:ascii="仿宋_GB2312" w:hAnsi="仿宋" w:eastAsia="仿宋_GB2312"/>
                <w:b/>
                <w:highlight w:val="none"/>
              </w:rPr>
              <w:t>▲</w:t>
            </w:r>
          </w:p>
        </w:tc>
        <w:tc>
          <w:tcPr>
            <w:tcW w:w="7307" w:type="dxa"/>
            <w:tcBorders>
              <w:top w:val="nil"/>
              <w:left w:val="nil"/>
              <w:bottom w:val="single" w:color="auto" w:sz="4" w:space="0"/>
              <w:right w:val="single" w:color="auto" w:sz="4" w:space="0"/>
            </w:tcBorders>
            <w:shd w:val="clear" w:color="auto" w:fill="auto"/>
            <w:vAlign w:val="center"/>
          </w:tcPr>
          <w:p w14:paraId="6FD6F535">
            <w:pPr>
              <w:spacing w:line="360" w:lineRule="auto"/>
              <w:rPr>
                <w:rStyle w:val="52"/>
                <w:rFonts w:ascii="仿宋" w:hAnsi="仿宋" w:eastAsia="仿宋" w:cs="仿宋"/>
                <w:sz w:val="24"/>
                <w:highlight w:val="none"/>
              </w:rPr>
            </w:pPr>
            <w:r>
              <w:rPr>
                <w:rStyle w:val="52"/>
                <w:rFonts w:hint="eastAsia" w:ascii="仿宋" w:hAnsi="仿宋" w:eastAsia="仿宋" w:cs="仿宋"/>
                <w:sz w:val="24"/>
                <w:highlight w:val="none"/>
              </w:rPr>
              <w:t>加密电子投标文件。(供应商须使用CA加密设备通过政采云电子投标客户端制作投标文件，如有问题可拨打政采云客户服务热线95763进行咨询。)</w:t>
            </w:r>
          </w:p>
        </w:tc>
      </w:tr>
      <w:tr w14:paraId="5B6E8042">
        <w:tblPrEx>
          <w:tblCellMar>
            <w:top w:w="0" w:type="dxa"/>
            <w:left w:w="0" w:type="dxa"/>
            <w:bottom w:w="0" w:type="dxa"/>
            <w:right w:w="0" w:type="dxa"/>
          </w:tblCellMar>
        </w:tblPrEx>
        <w:trPr>
          <w:trHeight w:val="448"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76C8D549">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15</w:t>
            </w:r>
          </w:p>
        </w:tc>
        <w:tc>
          <w:tcPr>
            <w:tcW w:w="1631" w:type="dxa"/>
            <w:tcBorders>
              <w:top w:val="nil"/>
              <w:left w:val="single" w:color="auto" w:sz="4" w:space="0"/>
              <w:bottom w:val="single" w:color="auto" w:sz="4" w:space="0"/>
              <w:right w:val="single" w:color="auto" w:sz="4" w:space="0"/>
            </w:tcBorders>
            <w:shd w:val="clear" w:color="auto" w:fill="auto"/>
            <w:vAlign w:val="center"/>
          </w:tcPr>
          <w:p w14:paraId="7403EC88">
            <w:pPr>
              <w:pStyle w:val="51"/>
              <w:spacing w:before="0" w:after="0" w:line="360" w:lineRule="auto"/>
              <w:jc w:val="center"/>
              <w:rPr>
                <w:rStyle w:val="52"/>
                <w:rFonts w:ascii="仿宋" w:hAnsi="仿宋" w:eastAsia="仿宋" w:cs="仿宋"/>
                <w:sz w:val="24"/>
                <w:szCs w:val="24"/>
                <w:highlight w:val="none"/>
              </w:rPr>
            </w:pPr>
            <w:r>
              <w:rPr>
                <w:rFonts w:hint="eastAsia" w:ascii="仿宋" w:hAnsi="仿宋" w:eastAsia="仿宋" w:cs="仿宋"/>
                <w:szCs w:val="24"/>
                <w:highlight w:val="none"/>
              </w:rPr>
              <w:t>投标文件的签署、盖章</w:t>
            </w:r>
          </w:p>
        </w:tc>
        <w:tc>
          <w:tcPr>
            <w:tcW w:w="7307" w:type="dxa"/>
            <w:tcBorders>
              <w:top w:val="nil"/>
              <w:left w:val="nil"/>
              <w:bottom w:val="single" w:color="auto" w:sz="4" w:space="0"/>
              <w:right w:val="single" w:color="auto" w:sz="4" w:space="0"/>
            </w:tcBorders>
            <w:shd w:val="clear" w:color="auto" w:fill="auto"/>
            <w:vAlign w:val="center"/>
          </w:tcPr>
          <w:p w14:paraId="27D56B51">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1.投标文件按照招标文件第六部分格式要求进行签署、盖章。</w:t>
            </w:r>
          </w:p>
          <w:p w14:paraId="262280F3">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▲投标人的投标文件未按照招标文件要求签署、盖章的，其投标无效。</w:t>
            </w:r>
          </w:p>
          <w:p w14:paraId="16C97FA0">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2.为确保网上操作合法、有效和安全，投标人应当在投标截止时间前完成在“政府采购云平台”的身份认证，确保在电子投标过程中能够对相关数据电文进行加密和使用电子签名。</w:t>
            </w:r>
          </w:p>
          <w:p w14:paraId="5D9FD7C0">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3.招标文件对投标文件签署、盖章的要求适用于电子签名。</w:t>
            </w:r>
          </w:p>
        </w:tc>
      </w:tr>
      <w:tr w14:paraId="1BF66F5B">
        <w:tblPrEx>
          <w:tblCellMar>
            <w:top w:w="0" w:type="dxa"/>
            <w:left w:w="0" w:type="dxa"/>
            <w:bottom w:w="0" w:type="dxa"/>
            <w:right w:w="0" w:type="dxa"/>
          </w:tblCellMar>
        </w:tblPrEx>
        <w:trPr>
          <w:trHeight w:val="1185"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2C29C49C">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16</w:t>
            </w:r>
          </w:p>
        </w:tc>
        <w:tc>
          <w:tcPr>
            <w:tcW w:w="1631" w:type="dxa"/>
            <w:tcBorders>
              <w:top w:val="nil"/>
              <w:left w:val="single" w:color="auto" w:sz="4" w:space="0"/>
              <w:bottom w:val="single" w:color="auto" w:sz="4" w:space="0"/>
              <w:right w:val="single" w:color="auto" w:sz="4" w:space="0"/>
            </w:tcBorders>
            <w:shd w:val="clear" w:color="auto" w:fill="auto"/>
            <w:vAlign w:val="center"/>
          </w:tcPr>
          <w:p w14:paraId="411B953C">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投标文件递交截止时间▲</w:t>
            </w:r>
          </w:p>
        </w:tc>
        <w:tc>
          <w:tcPr>
            <w:tcW w:w="7307" w:type="dxa"/>
            <w:tcBorders>
              <w:top w:val="nil"/>
              <w:left w:val="nil"/>
              <w:bottom w:val="single" w:color="auto" w:sz="4" w:space="0"/>
              <w:right w:val="single" w:color="auto" w:sz="4" w:space="0"/>
            </w:tcBorders>
            <w:shd w:val="clear" w:color="auto" w:fill="auto"/>
            <w:vAlign w:val="center"/>
          </w:tcPr>
          <w:p w14:paraId="33914AAD">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2026年0</w:t>
            </w:r>
            <w:r>
              <w:rPr>
                <w:rStyle w:val="52"/>
                <w:rFonts w:hint="eastAsia" w:ascii="仿宋" w:hAnsi="仿宋" w:eastAsia="仿宋" w:cs="仿宋"/>
                <w:sz w:val="24"/>
                <w:szCs w:val="24"/>
                <w:highlight w:val="none"/>
                <w:lang w:val="en-US"/>
              </w:rPr>
              <w:t>6</w:t>
            </w:r>
            <w:r>
              <w:rPr>
                <w:rStyle w:val="52"/>
                <w:rFonts w:hint="eastAsia" w:ascii="仿宋" w:hAnsi="仿宋" w:eastAsia="仿宋" w:cs="仿宋"/>
                <w:sz w:val="24"/>
                <w:szCs w:val="24"/>
                <w:highlight w:val="none"/>
              </w:rPr>
              <w:t>月</w:t>
            </w:r>
            <w:r>
              <w:rPr>
                <w:rStyle w:val="52"/>
                <w:rFonts w:hint="eastAsia" w:ascii="仿宋" w:hAnsi="仿宋" w:eastAsia="仿宋" w:cs="仿宋"/>
                <w:sz w:val="24"/>
                <w:szCs w:val="24"/>
                <w:highlight w:val="none"/>
                <w:lang w:val="en-US"/>
              </w:rPr>
              <w:t>25</w:t>
            </w:r>
            <w:r>
              <w:rPr>
                <w:rStyle w:val="52"/>
                <w:rFonts w:hint="eastAsia" w:ascii="仿宋" w:hAnsi="仿宋" w:eastAsia="仿宋" w:cs="仿宋"/>
                <w:sz w:val="24"/>
                <w:szCs w:val="24"/>
                <w:highlight w:val="none"/>
              </w:rPr>
              <w:t>日</w:t>
            </w:r>
            <w:r>
              <w:rPr>
                <w:rStyle w:val="52"/>
                <w:rFonts w:hint="eastAsia" w:ascii="仿宋" w:hAnsi="仿宋" w:eastAsia="仿宋" w:cs="仿宋"/>
                <w:sz w:val="24"/>
                <w:szCs w:val="24"/>
                <w:highlight w:val="none"/>
                <w:lang w:val="en-US" w:eastAsia="zh-CN"/>
              </w:rPr>
              <w:t>10:00</w:t>
            </w:r>
            <w:r>
              <w:rPr>
                <w:rStyle w:val="52"/>
                <w:rFonts w:hint="eastAsia" w:ascii="仿宋" w:hAnsi="仿宋" w:eastAsia="仿宋" w:cs="仿宋"/>
                <w:sz w:val="24"/>
                <w:szCs w:val="24"/>
                <w:highlight w:val="none"/>
              </w:rPr>
              <w:t>（北京时间）</w:t>
            </w:r>
          </w:p>
        </w:tc>
      </w:tr>
      <w:tr w14:paraId="5B0BC52C">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03711001">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18</w:t>
            </w:r>
          </w:p>
        </w:tc>
        <w:tc>
          <w:tcPr>
            <w:tcW w:w="1631" w:type="dxa"/>
            <w:tcBorders>
              <w:top w:val="nil"/>
              <w:left w:val="single" w:color="auto" w:sz="4" w:space="0"/>
              <w:bottom w:val="single" w:color="auto" w:sz="4" w:space="0"/>
              <w:right w:val="single" w:color="auto" w:sz="4" w:space="0"/>
            </w:tcBorders>
            <w:shd w:val="clear" w:color="auto" w:fill="auto"/>
            <w:vAlign w:val="center"/>
          </w:tcPr>
          <w:p w14:paraId="662C50E9">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投标文件提交地点▲</w:t>
            </w:r>
          </w:p>
        </w:tc>
        <w:tc>
          <w:tcPr>
            <w:tcW w:w="7307" w:type="dxa"/>
            <w:tcBorders>
              <w:top w:val="nil"/>
              <w:left w:val="nil"/>
              <w:bottom w:val="single" w:color="auto" w:sz="4" w:space="0"/>
              <w:right w:val="single" w:color="auto" w:sz="4" w:space="0"/>
            </w:tcBorders>
            <w:shd w:val="clear" w:color="auto" w:fill="auto"/>
            <w:vAlign w:val="center"/>
          </w:tcPr>
          <w:p w14:paraId="14D609CB">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政采云平台https://www.zcygov.cn</w:t>
            </w:r>
          </w:p>
        </w:tc>
      </w:tr>
      <w:tr w14:paraId="53449A7E">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25B36D39">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19</w:t>
            </w:r>
          </w:p>
        </w:tc>
        <w:tc>
          <w:tcPr>
            <w:tcW w:w="1631" w:type="dxa"/>
            <w:tcBorders>
              <w:top w:val="nil"/>
              <w:left w:val="single" w:color="auto" w:sz="4" w:space="0"/>
              <w:bottom w:val="single" w:color="auto" w:sz="4" w:space="0"/>
              <w:right w:val="single" w:color="auto" w:sz="4" w:space="0"/>
            </w:tcBorders>
            <w:shd w:val="clear" w:color="auto" w:fill="auto"/>
            <w:vAlign w:val="center"/>
          </w:tcPr>
          <w:p w14:paraId="46438AFA">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是否退还投标文件</w:t>
            </w:r>
          </w:p>
        </w:tc>
        <w:tc>
          <w:tcPr>
            <w:tcW w:w="7307" w:type="dxa"/>
            <w:tcBorders>
              <w:top w:val="nil"/>
              <w:left w:val="nil"/>
              <w:bottom w:val="single" w:color="auto" w:sz="4" w:space="0"/>
              <w:right w:val="single" w:color="auto" w:sz="4" w:space="0"/>
            </w:tcBorders>
            <w:shd w:val="clear" w:color="auto" w:fill="auto"/>
            <w:vAlign w:val="center"/>
          </w:tcPr>
          <w:p w14:paraId="6B40E604">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否</w:t>
            </w:r>
          </w:p>
        </w:tc>
      </w:tr>
      <w:tr w14:paraId="087CA23D">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2861C50E">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20</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4309BE3E">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代理服务费▲</w:t>
            </w:r>
          </w:p>
        </w:tc>
        <w:tc>
          <w:tcPr>
            <w:tcW w:w="7307" w:type="dxa"/>
            <w:tcBorders>
              <w:top w:val="single" w:color="auto" w:sz="4" w:space="0"/>
              <w:left w:val="nil"/>
              <w:bottom w:val="single" w:color="auto" w:sz="4" w:space="0"/>
              <w:right w:val="single" w:color="auto" w:sz="4" w:space="0"/>
            </w:tcBorders>
            <w:shd w:val="clear" w:color="auto" w:fill="auto"/>
            <w:vAlign w:val="center"/>
          </w:tcPr>
          <w:p w14:paraId="335EDF92">
            <w:pPr>
              <w:adjustRightInd w:val="0"/>
              <w:snapToGrid w:val="0"/>
              <w:spacing w:line="360" w:lineRule="auto"/>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1.代理服务费的计算方法：根据《国家发展改革委关于进一步放开建设项目专业服务价格的通知》（发改价格【2015】299号）规定，以中标价为基础，参考原国家计委计价格1980号文计价。</w:t>
            </w:r>
          </w:p>
          <w:p w14:paraId="2F7A77E2">
            <w:pPr>
              <w:adjustRightInd w:val="0"/>
              <w:snapToGrid w:val="0"/>
              <w:spacing w:line="360" w:lineRule="auto"/>
              <w:jc w:val="left"/>
              <w:rPr>
                <w:rFonts w:ascii="仿宋" w:hAnsi="仿宋" w:eastAsia="仿宋" w:cs="仿宋"/>
                <w:b/>
                <w:kern w:val="0"/>
                <w:sz w:val="24"/>
                <w:highlight w:val="none"/>
              </w:rPr>
            </w:pPr>
            <w:r>
              <w:rPr>
                <w:rFonts w:hint="eastAsia" w:ascii="仿宋" w:hAnsi="仿宋" w:eastAsia="仿宋" w:cs="仿宋"/>
                <w:sz w:val="24"/>
                <w:highlight w:val="none"/>
              </w:rPr>
              <w:t>2.代理报酬支付方式</w:t>
            </w:r>
            <w:r>
              <w:rPr>
                <w:rFonts w:hint="eastAsia" w:ascii="仿宋" w:hAnsi="仿宋" w:eastAsia="仿宋" w:cs="仿宋"/>
                <w:color w:val="000000" w:themeColor="text1"/>
                <w:sz w:val="24"/>
                <w:highlight w:val="none"/>
                <w14:textFill>
                  <w14:solidFill>
                    <w14:schemeClr w14:val="tx1"/>
                  </w14:solidFill>
                </w14:textFill>
              </w:rPr>
              <w:t>：由采购人支付。</w:t>
            </w:r>
          </w:p>
        </w:tc>
      </w:tr>
      <w:tr w14:paraId="6EC65ECB">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3A901F9B">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21</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7BBCA617">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签署合同时间</w:t>
            </w:r>
          </w:p>
        </w:tc>
        <w:tc>
          <w:tcPr>
            <w:tcW w:w="7307" w:type="dxa"/>
            <w:tcBorders>
              <w:top w:val="single" w:color="auto" w:sz="4" w:space="0"/>
              <w:left w:val="nil"/>
              <w:bottom w:val="single" w:color="auto" w:sz="4" w:space="0"/>
              <w:right w:val="single" w:color="auto" w:sz="4" w:space="0"/>
            </w:tcBorders>
            <w:shd w:val="clear" w:color="auto" w:fill="auto"/>
            <w:vAlign w:val="center"/>
          </w:tcPr>
          <w:p w14:paraId="7056AE35">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中标通知书发出后30日内，中标人与采购人签署《政府采购合同》</w:t>
            </w:r>
          </w:p>
        </w:tc>
      </w:tr>
      <w:tr w14:paraId="059CCD66">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757AAA00">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22</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480183E1">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履约保证金</w:t>
            </w:r>
          </w:p>
        </w:tc>
        <w:tc>
          <w:tcPr>
            <w:tcW w:w="7307" w:type="dxa"/>
            <w:tcBorders>
              <w:top w:val="single" w:color="auto" w:sz="4" w:space="0"/>
              <w:left w:val="nil"/>
              <w:bottom w:val="single" w:color="auto" w:sz="4" w:space="0"/>
              <w:right w:val="single" w:color="auto" w:sz="4" w:space="0"/>
            </w:tcBorders>
            <w:shd w:val="clear" w:color="auto" w:fill="auto"/>
            <w:vAlign w:val="center"/>
          </w:tcPr>
          <w:p w14:paraId="204DFCE1">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是否缴纳：</w:t>
            </w:r>
            <w:r>
              <w:rPr>
                <w:rStyle w:val="52"/>
                <w:rFonts w:hint="eastAsia" w:ascii="仿宋" w:hAnsi="仿宋" w:eastAsia="仿宋" w:cs="仿宋"/>
                <w:sz w:val="24"/>
                <w:szCs w:val="24"/>
                <w:highlight w:val="none"/>
              </w:rPr>
              <w:fldChar w:fldCharType="begin"/>
            </w:r>
            <w:r>
              <w:rPr>
                <w:rStyle w:val="52"/>
                <w:rFonts w:hint="eastAsia" w:ascii="仿宋" w:hAnsi="仿宋" w:eastAsia="仿宋" w:cs="仿宋"/>
                <w:sz w:val="24"/>
                <w:szCs w:val="24"/>
                <w:highlight w:val="none"/>
              </w:rPr>
              <w:instrText xml:space="preserve"> eq \o\ac(</w:instrText>
            </w:r>
            <w:r>
              <w:rPr>
                <w:rStyle w:val="52"/>
                <w:rFonts w:hint="eastAsia" w:ascii="仿宋" w:hAnsi="仿宋" w:eastAsia="仿宋" w:cs="仿宋"/>
                <w:position w:val="-4"/>
                <w:sz w:val="24"/>
                <w:szCs w:val="24"/>
                <w:highlight w:val="none"/>
              </w:rPr>
              <w:instrText xml:space="preserve">□</w:instrText>
            </w:r>
            <w:r>
              <w:rPr>
                <w:rStyle w:val="52"/>
                <w:rFonts w:hint="eastAsia" w:ascii="仿宋" w:hAnsi="仿宋" w:eastAsia="仿宋" w:cs="仿宋"/>
                <w:sz w:val="24"/>
                <w:szCs w:val="24"/>
                <w:highlight w:val="none"/>
              </w:rPr>
              <w:instrText xml:space="preserve">)</w:instrText>
            </w:r>
            <w:r>
              <w:rPr>
                <w:rStyle w:val="52"/>
                <w:rFonts w:hint="eastAsia" w:ascii="仿宋" w:hAnsi="仿宋" w:eastAsia="仿宋" w:cs="仿宋"/>
                <w:sz w:val="24"/>
                <w:szCs w:val="24"/>
                <w:highlight w:val="none"/>
              </w:rPr>
              <w:fldChar w:fldCharType="end"/>
            </w:r>
            <w:r>
              <w:rPr>
                <w:rFonts w:hint="eastAsia" w:ascii="仿宋" w:hAnsi="仿宋" w:eastAsia="仿宋" w:cs="仿宋"/>
                <w:szCs w:val="24"/>
                <w:highlight w:val="none"/>
              </w:rPr>
              <w:t xml:space="preserve">是    </w:t>
            </w:r>
            <w:r>
              <w:rPr>
                <w:rStyle w:val="52"/>
                <w:rFonts w:hint="eastAsia" w:ascii="仿宋" w:hAnsi="仿宋" w:eastAsia="仿宋" w:cs="仿宋"/>
                <w:sz w:val="24"/>
                <w:szCs w:val="24"/>
                <w:highlight w:val="none"/>
              </w:rPr>
              <w:fldChar w:fldCharType="begin"/>
            </w:r>
            <w:r>
              <w:rPr>
                <w:rStyle w:val="52"/>
                <w:rFonts w:hint="eastAsia" w:ascii="仿宋" w:hAnsi="仿宋" w:eastAsia="仿宋" w:cs="仿宋"/>
                <w:sz w:val="24"/>
                <w:szCs w:val="24"/>
                <w:highlight w:val="none"/>
              </w:rPr>
              <w:instrText xml:space="preserve"> eq \o\ac(</w:instrText>
            </w:r>
            <w:r>
              <w:rPr>
                <w:rStyle w:val="52"/>
                <w:rFonts w:hint="eastAsia" w:ascii="仿宋" w:hAnsi="仿宋" w:eastAsia="仿宋" w:cs="仿宋"/>
                <w:position w:val="-4"/>
                <w:sz w:val="24"/>
                <w:szCs w:val="24"/>
                <w:highlight w:val="none"/>
              </w:rPr>
              <w:instrText xml:space="preserve">□,</w:instrText>
            </w:r>
            <w:r>
              <w:rPr>
                <w:rStyle w:val="52"/>
                <w:rFonts w:hint="eastAsia" w:ascii="仿宋" w:hAnsi="仿宋" w:eastAsia="仿宋" w:cs="仿宋"/>
                <w:position w:val="-1"/>
                <w:sz w:val="16"/>
                <w:szCs w:val="24"/>
                <w:highlight w:val="none"/>
              </w:rPr>
              <w:instrText xml:space="preserve">√</w:instrText>
            </w:r>
            <w:r>
              <w:rPr>
                <w:rStyle w:val="52"/>
                <w:rFonts w:hint="eastAsia" w:ascii="仿宋" w:hAnsi="仿宋" w:eastAsia="仿宋" w:cs="仿宋"/>
                <w:sz w:val="24"/>
                <w:szCs w:val="24"/>
                <w:highlight w:val="none"/>
              </w:rPr>
              <w:instrText xml:space="preserve">)</w:instrText>
            </w:r>
            <w:r>
              <w:rPr>
                <w:rStyle w:val="52"/>
                <w:rFonts w:hint="eastAsia" w:ascii="仿宋" w:hAnsi="仿宋" w:eastAsia="仿宋" w:cs="仿宋"/>
                <w:sz w:val="24"/>
                <w:szCs w:val="24"/>
                <w:highlight w:val="none"/>
              </w:rPr>
              <w:fldChar w:fldCharType="end"/>
            </w:r>
            <w:r>
              <w:rPr>
                <w:rFonts w:hint="eastAsia" w:ascii="仿宋" w:hAnsi="仿宋" w:eastAsia="仿宋" w:cs="仿宋"/>
                <w:szCs w:val="24"/>
                <w:highlight w:val="none"/>
              </w:rPr>
              <w:t>否</w:t>
            </w:r>
          </w:p>
          <w:p w14:paraId="1D53CEDC">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交纳时间：/</w:t>
            </w:r>
          </w:p>
          <w:p w14:paraId="2F04E22B">
            <w:pPr>
              <w:pStyle w:val="51"/>
              <w:spacing w:before="0" w:after="0" w:line="360" w:lineRule="auto"/>
              <w:rPr>
                <w:rStyle w:val="52"/>
                <w:rFonts w:ascii="仿宋" w:hAnsi="仿宋" w:eastAsia="仿宋" w:cs="仿宋"/>
                <w:color w:val="FF0000"/>
                <w:sz w:val="24"/>
                <w:szCs w:val="24"/>
                <w:highlight w:val="none"/>
              </w:rPr>
            </w:pPr>
            <w:r>
              <w:rPr>
                <w:rStyle w:val="52"/>
                <w:rFonts w:hint="eastAsia" w:ascii="仿宋" w:hAnsi="仿宋" w:eastAsia="仿宋" w:cs="仿宋"/>
                <w:sz w:val="24"/>
                <w:szCs w:val="24"/>
                <w:highlight w:val="none"/>
              </w:rPr>
              <w:t>交纳金额：/</w:t>
            </w:r>
          </w:p>
          <w:p w14:paraId="1CFAC86E">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形式：银行汇票/银行支票/银行保函。</w:t>
            </w:r>
          </w:p>
        </w:tc>
      </w:tr>
      <w:tr w14:paraId="2F670797">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0C62F41D">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23</w:t>
            </w:r>
          </w:p>
        </w:tc>
        <w:tc>
          <w:tcPr>
            <w:tcW w:w="1631" w:type="dxa"/>
            <w:tcBorders>
              <w:top w:val="nil"/>
              <w:left w:val="single" w:color="auto" w:sz="4" w:space="0"/>
              <w:bottom w:val="single" w:color="auto" w:sz="4" w:space="0"/>
              <w:right w:val="single" w:color="auto" w:sz="4" w:space="0"/>
            </w:tcBorders>
            <w:shd w:val="clear" w:color="auto" w:fill="auto"/>
            <w:vAlign w:val="center"/>
          </w:tcPr>
          <w:p w14:paraId="517D1F03">
            <w:pPr>
              <w:pStyle w:val="51"/>
              <w:spacing w:before="0" w:after="0" w:line="360" w:lineRule="auto"/>
              <w:jc w:val="center"/>
              <w:rPr>
                <w:rStyle w:val="52"/>
                <w:rFonts w:ascii="仿宋" w:hAnsi="仿宋" w:eastAsia="仿宋" w:cs="仿宋"/>
                <w:color w:val="auto"/>
                <w:sz w:val="24"/>
                <w:szCs w:val="24"/>
                <w:highlight w:val="none"/>
              </w:rPr>
            </w:pPr>
            <w:r>
              <w:rPr>
                <w:rStyle w:val="52"/>
                <w:rFonts w:hint="eastAsia" w:ascii="仿宋" w:hAnsi="仿宋" w:eastAsia="仿宋" w:cs="仿宋"/>
                <w:color w:val="auto"/>
                <w:sz w:val="24"/>
                <w:szCs w:val="24"/>
                <w:highlight w:val="none"/>
              </w:rPr>
              <w:t>付款方式</w:t>
            </w:r>
          </w:p>
        </w:tc>
        <w:tc>
          <w:tcPr>
            <w:tcW w:w="7307" w:type="dxa"/>
            <w:tcBorders>
              <w:top w:val="nil"/>
              <w:left w:val="nil"/>
              <w:bottom w:val="single" w:color="auto" w:sz="4" w:space="0"/>
              <w:right w:val="single" w:color="auto" w:sz="4" w:space="0"/>
            </w:tcBorders>
            <w:shd w:val="clear" w:color="auto" w:fill="auto"/>
            <w:vAlign w:val="center"/>
          </w:tcPr>
          <w:p w14:paraId="184D7E96">
            <w:pPr>
              <w:pStyle w:val="51"/>
              <w:spacing w:before="0" w:after="0" w:line="360" w:lineRule="auto"/>
              <w:rPr>
                <w:rStyle w:val="52"/>
                <w:rFonts w:ascii="仿宋" w:hAnsi="仿宋" w:eastAsia="仿宋" w:cs="仿宋"/>
                <w:color w:val="auto"/>
                <w:sz w:val="24"/>
                <w:szCs w:val="24"/>
                <w:highlight w:val="none"/>
              </w:rPr>
            </w:pPr>
            <w:r>
              <w:rPr>
                <w:rStyle w:val="52"/>
                <w:rFonts w:hint="eastAsia" w:ascii="仿宋" w:hAnsi="仿宋" w:eastAsia="仿宋" w:cs="仿宋"/>
                <w:color w:val="auto"/>
                <w:sz w:val="24"/>
                <w:szCs w:val="24"/>
                <w:highlight w:val="none"/>
              </w:rPr>
              <w:t>项目成果完成后一次性支付</w:t>
            </w:r>
          </w:p>
        </w:tc>
      </w:tr>
      <w:tr w14:paraId="35A0AA58">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1DBA7118">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24</w:t>
            </w:r>
          </w:p>
        </w:tc>
        <w:tc>
          <w:tcPr>
            <w:tcW w:w="1631" w:type="dxa"/>
            <w:tcBorders>
              <w:top w:val="nil"/>
              <w:left w:val="single" w:color="auto" w:sz="4" w:space="0"/>
              <w:bottom w:val="single" w:color="auto" w:sz="4" w:space="0"/>
              <w:right w:val="single" w:color="auto" w:sz="4" w:space="0"/>
            </w:tcBorders>
            <w:shd w:val="clear" w:color="auto" w:fill="auto"/>
            <w:vAlign w:val="center"/>
          </w:tcPr>
          <w:p w14:paraId="237DAFD2">
            <w:pPr>
              <w:spacing w:line="360" w:lineRule="auto"/>
              <w:jc w:val="center"/>
              <w:rPr>
                <w:rStyle w:val="52"/>
                <w:rFonts w:ascii="仿宋" w:hAnsi="仿宋" w:eastAsia="仿宋" w:cs="仿宋"/>
                <w:bCs/>
                <w:sz w:val="24"/>
                <w:highlight w:val="none"/>
              </w:rPr>
            </w:pPr>
            <w:r>
              <w:rPr>
                <w:rFonts w:hint="eastAsia" w:ascii="仿宋" w:hAnsi="仿宋" w:eastAsia="仿宋" w:cs="仿宋"/>
                <w:bCs/>
                <w:kern w:val="0"/>
                <w:sz w:val="24"/>
                <w:highlight w:val="none"/>
              </w:rPr>
              <w:t>评审方法</w:t>
            </w:r>
          </w:p>
        </w:tc>
        <w:tc>
          <w:tcPr>
            <w:tcW w:w="7307" w:type="dxa"/>
            <w:tcBorders>
              <w:top w:val="nil"/>
              <w:left w:val="nil"/>
              <w:bottom w:val="single" w:color="auto" w:sz="4" w:space="0"/>
              <w:right w:val="single" w:color="auto" w:sz="4" w:space="0"/>
            </w:tcBorders>
            <w:shd w:val="clear" w:color="auto" w:fill="auto"/>
            <w:vAlign w:val="center"/>
          </w:tcPr>
          <w:p w14:paraId="709480F1">
            <w:pPr>
              <w:spacing w:line="360" w:lineRule="auto"/>
              <w:rPr>
                <w:rFonts w:ascii="仿宋" w:hAnsi="仿宋" w:eastAsia="仿宋" w:cs="仿宋"/>
                <w:kern w:val="0"/>
                <w:sz w:val="24"/>
                <w:highlight w:val="none"/>
              </w:rPr>
            </w:pPr>
            <w:r>
              <w:rPr>
                <w:rStyle w:val="52"/>
                <w:rFonts w:hint="eastAsia" w:ascii="仿宋" w:hAnsi="仿宋" w:eastAsia="仿宋" w:cs="仿宋"/>
                <w:sz w:val="24"/>
                <w:highlight w:val="none"/>
              </w:rPr>
              <w:fldChar w:fldCharType="begin"/>
            </w:r>
            <w:r>
              <w:rPr>
                <w:rStyle w:val="52"/>
                <w:rFonts w:hint="eastAsia" w:ascii="仿宋" w:hAnsi="仿宋" w:eastAsia="仿宋" w:cs="仿宋"/>
                <w:sz w:val="24"/>
                <w:highlight w:val="none"/>
              </w:rPr>
              <w:instrText xml:space="preserve"> eq \o\ac(</w:instrText>
            </w:r>
            <w:r>
              <w:rPr>
                <w:rStyle w:val="52"/>
                <w:rFonts w:hint="eastAsia" w:ascii="仿宋" w:hAnsi="仿宋" w:eastAsia="仿宋" w:cs="仿宋"/>
                <w:position w:val="-4"/>
                <w:sz w:val="24"/>
                <w:highlight w:val="none"/>
              </w:rPr>
              <w:instrText xml:space="preserve">□</w:instrText>
            </w:r>
            <w:r>
              <w:rPr>
                <w:rStyle w:val="52"/>
                <w:rFonts w:hint="eastAsia" w:ascii="仿宋" w:hAnsi="仿宋" w:eastAsia="仿宋" w:cs="仿宋"/>
                <w:sz w:val="24"/>
                <w:highlight w:val="none"/>
              </w:rPr>
              <w:instrText xml:space="preserve">,√)</w:instrText>
            </w:r>
            <w:r>
              <w:rPr>
                <w:rStyle w:val="52"/>
                <w:rFonts w:hint="eastAsia" w:ascii="仿宋" w:hAnsi="仿宋" w:eastAsia="仿宋" w:cs="仿宋"/>
                <w:sz w:val="24"/>
                <w:highlight w:val="none"/>
              </w:rPr>
              <w:fldChar w:fldCharType="end"/>
            </w:r>
            <w:r>
              <w:rPr>
                <w:rFonts w:hint="eastAsia" w:ascii="仿宋" w:hAnsi="仿宋" w:eastAsia="仿宋" w:cs="仿宋"/>
                <w:kern w:val="0"/>
                <w:sz w:val="24"/>
                <w:highlight w:val="none"/>
              </w:rPr>
              <w:t xml:space="preserve">资格后审         </w:t>
            </w:r>
            <w:r>
              <w:rPr>
                <w:rStyle w:val="52"/>
                <w:rFonts w:hint="eastAsia" w:ascii="仿宋" w:hAnsi="仿宋" w:eastAsia="仿宋" w:cs="仿宋"/>
                <w:sz w:val="24"/>
                <w:highlight w:val="none"/>
              </w:rPr>
              <w:fldChar w:fldCharType="begin"/>
            </w:r>
            <w:r>
              <w:rPr>
                <w:rStyle w:val="52"/>
                <w:rFonts w:hint="eastAsia" w:ascii="仿宋" w:hAnsi="仿宋" w:eastAsia="仿宋" w:cs="仿宋"/>
                <w:sz w:val="24"/>
                <w:highlight w:val="none"/>
              </w:rPr>
              <w:instrText xml:space="preserve"> eq \o\ac(</w:instrText>
            </w:r>
            <w:r>
              <w:rPr>
                <w:rStyle w:val="52"/>
                <w:rFonts w:hint="eastAsia" w:ascii="仿宋" w:hAnsi="仿宋" w:eastAsia="仿宋" w:cs="仿宋"/>
                <w:position w:val="-4"/>
                <w:sz w:val="24"/>
                <w:highlight w:val="none"/>
              </w:rPr>
              <w:instrText xml:space="preserve">□</w:instrText>
            </w:r>
            <w:r>
              <w:rPr>
                <w:rStyle w:val="52"/>
                <w:rFonts w:hint="eastAsia" w:ascii="仿宋" w:hAnsi="仿宋" w:eastAsia="仿宋" w:cs="仿宋"/>
                <w:sz w:val="24"/>
                <w:highlight w:val="none"/>
              </w:rPr>
              <w:instrText xml:space="preserve">)</w:instrText>
            </w:r>
            <w:r>
              <w:rPr>
                <w:rStyle w:val="52"/>
                <w:rFonts w:hint="eastAsia" w:ascii="仿宋" w:hAnsi="仿宋" w:eastAsia="仿宋" w:cs="仿宋"/>
                <w:sz w:val="24"/>
                <w:highlight w:val="none"/>
              </w:rPr>
              <w:fldChar w:fldCharType="end"/>
            </w:r>
            <w:r>
              <w:rPr>
                <w:rFonts w:hint="eastAsia" w:ascii="仿宋" w:hAnsi="仿宋" w:eastAsia="仿宋" w:cs="仿宋"/>
                <w:kern w:val="0"/>
                <w:sz w:val="24"/>
                <w:highlight w:val="none"/>
              </w:rPr>
              <w:t>资格预审</w:t>
            </w:r>
          </w:p>
          <w:p w14:paraId="690FAB9D">
            <w:pPr>
              <w:spacing w:line="360" w:lineRule="auto"/>
              <w:rPr>
                <w:rFonts w:ascii="仿宋" w:hAnsi="仿宋" w:eastAsia="仿宋" w:cs="仿宋"/>
                <w:kern w:val="0"/>
                <w:sz w:val="24"/>
                <w:highlight w:val="none"/>
              </w:rPr>
            </w:pPr>
            <w:r>
              <w:rPr>
                <w:rStyle w:val="52"/>
                <w:rFonts w:hint="eastAsia" w:ascii="仿宋" w:hAnsi="仿宋" w:eastAsia="仿宋" w:cs="仿宋"/>
                <w:sz w:val="24"/>
                <w:highlight w:val="none"/>
              </w:rPr>
              <w:fldChar w:fldCharType="begin"/>
            </w:r>
            <w:r>
              <w:rPr>
                <w:rStyle w:val="52"/>
                <w:rFonts w:hint="eastAsia" w:ascii="仿宋" w:hAnsi="仿宋" w:eastAsia="仿宋" w:cs="仿宋"/>
                <w:sz w:val="24"/>
                <w:highlight w:val="none"/>
              </w:rPr>
              <w:instrText xml:space="preserve"> eq \o\ac(</w:instrText>
            </w:r>
            <w:r>
              <w:rPr>
                <w:rStyle w:val="52"/>
                <w:rFonts w:hint="eastAsia" w:ascii="仿宋" w:hAnsi="仿宋" w:eastAsia="仿宋" w:cs="仿宋"/>
                <w:position w:val="-4"/>
                <w:sz w:val="24"/>
                <w:highlight w:val="none"/>
              </w:rPr>
              <w:instrText xml:space="preserve">□</w:instrText>
            </w:r>
            <w:r>
              <w:rPr>
                <w:rStyle w:val="52"/>
                <w:rFonts w:hint="eastAsia" w:ascii="仿宋" w:hAnsi="仿宋" w:eastAsia="仿宋" w:cs="仿宋"/>
                <w:sz w:val="24"/>
                <w:highlight w:val="none"/>
              </w:rPr>
              <w:instrText xml:space="preserve">,√)</w:instrText>
            </w:r>
            <w:r>
              <w:rPr>
                <w:rStyle w:val="52"/>
                <w:rFonts w:hint="eastAsia" w:ascii="仿宋" w:hAnsi="仿宋" w:eastAsia="仿宋" w:cs="仿宋"/>
                <w:sz w:val="24"/>
                <w:highlight w:val="none"/>
              </w:rPr>
              <w:fldChar w:fldCharType="end"/>
            </w:r>
            <w:r>
              <w:rPr>
                <w:rFonts w:hint="eastAsia" w:ascii="仿宋" w:hAnsi="仿宋" w:eastAsia="仿宋" w:cs="仿宋"/>
                <w:kern w:val="0"/>
                <w:sz w:val="24"/>
                <w:highlight w:val="none"/>
              </w:rPr>
              <w:t xml:space="preserve">综合评分法       </w:t>
            </w:r>
            <w:r>
              <w:rPr>
                <w:rStyle w:val="52"/>
                <w:rFonts w:hint="eastAsia" w:ascii="仿宋" w:hAnsi="仿宋" w:eastAsia="仿宋" w:cs="仿宋"/>
                <w:sz w:val="24"/>
                <w:highlight w:val="none"/>
              </w:rPr>
              <w:fldChar w:fldCharType="begin"/>
            </w:r>
            <w:r>
              <w:rPr>
                <w:rStyle w:val="52"/>
                <w:rFonts w:hint="eastAsia" w:ascii="仿宋" w:hAnsi="仿宋" w:eastAsia="仿宋" w:cs="仿宋"/>
                <w:sz w:val="24"/>
                <w:highlight w:val="none"/>
              </w:rPr>
              <w:instrText xml:space="preserve"> eq \o\ac(</w:instrText>
            </w:r>
            <w:r>
              <w:rPr>
                <w:rStyle w:val="52"/>
                <w:rFonts w:hint="eastAsia" w:ascii="仿宋" w:hAnsi="仿宋" w:eastAsia="仿宋" w:cs="仿宋"/>
                <w:position w:val="-4"/>
                <w:sz w:val="24"/>
                <w:highlight w:val="none"/>
              </w:rPr>
              <w:instrText xml:space="preserve">□</w:instrText>
            </w:r>
            <w:r>
              <w:rPr>
                <w:rStyle w:val="52"/>
                <w:rFonts w:hint="eastAsia" w:ascii="仿宋" w:hAnsi="仿宋" w:eastAsia="仿宋" w:cs="仿宋"/>
                <w:sz w:val="24"/>
                <w:highlight w:val="none"/>
              </w:rPr>
              <w:instrText xml:space="preserve">)</w:instrText>
            </w:r>
            <w:r>
              <w:rPr>
                <w:rStyle w:val="52"/>
                <w:rFonts w:hint="eastAsia" w:ascii="仿宋" w:hAnsi="仿宋" w:eastAsia="仿宋" w:cs="仿宋"/>
                <w:sz w:val="24"/>
                <w:highlight w:val="none"/>
              </w:rPr>
              <w:fldChar w:fldCharType="end"/>
            </w:r>
            <w:r>
              <w:rPr>
                <w:rFonts w:hint="eastAsia" w:ascii="仿宋" w:hAnsi="仿宋" w:eastAsia="仿宋" w:cs="仿宋"/>
                <w:kern w:val="0"/>
                <w:sz w:val="24"/>
                <w:highlight w:val="none"/>
              </w:rPr>
              <w:t>最低评标价法</w:t>
            </w:r>
          </w:p>
          <w:p w14:paraId="0D88A4E1">
            <w:pPr>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注：1.综合评分法是指在最大限度地满足招标文件实质性要求前提下，按照招标文件中规定的评分细则评审后，商务得分和技术得分之和作为投标人的综合得分。评标委员会按照综合得分高低进行排序，取前1-3名作为中标候选人推荐给采购人。如果两个投标人的得分相同，投标价格低排在前；两个投标人得分、报价相同，由评标委员会推荐。</w:t>
            </w:r>
          </w:p>
          <w:p w14:paraId="5AAC9FC1">
            <w:pPr>
              <w:spacing w:line="360" w:lineRule="auto"/>
              <w:rPr>
                <w:rStyle w:val="52"/>
                <w:rFonts w:ascii="仿宋" w:hAnsi="仿宋" w:eastAsia="仿宋" w:cs="仿宋"/>
                <w:b/>
                <w:sz w:val="24"/>
                <w:highlight w:val="none"/>
              </w:rPr>
            </w:pPr>
            <w:r>
              <w:rPr>
                <w:rFonts w:hint="eastAsia" w:ascii="仿宋" w:hAnsi="仿宋" w:eastAsia="仿宋" w:cs="仿宋"/>
                <w:color w:val="000000"/>
                <w:sz w:val="24"/>
                <w:highlight w:val="none"/>
              </w:rPr>
              <w:t>2.最低评标价法，是指以价格为主要因素确定中标人的评标方法，即在全部满足招标文件实质性要求前提下，依据统一的价格要素评定最低报价，以提出最低报价的投标人作为中标候选投标人或者中标投标人的评标方法。投标报价相同的，按技术指标优劣顺序排列，技术指标较优的一方为中标人。</w:t>
            </w:r>
          </w:p>
        </w:tc>
      </w:tr>
      <w:tr w14:paraId="30E56312">
        <w:tblPrEx>
          <w:tblCellMar>
            <w:top w:w="0" w:type="dxa"/>
            <w:left w:w="0" w:type="dxa"/>
            <w:bottom w:w="0" w:type="dxa"/>
            <w:right w:w="0" w:type="dxa"/>
          </w:tblCellMar>
        </w:tblPrEx>
        <w:trPr>
          <w:trHeight w:val="28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59BD09CF">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25</w:t>
            </w:r>
          </w:p>
        </w:tc>
        <w:tc>
          <w:tcPr>
            <w:tcW w:w="1631" w:type="dxa"/>
            <w:tcBorders>
              <w:top w:val="nil"/>
              <w:left w:val="single" w:color="auto" w:sz="4" w:space="0"/>
              <w:bottom w:val="single" w:color="auto" w:sz="4" w:space="0"/>
              <w:right w:val="single" w:color="auto" w:sz="4" w:space="0"/>
            </w:tcBorders>
            <w:shd w:val="clear" w:color="auto" w:fill="auto"/>
            <w:vAlign w:val="center"/>
          </w:tcPr>
          <w:p w14:paraId="34A5B09C">
            <w:pPr>
              <w:pStyle w:val="51"/>
              <w:spacing w:before="0" w:after="0" w:line="360" w:lineRule="auto"/>
              <w:jc w:val="center"/>
              <w:rPr>
                <w:rStyle w:val="52"/>
                <w:rFonts w:ascii="仿宋" w:hAnsi="仿宋" w:eastAsia="仿宋" w:cs="仿宋"/>
                <w:color w:val="auto"/>
                <w:sz w:val="24"/>
                <w:szCs w:val="24"/>
                <w:highlight w:val="none"/>
              </w:rPr>
            </w:pPr>
            <w:r>
              <w:rPr>
                <w:rStyle w:val="52"/>
                <w:rFonts w:hint="eastAsia" w:ascii="仿宋" w:hAnsi="仿宋" w:eastAsia="仿宋" w:cs="仿宋"/>
                <w:color w:val="auto"/>
                <w:sz w:val="24"/>
                <w:szCs w:val="24"/>
                <w:highlight w:val="none"/>
              </w:rPr>
              <w:t>评标委员会的组成</w:t>
            </w:r>
          </w:p>
        </w:tc>
        <w:tc>
          <w:tcPr>
            <w:tcW w:w="7307" w:type="dxa"/>
            <w:tcBorders>
              <w:top w:val="nil"/>
              <w:left w:val="nil"/>
              <w:bottom w:val="single" w:color="auto" w:sz="4" w:space="0"/>
              <w:right w:val="single" w:color="auto" w:sz="4" w:space="0"/>
            </w:tcBorders>
            <w:shd w:val="clear" w:color="auto" w:fill="auto"/>
            <w:vAlign w:val="center"/>
          </w:tcPr>
          <w:p w14:paraId="7072E895">
            <w:pPr>
              <w:pStyle w:val="51"/>
              <w:spacing w:before="0" w:after="0" w:line="360" w:lineRule="auto"/>
              <w:rPr>
                <w:rFonts w:ascii="仿宋" w:hAnsi="仿宋" w:eastAsia="仿宋" w:cs="仿宋"/>
                <w:bCs w:val="0"/>
                <w:color w:val="auto"/>
                <w:spacing w:val="0"/>
                <w:szCs w:val="24"/>
                <w:highlight w:val="none"/>
              </w:rPr>
            </w:pPr>
            <w:r>
              <w:rPr>
                <w:rFonts w:hint="eastAsia" w:ascii="仿宋" w:hAnsi="仿宋" w:eastAsia="仿宋" w:cs="仿宋"/>
                <w:bCs w:val="0"/>
                <w:color w:val="auto"/>
                <w:spacing w:val="0"/>
                <w:szCs w:val="24"/>
                <w:highlight w:val="none"/>
              </w:rPr>
              <w:t>评标委员会人数：</w:t>
            </w:r>
            <w:bookmarkStart w:id="14" w:name="EB72d16e85338144d4a2d954e860d91604"/>
            <w:bookmarkEnd w:id="14"/>
            <w:r>
              <w:rPr>
                <w:rFonts w:hint="eastAsia" w:ascii="仿宋" w:hAnsi="仿宋" w:eastAsia="仿宋" w:cs="仿宋"/>
                <w:b/>
                <w:color w:val="auto"/>
                <w:spacing w:val="0"/>
                <w:szCs w:val="24"/>
                <w:highlight w:val="none"/>
              </w:rPr>
              <w:t>5 人</w:t>
            </w:r>
            <w:r>
              <w:rPr>
                <w:rFonts w:hint="eastAsia" w:ascii="仿宋" w:hAnsi="仿宋" w:eastAsia="仿宋" w:cs="仿宋"/>
                <w:b/>
                <w:color w:val="auto"/>
                <w:spacing w:val="0"/>
                <w:szCs w:val="24"/>
                <w:highlight w:val="none"/>
                <w:lang w:eastAsia="zh-CN"/>
              </w:rPr>
              <w:t>，其中甲方代表</w:t>
            </w:r>
            <w:r>
              <w:rPr>
                <w:rFonts w:hint="eastAsia" w:ascii="仿宋" w:hAnsi="仿宋" w:eastAsia="仿宋" w:cs="仿宋"/>
                <w:b/>
                <w:color w:val="auto"/>
                <w:spacing w:val="0"/>
                <w:szCs w:val="24"/>
                <w:highlight w:val="none"/>
                <w:lang w:val="en-US" w:eastAsia="zh-CN"/>
              </w:rPr>
              <w:t>0人，评标专家5人</w:t>
            </w:r>
            <w:r>
              <w:rPr>
                <w:rFonts w:hint="eastAsia" w:ascii="仿宋" w:hAnsi="仿宋" w:eastAsia="仿宋" w:cs="仿宋"/>
                <w:b/>
                <w:color w:val="auto"/>
                <w:spacing w:val="0"/>
                <w:szCs w:val="24"/>
                <w:highlight w:val="none"/>
              </w:rPr>
              <w:t xml:space="preserve">。 </w:t>
            </w:r>
            <w:r>
              <w:rPr>
                <w:rFonts w:hint="eastAsia" w:ascii="仿宋" w:hAnsi="仿宋" w:eastAsia="仿宋" w:cs="仿宋"/>
                <w:bCs w:val="0"/>
                <w:color w:val="auto"/>
                <w:spacing w:val="0"/>
                <w:szCs w:val="24"/>
                <w:highlight w:val="none"/>
              </w:rPr>
              <w:t xml:space="preserve">   </w:t>
            </w:r>
          </w:p>
          <w:p w14:paraId="409A11A1">
            <w:pPr>
              <w:pStyle w:val="51"/>
              <w:spacing w:before="0" w:after="0" w:line="360" w:lineRule="auto"/>
              <w:rPr>
                <w:rStyle w:val="52"/>
                <w:rFonts w:ascii="仿宋" w:hAnsi="仿宋" w:eastAsia="仿宋" w:cs="仿宋"/>
                <w:color w:val="auto"/>
                <w:sz w:val="24"/>
                <w:szCs w:val="24"/>
                <w:highlight w:val="none"/>
              </w:rPr>
            </w:pPr>
            <w:r>
              <w:rPr>
                <w:rFonts w:hint="eastAsia" w:ascii="仿宋" w:hAnsi="仿宋" w:eastAsia="仿宋" w:cs="仿宋"/>
                <w:bCs w:val="0"/>
                <w:color w:val="auto"/>
                <w:spacing w:val="0"/>
                <w:szCs w:val="24"/>
                <w:highlight w:val="none"/>
              </w:rPr>
              <w:t>评委确定方式：</w:t>
            </w:r>
            <w:bookmarkStart w:id="15" w:name="EB6479c32eb2ce45839a2e1507d7cdac93"/>
            <w:bookmarkEnd w:id="15"/>
            <w:r>
              <w:rPr>
                <w:rFonts w:hint="eastAsia" w:ascii="仿宋" w:hAnsi="仿宋" w:eastAsia="仿宋" w:cs="仿宋"/>
                <w:bCs w:val="0"/>
                <w:color w:val="auto"/>
                <w:spacing w:val="0"/>
                <w:szCs w:val="24"/>
                <w:highlight w:val="none"/>
              </w:rPr>
              <w:t>从新疆政府采购网政采云平台专家库中随机抽取确定（采用回避制度）。</w:t>
            </w:r>
          </w:p>
        </w:tc>
      </w:tr>
      <w:tr w14:paraId="38145991">
        <w:tblPrEx>
          <w:tblCellMar>
            <w:top w:w="0" w:type="dxa"/>
            <w:left w:w="0" w:type="dxa"/>
            <w:bottom w:w="0" w:type="dxa"/>
            <w:right w:w="0" w:type="dxa"/>
          </w:tblCellMar>
        </w:tblPrEx>
        <w:trPr>
          <w:trHeight w:val="731"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33326F34">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26</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3ED54725">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促进中小企业发展</w:t>
            </w:r>
          </w:p>
        </w:tc>
        <w:tc>
          <w:tcPr>
            <w:tcW w:w="7307" w:type="dxa"/>
            <w:tcBorders>
              <w:top w:val="single" w:color="auto" w:sz="4" w:space="0"/>
              <w:left w:val="nil"/>
              <w:bottom w:val="single" w:color="auto" w:sz="4" w:space="0"/>
              <w:right w:val="single" w:color="auto" w:sz="4" w:space="0"/>
            </w:tcBorders>
            <w:shd w:val="clear" w:color="auto" w:fill="auto"/>
            <w:vAlign w:val="center"/>
          </w:tcPr>
          <w:p w14:paraId="48B21460">
            <w:pPr>
              <w:pStyle w:val="51"/>
              <w:spacing w:before="0" w:after="0" w:line="360" w:lineRule="auto"/>
              <w:rPr>
                <w:rStyle w:val="52"/>
                <w:rFonts w:ascii="仿宋" w:hAnsi="仿宋" w:eastAsia="仿宋" w:cs="仿宋"/>
                <w:b/>
                <w:bCs w:val="0"/>
                <w:sz w:val="24"/>
                <w:szCs w:val="24"/>
                <w:highlight w:val="none"/>
              </w:rPr>
            </w:pPr>
            <w:r>
              <w:rPr>
                <w:rStyle w:val="52"/>
                <w:rFonts w:hint="eastAsia" w:ascii="仿宋" w:hAnsi="仿宋" w:eastAsia="仿宋" w:cs="仿宋"/>
                <w:b/>
                <w:bCs w:val="0"/>
                <w:sz w:val="24"/>
                <w:szCs w:val="24"/>
                <w:highlight w:val="none"/>
              </w:rPr>
              <w:t>本项目执行促进中小企业发展政策，监狱企业、残疾人福利性单位视同小型、微型企业。</w:t>
            </w:r>
          </w:p>
          <w:p w14:paraId="37E7249A">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（1）中小企业</w:t>
            </w:r>
          </w:p>
          <w:p w14:paraId="2C99DAF9">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16EFF788">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符合中小企业划分标准的个体工商户，在政府采购活动中视同中小企业。</w:t>
            </w:r>
          </w:p>
          <w:p w14:paraId="35F16876">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6E2F1308">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在货物采购项目中，投标人提供的货物既有中小企业制造货物，也有大型企业制造货物的，不享受本办法规定的中小企业扶持政策。</w:t>
            </w:r>
          </w:p>
          <w:p w14:paraId="53E6B429">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以联合体形式参加政府采购活动，联合体各方均为中小企业的，联合体视同中小企业。其中，联合体各方均为小微企业的，联合体视同小微企业。</w:t>
            </w:r>
          </w:p>
          <w:p w14:paraId="69A7C52B">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投标文件中须同时出具《政府采购促进中小企业发展管理办法》【财库（2020）46号】规定的《中小企业声明函》，否则不得享受价格扣除。</w:t>
            </w:r>
          </w:p>
          <w:p w14:paraId="61C5FB66">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（2）残疾人福利性单位</w:t>
            </w:r>
          </w:p>
          <w:p w14:paraId="090265B7">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符合《关于促进残疾人就业政府采购政策的通知》（财库〔2017〕141号）规定的条件并提供提供《残疾人福利性单位声明函》的残疾人福利性单位视同小型、微型企业；</w:t>
            </w:r>
          </w:p>
          <w:p w14:paraId="1709B01C">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（3）监狱企业</w:t>
            </w:r>
          </w:p>
          <w:p w14:paraId="68310F30">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根据《关于政府采购支持监狱企业发展有关问题的通知》（财库[2014]68号）的规定，投标人提供由省级以上监狱管理局、戒毒管理局（含新疆生产建设兵团）出具的属于监狱企业证明文件的，视同为小型和微型企业。</w:t>
            </w:r>
          </w:p>
          <w:p w14:paraId="7917FE45">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上述（1），（2），（3）政策不重复计算。</w:t>
            </w:r>
          </w:p>
          <w:p w14:paraId="7B927402">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2.价格扣除：</w:t>
            </w:r>
          </w:p>
          <w:p w14:paraId="42FEB4EF">
            <w:pPr>
              <w:pStyle w:val="51"/>
              <w:spacing w:before="0" w:after="0" w:line="360" w:lineRule="auto"/>
              <w:ind w:firstLine="520" w:firstLineChars="200"/>
              <w:rPr>
                <w:rFonts w:ascii="仿宋" w:hAnsi="仿宋" w:eastAsia="仿宋" w:cs="仿宋"/>
                <w:szCs w:val="24"/>
                <w:highlight w:val="none"/>
              </w:rPr>
            </w:pPr>
            <w:r>
              <w:rPr>
                <w:rFonts w:hint="eastAsia" w:ascii="仿宋" w:hAnsi="仿宋" w:eastAsia="仿宋" w:cs="仿宋"/>
                <w:szCs w:val="24"/>
                <w:highlight w:val="none"/>
              </w:rPr>
              <w:t>对于未预留份额专门面向中小企业的政府采购货物或服务项目，以及预留份额政府采购货物或服务项目中的非预留部分标项，对小型和微型企业的投标报价给予</w:t>
            </w:r>
            <w:r>
              <w:rPr>
                <w:rFonts w:hint="eastAsia" w:ascii="仿宋" w:hAnsi="仿宋" w:eastAsia="仿宋" w:cs="仿宋"/>
                <w:szCs w:val="24"/>
                <w:highlight w:val="none"/>
                <w:u w:val="single"/>
              </w:rPr>
              <w:t>10%</w:t>
            </w:r>
            <w:r>
              <w:rPr>
                <w:rFonts w:hint="eastAsia" w:ascii="仿宋" w:hAnsi="仿宋" w:eastAsia="仿宋" w:cs="仿宋"/>
                <w:szCs w:val="24"/>
                <w:highlight w:val="none"/>
              </w:rPr>
              <w:t>的扣除，用扣除后的价格参与评审。</w:t>
            </w:r>
          </w:p>
          <w:p w14:paraId="256B2E9C">
            <w:pPr>
              <w:pStyle w:val="51"/>
              <w:spacing w:before="0" w:after="0" w:line="360" w:lineRule="auto"/>
              <w:rPr>
                <w:rFonts w:ascii="仿宋" w:hAnsi="仿宋" w:eastAsia="仿宋" w:cs="仿宋"/>
                <w:szCs w:val="24"/>
                <w:highlight w:val="none"/>
              </w:rPr>
            </w:pPr>
            <w:r>
              <w:rPr>
                <w:rFonts w:hint="eastAsia" w:ascii="仿宋" w:hAnsi="仿宋" w:eastAsia="仿宋" w:cs="仿宋"/>
                <w:szCs w:val="24"/>
                <w:highlight w:val="none"/>
              </w:rPr>
              <w:t>3.依据2011年300号中小企业划分标准，行业属性为</w:t>
            </w:r>
            <w:r>
              <w:rPr>
                <w:rFonts w:hint="eastAsia" w:ascii="仿宋" w:hAnsi="仿宋" w:eastAsia="仿宋" w:cs="仿宋"/>
                <w:b/>
                <w:spacing w:val="6"/>
                <w:szCs w:val="24"/>
                <w:highlight w:val="none"/>
                <w:u w:val="single"/>
              </w:rPr>
              <w:t>其他未列明行业</w:t>
            </w:r>
            <w:r>
              <w:rPr>
                <w:rFonts w:hint="eastAsia" w:ascii="仿宋" w:hAnsi="仿宋" w:eastAsia="仿宋" w:cs="仿宋"/>
                <w:szCs w:val="24"/>
                <w:highlight w:val="none"/>
              </w:rPr>
              <w:t>的企业，在本项目中可享受符合政策的价格扣除。</w:t>
            </w:r>
          </w:p>
          <w:p w14:paraId="29D1B4D0">
            <w:pPr>
              <w:pStyle w:val="45"/>
              <w:widowControl w:val="0"/>
              <w:adjustRightInd w:val="0"/>
              <w:snapToGrid w:val="0"/>
              <w:spacing w:line="360" w:lineRule="auto"/>
              <w:jc w:val="both"/>
              <w:rPr>
                <w:rFonts w:hint="default" w:ascii="仿宋" w:hAnsi="仿宋" w:eastAsia="仿宋" w:cs="仿宋"/>
                <w:color w:val="000000" w:themeColor="text1"/>
                <w:spacing w:val="6"/>
                <w:sz w:val="24"/>
                <w:szCs w:val="24"/>
                <w:highlight w:val="none"/>
                <w14:textFill>
                  <w14:solidFill>
                    <w14:schemeClr w14:val="tx1"/>
                  </w14:solidFill>
                </w14:textFill>
              </w:rPr>
            </w:pPr>
            <w:r>
              <w:rPr>
                <w:rFonts w:ascii="仿宋" w:hAnsi="仿宋" w:eastAsia="仿宋" w:cs="仿宋"/>
                <w:spacing w:val="6"/>
                <w:sz w:val="24"/>
                <w:szCs w:val="24"/>
                <w:highlight w:val="none"/>
              </w:rPr>
              <w:t>（二）</w:t>
            </w:r>
            <w:r>
              <w:rPr>
                <w:rFonts w:ascii="仿宋" w:hAnsi="仿宋" w:eastAsia="仿宋" w:cs="仿宋"/>
                <w:b/>
                <w:bCs/>
                <w:spacing w:val="6"/>
                <w:sz w:val="24"/>
                <w:szCs w:val="24"/>
                <w:highlight w:val="none"/>
              </w:rPr>
              <w:t>其他未列明行业</w:t>
            </w:r>
            <w:r>
              <w:rPr>
                <w:rFonts w:ascii="仿宋" w:hAnsi="仿宋" w:eastAsia="仿宋" w:cs="仿宋"/>
                <w:spacing w:val="6"/>
                <w:sz w:val="24"/>
                <w:szCs w:val="24"/>
                <w:highlight w:val="none"/>
              </w:rPr>
              <w:t>。从业人员300人以下的为中小微型企业。其中，从业人员100人及以上的为中型企业；从业人员10人及以上的为小型企业；从业人员10人以下的为微型企业。</w:t>
            </w:r>
          </w:p>
          <w:p w14:paraId="4B36A75D">
            <w:pPr>
              <w:pStyle w:val="51"/>
              <w:spacing w:before="0" w:after="0" w:line="360" w:lineRule="auto"/>
              <w:rPr>
                <w:rStyle w:val="52"/>
                <w:rFonts w:ascii="仿宋" w:hAnsi="仿宋" w:eastAsia="仿宋" w:cs="仿宋"/>
                <w:b/>
                <w:bCs w:val="0"/>
                <w:sz w:val="24"/>
                <w:szCs w:val="24"/>
                <w:highlight w:val="none"/>
              </w:rPr>
            </w:pPr>
            <w:r>
              <w:rPr>
                <w:rStyle w:val="52"/>
                <w:rFonts w:hint="eastAsia" w:ascii="仿宋" w:hAnsi="仿宋" w:eastAsia="仿宋" w:cs="仿宋"/>
                <w:b/>
                <w:bCs w:val="0"/>
                <w:sz w:val="24"/>
                <w:szCs w:val="24"/>
                <w:highlight w:val="none"/>
              </w:rPr>
              <w:t>(注：未提供证明材料的，均不给予认可）。</w:t>
            </w:r>
          </w:p>
          <w:p w14:paraId="5DAEEA3D">
            <w:pPr>
              <w:pStyle w:val="51"/>
              <w:spacing w:before="0" w:after="0" w:line="360" w:lineRule="auto"/>
              <w:rPr>
                <w:rStyle w:val="52"/>
                <w:rFonts w:ascii="仿宋" w:hAnsi="仿宋" w:eastAsia="仿宋" w:cs="仿宋"/>
                <w:b/>
                <w:bCs w:val="0"/>
                <w:sz w:val="24"/>
                <w:szCs w:val="24"/>
                <w:highlight w:val="none"/>
              </w:rPr>
            </w:pPr>
            <w:r>
              <w:rPr>
                <w:rStyle w:val="52"/>
                <w:rFonts w:hint="eastAsia" w:ascii="仿宋" w:hAnsi="仿宋" w:eastAsia="仿宋" w:cs="仿宋"/>
                <w:b/>
                <w:bCs w:val="0"/>
                <w:sz w:val="24"/>
                <w:szCs w:val="24"/>
                <w:highlight w:val="none"/>
              </w:rPr>
              <w:t>专门面向中小企业采购的项目或者采购包，不再执行价格评审优惠扶持政策。</w:t>
            </w:r>
          </w:p>
        </w:tc>
      </w:tr>
      <w:tr w14:paraId="644D4860">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63390844">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27</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1FB8C58D">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分包</w:t>
            </w:r>
          </w:p>
        </w:tc>
        <w:tc>
          <w:tcPr>
            <w:tcW w:w="7307" w:type="dxa"/>
            <w:tcBorders>
              <w:top w:val="single" w:color="auto" w:sz="4" w:space="0"/>
              <w:left w:val="nil"/>
              <w:bottom w:val="single" w:color="auto" w:sz="4" w:space="0"/>
              <w:right w:val="single" w:color="auto" w:sz="4" w:space="0"/>
            </w:tcBorders>
            <w:shd w:val="clear" w:color="auto" w:fill="auto"/>
            <w:vAlign w:val="center"/>
          </w:tcPr>
          <w:p w14:paraId="6B51BCAC">
            <w:pPr>
              <w:pStyle w:val="51"/>
              <w:spacing w:before="0" w:after="0" w:line="360" w:lineRule="auto"/>
              <w:rPr>
                <w:rFonts w:ascii="仿宋" w:hAnsi="仿宋" w:eastAsia="仿宋" w:cs="仿宋"/>
                <w:szCs w:val="24"/>
                <w:highlight w:val="none"/>
                <w:lang w:bidi="ar"/>
              </w:rPr>
            </w:pPr>
            <w:r>
              <w:rPr>
                <w:rFonts w:hint="eastAsia" w:ascii="仿宋" w:hAnsi="仿宋" w:eastAsia="仿宋" w:cs="仿宋"/>
                <w:szCs w:val="24"/>
                <w:highlight w:val="none"/>
                <w:lang w:bidi="ar"/>
              </w:rPr>
              <w:t>☑不允许分包</w:t>
            </w:r>
          </w:p>
          <w:p w14:paraId="612A2670">
            <w:pPr>
              <w:pStyle w:val="51"/>
              <w:spacing w:before="0" w:after="0" w:line="360" w:lineRule="auto"/>
              <w:rPr>
                <w:rFonts w:ascii="仿宋" w:hAnsi="仿宋" w:eastAsia="仿宋" w:cs="仿宋"/>
                <w:szCs w:val="24"/>
                <w:highlight w:val="none"/>
                <w:lang w:bidi="ar"/>
              </w:rPr>
            </w:pPr>
            <w:r>
              <w:rPr>
                <w:rFonts w:hint="eastAsia" w:ascii="仿宋" w:hAnsi="仿宋" w:eastAsia="仿宋" w:cs="仿宋"/>
                <w:szCs w:val="24"/>
                <w:highlight w:val="none"/>
                <w:lang w:bidi="ar"/>
              </w:rPr>
              <w:t>□允许分包，分包内容要求：/</w:t>
            </w:r>
          </w:p>
          <w:p w14:paraId="7574EA53">
            <w:pPr>
              <w:pStyle w:val="51"/>
              <w:spacing w:before="0" w:after="0" w:line="360" w:lineRule="auto"/>
              <w:rPr>
                <w:rFonts w:ascii="仿宋" w:hAnsi="仿宋" w:eastAsia="仿宋" w:cs="仿宋"/>
                <w:szCs w:val="24"/>
                <w:highlight w:val="none"/>
                <w:lang w:bidi="ar"/>
              </w:rPr>
            </w:pPr>
            <w:r>
              <w:rPr>
                <w:rFonts w:hint="eastAsia" w:ascii="仿宋" w:hAnsi="仿宋" w:eastAsia="仿宋" w:cs="仿宋"/>
                <w:szCs w:val="24"/>
                <w:highlight w:val="none"/>
                <w:lang w:bidi="ar"/>
              </w:rPr>
              <w:t xml:space="preserve">分包金额要求：  /                      </w:t>
            </w:r>
          </w:p>
          <w:p w14:paraId="5623FBFF">
            <w:pPr>
              <w:pStyle w:val="51"/>
              <w:spacing w:before="0" w:after="0" w:line="360" w:lineRule="auto"/>
              <w:rPr>
                <w:rFonts w:ascii="仿宋" w:hAnsi="仿宋" w:eastAsia="仿宋" w:cs="仿宋"/>
                <w:szCs w:val="24"/>
                <w:highlight w:val="none"/>
                <w:lang w:bidi="ar"/>
              </w:rPr>
            </w:pPr>
            <w:r>
              <w:rPr>
                <w:rFonts w:hint="eastAsia" w:ascii="仿宋" w:hAnsi="仿宋" w:eastAsia="仿宋" w:cs="仿宋"/>
                <w:szCs w:val="24"/>
                <w:highlight w:val="none"/>
                <w:lang w:bidi="ar"/>
              </w:rPr>
              <w:t xml:space="preserve">接受分包的第三人资质要求： /      </w:t>
            </w:r>
          </w:p>
        </w:tc>
      </w:tr>
      <w:tr w14:paraId="1308239B">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7B5C5B34">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28</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2FACE714">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质疑</w:t>
            </w:r>
          </w:p>
        </w:tc>
        <w:tc>
          <w:tcPr>
            <w:tcW w:w="7307" w:type="dxa"/>
            <w:tcBorders>
              <w:top w:val="single" w:color="auto" w:sz="4" w:space="0"/>
              <w:left w:val="nil"/>
              <w:bottom w:val="single" w:color="auto" w:sz="4" w:space="0"/>
              <w:right w:val="single" w:color="auto" w:sz="4" w:space="0"/>
            </w:tcBorders>
            <w:shd w:val="clear" w:color="auto" w:fill="auto"/>
            <w:vAlign w:val="center"/>
          </w:tcPr>
          <w:p w14:paraId="708CBD49">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根据《中华人民共和国政府采购法》第五十二条的规定，投标人认为采购文件、采购过程和中标、成交结果使自己的权益受到损害的，可以在知道或者应知其权益受到损害之日起七个工作日内，以书面形式向采购人、采购代理机构提出质疑。</w:t>
            </w:r>
          </w:p>
          <w:p w14:paraId="461EC3A8">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政府采购法第五十二条规定的投标人应知其权益受到损害之日，是指：</w:t>
            </w:r>
          </w:p>
          <w:p w14:paraId="0362A2E1">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（一）对可以质疑的采购文件提出质疑的，为收到采购文件之日或者采购文件公告期限届满之日；</w:t>
            </w:r>
          </w:p>
          <w:p w14:paraId="7C358D92">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（二）对采购过程提出质疑的，为各采购程序环节结束之日；</w:t>
            </w:r>
          </w:p>
          <w:p w14:paraId="5F6B0670">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（三）对中标或者成交结果提出质疑的，为中标或者成交结果公告期限届满之日。</w:t>
            </w:r>
          </w:p>
          <w:p w14:paraId="723A3E28">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根据《政府采购质疑和投诉办法》第十三条，采购人、采购代理机构不得拒收质疑投标人在法定质疑期内发出的质疑函，应当在收到质疑函后7个工作日内作出答复，并以书面形式通知质疑投标人和其他有关投标人。</w:t>
            </w:r>
          </w:p>
          <w:p w14:paraId="4619AF7E">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质疑格式：（</w:t>
            </w:r>
            <w:r>
              <w:rPr>
                <w:highlight w:val="none"/>
              </w:rPr>
              <w:fldChar w:fldCharType="begin"/>
            </w:r>
            <w:r>
              <w:rPr>
                <w:highlight w:val="none"/>
              </w:rPr>
              <w:instrText xml:space="preserve"> HYPERLINK "http://www.ccgp.gov.cn/" </w:instrText>
            </w:r>
            <w:r>
              <w:rPr>
                <w:highlight w:val="none"/>
              </w:rPr>
              <w:fldChar w:fldCharType="separate"/>
            </w:r>
            <w:r>
              <w:rPr>
                <w:rStyle w:val="52"/>
                <w:rFonts w:hint="eastAsia" w:ascii="仿宋" w:hAnsi="仿宋" w:eastAsia="仿宋" w:cs="仿宋"/>
                <w:sz w:val="24"/>
                <w:szCs w:val="24"/>
                <w:highlight w:val="none"/>
              </w:rPr>
              <w:t>中国政府采购网 (ccgp.gov.cn)</w:t>
            </w:r>
            <w:r>
              <w:rPr>
                <w:rStyle w:val="52"/>
                <w:rFonts w:hint="eastAsia" w:ascii="仿宋" w:hAnsi="仿宋" w:eastAsia="仿宋" w:cs="仿宋"/>
                <w:sz w:val="24"/>
                <w:szCs w:val="24"/>
                <w:highlight w:val="none"/>
              </w:rPr>
              <w:fldChar w:fldCharType="end"/>
            </w:r>
            <w:r>
              <w:rPr>
                <w:rStyle w:val="52"/>
                <w:rFonts w:hint="eastAsia" w:ascii="仿宋" w:hAnsi="仿宋" w:eastAsia="仿宋" w:cs="仿宋"/>
                <w:sz w:val="24"/>
                <w:szCs w:val="24"/>
                <w:highlight w:val="none"/>
              </w:rPr>
              <w:t>）下载专区下载</w:t>
            </w:r>
          </w:p>
          <w:p w14:paraId="57A37773">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联系人：冯瑞</w:t>
            </w:r>
          </w:p>
          <w:p w14:paraId="0D592119">
            <w:pPr>
              <w:pStyle w:val="51"/>
              <w:spacing w:before="0" w:after="0" w:line="360" w:lineRule="auto"/>
              <w:rPr>
                <w:rStyle w:val="52"/>
                <w:rFonts w:hint="default" w:ascii="仿宋" w:hAnsi="仿宋" w:eastAsia="仿宋" w:cs="仿宋"/>
                <w:sz w:val="24"/>
                <w:szCs w:val="24"/>
                <w:highlight w:val="none"/>
                <w:lang w:val="en-US"/>
              </w:rPr>
            </w:pPr>
            <w:r>
              <w:rPr>
                <w:rStyle w:val="52"/>
                <w:rFonts w:hint="eastAsia" w:ascii="仿宋" w:hAnsi="仿宋" w:eastAsia="仿宋" w:cs="仿宋"/>
                <w:sz w:val="24"/>
                <w:szCs w:val="24"/>
                <w:highlight w:val="none"/>
              </w:rPr>
              <w:t>联系电话：</w:t>
            </w:r>
            <w:r>
              <w:rPr>
                <w:rStyle w:val="52"/>
                <w:rFonts w:hint="eastAsia" w:ascii="仿宋" w:hAnsi="仿宋" w:eastAsia="仿宋" w:cs="仿宋"/>
                <w:sz w:val="24"/>
                <w:szCs w:val="24"/>
                <w:highlight w:val="none"/>
                <w:lang w:val="en-US"/>
              </w:rPr>
              <w:t>15022811141</w:t>
            </w:r>
          </w:p>
          <w:p w14:paraId="4FEB0D27">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联系地址：新疆哈密市伊州区阿牙南路39号方盛翰林小区20栋底商2层201号商铺 211室</w:t>
            </w:r>
          </w:p>
          <w:p w14:paraId="03DB5294">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质疑提交方式：纸质版加盖企业鲜章，一式两份；</w:t>
            </w:r>
          </w:p>
        </w:tc>
      </w:tr>
      <w:tr w14:paraId="58A3971C">
        <w:tblPrEx>
          <w:tblCellMar>
            <w:top w:w="0" w:type="dxa"/>
            <w:left w:w="0" w:type="dxa"/>
            <w:bottom w:w="0" w:type="dxa"/>
            <w:right w:w="0" w:type="dxa"/>
          </w:tblCellMar>
        </w:tblPrEx>
        <w:trPr>
          <w:trHeight w:val="328"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288DEB19">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29</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37083473">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公告发布媒介</w:t>
            </w:r>
          </w:p>
        </w:tc>
        <w:tc>
          <w:tcPr>
            <w:tcW w:w="7307" w:type="dxa"/>
            <w:tcBorders>
              <w:top w:val="single" w:color="auto" w:sz="4" w:space="0"/>
              <w:left w:val="nil"/>
              <w:bottom w:val="single" w:color="auto" w:sz="4" w:space="0"/>
              <w:right w:val="single" w:color="auto" w:sz="4" w:space="0"/>
            </w:tcBorders>
            <w:shd w:val="clear" w:color="auto" w:fill="auto"/>
            <w:vAlign w:val="center"/>
          </w:tcPr>
          <w:p w14:paraId="20293C20">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发布媒介：</w:t>
            </w:r>
            <w:r>
              <w:rPr>
                <w:rStyle w:val="52"/>
                <w:rFonts w:hint="eastAsia" w:ascii="仿宋" w:hAnsi="仿宋" w:eastAsia="仿宋" w:cs="仿宋"/>
                <w:color w:val="000000" w:themeColor="text1"/>
                <w:sz w:val="24"/>
                <w:szCs w:val="24"/>
                <w:highlight w:val="none"/>
                <w14:textFill>
                  <w14:solidFill>
                    <w14:schemeClr w14:val="tx1"/>
                  </w14:solidFill>
                </w14:textFill>
              </w:rPr>
              <w:t>新疆政府采购网</w:t>
            </w:r>
          </w:p>
          <w:p w14:paraId="00D20239">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注：投标人一旦依法被确认为中标人，其投标文件中的相关内容（主要中标标的的名称、单价、服务要求、小微企业等），将会随中标结果公告一并发布在采购信息发布网上，接受社会监督。</w:t>
            </w:r>
          </w:p>
        </w:tc>
      </w:tr>
      <w:tr w14:paraId="62A63078">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3D5A2EEB">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30</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725CFA26">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投标文件解密时长▲</w:t>
            </w:r>
          </w:p>
        </w:tc>
        <w:tc>
          <w:tcPr>
            <w:tcW w:w="7307" w:type="dxa"/>
            <w:tcBorders>
              <w:top w:val="single" w:color="auto" w:sz="4" w:space="0"/>
              <w:left w:val="nil"/>
              <w:bottom w:val="single" w:color="auto" w:sz="4" w:space="0"/>
              <w:right w:val="single" w:color="auto" w:sz="4" w:space="0"/>
            </w:tcBorders>
            <w:shd w:val="clear" w:color="auto" w:fill="auto"/>
            <w:vAlign w:val="center"/>
          </w:tcPr>
          <w:p w14:paraId="3F87EBA5">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b/>
                <w:bCs w:val="0"/>
                <w:sz w:val="24"/>
                <w:szCs w:val="24"/>
                <w:highlight w:val="none"/>
              </w:rPr>
              <w:t>30分钟</w:t>
            </w:r>
            <w:r>
              <w:rPr>
                <w:rStyle w:val="52"/>
                <w:rFonts w:hint="eastAsia" w:ascii="仿宋" w:hAnsi="仿宋" w:eastAsia="仿宋" w:cs="仿宋"/>
                <w:sz w:val="24"/>
                <w:szCs w:val="24"/>
                <w:highlight w:val="none"/>
              </w:rPr>
              <w:t>。</w:t>
            </w:r>
          </w:p>
          <w:p w14:paraId="2CC9C99F">
            <w:pPr>
              <w:pStyle w:val="51"/>
              <w:spacing w:before="0" w:after="0" w:line="360" w:lineRule="auto"/>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若未在开标时间后30分钟内解密的，视为撤销其投标文件。</w:t>
            </w:r>
          </w:p>
        </w:tc>
      </w:tr>
      <w:tr w14:paraId="0F60D741">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0D5474D5">
            <w:pPr>
              <w:pStyle w:val="51"/>
              <w:spacing w:before="0" w:after="0" w:line="360" w:lineRule="auto"/>
              <w:jc w:val="center"/>
              <w:rPr>
                <w:rStyle w:val="52"/>
                <w:rFonts w:ascii="仿宋" w:hAnsi="仿宋" w:eastAsia="仿宋" w:cs="仿宋"/>
                <w:sz w:val="24"/>
                <w:szCs w:val="24"/>
                <w:highlight w:val="none"/>
              </w:rPr>
            </w:pPr>
            <w:r>
              <w:rPr>
                <w:rStyle w:val="52"/>
                <w:rFonts w:hint="eastAsia" w:ascii="仿宋" w:hAnsi="仿宋" w:eastAsia="仿宋" w:cs="仿宋"/>
                <w:sz w:val="24"/>
                <w:szCs w:val="24"/>
                <w:highlight w:val="none"/>
              </w:rPr>
              <w:t>31</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0B2BF574">
            <w:pPr>
              <w:adjustRightInd w:val="0"/>
              <w:snapToGrid w:val="0"/>
              <w:spacing w:line="400" w:lineRule="exact"/>
              <w:jc w:val="center"/>
              <w:rPr>
                <w:rStyle w:val="52"/>
                <w:rFonts w:ascii="仿宋" w:hAnsi="仿宋" w:eastAsia="仿宋" w:cs="仿宋"/>
                <w:sz w:val="24"/>
                <w:highlight w:val="none"/>
              </w:rPr>
            </w:pPr>
            <w:r>
              <w:rPr>
                <w:rFonts w:hint="eastAsia" w:ascii="仿宋_GB2312" w:hAnsi="仿宋" w:eastAsia="仿宋_GB2312" w:cs="仿宋_GB2312"/>
                <w:b/>
                <w:sz w:val="24"/>
                <w:highlight w:val="none"/>
              </w:rPr>
              <w:t>报价要求</w:t>
            </w:r>
            <w:r>
              <w:rPr>
                <w:rStyle w:val="52"/>
                <w:rFonts w:hint="eastAsia" w:ascii="仿宋" w:hAnsi="仿宋" w:eastAsia="仿宋" w:cs="仿宋"/>
                <w:sz w:val="24"/>
                <w:highlight w:val="none"/>
              </w:rPr>
              <w:t>▲</w:t>
            </w:r>
          </w:p>
        </w:tc>
        <w:tc>
          <w:tcPr>
            <w:tcW w:w="7307" w:type="dxa"/>
            <w:tcBorders>
              <w:top w:val="single" w:color="auto" w:sz="4" w:space="0"/>
              <w:left w:val="nil"/>
              <w:bottom w:val="single" w:color="auto" w:sz="4" w:space="0"/>
              <w:right w:val="single" w:color="auto" w:sz="4" w:space="0"/>
            </w:tcBorders>
            <w:shd w:val="clear" w:color="auto" w:fill="auto"/>
            <w:vAlign w:val="center"/>
          </w:tcPr>
          <w:p w14:paraId="3D96865A">
            <w:pPr>
              <w:adjustRightInd w:val="0"/>
              <w:snapToGrid w:val="0"/>
              <w:spacing w:line="400" w:lineRule="exact"/>
              <w:jc w:val="left"/>
              <w:rPr>
                <w:rFonts w:ascii="仿宋" w:hAnsi="仿宋" w:eastAsia="仿宋" w:cs="仿宋"/>
                <w:sz w:val="24"/>
                <w:highlight w:val="none"/>
                <w:lang w:val="zh-CN"/>
              </w:rPr>
            </w:pPr>
            <w:r>
              <w:rPr>
                <w:rFonts w:hint="eastAsia" w:ascii="仿宋" w:hAnsi="仿宋" w:eastAsia="仿宋" w:cs="仿宋"/>
                <w:kern w:val="0"/>
                <w:sz w:val="24"/>
                <w:highlight w:val="none"/>
              </w:rPr>
              <w:t>1</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lang w:val="zh-CN"/>
              </w:rPr>
              <w:t>有关本项目实施所需的所有费用（含税费）均计入报价。</w:t>
            </w:r>
            <w:r>
              <w:rPr>
                <w:rFonts w:hint="eastAsia" w:ascii="仿宋" w:hAnsi="仿宋" w:eastAsia="仿宋" w:cs="仿宋"/>
                <w:sz w:val="24"/>
                <w:highlight w:val="none"/>
              </w:rPr>
              <w:t>开标一览表（报价表）是报价的唯一载体</w:t>
            </w:r>
            <w:r>
              <w:rPr>
                <w:rFonts w:hint="eastAsia" w:ascii="仿宋" w:hAnsi="仿宋" w:eastAsia="仿宋" w:cs="仿宋"/>
                <w:kern w:val="0"/>
                <w:sz w:val="24"/>
                <w:highlight w:val="none"/>
                <w:lang w:val="zh-CN"/>
              </w:rPr>
              <w:t>。投标文件中价格全部采用人民币报价。招标文件未列明，而投标人认为必需的费用也需列入报价。</w:t>
            </w:r>
          </w:p>
          <w:p w14:paraId="5729FA9D">
            <w:pPr>
              <w:adjustRightInd w:val="0"/>
              <w:snapToGrid w:val="0"/>
              <w:spacing w:line="400" w:lineRule="exact"/>
              <w:jc w:val="left"/>
              <w:rPr>
                <w:rFonts w:ascii="仿宋" w:hAnsi="仿宋" w:eastAsia="仿宋" w:cs="仿宋"/>
                <w:b/>
                <w:bCs/>
                <w:sz w:val="24"/>
                <w:highlight w:val="none"/>
                <w:lang w:val="zh-CN"/>
              </w:rPr>
            </w:pP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lang w:val="zh-CN"/>
              </w:rPr>
              <w:t>投标报价出现下列情形的，投标无效：</w:t>
            </w:r>
          </w:p>
          <w:p w14:paraId="0EE36F15">
            <w:pPr>
              <w:adjustRightInd w:val="0"/>
              <w:snapToGrid w:val="0"/>
              <w:spacing w:line="400" w:lineRule="exact"/>
              <w:jc w:val="left"/>
              <w:rPr>
                <w:rFonts w:ascii="仿宋" w:hAnsi="仿宋" w:eastAsia="仿宋" w:cs="仿宋"/>
                <w:b/>
                <w:bCs/>
                <w:sz w:val="24"/>
                <w:highlight w:val="none"/>
                <w:lang w:val="zh-CN"/>
              </w:rPr>
            </w:pPr>
            <w:r>
              <w:rPr>
                <w:rFonts w:hint="eastAsia" w:ascii="仿宋" w:hAnsi="仿宋" w:eastAsia="仿宋" w:cs="仿宋"/>
                <w:b/>
                <w:bCs/>
                <w:sz w:val="24"/>
                <w:highlight w:val="none"/>
                <w:lang w:val="zh-CN"/>
              </w:rPr>
              <w:t>（</w:t>
            </w:r>
            <w:r>
              <w:rPr>
                <w:rFonts w:hint="eastAsia" w:ascii="仿宋" w:hAnsi="仿宋" w:eastAsia="仿宋" w:cs="仿宋"/>
                <w:b/>
                <w:bCs/>
                <w:sz w:val="24"/>
                <w:highlight w:val="none"/>
              </w:rPr>
              <w:t>1</w:t>
            </w:r>
            <w:r>
              <w:rPr>
                <w:rFonts w:hint="eastAsia" w:ascii="仿宋" w:hAnsi="仿宋" w:eastAsia="仿宋" w:cs="仿宋"/>
                <w:b/>
                <w:bCs/>
                <w:sz w:val="24"/>
                <w:highlight w:val="none"/>
                <w:lang w:val="zh-CN"/>
              </w:rPr>
              <w:t>）投标文件出现不是唯一的、有选择性投标报价的；</w:t>
            </w:r>
          </w:p>
          <w:p w14:paraId="0D6BA6A7">
            <w:pPr>
              <w:adjustRightInd w:val="0"/>
              <w:snapToGrid w:val="0"/>
              <w:spacing w:line="400" w:lineRule="exact"/>
              <w:jc w:val="left"/>
              <w:rPr>
                <w:rFonts w:ascii="仿宋" w:hAnsi="仿宋" w:eastAsia="仿宋" w:cs="仿宋"/>
                <w:b/>
                <w:bCs/>
                <w:sz w:val="24"/>
                <w:highlight w:val="none"/>
                <w:lang w:val="zh-CN"/>
              </w:rPr>
            </w:pPr>
            <w:r>
              <w:rPr>
                <w:rFonts w:hint="eastAsia" w:ascii="仿宋" w:hAnsi="仿宋" w:eastAsia="仿宋" w:cs="仿宋"/>
                <w:b/>
                <w:bCs/>
                <w:sz w:val="24"/>
                <w:highlight w:val="none"/>
                <w:lang w:val="zh-CN"/>
              </w:rPr>
              <w:t>（</w:t>
            </w:r>
            <w:r>
              <w:rPr>
                <w:rFonts w:hint="eastAsia" w:ascii="仿宋" w:hAnsi="仿宋" w:eastAsia="仿宋" w:cs="仿宋"/>
                <w:b/>
                <w:bCs/>
                <w:sz w:val="24"/>
                <w:highlight w:val="none"/>
              </w:rPr>
              <w:t>2</w:t>
            </w:r>
            <w:r>
              <w:rPr>
                <w:rFonts w:hint="eastAsia" w:ascii="仿宋" w:hAnsi="仿宋" w:eastAsia="仿宋" w:cs="仿宋"/>
                <w:b/>
                <w:bCs/>
                <w:sz w:val="24"/>
                <w:highlight w:val="none"/>
                <w:lang w:val="zh-CN"/>
              </w:rPr>
              <w:t>）投标报价超过招标文件中规定的预算金额或者最高限价的;</w:t>
            </w:r>
          </w:p>
          <w:p w14:paraId="1D37EB0B">
            <w:pPr>
              <w:adjustRightInd w:val="0"/>
              <w:snapToGrid w:val="0"/>
              <w:spacing w:line="400" w:lineRule="exact"/>
              <w:rPr>
                <w:rFonts w:ascii="仿宋" w:hAnsi="仿宋" w:eastAsia="仿宋" w:cs="仿宋"/>
                <w:b/>
                <w:bCs/>
                <w:sz w:val="24"/>
                <w:highlight w:val="none"/>
              </w:rPr>
            </w:pPr>
            <w:r>
              <w:rPr>
                <w:rFonts w:hint="eastAsia" w:ascii="仿宋" w:hAnsi="仿宋" w:eastAsia="仿宋" w:cs="仿宋"/>
                <w:b/>
                <w:bCs/>
                <w:sz w:val="24"/>
                <w:highlight w:val="none"/>
              </w:rPr>
              <w:t>（3）投标人对根据修正原则修正后的报价不确认的。</w:t>
            </w:r>
          </w:p>
          <w:p w14:paraId="4BC718CA">
            <w:pPr>
              <w:adjustRightInd w:val="0"/>
              <w:snapToGrid w:val="0"/>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rPr>
              <w:t>（4）投标报价明细中出现的“赠品”、“回扣”、“0元”、“免费赠送”或者与采购无关的其他商品、服务。</w:t>
            </w:r>
          </w:p>
          <w:p w14:paraId="20873B9C">
            <w:pPr>
              <w:pStyle w:val="74"/>
              <w:numPr>
                <w:ilvl w:val="0"/>
                <w:numId w:val="0"/>
              </w:numPr>
              <w:ind w:leftChars="0"/>
              <w:rPr>
                <w:rFonts w:hint="eastAsia" w:ascii="Times New Roman" w:hAnsi="Times New Roman" w:eastAsia="宋体" w:cs="Times New Roman"/>
                <w:b/>
                <w:bCs/>
                <w:kern w:val="2"/>
                <w:sz w:val="21"/>
                <w:szCs w:val="24"/>
                <w:lang w:val="en-US" w:eastAsia="zh-CN" w:bidi="ar-SA"/>
              </w:rPr>
            </w:pPr>
            <w:r>
              <w:rPr>
                <w:rFonts w:hint="eastAsia" w:ascii="仿宋" w:hAnsi="仿宋" w:eastAsia="仿宋" w:cs="仿宋"/>
                <w:b/>
                <w:bCs/>
                <w:sz w:val="24"/>
                <w:highlight w:val="none"/>
                <w:lang w:val="en-US" w:eastAsia="zh-CN"/>
              </w:rPr>
              <w:t>3.</w:t>
            </w:r>
            <w:r>
              <w:rPr>
                <w:rFonts w:hint="eastAsia" w:ascii="Times New Roman" w:hAnsi="Times New Roman" w:eastAsia="宋体" w:cs="Times New Roman"/>
                <w:b/>
                <w:bCs/>
                <w:kern w:val="2"/>
                <w:sz w:val="21"/>
                <w:szCs w:val="24"/>
                <w:lang w:val="en-US" w:eastAsia="zh-CN" w:bidi="ar-SA"/>
              </w:rPr>
              <w:t>★低于成本价的处理：</w:t>
            </w:r>
          </w:p>
          <w:p w14:paraId="20AA9BD4">
            <w:pPr>
              <w:pStyle w:val="74"/>
              <w:numPr>
                <w:ilvl w:val="0"/>
                <w:numId w:val="0"/>
              </w:numPr>
              <w:ind w:leftChars="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1.最低报价不作为中标的唯一依据。</w:t>
            </w:r>
          </w:p>
          <w:p w14:paraId="2F609F34">
            <w:pPr>
              <w:pStyle w:val="74"/>
              <w:numPr>
                <w:ilvl w:val="0"/>
                <w:numId w:val="0"/>
              </w:numPr>
              <w:ind w:leftChars="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2.低于成本价不正当竞争预防措施</w:t>
            </w:r>
          </w:p>
          <w:p w14:paraId="630D151D">
            <w:pPr>
              <w:pStyle w:val="74"/>
              <w:numPr>
                <w:ilvl w:val="0"/>
                <w:numId w:val="0"/>
              </w:numPr>
              <w:ind w:leftChars="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 xml:space="preserve">2.1政府采购评审中出现下列情形之一的，评审委员会应当启动异常低价投标（响应）审查程序： </w:t>
            </w:r>
          </w:p>
          <w:p w14:paraId="4B97E3C7">
            <w:pPr>
              <w:pStyle w:val="74"/>
              <w:numPr>
                <w:ilvl w:val="0"/>
                <w:numId w:val="0"/>
              </w:numPr>
              <w:ind w:leftChars="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（1）.投标（响应）报价下浮率低于全部通过符合性审查供应商投标（响应）报价下浮率平均值50%的，即投标（响应）报价下浮率&lt;全部通过符合性审查供应商投标（响应）报价下浮率平均值×50%；</w:t>
            </w:r>
          </w:p>
          <w:p w14:paraId="7E4CFEE8">
            <w:pPr>
              <w:pStyle w:val="74"/>
              <w:numPr>
                <w:ilvl w:val="0"/>
                <w:numId w:val="0"/>
              </w:numPr>
              <w:ind w:leftChars="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（2）.投标（响应）报价下浮率低于通过符合性审查的次低报价供应商投标（响应）报价下浮率50%的，即投标（响应）报价下浮率&lt;通过符合性审查的次低报价下浮率供应商投标（响应）报价×50%；</w:t>
            </w:r>
          </w:p>
          <w:p w14:paraId="38F1F42F">
            <w:pPr>
              <w:pStyle w:val="74"/>
              <w:numPr>
                <w:ilvl w:val="0"/>
                <w:numId w:val="0"/>
              </w:numPr>
              <w:ind w:leftChars="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（3）.投标（响应）报价下浮率低于采购项目最高限价45%的，即投标（响应）报价下浮率&lt;采购项目最高限价×45%；</w:t>
            </w:r>
          </w:p>
          <w:p w14:paraId="130129DB">
            <w:pPr>
              <w:pStyle w:val="74"/>
              <w:numPr>
                <w:ilvl w:val="0"/>
                <w:numId w:val="0"/>
              </w:numPr>
              <w:ind w:leftChars="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（4）.评审委员会基于专业判断，认为供应商报价下浮率过低，有可能影响产品质量或者不能诚信履约的其他情形。</w:t>
            </w:r>
          </w:p>
          <w:p w14:paraId="68654211">
            <w:pPr>
              <w:pStyle w:val="74"/>
              <w:numPr>
                <w:ilvl w:val="0"/>
                <w:numId w:val="0"/>
              </w:numPr>
              <w:ind w:leftChars="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2.2评审委员会启动异常低价投标（响应）审查后，属于前述第（1）项至第（4）项情形的，相关供应商须在30分钟内对投标（响应）价格作出解释，且提供项目具体成本测算等与报价合理性相关的书面说明及必要的证明材料，包括但不限于原材料成本、人工成本、制造费用（如有，根据项目实际情况调整）及和项目有关的其他费用等。其中，属于第3项情形，供应商已随投标（响应）文件一并提交相关书面说明及必要的证明材料的，在评审期间可不再重复提交。</w:t>
            </w:r>
          </w:p>
          <w:p w14:paraId="1E4F4098">
            <w:pPr>
              <w:pStyle w:val="74"/>
              <w:numPr>
                <w:ilvl w:val="0"/>
                <w:numId w:val="0"/>
              </w:numPr>
              <w:ind w:leftChars="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2.3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7964049F">
            <w:pPr>
              <w:pStyle w:val="2"/>
              <w:ind w:left="0" w:leftChars="0" w:firstLine="0" w:firstLineChars="0"/>
              <w:rPr>
                <w:rFonts w:hint="default" w:eastAsia="仿宋"/>
                <w:lang w:val="en-US" w:eastAsia="zh-CN"/>
              </w:rPr>
            </w:pPr>
            <w:r>
              <w:rPr>
                <w:rFonts w:hint="eastAsia" w:ascii="Times New Roman" w:hAnsi="Times New Roman" w:eastAsia="宋体" w:cs="Times New Roman"/>
                <w:b/>
                <w:bCs/>
                <w:kern w:val="2"/>
                <w:sz w:val="21"/>
                <w:szCs w:val="24"/>
                <w:lang w:val="en-US" w:eastAsia="zh-CN" w:bidi="ar-SA"/>
              </w:rPr>
              <w:t>2.4评审委员会依据专业经验，参考同类项目中标（成交）价格、类似产品市场价格水平、行业人工费用标准、国家有关部门指导行业协会发布的行业平均成本等情况，对报价合理性进行判断。投标（响应）供应商不能提供、逾期提供书面说明、证明材料，或者提供的书面说明、证明材料不能证明其报价合理性的，评审委员会应当将其作为无效投标（响应）处理。</w:t>
            </w:r>
          </w:p>
        </w:tc>
      </w:tr>
      <w:tr w14:paraId="3A8320D3">
        <w:tblPrEx>
          <w:tblCellMar>
            <w:top w:w="0" w:type="dxa"/>
            <w:left w:w="0" w:type="dxa"/>
            <w:bottom w:w="0" w:type="dxa"/>
            <w:right w:w="0" w:type="dxa"/>
          </w:tblCellMar>
        </w:tblPrEx>
        <w:trPr>
          <w:trHeight w:val="507" w:hRule="atLeast"/>
          <w:jc w:val="center"/>
        </w:trPr>
        <w:tc>
          <w:tcPr>
            <w:tcW w:w="9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D35341">
            <w:pPr>
              <w:keepNext w:val="0"/>
              <w:keepLines w:val="0"/>
              <w:pageBreakBefore w:val="0"/>
              <w:widowControl w:val="0"/>
              <w:kinsoku/>
              <w:wordWrap/>
              <w:overflowPunct/>
              <w:topLinePunct w:val="0"/>
              <w:autoSpaceDE/>
              <w:autoSpaceDN/>
              <w:bidi w:val="0"/>
              <w:adjustRightInd/>
              <w:snapToGrid/>
              <w:spacing w:line="360" w:lineRule="auto"/>
              <w:textAlignment w:val="auto"/>
              <w:rPr>
                <w:rStyle w:val="52"/>
                <w:rFonts w:ascii="仿宋" w:hAnsi="仿宋" w:eastAsia="仿宋" w:cs="仿宋"/>
                <w:sz w:val="24"/>
                <w:highlight w:val="none"/>
              </w:rPr>
            </w:pPr>
            <w:r>
              <w:rPr>
                <w:rFonts w:hint="eastAsia" w:ascii="仿宋" w:hAnsi="仿宋" w:eastAsia="仿宋" w:cs="仿宋"/>
                <w:b/>
                <w:bCs/>
                <w:sz w:val="24"/>
                <w:highlight w:val="none"/>
              </w:rPr>
              <w:t>注：投标人必须认真阅读招标文件中所有的事项、格式、条款和采购人需求等。投标人没有按照采购文件要求提交全部资料，或者投标文件没有对采购文件在各方面都做出实质性响应是投标人的风险，并可能导致其投标无效或被拒绝。</w:t>
            </w:r>
          </w:p>
        </w:tc>
      </w:tr>
    </w:tbl>
    <w:p w14:paraId="24871477">
      <w:pPr>
        <w:rPr>
          <w:rFonts w:ascii="仿宋" w:hAnsi="仿宋" w:eastAsia="仿宋" w:cs="仿宋"/>
          <w:b/>
          <w:sz w:val="30"/>
          <w:szCs w:val="30"/>
          <w:highlight w:val="none"/>
        </w:rPr>
      </w:pPr>
      <w:bookmarkStart w:id="16" w:name="_Toc2187"/>
      <w:bookmarkStart w:id="17" w:name="_Toc251566649"/>
      <w:bookmarkStart w:id="18" w:name="_Toc240450076"/>
      <w:r>
        <w:rPr>
          <w:rFonts w:hint="eastAsia" w:ascii="仿宋" w:hAnsi="仿宋" w:eastAsia="仿宋" w:cs="仿宋"/>
          <w:b/>
          <w:sz w:val="24"/>
          <w:highlight w:val="none"/>
        </w:rPr>
        <w:t>注：上表是对招标文件中的重要内容进行罗列，如有矛盾，应以上表为准。</w:t>
      </w:r>
    </w:p>
    <w:p w14:paraId="631299D0">
      <w:pPr>
        <w:rPr>
          <w:rFonts w:hint="eastAsia" w:ascii="仿宋" w:hAnsi="仿宋" w:eastAsia="仿宋" w:cs="仿宋"/>
          <w:b/>
          <w:sz w:val="30"/>
          <w:szCs w:val="30"/>
          <w:highlight w:val="none"/>
        </w:rPr>
      </w:pPr>
      <w:bookmarkStart w:id="19" w:name="_Toc6274"/>
      <w:bookmarkStart w:id="20" w:name="_Toc20934"/>
      <w:bookmarkStart w:id="21" w:name="_Toc15919"/>
      <w:r>
        <w:rPr>
          <w:rFonts w:hint="eastAsia" w:ascii="仿宋" w:hAnsi="仿宋" w:eastAsia="仿宋" w:cs="仿宋"/>
          <w:b/>
          <w:sz w:val="30"/>
          <w:szCs w:val="30"/>
          <w:highlight w:val="none"/>
        </w:rPr>
        <w:br w:type="page"/>
      </w:r>
    </w:p>
    <w:p w14:paraId="72318428">
      <w:pPr>
        <w:adjustRightInd w:val="0"/>
        <w:snapToGrid w:val="0"/>
        <w:spacing w:before="120" w:beforeLines="50" w:after="120" w:afterLines="50" w:line="360" w:lineRule="auto"/>
        <w:jc w:val="center"/>
        <w:outlineLvl w:val="0"/>
        <w:rPr>
          <w:rFonts w:ascii="仿宋" w:hAnsi="仿宋" w:eastAsia="仿宋" w:cs="仿宋"/>
          <w:szCs w:val="21"/>
          <w:highlight w:val="none"/>
        </w:rPr>
      </w:pPr>
      <w:r>
        <w:rPr>
          <w:rFonts w:hint="eastAsia" w:ascii="仿宋" w:hAnsi="仿宋" w:eastAsia="仿宋" w:cs="仿宋"/>
          <w:b/>
          <w:sz w:val="30"/>
          <w:szCs w:val="30"/>
          <w:highlight w:val="none"/>
        </w:rPr>
        <w:t>第二部分  投标须知</w:t>
      </w:r>
      <w:bookmarkEnd w:id="16"/>
      <w:bookmarkEnd w:id="17"/>
      <w:bookmarkEnd w:id="18"/>
      <w:bookmarkEnd w:id="19"/>
      <w:bookmarkEnd w:id="20"/>
      <w:bookmarkEnd w:id="21"/>
    </w:p>
    <w:p w14:paraId="429E2208">
      <w:pPr>
        <w:snapToGrid w:val="0"/>
        <w:spacing w:line="360" w:lineRule="auto"/>
        <w:jc w:val="center"/>
        <w:outlineLvl w:val="0"/>
        <w:rPr>
          <w:rFonts w:ascii="仿宋" w:hAnsi="仿宋" w:eastAsia="仿宋" w:cs="仿宋"/>
          <w:b/>
          <w:bCs/>
          <w:sz w:val="24"/>
          <w:highlight w:val="none"/>
        </w:rPr>
      </w:pPr>
      <w:bookmarkStart w:id="22" w:name="_Toc3922"/>
      <w:bookmarkStart w:id="23" w:name="_Toc19968"/>
      <w:bookmarkStart w:id="24" w:name="_Toc10075"/>
      <w:r>
        <w:rPr>
          <w:rFonts w:hint="eastAsia" w:ascii="仿宋_GB2312" w:hAnsi="仿宋" w:eastAsia="仿宋_GB2312" w:cs="仿宋_GB2312"/>
          <w:b/>
          <w:sz w:val="32"/>
          <w:szCs w:val="20"/>
          <w:highlight w:val="none"/>
        </w:rPr>
        <w:t>一、总则</w:t>
      </w:r>
      <w:bookmarkEnd w:id="22"/>
      <w:bookmarkEnd w:id="23"/>
      <w:bookmarkEnd w:id="24"/>
    </w:p>
    <w:p w14:paraId="779F395D">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 适用范围</w:t>
      </w:r>
    </w:p>
    <w:p w14:paraId="6FCAD949">
      <w:pPr>
        <w:snapToGrid w:val="0"/>
        <w:spacing w:line="360" w:lineRule="auto"/>
        <w:ind w:firstLine="480" w:firstLineChars="200"/>
        <w:jc w:val="left"/>
        <w:rPr>
          <w:rFonts w:ascii="仿宋_GB2312" w:hAnsi="仿宋" w:eastAsia="仿宋_GB2312" w:cs="仿宋_GB2312"/>
          <w:b/>
          <w:sz w:val="24"/>
          <w:highlight w:val="none"/>
        </w:rPr>
      </w:pPr>
      <w:r>
        <w:rPr>
          <w:rFonts w:hint="eastAsia" w:ascii="仿宋_GB2312" w:hAnsi="仿宋" w:eastAsia="仿宋_GB2312"/>
          <w:sz w:val="24"/>
          <w:highlight w:val="none"/>
        </w:rPr>
        <w:t>本招标文件适用于该项目的招标、投标、开标、资格审查及信用信息查询、评标、定标、合同、验收等行为（法律、法规另有规定的，从其规定）。</w:t>
      </w:r>
    </w:p>
    <w:p w14:paraId="0E3A5DE5">
      <w:pPr>
        <w:pStyle w:val="8"/>
        <w:numPr>
          <w:ilvl w:val="0"/>
          <w:numId w:val="5"/>
        </w:numPr>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定义</w:t>
      </w:r>
    </w:p>
    <w:p w14:paraId="06A0E9F5">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 xml:space="preserve">2.1 </w:t>
      </w:r>
      <w:r>
        <w:rPr>
          <w:rFonts w:hint="eastAsia" w:ascii="仿宋_GB2312" w:hAnsi="仿宋" w:eastAsia="仿宋_GB2312"/>
          <w:sz w:val="24"/>
          <w:highlight w:val="none"/>
        </w:rPr>
        <w:t>“采购人”系指招标公告中载明的本项目的采购人。</w:t>
      </w:r>
    </w:p>
    <w:p w14:paraId="65B5213D">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 xml:space="preserve">2.2 </w:t>
      </w:r>
      <w:r>
        <w:rPr>
          <w:rFonts w:hint="eastAsia" w:ascii="仿宋_GB2312" w:hAnsi="仿宋" w:eastAsia="仿宋_GB2312"/>
          <w:sz w:val="24"/>
          <w:highlight w:val="none"/>
        </w:rPr>
        <w:t>“采购代理机构”系指招标公告中载明的本项目的采购机构。</w:t>
      </w:r>
    </w:p>
    <w:p w14:paraId="26C82FC1">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 xml:space="preserve">2.3 </w:t>
      </w:r>
      <w:r>
        <w:rPr>
          <w:rFonts w:hint="eastAsia" w:ascii="仿宋_GB2312" w:hAnsi="仿宋" w:eastAsia="仿宋_GB2312"/>
          <w:sz w:val="24"/>
          <w:highlight w:val="none"/>
        </w:rPr>
        <w:t>“投标人或供应商”系指是指响应招标、参加投标竞争的法人、其他组织或者自然人。</w:t>
      </w:r>
    </w:p>
    <w:p w14:paraId="17414EE7">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 xml:space="preserve">2.4 </w:t>
      </w:r>
      <w:r>
        <w:rPr>
          <w:rFonts w:hint="eastAsia" w:ascii="仿宋_GB2312" w:hAnsi="仿宋" w:eastAsia="仿宋_GB2312"/>
          <w:sz w:val="24"/>
          <w:highlight w:val="none"/>
        </w:rPr>
        <w:t>“负责人”系指法人企业的法定负责人，或其他组织为法律、行政法规规定代表单位行使职权的主要负责人，或自然人本人。</w:t>
      </w:r>
    </w:p>
    <w:p w14:paraId="54C21272">
      <w:pPr>
        <w:spacing w:line="360" w:lineRule="auto"/>
        <w:ind w:firstLine="480" w:firstLineChars="200"/>
        <w:rPr>
          <w:rFonts w:ascii="仿宋" w:hAnsi="仿宋" w:eastAsia="仿宋"/>
          <w:sz w:val="24"/>
          <w:highlight w:val="none"/>
        </w:rPr>
      </w:pPr>
      <w:r>
        <w:rPr>
          <w:rFonts w:ascii="仿宋_GB2312" w:hAnsi="仿宋" w:eastAsia="仿宋_GB2312"/>
          <w:sz w:val="24"/>
          <w:highlight w:val="none"/>
        </w:rPr>
        <w:t>2.5“电子签名”系指数据电文中以电子形式所含、所附用于识别签名人身份并表明签名人认可其中内容的数据；</w:t>
      </w:r>
      <w:r>
        <w:rPr>
          <w:rFonts w:hint="eastAsia" w:ascii="仿宋" w:hAnsi="仿宋" w:eastAsia="仿宋"/>
          <w:sz w:val="24"/>
          <w:highlight w:val="none"/>
        </w:rPr>
        <w:t>“公章”系指单位法定名称章。</w:t>
      </w:r>
    </w:p>
    <w:p w14:paraId="6F5B29D3">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2.6“电子交易平台”是指本项目政府采购活动所依托的政府采购云平台（https://www.zcygov.cn/）。</w:t>
      </w:r>
    </w:p>
    <w:p w14:paraId="4E9D54D9">
      <w:pPr>
        <w:spacing w:line="360" w:lineRule="auto"/>
        <w:ind w:firstLine="482" w:firstLineChars="200"/>
        <w:rPr>
          <w:rFonts w:ascii="仿宋_GB2312" w:hAnsi="仿宋" w:eastAsia="仿宋_GB2312"/>
          <w:b/>
          <w:sz w:val="24"/>
          <w:highlight w:val="none"/>
        </w:rPr>
      </w:pPr>
      <w:r>
        <w:rPr>
          <w:rFonts w:ascii="仿宋_GB2312" w:hAnsi="仿宋" w:eastAsia="仿宋_GB2312"/>
          <w:b/>
          <w:bCs/>
          <w:sz w:val="24"/>
          <w:highlight w:val="none"/>
        </w:rPr>
        <w:t xml:space="preserve">2.7 </w:t>
      </w:r>
      <w:r>
        <w:rPr>
          <w:rFonts w:hint="eastAsia" w:ascii="仿宋_GB2312" w:hAnsi="仿宋" w:eastAsia="仿宋_GB2312"/>
          <w:b/>
          <w:bCs/>
          <w:sz w:val="24"/>
          <w:highlight w:val="none"/>
        </w:rPr>
        <w:t>“▲”</w:t>
      </w:r>
      <w:r>
        <w:rPr>
          <w:rFonts w:ascii="仿宋_GB2312" w:hAnsi="仿宋" w:eastAsia="仿宋_GB2312"/>
          <w:b/>
          <w:bCs/>
          <w:sz w:val="24"/>
          <w:highlight w:val="none"/>
        </w:rPr>
        <w:t xml:space="preserve"> </w:t>
      </w:r>
      <w:r>
        <w:rPr>
          <w:rFonts w:hint="eastAsia" w:ascii="仿宋_GB2312" w:hAnsi="仿宋" w:eastAsia="仿宋_GB2312"/>
          <w:b/>
          <w:bCs/>
          <w:sz w:val="24"/>
          <w:highlight w:val="none"/>
        </w:rPr>
        <w:t>系指实质性要求条款，“★”系关键技术指标，“</w:t>
      </w:r>
      <w:r>
        <w:rPr>
          <w:rFonts w:ascii="Wingdings" w:hAnsi="Wingdings" w:eastAsia="仿宋_GB2312" w:cs="Arial"/>
          <w:b/>
          <w:bCs/>
          <w:kern w:val="0"/>
          <w:sz w:val="24"/>
          <w:highlight w:val="none"/>
        </w:rPr>
        <w:t></w:t>
      </w:r>
      <w:r>
        <w:rPr>
          <w:rFonts w:hint="eastAsia" w:ascii="仿宋_GB2312" w:hAnsi="仿宋" w:eastAsia="仿宋_GB2312"/>
          <w:b/>
          <w:bCs/>
          <w:sz w:val="24"/>
          <w:highlight w:val="none"/>
        </w:rPr>
        <w:t>”</w:t>
      </w:r>
      <w:r>
        <w:rPr>
          <w:rFonts w:ascii="仿宋_GB2312" w:hAnsi="仿宋" w:eastAsia="仿宋_GB2312"/>
          <w:b/>
          <w:bCs/>
          <w:sz w:val="24"/>
          <w:highlight w:val="none"/>
        </w:rPr>
        <w:t xml:space="preserve"> </w:t>
      </w:r>
      <w:r>
        <w:rPr>
          <w:rFonts w:hint="eastAsia" w:ascii="仿宋_GB2312" w:hAnsi="仿宋" w:eastAsia="仿宋_GB2312"/>
          <w:b/>
          <w:bCs/>
          <w:sz w:val="24"/>
          <w:highlight w:val="none"/>
        </w:rPr>
        <w:t>系指适用本项目的要求，“</w:t>
      </w:r>
      <w:r>
        <w:rPr>
          <w:rFonts w:ascii="MS Gothic" w:hAnsi="MS Gothic" w:eastAsia="MS Gothic" w:cs="Arial"/>
          <w:b/>
          <w:bCs/>
          <w:kern w:val="0"/>
          <w:sz w:val="24"/>
          <w:highlight w:val="none"/>
        </w:rPr>
        <w:t>☐</w:t>
      </w:r>
      <w:r>
        <w:rPr>
          <w:rFonts w:hint="eastAsia" w:ascii="仿宋_GB2312" w:hAnsi="仿宋" w:eastAsia="仿宋_GB2312"/>
          <w:b/>
          <w:bCs/>
          <w:sz w:val="24"/>
          <w:highlight w:val="none"/>
        </w:rPr>
        <w:t>”</w:t>
      </w:r>
      <w:r>
        <w:rPr>
          <w:rFonts w:ascii="仿宋_GB2312" w:hAnsi="仿宋" w:eastAsia="仿宋_GB2312"/>
          <w:b/>
          <w:bCs/>
          <w:sz w:val="24"/>
          <w:highlight w:val="none"/>
        </w:rPr>
        <w:t xml:space="preserve"> </w:t>
      </w:r>
      <w:r>
        <w:rPr>
          <w:rFonts w:hint="eastAsia" w:ascii="仿宋_GB2312" w:hAnsi="仿宋" w:eastAsia="仿宋_GB2312"/>
          <w:b/>
          <w:bCs/>
          <w:sz w:val="24"/>
          <w:highlight w:val="none"/>
        </w:rPr>
        <w:t>系指不适用本项目的要求。</w:t>
      </w:r>
    </w:p>
    <w:p w14:paraId="1E4E34A4">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3. 采购项目需要落实的政府采购政策</w:t>
      </w:r>
    </w:p>
    <w:p w14:paraId="7A8119B4">
      <w:pPr>
        <w:spacing w:line="360" w:lineRule="auto"/>
        <w:ind w:firstLine="420"/>
        <w:rPr>
          <w:rFonts w:ascii="仿宋_GB2312" w:hAnsi="仿宋" w:eastAsia="仿宋_GB2312"/>
          <w:sz w:val="24"/>
          <w:highlight w:val="none"/>
        </w:rPr>
      </w:pPr>
      <w:r>
        <w:rPr>
          <w:rFonts w:ascii="仿宋_GB2312" w:hAnsi="仿宋" w:eastAsia="仿宋_GB2312"/>
          <w:sz w:val="24"/>
          <w:highlight w:val="none"/>
        </w:rPr>
        <w:t xml:space="preserve">3.1 </w:t>
      </w:r>
      <w:r>
        <w:rPr>
          <w:rFonts w:hint="eastAsia" w:ascii="仿宋_GB2312" w:hAnsi="仿宋" w:eastAsia="仿宋_GB2312"/>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ascii="仿宋_GB2312" w:hAnsi="仿宋" w:eastAsia="仿宋_GB2312"/>
          <w:sz w:val="24"/>
          <w:highlight w:val="none"/>
        </w:rPr>
        <w:t>采购代理机构</w:t>
      </w:r>
      <w:r>
        <w:rPr>
          <w:rFonts w:hint="eastAsia" w:ascii="仿宋_GB2312" w:hAnsi="仿宋" w:eastAsia="仿宋_GB2312"/>
          <w:sz w:val="24"/>
          <w:highlight w:val="none"/>
        </w:rPr>
        <w:t>不会对其加以限制，仍将按照公平竞争原则实施采购）</w:t>
      </w:r>
      <w:r>
        <w:rPr>
          <w:rFonts w:ascii="仿宋_GB2312" w:hAnsi="仿宋" w:eastAsia="仿宋_GB2312"/>
          <w:sz w:val="24"/>
          <w:highlight w:val="none"/>
        </w:rPr>
        <w:t>；优先采购向我国企业转让技术、与我国企业签订消化吸收再创新方案的供应商的进口产品</w:t>
      </w:r>
      <w:r>
        <w:rPr>
          <w:rFonts w:hint="eastAsia" w:ascii="仿宋_GB2312" w:hAnsi="仿宋" w:eastAsia="仿宋_GB2312"/>
          <w:sz w:val="24"/>
          <w:highlight w:val="none"/>
        </w:rPr>
        <w:t>。</w:t>
      </w:r>
    </w:p>
    <w:p w14:paraId="3F5E480F">
      <w:pPr>
        <w:spacing w:line="360" w:lineRule="auto"/>
        <w:ind w:firstLine="420"/>
        <w:rPr>
          <w:rFonts w:ascii="仿宋_GB2312" w:hAnsi="仿宋" w:eastAsia="仿宋_GB2312"/>
          <w:sz w:val="24"/>
          <w:highlight w:val="none"/>
        </w:rPr>
      </w:pPr>
      <w:r>
        <w:rPr>
          <w:rFonts w:ascii="仿宋_GB2312" w:hAnsi="仿宋" w:eastAsia="仿宋_GB2312"/>
          <w:sz w:val="24"/>
          <w:highlight w:val="none"/>
        </w:rPr>
        <w:t xml:space="preserve">3.2 </w:t>
      </w:r>
      <w:r>
        <w:rPr>
          <w:rFonts w:hint="eastAsia" w:ascii="仿宋_GB2312" w:hAnsi="仿宋" w:eastAsia="仿宋_GB2312"/>
          <w:sz w:val="24"/>
          <w:highlight w:val="none"/>
        </w:rPr>
        <w:t>支持绿色发展</w:t>
      </w:r>
    </w:p>
    <w:p w14:paraId="7C1594ED">
      <w:pPr>
        <w:spacing w:line="360" w:lineRule="auto"/>
        <w:ind w:firstLine="420"/>
        <w:rPr>
          <w:rFonts w:ascii="仿宋_GB2312" w:hAnsi="仿宋" w:eastAsia="仿宋_GB2312"/>
          <w:b/>
          <w:sz w:val="24"/>
          <w:highlight w:val="none"/>
        </w:rPr>
      </w:pPr>
      <w:r>
        <w:rPr>
          <w:rFonts w:ascii="仿宋_GB2312" w:hAnsi="仿宋" w:eastAsia="仿宋_GB2312"/>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_GB2312" w:hAnsi="仿宋" w:eastAsia="仿宋_GB2312"/>
          <w:b/>
          <w:sz w:val="24"/>
          <w:highlight w:val="none"/>
        </w:rPr>
        <w:t>采购人拟采购的产品属于政府强制采购的节能产品品目清单范围的，投标人未按招标文件要求提供国家确定的认证机构出具的、处于有效期之内的节能产品认证证书的，投标无效。</w:t>
      </w:r>
    </w:p>
    <w:p w14:paraId="413405AE">
      <w:pPr>
        <w:spacing w:line="360" w:lineRule="auto"/>
        <w:ind w:firstLine="480" w:firstLineChars="200"/>
        <w:rPr>
          <w:sz w:val="24"/>
          <w:highlight w:val="none"/>
        </w:rPr>
      </w:pPr>
      <w:r>
        <w:rPr>
          <w:rFonts w:ascii="仿宋_GB2312" w:hAnsi="仿宋" w:eastAsia="仿宋_GB2312"/>
          <w:sz w:val="24"/>
          <w:highlight w:val="none"/>
        </w:rPr>
        <w:t xml:space="preserve">3.2.2 </w:t>
      </w:r>
      <w:r>
        <w:rPr>
          <w:rFonts w:hint="eastAsia" w:ascii="仿宋_GB2312" w:hAnsi="仿宋" w:eastAsia="仿宋_GB2312"/>
          <w:sz w:val="24"/>
          <w:highlight w:val="none"/>
        </w:rPr>
        <w:t>修缮、装修类项目采购建材的，采购人应将绿色建筑和绿色建材性能、指标等作为实质性条件纳入招标文件和合同。</w:t>
      </w:r>
    </w:p>
    <w:p w14:paraId="6D99A163">
      <w:pPr>
        <w:spacing w:line="360" w:lineRule="auto"/>
        <w:ind w:firstLine="480" w:firstLineChars="200"/>
        <w:rPr>
          <w:sz w:val="24"/>
          <w:highlight w:val="none"/>
        </w:rPr>
      </w:pPr>
      <w:r>
        <w:rPr>
          <w:rFonts w:ascii="仿宋_GB2312" w:hAnsi="仿宋" w:eastAsia="仿宋_GB2312"/>
          <w:sz w:val="24"/>
          <w:highlight w:val="none"/>
        </w:rPr>
        <w:t>3.2.3</w:t>
      </w:r>
      <w:r>
        <w:rPr>
          <w:rFonts w:hint="eastAsia" w:ascii="仿宋_GB2312" w:hAnsi="仿宋" w:eastAsia="仿宋_GB2312"/>
          <w:sz w:val="24"/>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36928B72">
      <w:pPr>
        <w:spacing w:line="360" w:lineRule="auto"/>
        <w:ind w:firstLine="420"/>
        <w:rPr>
          <w:rFonts w:ascii="仿宋_GB2312" w:hAnsi="仿宋" w:eastAsia="仿宋_GB2312"/>
          <w:sz w:val="24"/>
          <w:highlight w:val="none"/>
        </w:rPr>
      </w:pPr>
      <w:r>
        <w:rPr>
          <w:rFonts w:ascii="仿宋_GB2312" w:hAnsi="仿宋" w:eastAsia="仿宋_GB2312"/>
          <w:sz w:val="24"/>
          <w:highlight w:val="none"/>
        </w:rPr>
        <w:t>3.3支持中小企业发展</w:t>
      </w:r>
    </w:p>
    <w:p w14:paraId="7FDA533A">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ADF4CB1">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符合中小企业划分标准的个体工商户，在政府采购活动中视同中小企业。</w:t>
      </w:r>
    </w:p>
    <w:p w14:paraId="2B971A78">
      <w:pPr>
        <w:widowControl/>
        <w:spacing w:line="360" w:lineRule="auto"/>
        <w:ind w:firstLine="480" w:firstLineChars="200"/>
        <w:jc w:val="left"/>
        <w:rPr>
          <w:rFonts w:ascii="仿宋_GB2312" w:hAnsi="宋体" w:eastAsia="仿宋_GB2312" w:cs="宋体"/>
          <w:kern w:val="0"/>
          <w:sz w:val="24"/>
          <w:highlight w:val="none"/>
        </w:rPr>
      </w:pPr>
      <w:r>
        <w:rPr>
          <w:rFonts w:ascii="仿宋_GB2312" w:eastAsia="仿宋_GB2312"/>
          <w:bCs/>
          <w:sz w:val="24"/>
          <w:highlight w:val="none"/>
        </w:rPr>
        <w:t>3.3.2</w:t>
      </w:r>
      <w:r>
        <w:rPr>
          <w:rFonts w:hint="eastAsia" w:ascii="仿宋_GB2312" w:hAnsi="宋体" w:eastAsia="仿宋_GB2312" w:cs="宋体"/>
          <w:kern w:val="0"/>
          <w:sz w:val="24"/>
          <w:highlight w:val="none"/>
        </w:rPr>
        <w:t>在政府采购活动中，投标人提供的货物、工程或者服务符合下列情形的，享受中小企业扶持政策：</w:t>
      </w:r>
    </w:p>
    <w:p w14:paraId="5E38D1A7">
      <w:pPr>
        <w:widowControl/>
        <w:spacing w:line="360" w:lineRule="auto"/>
        <w:ind w:firstLine="480" w:firstLineChars="200"/>
        <w:jc w:val="left"/>
        <w:rPr>
          <w:rFonts w:ascii="仿宋_GB2312" w:hAnsi="宋体" w:eastAsia="仿宋_GB2312" w:cs="宋体"/>
          <w:kern w:val="0"/>
          <w:sz w:val="24"/>
          <w:highlight w:val="none"/>
        </w:rPr>
      </w:pPr>
      <w:r>
        <w:rPr>
          <w:rFonts w:ascii="仿宋_GB2312" w:hAnsi="宋体" w:eastAsia="仿宋_GB2312" w:cs="宋体"/>
          <w:kern w:val="0"/>
          <w:sz w:val="24"/>
          <w:highlight w:val="none"/>
        </w:rPr>
        <w:t>3.3.2.1在货物采购项目中，货物由中小企业制造，即货物由中小企业生产且使用该中小企业商号或者注册商标；</w:t>
      </w:r>
    </w:p>
    <w:p w14:paraId="2F9937DA">
      <w:pPr>
        <w:widowControl/>
        <w:spacing w:line="360" w:lineRule="auto"/>
        <w:ind w:firstLine="480" w:firstLineChars="200"/>
        <w:jc w:val="left"/>
        <w:rPr>
          <w:rFonts w:ascii="仿宋_GB2312" w:hAnsi="宋体" w:eastAsia="仿宋_GB2312" w:cs="宋体"/>
          <w:kern w:val="0"/>
          <w:sz w:val="24"/>
          <w:highlight w:val="none"/>
        </w:rPr>
      </w:pPr>
      <w:r>
        <w:rPr>
          <w:rFonts w:ascii="仿宋_GB2312" w:hAnsi="宋体" w:eastAsia="仿宋_GB2312" w:cs="宋体"/>
          <w:kern w:val="0"/>
          <w:sz w:val="24"/>
          <w:highlight w:val="none"/>
        </w:rPr>
        <w:t>3.3.2.2在工程采购项目中，工程由中小企业承建，即工程施工单位为中小企业；</w:t>
      </w:r>
    </w:p>
    <w:p w14:paraId="5FEB6D69">
      <w:pPr>
        <w:widowControl/>
        <w:spacing w:line="360" w:lineRule="auto"/>
        <w:ind w:firstLine="480" w:firstLineChars="200"/>
        <w:jc w:val="left"/>
        <w:rPr>
          <w:rFonts w:ascii="仿宋_GB2312" w:hAnsi="宋体" w:eastAsia="仿宋_GB2312" w:cs="宋体"/>
          <w:kern w:val="0"/>
          <w:sz w:val="24"/>
          <w:highlight w:val="none"/>
        </w:rPr>
      </w:pPr>
      <w:r>
        <w:rPr>
          <w:rFonts w:ascii="仿宋_GB2312" w:hAnsi="宋体" w:eastAsia="仿宋_GB2312" w:cs="宋体"/>
          <w:kern w:val="0"/>
          <w:sz w:val="24"/>
          <w:highlight w:val="none"/>
        </w:rPr>
        <w:t>3.3.2.3在服务采购项目中，服务由中小企业承接，即提供服务的人员为中小企业依照《中华人民共和国劳动合同法》订立劳动合同的从业人员。</w:t>
      </w:r>
    </w:p>
    <w:p w14:paraId="538C5350">
      <w:pPr>
        <w:widowControl/>
        <w:spacing w:line="360" w:lineRule="auto"/>
        <w:ind w:firstLine="480" w:firstLineChars="200"/>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在货物采购项目中，投标人提供的货物既有中小企业制造货物，也有大型企业制造货物的，不享受中小企业扶持政策。</w:t>
      </w:r>
    </w:p>
    <w:p w14:paraId="55E3F8E4">
      <w:pPr>
        <w:widowControl/>
        <w:spacing w:line="360" w:lineRule="auto"/>
        <w:ind w:firstLine="480" w:firstLineChars="200"/>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以联合体形式参加政府采购活动，联合体各方均为中小企业的，联合体视同中小企业。其中，联合体各方均为小微企业的，联合体视同小微企业。</w:t>
      </w:r>
    </w:p>
    <w:p w14:paraId="34F1B4D2">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3.3.3</w:t>
      </w:r>
      <w:r>
        <w:rPr>
          <w:rFonts w:hint="eastAsia" w:ascii="仿宋_GB2312" w:hAnsi="仿宋" w:eastAsia="仿宋_GB2312"/>
          <w:sz w:val="24"/>
          <w:highlight w:val="none"/>
        </w:rPr>
        <w:t>对于未预留份额专门面向中小企业的政府采购货物或服务项目，以及预留份额政府采购货物或服务项目中的非预留部分标项，对小型和微型企业的投标报价给予</w:t>
      </w:r>
      <w:r>
        <w:rPr>
          <w:rFonts w:hint="eastAsia" w:ascii="仿宋_GB2312" w:hAnsi="仿宋" w:eastAsia="仿宋_GB2312"/>
          <w:b/>
          <w:bCs/>
          <w:sz w:val="24"/>
          <w:highlight w:val="none"/>
        </w:rPr>
        <w:t>10%</w:t>
      </w:r>
      <w:r>
        <w:rPr>
          <w:rFonts w:hint="eastAsia" w:ascii="仿宋_GB2312" w:hAnsi="仿宋" w:eastAsia="仿宋_GB2312"/>
          <w:sz w:val="24"/>
          <w:highlight w:val="none"/>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仿宋_GB2312" w:hAnsi="仿宋" w:eastAsia="仿宋_GB2312"/>
          <w:b/>
          <w:bCs/>
          <w:sz w:val="24"/>
          <w:highlight w:val="none"/>
        </w:rPr>
        <w:t>4%</w:t>
      </w:r>
      <w:r>
        <w:rPr>
          <w:rFonts w:hint="eastAsia" w:ascii="仿宋_GB2312" w:hAnsi="仿宋" w:eastAsia="仿宋_GB2312"/>
          <w:sz w:val="24"/>
          <w:highlight w:val="none"/>
        </w:rPr>
        <w:t>的扣除，用扣除后的价格参加评审。组成联合体或者接受分包的小微企业与联合体内其他企业、分包企业之间存在直接控股、管理关系的，不享受价格扣除优惠政策</w:t>
      </w:r>
      <w:r>
        <w:rPr>
          <w:rFonts w:ascii="仿宋_GB2312" w:hAnsi="仿宋" w:eastAsia="仿宋_GB2312"/>
          <w:sz w:val="24"/>
          <w:highlight w:val="none"/>
        </w:rPr>
        <w:t>。</w:t>
      </w:r>
    </w:p>
    <w:p w14:paraId="61B05FB7">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3.3.4符合《关于促进残疾人就业政府采购政策的通知》（财库〔2017〕141号）规定的条件并提供《残疾人福利性单位声明函》的残疾人福利性单位视同小型、微型企业；</w:t>
      </w:r>
    </w:p>
    <w:p w14:paraId="5D26CEEE">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26E6B38">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3.3.6</w:t>
      </w:r>
      <w:r>
        <w:rPr>
          <w:rFonts w:hint="eastAsia" w:ascii="仿宋_GB2312" w:hAnsi="仿宋" w:eastAsia="仿宋_GB2312"/>
          <w:sz w:val="24"/>
          <w:highlight w:val="none"/>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36C78346">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3.3.7中小企业享受扶持政策获得政府采购合同的，小微企业不得将合同分包给大中型企业，中型企业不得将合同分包给大型企业</w:t>
      </w:r>
      <w:r>
        <w:rPr>
          <w:rFonts w:hint="eastAsia" w:ascii="仿宋_GB2312" w:hAnsi="仿宋" w:eastAsia="仿宋_GB2312"/>
          <w:sz w:val="24"/>
          <w:highlight w:val="none"/>
        </w:rPr>
        <w:t>。</w:t>
      </w:r>
    </w:p>
    <w:p w14:paraId="1DA28886">
      <w:pPr>
        <w:spacing w:line="360" w:lineRule="auto"/>
        <w:ind w:firstLine="420"/>
        <w:rPr>
          <w:rFonts w:ascii="仿宋_GB2312" w:hAnsi="仿宋" w:eastAsia="仿宋_GB2312"/>
          <w:sz w:val="24"/>
          <w:highlight w:val="none"/>
        </w:rPr>
      </w:pPr>
      <w:r>
        <w:rPr>
          <w:rFonts w:ascii="仿宋_GB2312" w:hAnsi="仿宋" w:eastAsia="仿宋_GB2312"/>
          <w:sz w:val="24"/>
          <w:highlight w:val="none"/>
        </w:rPr>
        <w:t>3.4</w:t>
      </w:r>
      <w:r>
        <w:rPr>
          <w:rFonts w:hint="eastAsia" w:ascii="仿宋_GB2312" w:eastAsia="仿宋_GB2312"/>
          <w:bCs/>
          <w:sz w:val="24"/>
          <w:highlight w:val="none"/>
        </w:rPr>
        <w:t>支持创新发展</w:t>
      </w:r>
    </w:p>
    <w:p w14:paraId="7335F9F1">
      <w:pPr>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3.4.1 采购人优先采购被认定</w:t>
      </w:r>
      <w:r>
        <w:rPr>
          <w:rFonts w:hint="eastAsia" w:ascii="仿宋_GB2312" w:hAnsi="仿宋" w:eastAsia="仿宋_GB2312"/>
          <w:sz w:val="24"/>
          <w:highlight w:val="none"/>
        </w:rPr>
        <w:t>为首台套产品和“制造精品”的自主创新产品。</w:t>
      </w:r>
    </w:p>
    <w:p w14:paraId="255DB106">
      <w:pPr>
        <w:autoSpaceDE w:val="0"/>
        <w:autoSpaceDN w:val="0"/>
        <w:spacing w:line="360" w:lineRule="auto"/>
        <w:ind w:firstLine="420"/>
        <w:jc w:val="left"/>
        <w:rPr>
          <w:rFonts w:ascii="仿宋_GB2312" w:hAnsi="仿宋" w:eastAsia="仿宋_GB2312" w:cs="微软雅黑"/>
          <w:kern w:val="0"/>
          <w:sz w:val="24"/>
          <w:highlight w:val="none"/>
          <w:lang w:val="zh-CN"/>
        </w:rPr>
      </w:pPr>
      <w:r>
        <w:rPr>
          <w:rFonts w:ascii="仿宋_GB2312" w:hAnsi="仿宋" w:eastAsia="仿宋_GB2312"/>
          <w:sz w:val="24"/>
          <w:highlight w:val="none"/>
        </w:rPr>
        <w:t>3.5</w:t>
      </w:r>
      <w:r>
        <w:rPr>
          <w:rFonts w:ascii="仿宋_GB2312" w:hAnsi="仿宋" w:eastAsia="仿宋_GB2312" w:cs="微软雅黑"/>
          <w:kern w:val="0"/>
          <w:sz w:val="24"/>
          <w:highlight w:val="none"/>
          <w:lang w:val="zh-CN"/>
        </w:rPr>
        <w:t>平等对待内外资企业和符合条件的破产重整企业</w:t>
      </w:r>
    </w:p>
    <w:p w14:paraId="282A97EC">
      <w:pPr>
        <w:spacing w:line="360" w:lineRule="auto"/>
        <w:ind w:firstLine="420"/>
        <w:rPr>
          <w:rFonts w:ascii="仿宋_GB2312" w:hAnsi="仿宋" w:eastAsia="仿宋_GB2312"/>
          <w:sz w:val="24"/>
          <w:highlight w:val="none"/>
        </w:rPr>
      </w:pPr>
      <w:r>
        <w:rPr>
          <w:rFonts w:ascii="仿宋_GB2312" w:hAnsi="仿宋" w:eastAsia="仿宋_GB2312"/>
          <w:sz w:val="24"/>
          <w:highlight w:val="none"/>
        </w:rPr>
        <w:t>平等对待内外资企业和符合条件的破产重整企业，切实保障企业公平竞争，平等维护企业的合法利益</w:t>
      </w:r>
      <w:r>
        <w:rPr>
          <w:rFonts w:hint="eastAsia" w:ascii="仿宋_GB2312" w:hAnsi="仿宋" w:eastAsia="仿宋_GB2312"/>
          <w:sz w:val="24"/>
          <w:highlight w:val="none"/>
        </w:rPr>
        <w:t>。</w:t>
      </w:r>
    </w:p>
    <w:p w14:paraId="0642D328">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4. 询问、质疑、投诉</w:t>
      </w:r>
    </w:p>
    <w:p w14:paraId="3BC99EB8">
      <w:pPr>
        <w:autoSpaceDE w:val="0"/>
        <w:autoSpaceDN w:val="0"/>
        <w:spacing w:line="360" w:lineRule="auto"/>
        <w:ind w:firstLine="420"/>
        <w:jc w:val="left"/>
        <w:outlineLvl w:val="2"/>
        <w:rPr>
          <w:rFonts w:ascii="仿宋_GB2312" w:hAnsi="仿宋" w:eastAsia="仿宋_GB2312" w:cs="微软雅黑"/>
          <w:kern w:val="0"/>
          <w:sz w:val="24"/>
          <w:highlight w:val="none"/>
          <w:lang w:val="zh-CN"/>
        </w:rPr>
      </w:pPr>
      <w:r>
        <w:rPr>
          <w:rFonts w:ascii="仿宋_GB2312" w:hAnsi="仿宋" w:eastAsia="仿宋_GB2312" w:cs="微软雅黑"/>
          <w:kern w:val="0"/>
          <w:sz w:val="24"/>
          <w:highlight w:val="none"/>
          <w:lang w:val="zh-CN"/>
        </w:rPr>
        <w:t>4.1供应商询问</w:t>
      </w:r>
    </w:p>
    <w:p w14:paraId="51657FB7">
      <w:pPr>
        <w:autoSpaceDE w:val="0"/>
        <w:autoSpaceDN w:val="0"/>
        <w:spacing w:line="360" w:lineRule="auto"/>
        <w:ind w:firstLine="480" w:firstLineChars="200"/>
        <w:jc w:val="left"/>
        <w:rPr>
          <w:rFonts w:ascii="仿宋_GB2312" w:hAnsi="仿宋" w:eastAsia="仿宋_GB2312" w:cs="微软雅黑"/>
          <w:kern w:val="0"/>
          <w:sz w:val="24"/>
          <w:highlight w:val="none"/>
          <w:lang w:val="zh-CN"/>
        </w:rPr>
      </w:pPr>
      <w:r>
        <w:rPr>
          <w:rFonts w:hint="eastAsia" w:ascii="仿宋_GB2312" w:hAnsi="仿宋" w:eastAsia="仿宋_GB2312" w:cs="微软雅黑"/>
          <w:kern w:val="0"/>
          <w:sz w:val="24"/>
          <w:highlight w:val="none"/>
          <w:lang w:val="zh-CN"/>
        </w:rPr>
        <w:t>供应商对政府采购活动事项有疑问的，可以提出询问，采购人或者采购代理机构应当在</w:t>
      </w:r>
      <w:r>
        <w:rPr>
          <w:rFonts w:ascii="仿宋_GB2312" w:hAnsi="仿宋" w:eastAsia="仿宋_GB2312" w:cs="微软雅黑"/>
          <w:kern w:val="0"/>
          <w:sz w:val="24"/>
          <w:highlight w:val="none"/>
          <w:lang w:val="zh-CN"/>
        </w:rPr>
        <w:t>3个工作日内对供应</w:t>
      </w:r>
      <w:r>
        <w:rPr>
          <w:rFonts w:hint="eastAsia" w:ascii="仿宋_GB2312" w:hAnsi="仿宋" w:eastAsia="仿宋_GB2312" w:cs="微软雅黑"/>
          <w:kern w:val="0"/>
          <w:sz w:val="24"/>
          <w:highlight w:val="none"/>
          <w:lang w:val="zh-CN"/>
        </w:rPr>
        <w:t>商依法提出的询问作出答复，但答复的内容不得涉及商业秘密。供应商提出的询问超出采购人对采购代理机构委托授权范围的，采购代理机构应当告知供应商向采购人提出。</w:t>
      </w:r>
    </w:p>
    <w:p w14:paraId="284AFA97">
      <w:pPr>
        <w:autoSpaceDE w:val="0"/>
        <w:autoSpaceDN w:val="0"/>
        <w:spacing w:line="360" w:lineRule="auto"/>
        <w:ind w:firstLine="420"/>
        <w:jc w:val="left"/>
        <w:outlineLvl w:val="2"/>
        <w:rPr>
          <w:rFonts w:ascii="仿宋_GB2312" w:hAnsi="仿宋" w:eastAsia="仿宋_GB2312" w:cs="微软雅黑"/>
          <w:kern w:val="0"/>
          <w:sz w:val="24"/>
          <w:highlight w:val="none"/>
          <w:lang w:val="zh-CN"/>
        </w:rPr>
      </w:pPr>
      <w:r>
        <w:rPr>
          <w:rFonts w:ascii="仿宋_GB2312" w:hAnsi="仿宋" w:eastAsia="仿宋_GB2312" w:cs="微软雅黑"/>
          <w:kern w:val="0"/>
          <w:sz w:val="24"/>
          <w:highlight w:val="none"/>
          <w:lang w:val="zh-CN"/>
        </w:rPr>
        <w:t>4.2供应商质疑</w:t>
      </w:r>
    </w:p>
    <w:p w14:paraId="2069FDE1">
      <w:pPr>
        <w:pStyle w:val="13"/>
        <w:spacing w:line="360" w:lineRule="auto"/>
        <w:ind w:firstLine="480" w:firstLineChars="200"/>
        <w:rPr>
          <w:rFonts w:ascii="仿宋_GB2312" w:hAnsi="仿宋" w:eastAsia="仿宋_GB2312"/>
          <w:sz w:val="24"/>
          <w:highlight w:val="none"/>
        </w:rPr>
      </w:pPr>
      <w:r>
        <w:rPr>
          <w:rFonts w:ascii="仿宋_GB2312" w:hAnsi="仿宋" w:eastAsia="仿宋_GB2312" w:cs="微软雅黑"/>
          <w:kern w:val="0"/>
          <w:sz w:val="24"/>
          <w:highlight w:val="none"/>
          <w:lang w:val="zh-CN"/>
        </w:rPr>
        <w:t>4.2</w:t>
      </w:r>
      <w:r>
        <w:rPr>
          <w:rFonts w:ascii="仿宋_GB2312" w:hAnsi="仿宋" w:eastAsia="仿宋_GB2312"/>
          <w:sz w:val="24"/>
          <w:highlight w:val="none"/>
        </w:rPr>
        <w:t>.1提出质疑的供应商应当是参与所质疑项目采购活动的供应商。潜在供应商已依法获取其可质疑的招标文件的，可以对该文件提出质疑。</w:t>
      </w:r>
    </w:p>
    <w:p w14:paraId="455A1210">
      <w:pPr>
        <w:pStyle w:val="13"/>
        <w:spacing w:line="360" w:lineRule="auto"/>
        <w:ind w:firstLine="480" w:firstLineChars="200"/>
        <w:rPr>
          <w:rFonts w:ascii="仿宋_GB2312" w:hAnsi="仿宋" w:eastAsia="仿宋_GB2312"/>
          <w:sz w:val="24"/>
          <w:highlight w:val="none"/>
        </w:rPr>
      </w:pPr>
      <w:r>
        <w:rPr>
          <w:rFonts w:ascii="仿宋_GB2312" w:hAnsi="仿宋" w:eastAsia="仿宋_GB2312" w:cs="微软雅黑"/>
          <w:kern w:val="0"/>
          <w:sz w:val="24"/>
          <w:highlight w:val="none"/>
          <w:lang w:val="zh-CN"/>
        </w:rPr>
        <w:t>4.2</w:t>
      </w:r>
      <w:r>
        <w:rPr>
          <w:rFonts w:ascii="仿宋_GB2312" w:hAnsi="仿宋" w:eastAsia="仿宋_GB2312"/>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28C8ABF9">
      <w:pPr>
        <w:pStyle w:val="9"/>
        <w:spacing w:line="360" w:lineRule="auto"/>
        <w:ind w:firstLine="480" w:firstLineChars="200"/>
        <w:rPr>
          <w:rFonts w:ascii="仿宋_GB2312" w:hAnsi="仿宋" w:eastAsia="仿宋_GB2312"/>
          <w:kern w:val="2"/>
          <w:sz w:val="24"/>
          <w:highlight w:val="none"/>
        </w:rPr>
      </w:pPr>
      <w:r>
        <w:rPr>
          <w:rFonts w:ascii="仿宋_GB2312" w:hAnsi="仿宋" w:eastAsia="仿宋_GB2312"/>
          <w:kern w:val="2"/>
          <w:sz w:val="24"/>
          <w:highlight w:val="none"/>
        </w:rPr>
        <w:t>4.2.2.1对招标文件提出质疑的，质疑期限为供应商获得招标文件之日或者招标文件公告期限届满之日起计算。</w:t>
      </w:r>
    </w:p>
    <w:p w14:paraId="2B2A9170">
      <w:pPr>
        <w:pStyle w:val="13"/>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4.2.2.2对采购过程提出质疑的，质疑期限为各采购程序环节结束之日起计算。对同一采购程序环节的质疑，供应商须一次性提出。</w:t>
      </w:r>
    </w:p>
    <w:p w14:paraId="520E2012">
      <w:pPr>
        <w:pStyle w:val="13"/>
        <w:spacing w:line="360" w:lineRule="auto"/>
        <w:ind w:firstLine="480" w:firstLineChars="200"/>
        <w:rPr>
          <w:rFonts w:ascii="仿宋_GB2312" w:hAnsi="仿宋" w:eastAsia="仿宋_GB2312"/>
          <w:sz w:val="24"/>
          <w:highlight w:val="none"/>
        </w:rPr>
      </w:pPr>
      <w:r>
        <w:rPr>
          <w:rFonts w:ascii="仿宋_GB2312" w:hAnsi="仿宋" w:eastAsia="仿宋_GB2312"/>
          <w:sz w:val="24"/>
          <w:highlight w:val="none"/>
        </w:rPr>
        <w:t>4.2.2.3对采购结果提出质疑的，质疑期限自采购结果公告期限届满之日起计算。</w:t>
      </w:r>
    </w:p>
    <w:p w14:paraId="639AC7C4">
      <w:pPr>
        <w:pStyle w:val="13"/>
        <w:spacing w:line="360" w:lineRule="auto"/>
        <w:ind w:firstLine="480" w:firstLineChars="200"/>
        <w:rPr>
          <w:rFonts w:ascii="仿宋_GB2312" w:hAnsi="仿宋" w:eastAsia="仿宋_GB2312" w:cs="微软雅黑"/>
          <w:kern w:val="0"/>
          <w:sz w:val="24"/>
          <w:highlight w:val="none"/>
          <w:lang w:val="zh-CN"/>
        </w:rPr>
      </w:pPr>
      <w:r>
        <w:rPr>
          <w:rFonts w:ascii="仿宋_GB2312" w:hAnsi="仿宋" w:eastAsia="仿宋_GB2312" w:cs="微软雅黑"/>
          <w:kern w:val="0"/>
          <w:sz w:val="24"/>
          <w:highlight w:val="none"/>
          <w:lang w:val="zh-CN"/>
        </w:rPr>
        <w:t>4.2.3</w:t>
      </w:r>
      <w:r>
        <w:rPr>
          <w:rFonts w:hint="eastAsia" w:ascii="仿宋_GB2312" w:hAnsi="仿宋" w:eastAsia="仿宋_GB2312"/>
          <w:sz w:val="24"/>
          <w:highlight w:val="none"/>
        </w:rPr>
        <w:t>供应商提出质疑应当提交质疑函和必要的证明材料。质疑函应当包括下列内容：</w:t>
      </w:r>
    </w:p>
    <w:p w14:paraId="7C0765FC">
      <w:pPr>
        <w:pStyle w:val="13"/>
        <w:spacing w:line="360" w:lineRule="auto"/>
        <w:ind w:firstLine="480" w:firstLineChars="200"/>
        <w:rPr>
          <w:rFonts w:ascii="仿宋_GB2312" w:hAnsi="仿宋" w:eastAsia="仿宋_GB2312" w:cs="微软雅黑"/>
          <w:kern w:val="0"/>
          <w:sz w:val="24"/>
          <w:highlight w:val="none"/>
          <w:lang w:val="zh-CN"/>
        </w:rPr>
      </w:pPr>
      <w:r>
        <w:rPr>
          <w:rFonts w:hint="eastAsia" w:ascii="仿宋_GB2312" w:hAnsi="仿宋" w:eastAsia="仿宋_GB2312" w:cs="微软雅黑"/>
          <w:kern w:val="0"/>
          <w:sz w:val="24"/>
          <w:highlight w:val="none"/>
          <w:lang w:val="zh-CN"/>
        </w:rPr>
        <w:t>　　</w:t>
      </w:r>
      <w:r>
        <w:rPr>
          <w:rFonts w:ascii="仿宋_GB2312" w:hAnsi="仿宋" w:eastAsia="仿宋_GB2312" w:cs="微软雅黑"/>
          <w:kern w:val="0"/>
          <w:sz w:val="24"/>
          <w:highlight w:val="none"/>
          <w:lang w:val="zh-CN"/>
        </w:rPr>
        <w:t>4.2.3.1</w:t>
      </w:r>
      <w:r>
        <w:rPr>
          <w:rFonts w:hint="eastAsia" w:ascii="仿宋_GB2312" w:hAnsi="仿宋" w:eastAsia="仿宋_GB2312" w:cs="微软雅黑"/>
          <w:kern w:val="0"/>
          <w:sz w:val="24"/>
          <w:highlight w:val="none"/>
          <w:lang w:val="zh-CN"/>
        </w:rPr>
        <w:t>供应商的姓名或者名称、地址、邮编、联系人及联系电话；</w:t>
      </w:r>
    </w:p>
    <w:p w14:paraId="7EC18E13">
      <w:pPr>
        <w:pStyle w:val="13"/>
        <w:spacing w:line="360" w:lineRule="auto"/>
        <w:ind w:firstLine="480" w:firstLineChars="200"/>
        <w:rPr>
          <w:rFonts w:ascii="仿宋_GB2312" w:hAnsi="仿宋" w:eastAsia="仿宋_GB2312" w:cs="微软雅黑"/>
          <w:kern w:val="0"/>
          <w:sz w:val="24"/>
          <w:highlight w:val="none"/>
          <w:lang w:val="zh-CN"/>
        </w:rPr>
      </w:pPr>
      <w:r>
        <w:rPr>
          <w:rFonts w:hint="eastAsia" w:ascii="仿宋_GB2312" w:hAnsi="仿宋" w:eastAsia="仿宋_GB2312" w:cs="微软雅黑"/>
          <w:kern w:val="0"/>
          <w:sz w:val="24"/>
          <w:highlight w:val="none"/>
          <w:lang w:val="zh-CN"/>
        </w:rPr>
        <w:t>　　</w:t>
      </w:r>
      <w:r>
        <w:rPr>
          <w:rFonts w:ascii="仿宋_GB2312" w:hAnsi="仿宋" w:eastAsia="仿宋_GB2312" w:cs="微软雅黑"/>
          <w:kern w:val="0"/>
          <w:sz w:val="24"/>
          <w:highlight w:val="none"/>
          <w:lang w:val="zh-CN"/>
        </w:rPr>
        <w:t>4.2.3.2</w:t>
      </w:r>
      <w:r>
        <w:rPr>
          <w:rFonts w:hint="eastAsia" w:ascii="仿宋_GB2312" w:hAnsi="仿宋" w:eastAsia="仿宋_GB2312" w:cs="微软雅黑"/>
          <w:kern w:val="0"/>
          <w:sz w:val="24"/>
          <w:highlight w:val="none"/>
          <w:lang w:val="zh-CN"/>
        </w:rPr>
        <w:t>质疑项目的名称、编号；</w:t>
      </w:r>
    </w:p>
    <w:p w14:paraId="3BBF384B">
      <w:pPr>
        <w:pStyle w:val="13"/>
        <w:spacing w:line="360" w:lineRule="auto"/>
        <w:ind w:firstLine="480" w:firstLineChars="200"/>
        <w:rPr>
          <w:rFonts w:ascii="仿宋_GB2312" w:hAnsi="仿宋" w:eastAsia="仿宋_GB2312" w:cs="微软雅黑"/>
          <w:kern w:val="0"/>
          <w:sz w:val="24"/>
          <w:highlight w:val="none"/>
          <w:lang w:val="zh-CN"/>
        </w:rPr>
      </w:pPr>
      <w:r>
        <w:rPr>
          <w:rFonts w:hint="eastAsia" w:ascii="仿宋_GB2312" w:hAnsi="仿宋" w:eastAsia="仿宋_GB2312" w:cs="微软雅黑"/>
          <w:kern w:val="0"/>
          <w:sz w:val="24"/>
          <w:highlight w:val="none"/>
          <w:lang w:val="zh-CN"/>
        </w:rPr>
        <w:t>　　</w:t>
      </w:r>
      <w:r>
        <w:rPr>
          <w:rFonts w:ascii="仿宋_GB2312" w:hAnsi="仿宋" w:eastAsia="仿宋_GB2312" w:cs="微软雅黑"/>
          <w:kern w:val="0"/>
          <w:sz w:val="24"/>
          <w:highlight w:val="none"/>
          <w:lang w:val="zh-CN"/>
        </w:rPr>
        <w:t>4.2.3.3</w:t>
      </w:r>
      <w:r>
        <w:rPr>
          <w:rFonts w:hint="eastAsia" w:ascii="仿宋_GB2312" w:hAnsi="仿宋" w:eastAsia="仿宋_GB2312" w:cs="微软雅黑"/>
          <w:kern w:val="0"/>
          <w:sz w:val="24"/>
          <w:highlight w:val="none"/>
          <w:lang w:val="zh-CN"/>
        </w:rPr>
        <w:t>具体、明确的质疑事项和与质疑事项相关的请求；</w:t>
      </w:r>
    </w:p>
    <w:p w14:paraId="0A4FFF9B">
      <w:pPr>
        <w:pStyle w:val="13"/>
        <w:spacing w:line="360" w:lineRule="auto"/>
        <w:ind w:firstLine="480" w:firstLineChars="200"/>
        <w:rPr>
          <w:rFonts w:ascii="仿宋_GB2312" w:hAnsi="仿宋" w:eastAsia="仿宋_GB2312" w:cs="微软雅黑"/>
          <w:kern w:val="0"/>
          <w:sz w:val="24"/>
          <w:highlight w:val="none"/>
          <w:lang w:val="zh-CN"/>
        </w:rPr>
      </w:pPr>
      <w:r>
        <w:rPr>
          <w:rFonts w:hint="eastAsia" w:ascii="仿宋_GB2312" w:hAnsi="仿宋" w:eastAsia="仿宋_GB2312" w:cs="微软雅黑"/>
          <w:kern w:val="0"/>
          <w:sz w:val="24"/>
          <w:highlight w:val="none"/>
          <w:lang w:val="zh-CN"/>
        </w:rPr>
        <w:t>　　</w:t>
      </w:r>
      <w:r>
        <w:rPr>
          <w:rFonts w:ascii="仿宋_GB2312" w:hAnsi="仿宋" w:eastAsia="仿宋_GB2312" w:cs="微软雅黑"/>
          <w:kern w:val="0"/>
          <w:sz w:val="24"/>
          <w:highlight w:val="none"/>
          <w:lang w:val="zh-CN"/>
        </w:rPr>
        <w:t>4.2.3.4</w:t>
      </w:r>
      <w:r>
        <w:rPr>
          <w:rFonts w:hint="eastAsia" w:ascii="仿宋_GB2312" w:hAnsi="仿宋" w:eastAsia="仿宋_GB2312" w:cs="微软雅黑"/>
          <w:kern w:val="0"/>
          <w:sz w:val="24"/>
          <w:highlight w:val="none"/>
          <w:lang w:val="zh-CN"/>
        </w:rPr>
        <w:t>事实依据；</w:t>
      </w:r>
    </w:p>
    <w:p w14:paraId="77D9D1C1">
      <w:pPr>
        <w:pStyle w:val="13"/>
        <w:spacing w:line="360" w:lineRule="auto"/>
        <w:ind w:firstLine="480" w:firstLineChars="200"/>
        <w:rPr>
          <w:rFonts w:ascii="仿宋_GB2312" w:hAnsi="仿宋" w:eastAsia="仿宋_GB2312" w:cs="微软雅黑"/>
          <w:kern w:val="0"/>
          <w:sz w:val="24"/>
          <w:highlight w:val="none"/>
          <w:lang w:val="zh-CN"/>
        </w:rPr>
      </w:pPr>
      <w:r>
        <w:rPr>
          <w:rFonts w:hint="eastAsia" w:ascii="仿宋_GB2312" w:hAnsi="仿宋" w:eastAsia="仿宋_GB2312" w:cs="微软雅黑"/>
          <w:kern w:val="0"/>
          <w:sz w:val="24"/>
          <w:highlight w:val="none"/>
          <w:lang w:val="zh-CN"/>
        </w:rPr>
        <w:t>　　</w:t>
      </w:r>
      <w:r>
        <w:rPr>
          <w:rFonts w:ascii="仿宋_GB2312" w:hAnsi="仿宋" w:eastAsia="仿宋_GB2312" w:cs="微软雅黑"/>
          <w:kern w:val="0"/>
          <w:sz w:val="24"/>
          <w:highlight w:val="none"/>
          <w:lang w:val="zh-CN"/>
        </w:rPr>
        <w:t>4.2.3.5</w:t>
      </w:r>
      <w:r>
        <w:rPr>
          <w:rFonts w:hint="eastAsia" w:ascii="仿宋_GB2312" w:hAnsi="仿宋" w:eastAsia="仿宋_GB2312" w:cs="微软雅黑"/>
          <w:kern w:val="0"/>
          <w:sz w:val="24"/>
          <w:highlight w:val="none"/>
          <w:lang w:val="zh-CN"/>
        </w:rPr>
        <w:t>必要的法律依据；</w:t>
      </w:r>
    </w:p>
    <w:p w14:paraId="6E101D9F">
      <w:pPr>
        <w:pStyle w:val="13"/>
        <w:spacing w:line="360" w:lineRule="auto"/>
        <w:ind w:firstLine="960" w:firstLineChars="400"/>
        <w:rPr>
          <w:rFonts w:ascii="仿宋_GB2312" w:hAnsi="仿宋" w:eastAsia="仿宋_GB2312" w:cs="微软雅黑"/>
          <w:kern w:val="0"/>
          <w:sz w:val="24"/>
          <w:highlight w:val="none"/>
          <w:lang w:val="zh-CN"/>
        </w:rPr>
      </w:pPr>
      <w:r>
        <w:rPr>
          <w:rFonts w:ascii="仿宋_GB2312" w:hAnsi="仿宋" w:eastAsia="仿宋_GB2312" w:cs="微软雅黑"/>
          <w:kern w:val="0"/>
          <w:sz w:val="24"/>
          <w:highlight w:val="none"/>
          <w:lang w:val="zh-CN"/>
        </w:rPr>
        <w:t>4.2.3.6</w:t>
      </w:r>
      <w:r>
        <w:rPr>
          <w:rFonts w:hint="eastAsia" w:ascii="仿宋_GB2312" w:hAnsi="仿宋" w:eastAsia="仿宋_GB2312" w:cs="微软雅黑"/>
          <w:kern w:val="0"/>
          <w:sz w:val="24"/>
          <w:highlight w:val="none"/>
          <w:lang w:val="zh-CN"/>
        </w:rPr>
        <w:t>提出质疑的日期。</w:t>
      </w:r>
    </w:p>
    <w:p w14:paraId="0AAF2992">
      <w:pPr>
        <w:pStyle w:val="34"/>
        <w:shd w:val="clear" w:color="auto" w:fill="FFFFFF"/>
        <w:snapToGrid w:val="0"/>
        <w:spacing w:after="240" w:afterAutospacing="0" w:line="360" w:lineRule="auto"/>
        <w:ind w:firstLine="400"/>
        <w:contextualSpacing/>
        <w:rPr>
          <w:rFonts w:ascii="仿宋_GB2312" w:hAnsi="仿宋" w:eastAsia="仿宋_GB2312"/>
          <w:highlight w:val="none"/>
        </w:rPr>
      </w:pPr>
      <w:r>
        <w:rPr>
          <w:rFonts w:hint="eastAsia" w:ascii="仿宋_GB2312" w:hAnsi="仿宋" w:eastAsia="仿宋_GB2312"/>
          <w:highlight w:val="none"/>
        </w:rPr>
        <w:t>供应商提交的质疑函需一式三份。供应商为自然人的，应当由本人签字；供应商为法人或者其他组织的，应当由法定代表人、主要负责人，或者其授权代表签字或者盖章，并加盖公章。</w:t>
      </w:r>
    </w:p>
    <w:p w14:paraId="6586D4E6">
      <w:pPr>
        <w:pStyle w:val="34"/>
        <w:shd w:val="clear" w:color="auto" w:fill="FFFFFF"/>
        <w:snapToGrid w:val="0"/>
        <w:spacing w:after="240" w:afterAutospacing="0" w:line="360" w:lineRule="auto"/>
        <w:ind w:firstLine="420"/>
        <w:contextualSpacing/>
        <w:rPr>
          <w:rFonts w:ascii="仿宋_GB2312" w:hAnsi="仿宋" w:eastAsia="仿宋_GB2312"/>
          <w:highlight w:val="none"/>
        </w:rPr>
      </w:pPr>
      <w:r>
        <w:rPr>
          <w:rFonts w:hint="eastAsia" w:ascii="仿宋_GB2312" w:hAnsi="仿宋" w:eastAsia="仿宋_GB2312"/>
          <w:highlight w:val="none"/>
        </w:rPr>
        <w:t>质疑函范本及制作说明详见附件</w:t>
      </w:r>
      <w:r>
        <w:rPr>
          <w:rFonts w:ascii="仿宋_GB2312" w:hAnsi="仿宋" w:eastAsia="仿宋_GB2312"/>
          <w:highlight w:val="none"/>
        </w:rPr>
        <w:t>。</w:t>
      </w:r>
    </w:p>
    <w:p w14:paraId="43A64D30">
      <w:pPr>
        <w:pStyle w:val="34"/>
        <w:shd w:val="clear" w:color="auto" w:fill="FFFFFF"/>
        <w:snapToGrid w:val="0"/>
        <w:spacing w:after="240" w:afterAutospacing="0" w:line="360" w:lineRule="auto"/>
        <w:ind w:firstLine="400"/>
        <w:contextualSpacing/>
        <w:rPr>
          <w:rFonts w:ascii="仿宋_GB2312" w:hAnsi="仿宋" w:eastAsia="仿宋_GB2312"/>
          <w:highlight w:val="none"/>
        </w:rPr>
      </w:pPr>
      <w:r>
        <w:rPr>
          <w:rFonts w:hint="eastAsia" w:ascii="仿宋_GB2312" w:hAnsi="仿宋" w:eastAsia="仿宋_GB2312"/>
          <w:highlight w:val="none"/>
        </w:rPr>
        <w:t xml:space="preserve">4.2.4 </w:t>
      </w:r>
      <w:r>
        <w:rPr>
          <w:rFonts w:hint="eastAsia" w:ascii="仿宋_GB2312" w:hAnsi="仿宋" w:eastAsia="仿宋_GB2312"/>
          <w:highlight w:val="none"/>
          <w:lang w:val="zh-CN"/>
        </w:rPr>
        <w:t>对同一采购程序环节的质疑，供应商须在法定质疑期内一次性提出。</w:t>
      </w:r>
    </w:p>
    <w:p w14:paraId="6DE78E0A">
      <w:pPr>
        <w:pStyle w:val="34"/>
        <w:shd w:val="clear" w:color="auto" w:fill="FFFFFF"/>
        <w:snapToGrid w:val="0"/>
        <w:spacing w:after="240" w:afterAutospacing="0" w:line="360" w:lineRule="auto"/>
        <w:ind w:firstLine="420"/>
        <w:contextualSpacing/>
        <w:rPr>
          <w:rFonts w:ascii="仿宋_GB2312" w:hAnsi="仿宋" w:eastAsia="仿宋_GB2312"/>
          <w:highlight w:val="none"/>
        </w:rPr>
      </w:pPr>
      <w:r>
        <w:rPr>
          <w:rFonts w:ascii="仿宋_GB2312" w:hAnsi="仿宋" w:eastAsia="仿宋_GB2312" w:cs="微软雅黑"/>
          <w:highlight w:val="none"/>
          <w:lang w:val="zh-CN"/>
        </w:rPr>
        <w:t>4.2</w:t>
      </w:r>
      <w:r>
        <w:rPr>
          <w:rFonts w:ascii="仿宋_GB2312" w:hAnsi="仿宋" w:eastAsia="仿宋_GB2312"/>
          <w:highlight w:val="none"/>
        </w:rPr>
        <w:t>.</w:t>
      </w:r>
      <w:r>
        <w:rPr>
          <w:rFonts w:hint="eastAsia" w:ascii="仿宋_GB2312" w:hAnsi="仿宋" w:eastAsia="仿宋_GB2312"/>
          <w:highlight w:val="none"/>
        </w:rPr>
        <w:t>5采购人或者采购机构应当在收到供应商的书面质疑后七个工作日内作出答复，并以书面形式通知质疑供应商和其他与质疑处理结果有利害关系的政府采购当事人，但答复的内容不得涉及商业秘密。</w:t>
      </w:r>
    </w:p>
    <w:p w14:paraId="56116A81">
      <w:pPr>
        <w:pStyle w:val="34"/>
        <w:shd w:val="clear" w:color="auto" w:fill="FFFFFF"/>
        <w:snapToGrid w:val="0"/>
        <w:spacing w:after="240" w:afterAutospacing="0" w:line="360" w:lineRule="auto"/>
        <w:ind w:firstLine="420"/>
        <w:contextualSpacing/>
        <w:rPr>
          <w:rFonts w:ascii="仿宋_GB2312" w:hAnsi="仿宋" w:eastAsia="仿宋_GB2312"/>
          <w:highlight w:val="none"/>
        </w:rPr>
      </w:pPr>
      <w:r>
        <w:rPr>
          <w:rFonts w:ascii="仿宋_GB2312" w:hAnsi="仿宋" w:eastAsia="仿宋_GB2312" w:cs="微软雅黑"/>
          <w:highlight w:val="none"/>
          <w:lang w:val="zh-CN"/>
        </w:rPr>
        <w:t>4.2</w:t>
      </w:r>
      <w:r>
        <w:rPr>
          <w:rFonts w:ascii="仿宋_GB2312" w:hAnsi="仿宋" w:eastAsia="仿宋_GB2312"/>
          <w:highlight w:val="none"/>
        </w:rPr>
        <w:t>.</w:t>
      </w:r>
      <w:r>
        <w:rPr>
          <w:rFonts w:hint="eastAsia" w:ascii="仿宋_GB2312" w:hAnsi="仿宋" w:eastAsia="仿宋_GB2312"/>
          <w:highlight w:val="none"/>
        </w:rPr>
        <w:t>6</w:t>
      </w:r>
      <w:r>
        <w:rPr>
          <w:rFonts w:ascii="仿宋_GB2312" w:hAnsi="仿宋" w:eastAsia="仿宋_GB2312"/>
          <w:highlight w:val="none"/>
        </w:rPr>
        <w:t>询问或者质疑事项可能影响采购结果的，采购人应当暂停签订合同，已经签订合同的，应当中止履行合同。</w:t>
      </w:r>
    </w:p>
    <w:p w14:paraId="2CC16927">
      <w:pPr>
        <w:pStyle w:val="34"/>
        <w:shd w:val="clear" w:color="auto" w:fill="FFFFFF"/>
        <w:snapToGrid w:val="0"/>
        <w:spacing w:after="240" w:afterAutospacing="0" w:line="360" w:lineRule="auto"/>
        <w:ind w:firstLine="420"/>
        <w:contextualSpacing/>
        <w:outlineLvl w:val="2"/>
        <w:rPr>
          <w:rFonts w:ascii="仿宋_GB2312" w:hAnsi="仿宋" w:eastAsia="仿宋_GB2312" w:cs="微软雅黑"/>
          <w:highlight w:val="none"/>
          <w:lang w:val="zh-CN"/>
        </w:rPr>
      </w:pPr>
      <w:r>
        <w:rPr>
          <w:rFonts w:ascii="仿宋_GB2312" w:hAnsi="仿宋" w:eastAsia="仿宋_GB2312" w:cs="微软雅黑"/>
          <w:highlight w:val="none"/>
          <w:lang w:val="zh-CN"/>
        </w:rPr>
        <w:t>4.3供应商投诉</w:t>
      </w:r>
    </w:p>
    <w:p w14:paraId="09602B25">
      <w:pPr>
        <w:pStyle w:val="34"/>
        <w:shd w:val="clear" w:color="auto" w:fill="FFFFFF"/>
        <w:snapToGrid w:val="0"/>
        <w:spacing w:after="240" w:afterAutospacing="0" w:line="360" w:lineRule="auto"/>
        <w:ind w:firstLine="400"/>
        <w:contextualSpacing/>
        <w:rPr>
          <w:rFonts w:ascii="仿宋_GB2312" w:hAnsi="仿宋" w:eastAsia="仿宋_GB2312"/>
          <w:highlight w:val="none"/>
        </w:rPr>
      </w:pPr>
      <w:r>
        <w:rPr>
          <w:rFonts w:ascii="仿宋_GB2312" w:hAnsi="仿宋" w:eastAsia="仿宋_GB2312"/>
          <w:highlight w:val="none"/>
        </w:rPr>
        <w:t>4.3.1质疑供应商对采购人、采购机构的答复不满意或者采购人、采购机构未在规定的时间内</w:t>
      </w:r>
      <w:r>
        <w:rPr>
          <w:rFonts w:hint="eastAsia" w:ascii="仿宋_GB2312" w:hAnsi="仿宋" w:eastAsia="仿宋_GB2312"/>
          <w:highlight w:val="none"/>
        </w:rPr>
        <w:t>作出答复的，可以在答复期满后十五个工作日内向同级政府采购监督管理部门提出投诉。</w:t>
      </w:r>
    </w:p>
    <w:p w14:paraId="4CCF6A13">
      <w:pPr>
        <w:pStyle w:val="34"/>
        <w:shd w:val="clear" w:color="auto" w:fill="FFFFFF"/>
        <w:snapToGrid w:val="0"/>
        <w:spacing w:after="240" w:afterAutospacing="0" w:line="360" w:lineRule="auto"/>
        <w:ind w:firstLine="400"/>
        <w:contextualSpacing/>
        <w:rPr>
          <w:rFonts w:ascii="仿宋_GB2312" w:hAnsi="仿宋" w:eastAsia="仿宋_GB2312"/>
          <w:highlight w:val="none"/>
        </w:rPr>
      </w:pPr>
      <w:r>
        <w:rPr>
          <w:rFonts w:ascii="仿宋_GB2312" w:hAnsi="仿宋" w:eastAsia="仿宋_GB2312"/>
          <w:highlight w:val="none"/>
        </w:rPr>
        <w:t>4.3.</w:t>
      </w:r>
      <w:r>
        <w:rPr>
          <w:rFonts w:ascii="仿宋_GB2312" w:hAnsi="仿宋" w:eastAsia="仿宋_GB2312" w:cs="微软雅黑"/>
          <w:highlight w:val="none"/>
          <w:lang w:val="zh-CN"/>
        </w:rPr>
        <w:t>2</w:t>
      </w:r>
      <w:r>
        <w:rPr>
          <w:rFonts w:hint="eastAsia" w:ascii="仿宋_GB2312" w:hAnsi="仿宋" w:eastAsia="仿宋_GB2312"/>
          <w:highlight w:val="none"/>
        </w:rPr>
        <w:t>供应商投诉的事项不得超出已质疑事项的范围，基于质疑答复内容提出的投诉事项除外。</w:t>
      </w:r>
    </w:p>
    <w:p w14:paraId="0FA92FB5">
      <w:pPr>
        <w:pStyle w:val="34"/>
        <w:shd w:val="clear" w:color="auto" w:fill="FFFFFF"/>
        <w:snapToGrid w:val="0"/>
        <w:spacing w:after="240" w:afterAutospacing="0" w:line="360" w:lineRule="auto"/>
        <w:ind w:firstLine="400"/>
        <w:contextualSpacing/>
        <w:rPr>
          <w:rFonts w:ascii="仿宋_GB2312" w:hAnsi="仿宋" w:eastAsia="仿宋_GB2312"/>
          <w:highlight w:val="none"/>
        </w:rPr>
      </w:pPr>
      <w:r>
        <w:rPr>
          <w:rFonts w:ascii="仿宋_GB2312" w:hAnsi="仿宋" w:eastAsia="仿宋_GB2312"/>
          <w:highlight w:val="none"/>
        </w:rPr>
        <w:t>4.3.3供应</w:t>
      </w:r>
      <w:r>
        <w:rPr>
          <w:rFonts w:hint="eastAsia" w:ascii="仿宋_GB2312" w:hAnsi="仿宋" w:eastAsia="仿宋_GB2312"/>
          <w:highlight w:val="none"/>
        </w:rPr>
        <w:t>商投诉应当有明确的请求和必要的证明材料。</w:t>
      </w:r>
    </w:p>
    <w:p w14:paraId="6D901391">
      <w:pPr>
        <w:pStyle w:val="34"/>
        <w:shd w:val="clear" w:color="auto" w:fill="FFFFFF"/>
        <w:snapToGrid w:val="0"/>
        <w:spacing w:after="240" w:afterAutospacing="0" w:line="360" w:lineRule="auto"/>
        <w:ind w:firstLine="400"/>
        <w:contextualSpacing/>
        <w:rPr>
          <w:rFonts w:ascii="仿宋_GB2312" w:hAnsi="仿宋" w:eastAsia="仿宋_GB2312"/>
          <w:highlight w:val="none"/>
        </w:rPr>
      </w:pPr>
      <w:r>
        <w:rPr>
          <w:rFonts w:ascii="仿宋_GB2312" w:hAnsi="仿宋" w:eastAsia="仿宋_GB2312"/>
          <w:highlight w:val="none"/>
        </w:rPr>
        <w:t>4.3.</w:t>
      </w:r>
      <w:r>
        <w:rPr>
          <w:rFonts w:hint="eastAsia" w:ascii="仿宋_GB2312" w:hAnsi="仿宋" w:eastAsia="仿宋_GB2312"/>
          <w:highlight w:val="none"/>
        </w:rPr>
        <w:t>4</w:t>
      </w:r>
      <w:r>
        <w:rPr>
          <w:rFonts w:ascii="仿宋_GB2312" w:hAnsi="仿宋" w:eastAsia="仿宋_GB2312"/>
          <w:highlight w:val="none"/>
        </w:rPr>
        <w:t xml:space="preserve"> </w:t>
      </w:r>
      <w:r>
        <w:rPr>
          <w:rFonts w:hint="eastAsia" w:ascii="仿宋_GB2312" w:hAnsi="仿宋" w:eastAsia="仿宋_GB2312"/>
          <w:highlight w:val="none"/>
        </w:rPr>
        <w:t>以联合体形式参加政府采购活动的，其投诉应当由组成联合体的所有供应商共同提出。</w:t>
      </w:r>
    </w:p>
    <w:p w14:paraId="391223E0">
      <w:pPr>
        <w:pStyle w:val="34"/>
        <w:shd w:val="clear" w:color="auto" w:fill="FFFFFF"/>
        <w:snapToGrid w:val="0"/>
        <w:spacing w:after="240" w:afterAutospacing="0" w:line="360" w:lineRule="auto"/>
        <w:ind w:firstLine="420"/>
        <w:contextualSpacing/>
        <w:rPr>
          <w:rFonts w:ascii="仿宋_GB2312" w:hAnsi="仿宋" w:eastAsia="仿宋_GB2312"/>
          <w:highlight w:val="none"/>
        </w:rPr>
      </w:pPr>
      <w:r>
        <w:rPr>
          <w:rFonts w:hint="eastAsia" w:ascii="仿宋_GB2312" w:hAnsi="仿宋" w:eastAsia="仿宋_GB2312"/>
          <w:highlight w:val="none"/>
        </w:rPr>
        <w:t>投诉书范本及制作说明详见附件</w:t>
      </w:r>
      <w:r>
        <w:rPr>
          <w:rFonts w:ascii="仿宋_GB2312" w:hAnsi="仿宋" w:eastAsia="仿宋_GB2312"/>
          <w:highlight w:val="none"/>
        </w:rPr>
        <w:t>。</w:t>
      </w:r>
    </w:p>
    <w:p w14:paraId="44F1F855">
      <w:pPr>
        <w:pStyle w:val="35"/>
        <w:snapToGrid w:val="0"/>
        <w:spacing w:before="0"/>
        <w:ind w:firstLine="360"/>
        <w:rPr>
          <w:rFonts w:ascii="仿宋_GB2312" w:hAnsi="仿宋" w:eastAsia="仿宋_GB2312" w:cs="仿宋_GB2312"/>
          <w:sz w:val="18"/>
          <w:szCs w:val="18"/>
          <w:highlight w:val="none"/>
        </w:rPr>
      </w:pPr>
    </w:p>
    <w:p w14:paraId="32508C3B">
      <w:pPr>
        <w:snapToGrid w:val="0"/>
        <w:spacing w:line="360" w:lineRule="auto"/>
        <w:jc w:val="center"/>
        <w:outlineLvl w:val="0"/>
        <w:rPr>
          <w:rFonts w:ascii="仿宋_GB2312" w:hAnsi="仿宋" w:eastAsia="仿宋_GB2312" w:cs="仿宋_GB2312"/>
          <w:b/>
          <w:sz w:val="32"/>
          <w:szCs w:val="20"/>
          <w:highlight w:val="none"/>
        </w:rPr>
      </w:pPr>
      <w:bookmarkStart w:id="25" w:name="_Toc17751"/>
      <w:bookmarkStart w:id="26" w:name="_Toc26590"/>
      <w:bookmarkStart w:id="27" w:name="_Toc19948"/>
      <w:r>
        <w:rPr>
          <w:rFonts w:hint="eastAsia" w:ascii="仿宋_GB2312" w:hAnsi="仿宋" w:eastAsia="仿宋_GB2312" w:cs="仿宋_GB2312"/>
          <w:b/>
          <w:sz w:val="32"/>
          <w:szCs w:val="20"/>
          <w:highlight w:val="none"/>
        </w:rPr>
        <w:t>二、招标文件的构成、澄清、修改</w:t>
      </w:r>
      <w:bookmarkEnd w:id="25"/>
      <w:bookmarkEnd w:id="26"/>
      <w:bookmarkEnd w:id="27"/>
    </w:p>
    <w:p w14:paraId="3436685E">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5．招标文件的构成</w:t>
      </w:r>
    </w:p>
    <w:p w14:paraId="326E1138">
      <w:pPr>
        <w:pStyle w:val="13"/>
        <w:spacing w:line="360" w:lineRule="auto"/>
        <w:ind w:firstLine="420"/>
        <w:outlineLvl w:val="2"/>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 xml:space="preserve">5.1 </w:t>
      </w:r>
      <w:r>
        <w:rPr>
          <w:rFonts w:hint="eastAsia" w:ascii="仿宋_GB2312" w:hAnsi="仿宋" w:eastAsia="仿宋_GB2312" w:cs="仿宋_GB2312"/>
          <w:sz w:val="24"/>
          <w:szCs w:val="24"/>
          <w:highlight w:val="none"/>
        </w:rPr>
        <w:t>招标文件包括下列文件及附件：</w:t>
      </w:r>
    </w:p>
    <w:p w14:paraId="1A34D543">
      <w:pPr>
        <w:pStyle w:val="13"/>
        <w:tabs>
          <w:tab w:val="left" w:pos="840"/>
        </w:tabs>
        <w:spacing w:line="360" w:lineRule="auto"/>
        <w:ind w:firstLine="960" w:firstLineChars="40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5.1.1招标公告；</w:t>
      </w:r>
    </w:p>
    <w:p w14:paraId="6340A413">
      <w:pPr>
        <w:pStyle w:val="13"/>
        <w:tabs>
          <w:tab w:val="left" w:pos="840"/>
        </w:tabs>
        <w:spacing w:line="360" w:lineRule="auto"/>
        <w:ind w:firstLine="960" w:firstLineChars="40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5.1.2投标人须知；</w:t>
      </w:r>
    </w:p>
    <w:p w14:paraId="2DDDEBF3">
      <w:pPr>
        <w:pStyle w:val="13"/>
        <w:tabs>
          <w:tab w:val="left" w:pos="840"/>
        </w:tabs>
        <w:spacing w:line="360" w:lineRule="auto"/>
        <w:ind w:firstLine="960" w:firstLineChars="40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5.1.3采购需求；</w:t>
      </w:r>
    </w:p>
    <w:p w14:paraId="6C5D37CA">
      <w:pPr>
        <w:pStyle w:val="13"/>
        <w:tabs>
          <w:tab w:val="left" w:pos="840"/>
        </w:tabs>
        <w:spacing w:line="360" w:lineRule="auto"/>
        <w:ind w:firstLine="960" w:firstLineChars="40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5.1.4评标</w:t>
      </w:r>
      <w:r>
        <w:rPr>
          <w:rFonts w:hint="eastAsia" w:ascii="仿宋_GB2312" w:hAnsi="仿宋" w:eastAsia="仿宋_GB2312" w:cs="仿宋_GB2312"/>
          <w:sz w:val="24"/>
          <w:szCs w:val="24"/>
          <w:highlight w:val="none"/>
        </w:rPr>
        <w:t>办</w:t>
      </w:r>
      <w:r>
        <w:rPr>
          <w:rFonts w:ascii="仿宋_GB2312" w:hAnsi="仿宋" w:eastAsia="仿宋_GB2312" w:cs="仿宋_GB2312"/>
          <w:sz w:val="24"/>
          <w:szCs w:val="24"/>
          <w:highlight w:val="none"/>
        </w:rPr>
        <w:t>法；</w:t>
      </w:r>
    </w:p>
    <w:p w14:paraId="6896197C">
      <w:pPr>
        <w:pStyle w:val="13"/>
        <w:tabs>
          <w:tab w:val="left" w:pos="840"/>
        </w:tabs>
        <w:spacing w:line="360" w:lineRule="auto"/>
        <w:ind w:firstLine="960" w:firstLineChars="40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5.1.5</w:t>
      </w:r>
      <w:r>
        <w:rPr>
          <w:rFonts w:hint="eastAsia" w:ascii="仿宋_GB2312" w:hAnsi="仿宋" w:eastAsia="仿宋_GB2312" w:cs="仿宋_GB2312"/>
          <w:sz w:val="24"/>
          <w:szCs w:val="24"/>
          <w:highlight w:val="none"/>
        </w:rPr>
        <w:t>拟签订的合同文本；</w:t>
      </w:r>
    </w:p>
    <w:p w14:paraId="7305279F">
      <w:pPr>
        <w:pStyle w:val="13"/>
        <w:tabs>
          <w:tab w:val="left" w:pos="840"/>
        </w:tabs>
        <w:spacing w:line="360" w:lineRule="auto"/>
        <w:ind w:firstLine="960" w:firstLineChars="400"/>
        <w:rPr>
          <w:rFonts w:ascii="仿宋_GB2312" w:hAnsi="仿宋" w:eastAsia="仿宋_GB2312" w:cs="仿宋_GB2312"/>
          <w:sz w:val="24"/>
          <w:szCs w:val="24"/>
          <w:highlight w:val="none"/>
        </w:rPr>
      </w:pPr>
      <w:r>
        <w:rPr>
          <w:rFonts w:ascii="仿宋_GB2312" w:hAnsi="仿宋" w:eastAsia="仿宋_GB2312" w:cs="仿宋_GB2312"/>
          <w:sz w:val="24"/>
          <w:highlight w:val="none"/>
        </w:rPr>
        <w:t>5.1.6</w:t>
      </w:r>
      <w:r>
        <w:rPr>
          <w:rFonts w:hint="eastAsia" w:ascii="仿宋_GB2312" w:hAnsi="仿宋" w:eastAsia="仿宋_GB2312" w:cs="仿宋_GB2312"/>
          <w:sz w:val="24"/>
          <w:szCs w:val="24"/>
          <w:highlight w:val="none"/>
        </w:rPr>
        <w:t>应提交的有关格式范例。</w:t>
      </w:r>
    </w:p>
    <w:p w14:paraId="237AD6A5">
      <w:pPr>
        <w:spacing w:line="360" w:lineRule="auto"/>
        <w:ind w:firstLine="420"/>
        <w:outlineLvl w:val="2"/>
        <w:rPr>
          <w:rFonts w:ascii="仿宋_GB2312" w:hAnsi="仿宋" w:eastAsia="仿宋_GB2312" w:cs="仿宋_GB2312"/>
          <w:b/>
          <w:sz w:val="24"/>
          <w:highlight w:val="none"/>
        </w:rPr>
      </w:pPr>
      <w:r>
        <w:rPr>
          <w:rFonts w:ascii="仿宋_GB2312" w:hAnsi="仿宋" w:eastAsia="仿宋_GB2312"/>
          <w:sz w:val="24"/>
          <w:highlight w:val="none"/>
        </w:rPr>
        <w:t>5.2与本项目有关的</w:t>
      </w:r>
      <w:r>
        <w:rPr>
          <w:rFonts w:hint="eastAsia" w:ascii="仿宋_GB2312" w:hAnsi="仿宋" w:eastAsia="仿宋_GB2312"/>
          <w:bCs/>
          <w:sz w:val="24"/>
          <w:highlight w:val="none"/>
        </w:rPr>
        <w:t>澄清或者修改的内容为招标文件的组成部分</w:t>
      </w:r>
      <w:r>
        <w:rPr>
          <w:rFonts w:hint="eastAsia" w:ascii="仿宋_GB2312" w:hAnsi="仿宋" w:eastAsia="仿宋_GB2312" w:cs="仿宋_GB2312"/>
          <w:sz w:val="24"/>
          <w:highlight w:val="none"/>
        </w:rPr>
        <w:t>。</w:t>
      </w:r>
    </w:p>
    <w:p w14:paraId="65716AC3">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6. 招标文件的澄清、修改</w:t>
      </w:r>
    </w:p>
    <w:p w14:paraId="4E02BA5A">
      <w:pPr>
        <w:pStyle w:val="35"/>
        <w:snapToGrid w:val="0"/>
        <w:spacing w:before="0"/>
        <w:ind w:firstLine="420" w:firstLineChars="0"/>
        <w:rPr>
          <w:rFonts w:ascii="仿宋_GB2312" w:hAnsi="仿宋" w:eastAsia="仿宋_GB2312" w:cs="仿宋_GB2312"/>
          <w:highlight w:val="none"/>
        </w:rPr>
      </w:pPr>
      <w:r>
        <w:rPr>
          <w:rFonts w:ascii="仿宋_GB2312" w:hAnsi="仿宋" w:eastAsia="仿宋_GB2312" w:cs="仿宋_GB2312"/>
          <w:highlight w:val="none"/>
        </w:rPr>
        <w:t>6.1已获取招标文件的潜在投标人，若有问题需要澄清，应于投标截止时间前，以书面形式向采购机构提出。</w:t>
      </w:r>
    </w:p>
    <w:p w14:paraId="45BD4620">
      <w:pPr>
        <w:pStyle w:val="35"/>
        <w:snapToGrid w:val="0"/>
        <w:spacing w:before="0"/>
        <w:ind w:firstLine="420" w:firstLineChars="0"/>
        <w:rPr>
          <w:rFonts w:ascii="仿宋_GB2312" w:hAnsi="仿宋" w:eastAsia="仿宋_GB2312"/>
          <w:highlight w:val="none"/>
        </w:rPr>
      </w:pPr>
      <w:r>
        <w:rPr>
          <w:rFonts w:ascii="仿宋_GB2312" w:hAnsi="仿宋" w:eastAsia="仿宋_GB2312"/>
          <w:highlight w:val="none"/>
        </w:rPr>
        <w:t xml:space="preserve">6.2 </w:t>
      </w:r>
      <w:r>
        <w:rPr>
          <w:rFonts w:hint="eastAsia" w:ascii="仿宋_GB2312" w:hAnsi="仿宋" w:eastAsia="仿宋_GB2312"/>
          <w:highlight w:val="none"/>
        </w:rPr>
        <w:t>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4680BC9">
      <w:pPr>
        <w:pStyle w:val="11"/>
        <w:rPr>
          <w:rFonts w:ascii="仿宋_GB2312" w:hAnsi="仿宋" w:eastAsia="仿宋_GB2312" w:cs="仿宋_GB2312"/>
          <w:sz w:val="18"/>
          <w:szCs w:val="18"/>
          <w:highlight w:val="none"/>
        </w:rPr>
      </w:pPr>
      <w:r>
        <w:rPr>
          <w:rFonts w:ascii="仿宋_GB2312" w:hAnsi="仿宋" w:eastAsia="仿宋_GB2312" w:cs="仿宋_GB2312"/>
          <w:highlight w:val="none"/>
        </w:rPr>
        <w:t xml:space="preserve">    </w:t>
      </w:r>
    </w:p>
    <w:p w14:paraId="10695EEA">
      <w:pPr>
        <w:snapToGrid w:val="0"/>
        <w:spacing w:line="360" w:lineRule="auto"/>
        <w:jc w:val="center"/>
        <w:outlineLvl w:val="0"/>
        <w:rPr>
          <w:rFonts w:ascii="仿宋_GB2312" w:hAnsi="仿宋" w:eastAsia="仿宋_GB2312" w:cs="仿宋_GB2312"/>
          <w:b/>
          <w:sz w:val="32"/>
          <w:szCs w:val="20"/>
          <w:highlight w:val="none"/>
        </w:rPr>
      </w:pPr>
      <w:bookmarkStart w:id="28" w:name="_Toc30125"/>
      <w:bookmarkStart w:id="29" w:name="_Toc8080"/>
      <w:bookmarkStart w:id="30" w:name="_Toc30338"/>
      <w:r>
        <w:rPr>
          <w:rFonts w:hint="eastAsia" w:ascii="仿宋_GB2312" w:hAnsi="仿宋" w:eastAsia="仿宋_GB2312" w:cs="仿宋_GB2312"/>
          <w:b/>
          <w:sz w:val="32"/>
          <w:szCs w:val="20"/>
          <w:highlight w:val="none"/>
        </w:rPr>
        <w:t>三、投标</w:t>
      </w:r>
      <w:bookmarkEnd w:id="28"/>
      <w:bookmarkEnd w:id="29"/>
      <w:bookmarkEnd w:id="30"/>
    </w:p>
    <w:p w14:paraId="526F8DA4">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7. 招标文件的获取</w:t>
      </w:r>
    </w:p>
    <w:p w14:paraId="2718BD5C">
      <w:pPr>
        <w:spacing w:line="360" w:lineRule="auto"/>
        <w:ind w:firstLine="420"/>
        <w:rPr>
          <w:rFonts w:ascii="仿宋_GB2312" w:hAnsi="仿宋" w:eastAsia="仿宋_GB2312" w:cs="仿宋_GB2312"/>
          <w:b/>
          <w:sz w:val="24"/>
          <w:highlight w:val="none"/>
        </w:rPr>
      </w:pPr>
      <w:r>
        <w:rPr>
          <w:rFonts w:hint="eastAsia" w:ascii="仿宋_GB2312" w:hAnsi="仿宋" w:eastAsia="仿宋_GB2312" w:cs="仿宋_GB2312"/>
          <w:snapToGrid w:val="0"/>
          <w:kern w:val="28"/>
          <w:sz w:val="24"/>
          <w:highlight w:val="none"/>
        </w:rPr>
        <w:t>详见招标公告中获取招标文件的时间期限、地点、方式。</w:t>
      </w:r>
    </w:p>
    <w:p w14:paraId="02DF67DF">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8.开标前答疑会或现场考察</w:t>
      </w:r>
    </w:p>
    <w:p w14:paraId="093ED238">
      <w:pPr>
        <w:pStyle w:val="13"/>
        <w:spacing w:line="360" w:lineRule="auto"/>
        <w:ind w:firstLine="420"/>
        <w:rPr>
          <w:rFonts w:ascii="仿宋_GB2312" w:hAnsi="仿宋" w:eastAsia="仿宋_GB2312"/>
          <w:b/>
          <w:kern w:val="28"/>
          <w:sz w:val="24"/>
          <w:szCs w:val="24"/>
          <w:highlight w:val="none"/>
        </w:rPr>
      </w:pPr>
      <w:r>
        <w:rPr>
          <w:rFonts w:hint="eastAsia" w:ascii="仿宋_GB2312" w:hAnsi="仿宋" w:eastAsia="仿宋_GB2312"/>
          <w:sz w:val="24"/>
          <w:szCs w:val="24"/>
          <w:highlight w:val="none"/>
        </w:rPr>
        <w:t>采购人组织潜在投标人现场考察或者召开开标前答疑会的，潜在投标人按第二部分投标人须知前附表的规定参加现场考察或者开标前答疑会。</w:t>
      </w:r>
    </w:p>
    <w:p w14:paraId="441B2123">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9.投标保证金</w:t>
      </w:r>
    </w:p>
    <w:p w14:paraId="71C4387A">
      <w:pPr>
        <w:pStyle w:val="9"/>
        <w:spacing w:line="360" w:lineRule="auto"/>
        <w:ind w:firstLine="470" w:firstLineChars="196"/>
        <w:rPr>
          <w:rFonts w:ascii="仿宋_GB2312" w:hAnsi="仿宋" w:eastAsia="仿宋_GB2312" w:cs="仿宋_GB2312"/>
          <w:b/>
          <w:sz w:val="24"/>
          <w:szCs w:val="24"/>
          <w:highlight w:val="none"/>
        </w:rPr>
      </w:pPr>
      <w:r>
        <w:rPr>
          <w:rFonts w:hint="eastAsia" w:ascii="仿宋_GB2312" w:hAnsi="仿宋" w:eastAsia="仿宋_GB2312" w:cs="仿宋_GB2312"/>
          <w:snapToGrid w:val="0"/>
          <w:kern w:val="28"/>
          <w:sz w:val="24"/>
          <w:highlight w:val="none"/>
        </w:rPr>
        <w:t>详见前附表</w:t>
      </w:r>
      <w:r>
        <w:rPr>
          <w:rFonts w:hint="eastAsia" w:ascii="仿宋_GB2312" w:hAnsi="仿宋" w:eastAsia="仿宋_GB2312" w:cs="仿宋_GB2312"/>
          <w:sz w:val="24"/>
          <w:highlight w:val="none"/>
        </w:rPr>
        <w:t>。</w:t>
      </w:r>
    </w:p>
    <w:p w14:paraId="003027B3">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10. 投标文件的语言</w:t>
      </w:r>
    </w:p>
    <w:p w14:paraId="1F3182EA">
      <w:pPr>
        <w:autoSpaceDE w:val="0"/>
        <w:autoSpaceDN w:val="0"/>
        <w:spacing w:line="360" w:lineRule="auto"/>
        <w:ind w:firstLine="480" w:firstLineChars="200"/>
        <w:rPr>
          <w:rFonts w:ascii="仿宋_GB2312" w:hAnsi="仿宋" w:eastAsia="仿宋_GB2312" w:cs="仿宋_GB2312"/>
          <w:b/>
          <w:sz w:val="24"/>
          <w:highlight w:val="none"/>
        </w:rPr>
      </w:pPr>
      <w:r>
        <w:rPr>
          <w:rFonts w:hint="eastAsia" w:ascii="仿宋_GB2312" w:hAnsi="仿宋" w:eastAsia="仿宋_GB2312" w:cs="仿宋_GB2312"/>
          <w:sz w:val="24"/>
          <w:highlight w:val="none"/>
        </w:rPr>
        <w:t>投标文件及投标人与采购有关的来往通知、函件和文件均应使用中文。</w:t>
      </w:r>
    </w:p>
    <w:p w14:paraId="000C9464">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11. 投标文件的组成</w:t>
      </w:r>
    </w:p>
    <w:p w14:paraId="4518BF56">
      <w:pPr>
        <w:snapToGrid w:val="0"/>
        <w:spacing w:line="360" w:lineRule="auto"/>
        <w:ind w:firstLine="480" w:firstLineChars="200"/>
        <w:outlineLvl w:val="2"/>
        <w:rPr>
          <w:rFonts w:ascii="仿宋_GB2312" w:hAnsi="仿宋" w:eastAsia="仿宋_GB2312" w:cs="仿宋_GB2312"/>
          <w:sz w:val="24"/>
          <w:highlight w:val="none"/>
        </w:rPr>
      </w:pPr>
      <w:r>
        <w:rPr>
          <w:rFonts w:ascii="仿宋_GB2312" w:hAnsi="仿宋" w:eastAsia="仿宋_GB2312" w:cs="仿宋_GB2312"/>
          <w:sz w:val="24"/>
          <w:highlight w:val="none"/>
        </w:rPr>
        <w:t>11.1</w:t>
      </w:r>
      <w:r>
        <w:rPr>
          <w:rFonts w:hint="eastAsia" w:ascii="仿宋_GB2312" w:hAnsi="仿宋" w:eastAsia="仿宋_GB2312" w:cs="仿宋_GB2312"/>
          <w:b/>
          <w:sz w:val="24"/>
          <w:highlight w:val="none"/>
        </w:rPr>
        <w:t>资格文件</w:t>
      </w:r>
      <w:r>
        <w:rPr>
          <w:rFonts w:hint="eastAsia" w:ascii="仿宋_GB2312" w:hAnsi="仿宋" w:eastAsia="仿宋_GB2312" w:cs="仿宋_GB2312"/>
          <w:sz w:val="24"/>
          <w:highlight w:val="none"/>
        </w:rPr>
        <w:t>：</w:t>
      </w:r>
    </w:p>
    <w:p w14:paraId="4CEAF6D5">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11.1.1符合参加政府采购活动应当具备的一般条件的承诺函；</w:t>
      </w:r>
    </w:p>
    <w:p w14:paraId="1AE8BCE5">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11.1.2落实政府采购政策需满足的资格要求；</w:t>
      </w:r>
    </w:p>
    <w:p w14:paraId="01256460">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11.1.3本项目的特定资格要求</w:t>
      </w:r>
      <w:r>
        <w:rPr>
          <w:rFonts w:hint="eastAsia" w:ascii="仿宋_GB2312" w:hAnsi="仿宋" w:eastAsia="仿宋_GB2312" w:cs="仿宋_GB2312"/>
          <w:sz w:val="24"/>
          <w:highlight w:val="none"/>
        </w:rPr>
        <w:t>；</w:t>
      </w:r>
    </w:p>
    <w:p w14:paraId="38FF9795">
      <w:pPr>
        <w:snapToGrid w:val="0"/>
        <w:spacing w:line="360" w:lineRule="auto"/>
        <w:ind w:firstLine="480" w:firstLineChars="200"/>
        <w:outlineLvl w:val="2"/>
        <w:rPr>
          <w:rFonts w:ascii="仿宋_GB2312" w:hAnsi="仿宋" w:eastAsia="仿宋_GB2312" w:cs="仿宋_GB2312"/>
          <w:sz w:val="24"/>
          <w:highlight w:val="none"/>
          <w:lang w:val="zh-CN"/>
        </w:rPr>
      </w:pPr>
      <w:r>
        <w:rPr>
          <w:rFonts w:ascii="仿宋_GB2312" w:hAnsi="仿宋" w:eastAsia="仿宋_GB2312" w:cs="仿宋_GB2312"/>
          <w:sz w:val="24"/>
          <w:highlight w:val="none"/>
          <w:lang w:val="zh-CN"/>
        </w:rPr>
        <w:t>11.</w:t>
      </w:r>
      <w:r>
        <w:rPr>
          <w:rFonts w:ascii="仿宋_GB2312" w:hAnsi="仿宋" w:eastAsia="仿宋_GB2312" w:cs="仿宋_GB2312"/>
          <w:sz w:val="24"/>
          <w:highlight w:val="none"/>
        </w:rPr>
        <w:t>2</w:t>
      </w:r>
      <w:r>
        <w:rPr>
          <w:rFonts w:ascii="仿宋_GB2312" w:hAnsi="仿宋" w:eastAsia="仿宋_GB2312" w:cs="仿宋_GB2312"/>
          <w:sz w:val="24"/>
          <w:highlight w:val="none"/>
          <w:lang w:val="zh-CN"/>
        </w:rPr>
        <w:t xml:space="preserve">  </w:t>
      </w:r>
      <w:r>
        <w:rPr>
          <w:rFonts w:hint="eastAsia" w:ascii="仿宋_GB2312" w:hAnsi="仿宋" w:eastAsia="仿宋_GB2312" w:cs="仿宋_GB2312"/>
          <w:sz w:val="24"/>
          <w:highlight w:val="none"/>
        </w:rPr>
        <w:t>商务技术</w:t>
      </w:r>
      <w:r>
        <w:rPr>
          <w:rFonts w:hint="eastAsia" w:ascii="仿宋_GB2312" w:hAnsi="仿宋" w:eastAsia="仿宋_GB2312" w:cs="仿宋_GB2312"/>
          <w:sz w:val="24"/>
          <w:highlight w:val="none"/>
          <w:lang w:val="zh-CN"/>
        </w:rPr>
        <w:t>文件：</w:t>
      </w:r>
    </w:p>
    <w:p w14:paraId="5FFA05ED">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11.2.1投标函；</w:t>
      </w:r>
      <w:r>
        <w:rPr>
          <w:rFonts w:ascii="仿宋_GB2312" w:hAnsi="仿宋" w:eastAsia="仿宋_GB2312" w:cs="仿宋_GB2312"/>
          <w:sz w:val="24"/>
          <w:highlight w:val="none"/>
          <w:lang w:val="zh-CN"/>
        </w:rPr>
        <w:t xml:space="preserve"> </w:t>
      </w:r>
    </w:p>
    <w:p w14:paraId="682A8950">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11.2.2授权委托书或法定代表人（单位负责人、自然人本人）身份证明；</w:t>
      </w:r>
    </w:p>
    <w:p w14:paraId="10D05917">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11.2.</w:t>
      </w:r>
      <w:r>
        <w:rPr>
          <w:rFonts w:hint="eastAsia" w:ascii="仿宋_GB2312" w:hAnsi="仿宋" w:eastAsia="仿宋_GB2312" w:cs="仿宋_GB2312"/>
          <w:sz w:val="24"/>
          <w:highlight w:val="none"/>
          <w:lang w:val="en-US" w:eastAsia="zh-CN"/>
        </w:rPr>
        <w:t>3</w:t>
      </w:r>
      <w:r>
        <w:rPr>
          <w:rFonts w:ascii="仿宋_GB2312" w:hAnsi="仿宋" w:eastAsia="仿宋_GB2312" w:cs="仿宋_GB2312"/>
          <w:sz w:val="24"/>
          <w:highlight w:val="none"/>
        </w:rPr>
        <w:t>符合性审查资料；</w:t>
      </w:r>
    </w:p>
    <w:p w14:paraId="67F041A7">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11.2.</w:t>
      </w:r>
      <w:r>
        <w:rPr>
          <w:rFonts w:hint="eastAsia" w:ascii="仿宋_GB2312" w:hAnsi="仿宋" w:eastAsia="仿宋_GB2312" w:cs="仿宋_GB2312"/>
          <w:sz w:val="24"/>
          <w:highlight w:val="none"/>
          <w:lang w:val="en-US" w:eastAsia="zh-CN"/>
        </w:rPr>
        <w:t>4</w:t>
      </w:r>
      <w:r>
        <w:rPr>
          <w:rFonts w:ascii="仿宋_GB2312" w:hAnsi="仿宋" w:eastAsia="仿宋_GB2312" w:cs="仿宋_GB2312"/>
          <w:sz w:val="24"/>
          <w:highlight w:val="none"/>
        </w:rPr>
        <w:t>评标标准相应的商务技术资料；</w:t>
      </w:r>
    </w:p>
    <w:p w14:paraId="49F32A05">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11.2.</w:t>
      </w:r>
      <w:r>
        <w:rPr>
          <w:rFonts w:hint="eastAsia" w:ascii="仿宋_GB2312" w:hAnsi="仿宋" w:eastAsia="仿宋_GB2312" w:cs="仿宋_GB2312"/>
          <w:sz w:val="24"/>
          <w:highlight w:val="none"/>
          <w:lang w:val="en-US" w:eastAsia="zh-CN"/>
        </w:rPr>
        <w:t>5</w:t>
      </w:r>
      <w:r>
        <w:rPr>
          <w:rFonts w:ascii="仿宋_GB2312" w:hAnsi="仿宋" w:eastAsia="仿宋_GB2312" w:cs="仿宋_GB2312"/>
          <w:sz w:val="24"/>
          <w:highlight w:val="none"/>
        </w:rPr>
        <w:t>投标标的清单；</w:t>
      </w:r>
    </w:p>
    <w:p w14:paraId="77EAEE52">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11.2.</w:t>
      </w:r>
      <w:r>
        <w:rPr>
          <w:rFonts w:hint="eastAsia" w:ascii="仿宋_GB2312" w:hAnsi="仿宋" w:eastAsia="仿宋_GB2312" w:cs="仿宋_GB2312"/>
          <w:sz w:val="24"/>
          <w:highlight w:val="none"/>
          <w:lang w:val="en-US" w:eastAsia="zh-CN"/>
        </w:rPr>
        <w:t>6</w:t>
      </w:r>
      <w:r>
        <w:rPr>
          <w:rFonts w:ascii="仿宋_GB2312" w:hAnsi="仿宋" w:eastAsia="仿宋_GB2312" w:cs="仿宋_GB2312"/>
          <w:sz w:val="24"/>
          <w:highlight w:val="none"/>
        </w:rPr>
        <w:t>商务技术偏离表；</w:t>
      </w:r>
    </w:p>
    <w:p w14:paraId="48266B80">
      <w:pPr>
        <w:snapToGrid w:val="0"/>
        <w:spacing w:line="360" w:lineRule="auto"/>
        <w:ind w:firstLine="960" w:firstLineChars="400"/>
        <w:rPr>
          <w:rFonts w:ascii="仿宋_GB2312" w:hAnsi="仿宋" w:eastAsia="仿宋_GB2312" w:cs="仿宋_GB2312"/>
          <w:sz w:val="24"/>
          <w:highlight w:val="none"/>
          <w:lang w:val="zh-CN"/>
        </w:rPr>
      </w:pPr>
      <w:r>
        <w:rPr>
          <w:rFonts w:ascii="仿宋_GB2312" w:hAnsi="仿宋" w:eastAsia="仿宋_GB2312" w:cs="仿宋_GB2312"/>
          <w:sz w:val="24"/>
          <w:highlight w:val="none"/>
          <w:lang w:val="zh-CN"/>
        </w:rPr>
        <w:t>11.</w:t>
      </w:r>
      <w:r>
        <w:rPr>
          <w:rFonts w:ascii="仿宋_GB2312" w:hAnsi="仿宋" w:eastAsia="仿宋_GB2312" w:cs="仿宋_GB2312"/>
          <w:sz w:val="24"/>
          <w:highlight w:val="none"/>
        </w:rPr>
        <w:t>2</w:t>
      </w:r>
      <w:r>
        <w:rPr>
          <w:rFonts w:ascii="仿宋_GB2312" w:hAnsi="仿宋" w:eastAsia="仿宋_GB2312" w:cs="仿宋_GB2312"/>
          <w:sz w:val="24"/>
          <w:highlight w:val="none"/>
          <w:lang w:val="zh-CN"/>
        </w:rPr>
        <w:t>.</w:t>
      </w:r>
      <w:r>
        <w:rPr>
          <w:rFonts w:hint="eastAsia" w:ascii="仿宋_GB2312" w:hAnsi="仿宋" w:eastAsia="仿宋_GB2312" w:cs="仿宋_GB2312"/>
          <w:sz w:val="24"/>
          <w:highlight w:val="none"/>
          <w:lang w:val="en-US" w:eastAsia="zh-CN"/>
        </w:rPr>
        <w:t>7</w:t>
      </w:r>
      <w:r>
        <w:rPr>
          <w:rFonts w:hint="eastAsia" w:ascii="仿宋_GB2312" w:hAnsi="仿宋" w:eastAsia="仿宋_GB2312" w:cs="仿宋_GB2312"/>
          <w:sz w:val="24"/>
          <w:highlight w:val="none"/>
          <w:lang w:val="zh-CN"/>
        </w:rPr>
        <w:t>政府采购供应商廉洁自律承诺书；</w:t>
      </w:r>
    </w:p>
    <w:p w14:paraId="10E1C923">
      <w:pPr>
        <w:snapToGrid w:val="0"/>
        <w:spacing w:line="360" w:lineRule="auto"/>
        <w:ind w:firstLine="480" w:firstLineChars="200"/>
        <w:outlineLvl w:val="2"/>
        <w:rPr>
          <w:rFonts w:ascii="仿宋_GB2312" w:hAnsi="仿宋" w:eastAsia="仿宋_GB2312" w:cs="仿宋_GB2312"/>
          <w:sz w:val="24"/>
          <w:highlight w:val="none"/>
          <w:u w:val="single"/>
          <w:lang w:val="zh-CN"/>
        </w:rPr>
      </w:pPr>
      <w:r>
        <w:rPr>
          <w:rFonts w:ascii="仿宋_GB2312" w:hAnsi="仿宋" w:eastAsia="仿宋_GB2312" w:cs="仿宋_GB2312"/>
          <w:kern w:val="0"/>
          <w:sz w:val="24"/>
          <w:highlight w:val="none"/>
          <w:lang w:val="zh-CN"/>
        </w:rPr>
        <w:t>11.</w:t>
      </w:r>
      <w:r>
        <w:rPr>
          <w:rFonts w:ascii="仿宋_GB2312" w:hAnsi="仿宋" w:eastAsia="仿宋_GB2312" w:cs="仿宋_GB2312"/>
          <w:kern w:val="0"/>
          <w:sz w:val="24"/>
          <w:highlight w:val="none"/>
        </w:rPr>
        <w:t>3</w:t>
      </w:r>
      <w:r>
        <w:rPr>
          <w:rFonts w:hint="eastAsia" w:ascii="仿宋_GB2312" w:hAnsi="仿宋" w:eastAsia="仿宋_GB2312" w:cs="仿宋_GB2312"/>
          <w:b/>
          <w:sz w:val="24"/>
          <w:highlight w:val="none"/>
        </w:rPr>
        <w:t>报价文件：</w:t>
      </w:r>
      <w:r>
        <w:rPr>
          <w:rFonts w:ascii="仿宋_GB2312" w:hAnsi="仿宋" w:eastAsia="仿宋_GB2312" w:cs="仿宋_GB2312"/>
          <w:sz w:val="24"/>
          <w:highlight w:val="none"/>
        </w:rPr>
        <w:t xml:space="preserve"> </w:t>
      </w:r>
    </w:p>
    <w:p w14:paraId="063051EE">
      <w:pPr>
        <w:snapToGrid w:val="0"/>
        <w:spacing w:line="360" w:lineRule="auto"/>
        <w:ind w:firstLine="960" w:firstLineChars="400"/>
        <w:rPr>
          <w:rFonts w:ascii="仿宋_GB2312" w:hAnsi="仿宋" w:eastAsia="仿宋_GB2312" w:cs="仿宋_GB2312"/>
          <w:sz w:val="24"/>
          <w:highlight w:val="none"/>
        </w:rPr>
      </w:pPr>
      <w:r>
        <w:rPr>
          <w:rFonts w:ascii="仿宋_GB2312" w:hAnsi="仿宋" w:eastAsia="仿宋_GB2312" w:cs="仿宋_GB2312"/>
          <w:sz w:val="24"/>
          <w:highlight w:val="none"/>
        </w:rPr>
        <w:t>11.3.1开标一览表（报价表）；</w:t>
      </w:r>
    </w:p>
    <w:p w14:paraId="6D792743">
      <w:pPr>
        <w:snapToGrid w:val="0"/>
        <w:spacing w:line="360" w:lineRule="auto"/>
        <w:ind w:firstLine="960" w:firstLineChars="400"/>
        <w:rPr>
          <w:rFonts w:ascii="仿宋_GB2312" w:hAnsi="仿宋" w:cs="仿宋_GB2312"/>
          <w:sz w:val="24"/>
          <w:highlight w:val="none"/>
        </w:rPr>
      </w:pPr>
      <w:r>
        <w:rPr>
          <w:rFonts w:ascii="仿宋_GB2312" w:hAnsi="仿宋" w:eastAsia="仿宋_GB2312" w:cs="仿宋_GB2312"/>
          <w:sz w:val="24"/>
          <w:highlight w:val="none"/>
        </w:rPr>
        <w:t>11.3.2</w:t>
      </w:r>
      <w:r>
        <w:rPr>
          <w:rFonts w:hint="eastAsia" w:ascii="仿宋_GB2312" w:hAnsi="仿宋" w:eastAsia="仿宋_GB2312" w:cs="仿宋_GB2312"/>
          <w:sz w:val="24"/>
          <w:highlight w:val="none"/>
        </w:rPr>
        <w:t>投标报价明细表。</w:t>
      </w:r>
    </w:p>
    <w:p w14:paraId="259A497F">
      <w:pPr>
        <w:spacing w:line="360" w:lineRule="auto"/>
        <w:ind w:firstLine="420"/>
        <w:rPr>
          <w:rFonts w:ascii="仿宋_GB2312" w:hAnsi="仿宋" w:eastAsia="仿宋_GB2312"/>
          <w:b/>
          <w:sz w:val="24"/>
          <w:highlight w:val="none"/>
        </w:rPr>
      </w:pPr>
      <w:r>
        <w:rPr>
          <w:rFonts w:hint="eastAsia" w:ascii="仿宋_GB2312" w:hAnsi="仿宋" w:eastAsia="仿宋_GB2312"/>
          <w:b/>
          <w:sz w:val="24"/>
          <w:highlight w:val="none"/>
        </w:rPr>
        <w:t>投标文件含有采购人不能接受的附加条件的，投标无效；</w:t>
      </w:r>
    </w:p>
    <w:p w14:paraId="521F049D">
      <w:pPr>
        <w:spacing w:line="360" w:lineRule="auto"/>
        <w:ind w:firstLine="420"/>
        <w:rPr>
          <w:rFonts w:ascii="仿宋_GB2312" w:hAnsi="仿宋" w:eastAsia="仿宋_GB2312" w:cs="仿宋_GB2312"/>
          <w:b/>
          <w:highlight w:val="none"/>
        </w:rPr>
      </w:pPr>
      <w:r>
        <w:rPr>
          <w:rFonts w:hint="eastAsia" w:ascii="仿宋_GB2312" w:hAnsi="仿宋" w:eastAsia="仿宋_GB2312"/>
          <w:b/>
          <w:sz w:val="24"/>
          <w:highlight w:val="none"/>
        </w:rPr>
        <w:t>投标人提供虚假材料投标的，投标无效。</w:t>
      </w:r>
    </w:p>
    <w:p w14:paraId="2F9E4460">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12</w:t>
      </w:r>
      <w:r>
        <w:rPr>
          <w:rFonts w:hint="eastAsia" w:ascii="仿宋" w:hAnsi="仿宋" w:eastAsia="仿宋" w:cs="仿宋"/>
          <w:sz w:val="24"/>
          <w:szCs w:val="24"/>
          <w:highlight w:val="none"/>
          <w:lang w:val="zh-CN"/>
        </w:rPr>
        <w:t xml:space="preserve">. </w:t>
      </w:r>
      <w:r>
        <w:rPr>
          <w:rFonts w:hint="eastAsia" w:ascii="仿宋" w:hAnsi="仿宋" w:eastAsia="仿宋" w:cs="仿宋"/>
          <w:sz w:val="24"/>
          <w:szCs w:val="24"/>
          <w:highlight w:val="none"/>
        </w:rPr>
        <w:t>投标文件的编制</w:t>
      </w:r>
    </w:p>
    <w:p w14:paraId="56E13536">
      <w:pPr>
        <w:spacing w:line="360" w:lineRule="auto"/>
        <w:ind w:firstLine="480" w:firstLineChars="200"/>
        <w:rPr>
          <w:rFonts w:ascii="仿宋_GB2312" w:hAnsi="仿宋" w:eastAsia="仿宋_GB2312" w:cs="仿宋_GB2312"/>
          <w:b/>
          <w:sz w:val="24"/>
          <w:highlight w:val="none"/>
        </w:rPr>
      </w:pPr>
      <w:r>
        <w:rPr>
          <w:rFonts w:ascii="仿宋_GB2312" w:hAnsi="仿宋" w:eastAsia="仿宋_GB2312" w:cs="仿宋_GB2312"/>
          <w:kern w:val="0"/>
          <w:sz w:val="24"/>
          <w:highlight w:val="none"/>
          <w:lang w:val="zh-CN"/>
        </w:rPr>
        <w:t>12.1投标文件分为资格文件、商务技术文件、报价文件三部分。各投标人在编制投标文件时请按照招标文件第六部</w:t>
      </w:r>
      <w:r>
        <w:rPr>
          <w:rFonts w:hint="eastAsia" w:ascii="仿宋_GB2312" w:hAnsi="仿宋" w:eastAsia="仿宋_GB2312" w:cs="仿宋_GB2312"/>
          <w:kern w:val="0"/>
          <w:sz w:val="24"/>
          <w:highlight w:val="none"/>
          <w:lang w:val="zh-CN"/>
        </w:rPr>
        <w:t>分规定的格式进行，混乱的编排导致投标文件被误读或评标委员会查找不到有效文件是投标人的风险。</w:t>
      </w:r>
    </w:p>
    <w:p w14:paraId="4124A9CD">
      <w:pPr>
        <w:spacing w:line="360" w:lineRule="auto"/>
        <w:ind w:firstLine="480" w:firstLineChars="200"/>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12.2投标人进行电子投标应安装客户端软件—“政</w:t>
      </w:r>
      <w:r>
        <w:rPr>
          <w:rFonts w:hint="eastAsia" w:ascii="仿宋_GB2312" w:hAnsi="仿宋" w:eastAsia="仿宋_GB2312" w:cs="仿宋_GB2312"/>
          <w:kern w:val="0"/>
          <w:sz w:val="24"/>
          <w:highlight w:val="none"/>
          <w:lang w:val="zh-CN"/>
        </w:rPr>
        <w:t>采云电子交易客户端”，并按照招标文件和电子交易平台的要求编制并加密投标文件。投标人未按规定加密的投标文件，电子交易平台将拒收并提示。</w:t>
      </w:r>
    </w:p>
    <w:p w14:paraId="2960B3C6">
      <w:pPr>
        <w:spacing w:line="360" w:lineRule="auto"/>
        <w:ind w:firstLine="480" w:firstLineChars="200"/>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12.3使用“政</w:t>
      </w:r>
      <w:r>
        <w:rPr>
          <w:rFonts w:hint="eastAsia" w:ascii="仿宋_GB2312" w:hAnsi="仿宋" w:eastAsia="仿宋_GB2312" w:cs="仿宋_GB2312"/>
          <w:kern w:val="0"/>
          <w:sz w:val="24"/>
          <w:highlight w:val="none"/>
          <w:lang w:val="zh-CN"/>
        </w:rPr>
        <w:t>采云电子交易客户端”需要提前申领</w:t>
      </w:r>
      <w:r>
        <w:rPr>
          <w:rFonts w:ascii="仿宋_GB2312" w:hAnsi="仿宋" w:eastAsia="仿宋_GB2312" w:cs="仿宋_GB2312"/>
          <w:kern w:val="0"/>
          <w:sz w:val="24"/>
          <w:highlight w:val="none"/>
          <w:lang w:val="zh-CN"/>
        </w:rPr>
        <w:t>CA数字证书，申领流程请自行前往“</w:t>
      </w:r>
      <w:r>
        <w:rPr>
          <w:rFonts w:hint="eastAsia" w:ascii="仿宋_GB2312" w:hAnsi="仿宋" w:eastAsia="仿宋_GB2312" w:cs="仿宋_GB2312"/>
          <w:kern w:val="0"/>
          <w:sz w:val="24"/>
          <w:highlight w:val="none"/>
        </w:rPr>
        <w:t>新疆</w:t>
      </w:r>
      <w:r>
        <w:rPr>
          <w:rFonts w:ascii="仿宋_GB2312" w:hAnsi="仿宋" w:eastAsia="仿宋_GB2312" w:cs="仿宋_GB2312"/>
          <w:kern w:val="0"/>
          <w:sz w:val="24"/>
          <w:highlight w:val="none"/>
          <w:lang w:val="zh-CN"/>
        </w:rPr>
        <w:t>政府采购网-下载专区-电子交易客户端</w:t>
      </w:r>
      <w:r>
        <w:rPr>
          <w:rFonts w:hint="eastAsia" w:ascii="仿宋_GB2312" w:hAnsi="仿宋" w:eastAsia="仿宋_GB2312" w:cs="仿宋_GB2312"/>
          <w:kern w:val="0"/>
          <w:sz w:val="24"/>
          <w:highlight w:val="none"/>
          <w:lang w:val="zh-CN"/>
        </w:rPr>
        <w:t>（政采云电子招投标供应商操作指南；政采云电子招投标供应商投标客户端；）</w:t>
      </w:r>
      <w:r>
        <w:rPr>
          <w:rFonts w:ascii="仿宋_GB2312" w:hAnsi="仿宋" w:eastAsia="仿宋_GB2312" w:cs="仿宋_GB2312"/>
          <w:kern w:val="0"/>
          <w:sz w:val="24"/>
          <w:highlight w:val="none"/>
          <w:lang w:val="zh-CN"/>
        </w:rPr>
        <w:t>”进行查阅。</w:t>
      </w:r>
    </w:p>
    <w:p w14:paraId="03842DDA">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13.投标文件的签署、盖章</w:t>
      </w:r>
    </w:p>
    <w:p w14:paraId="55CA4E82">
      <w:pPr>
        <w:pStyle w:val="35"/>
        <w:snapToGrid w:val="0"/>
        <w:spacing w:before="0"/>
        <w:ind w:firstLine="480"/>
        <w:rPr>
          <w:rFonts w:ascii="仿宋_GB2312" w:hAnsi="仿宋" w:eastAsia="仿宋_GB2312" w:cs="仿宋_GB2312"/>
          <w:highlight w:val="none"/>
        </w:rPr>
      </w:pPr>
      <w:r>
        <w:rPr>
          <w:rFonts w:ascii="仿宋_GB2312" w:hAnsi="仿宋" w:eastAsia="仿宋_GB2312" w:cs="仿宋_GB2312"/>
          <w:szCs w:val="24"/>
          <w:highlight w:val="none"/>
        </w:rPr>
        <w:t>13.1投标文件按照招标文件第六部分格式要</w:t>
      </w:r>
      <w:r>
        <w:rPr>
          <w:rFonts w:hint="eastAsia" w:ascii="仿宋_GB2312" w:hAnsi="仿宋" w:eastAsia="仿宋_GB2312" w:cs="仿宋_GB2312"/>
          <w:highlight w:val="none"/>
        </w:rPr>
        <w:t>求进行签署、盖章。</w:t>
      </w:r>
    </w:p>
    <w:p w14:paraId="20462F42">
      <w:pPr>
        <w:pStyle w:val="35"/>
        <w:snapToGrid w:val="0"/>
        <w:spacing w:before="0"/>
        <w:ind w:firstLine="482"/>
        <w:rPr>
          <w:rFonts w:ascii="仿宋_GB2312" w:hAnsi="仿宋" w:eastAsia="仿宋_GB2312" w:cs="仿宋_GB2312"/>
          <w:b/>
          <w:highlight w:val="none"/>
        </w:rPr>
      </w:pPr>
      <w:r>
        <w:rPr>
          <w:rFonts w:hint="eastAsia" w:ascii="仿宋_GB2312" w:hAnsi="仿宋" w:eastAsia="仿宋_GB2312"/>
          <w:b/>
          <w:highlight w:val="none"/>
        </w:rPr>
        <w:t>▲</w:t>
      </w:r>
      <w:r>
        <w:rPr>
          <w:rFonts w:hint="eastAsia" w:ascii="仿宋_GB2312" w:hAnsi="仿宋" w:eastAsia="仿宋_GB2312" w:cs="仿宋_GB2312"/>
          <w:b/>
          <w:highlight w:val="none"/>
        </w:rPr>
        <w:t>投标人的投标文件未按照招标文件要求签署、盖章的，其投标无效</w:t>
      </w:r>
      <w:r>
        <w:rPr>
          <w:rFonts w:hint="eastAsia" w:ascii="仿宋_GB2312" w:hAnsi="仿宋" w:eastAsia="仿宋_GB2312" w:cs="仿宋_GB2312"/>
          <w:szCs w:val="24"/>
          <w:highlight w:val="none"/>
        </w:rPr>
        <w:t>。</w:t>
      </w:r>
    </w:p>
    <w:p w14:paraId="0C5EB761">
      <w:pPr>
        <w:pStyle w:val="35"/>
        <w:snapToGrid w:val="0"/>
        <w:spacing w:before="0"/>
        <w:ind w:firstLine="480"/>
        <w:rPr>
          <w:rFonts w:ascii="仿宋_GB2312" w:hAnsi="仿宋" w:eastAsia="仿宋_GB2312" w:cs="仿宋_GB2312"/>
          <w:highlight w:val="none"/>
        </w:rPr>
      </w:pPr>
      <w:r>
        <w:rPr>
          <w:rFonts w:ascii="仿宋_GB2312" w:hAnsi="仿宋" w:eastAsia="仿宋_GB2312" w:cs="仿宋_GB2312"/>
          <w:highlight w:val="none"/>
        </w:rPr>
        <w:t>13.2为确保网上操作合法、有效和安全，投标人应当在投标截止时间前完成在“政府采购云平台”的身份认证，确保在电子投标过程中能够对相关数据电文进行加密和使用电子签名。</w:t>
      </w:r>
    </w:p>
    <w:p w14:paraId="1BA8DF1A">
      <w:pPr>
        <w:pStyle w:val="35"/>
        <w:snapToGrid w:val="0"/>
        <w:spacing w:before="0"/>
        <w:ind w:firstLine="480"/>
        <w:rPr>
          <w:rFonts w:ascii="仿宋_GB2312" w:hAnsi="仿宋" w:eastAsia="仿宋_GB2312" w:cs="仿宋_GB2312"/>
          <w:b/>
          <w:szCs w:val="24"/>
          <w:highlight w:val="none"/>
        </w:rPr>
      </w:pPr>
      <w:r>
        <w:rPr>
          <w:rFonts w:ascii="仿宋_GB2312" w:hAnsi="仿宋" w:eastAsia="仿宋_GB2312" w:cs="仿宋_GB2312"/>
          <w:highlight w:val="none"/>
        </w:rPr>
        <w:t>13.3招标文件对投标文件签署、盖章的要求适用于电子签名。</w:t>
      </w:r>
    </w:p>
    <w:p w14:paraId="0BBD2B66">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14. 投标文件的提交、补充、修改、撤回</w:t>
      </w:r>
    </w:p>
    <w:p w14:paraId="3925CBA0">
      <w:pPr>
        <w:pStyle w:val="35"/>
        <w:spacing w:before="0"/>
        <w:ind w:firstLine="420" w:firstLineChars="0"/>
        <w:rPr>
          <w:rFonts w:ascii="仿宋_GB2312" w:hAnsi="仿宋" w:eastAsia="仿宋_GB2312" w:cs="仿宋_GB2312"/>
          <w:szCs w:val="24"/>
          <w:highlight w:val="none"/>
        </w:rPr>
      </w:pPr>
      <w:r>
        <w:rPr>
          <w:rFonts w:ascii="仿宋_GB2312" w:hAnsi="仿宋" w:eastAsia="仿宋_GB2312" w:cs="仿宋_GB2312"/>
          <w:szCs w:val="24"/>
          <w:highlight w:val="none"/>
        </w:rPr>
        <w:t xml:space="preserve">14.1 </w:t>
      </w:r>
      <w:r>
        <w:rPr>
          <w:rFonts w:hint="eastAsia" w:ascii="仿宋_GB2312" w:hAnsi="仿宋" w:eastAsia="仿宋_GB2312" w:cs="仿宋_GB2312"/>
          <w:szCs w:val="24"/>
          <w:highlight w:val="none"/>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E6DB3C0">
      <w:pPr>
        <w:pStyle w:val="35"/>
        <w:spacing w:before="0"/>
        <w:ind w:firstLine="480"/>
        <w:rPr>
          <w:rFonts w:ascii="仿宋_GB2312" w:hAnsi="仿宋" w:eastAsia="仿宋_GB2312" w:cs="仿宋_GB2312"/>
          <w:szCs w:val="24"/>
          <w:highlight w:val="none"/>
        </w:rPr>
      </w:pPr>
      <w:r>
        <w:rPr>
          <w:rFonts w:ascii="仿宋_GB2312" w:hAnsi="仿宋" w:eastAsia="仿宋_GB2312" w:cs="仿宋_GB2312"/>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A4E6763">
      <w:pPr>
        <w:pStyle w:val="35"/>
        <w:spacing w:before="0"/>
        <w:ind w:firstLine="420" w:firstLineChars="0"/>
        <w:rPr>
          <w:rFonts w:ascii="仿宋_GB2312" w:hAnsi="仿宋" w:eastAsia="仿宋_GB2312" w:cs="仿宋_GB2312"/>
          <w:b/>
          <w:szCs w:val="24"/>
          <w:highlight w:val="none"/>
        </w:rPr>
      </w:pPr>
      <w:r>
        <w:rPr>
          <w:rFonts w:ascii="仿宋_GB2312" w:hAnsi="仿宋" w:eastAsia="仿宋_GB2312" w:cs="仿宋_GB2312"/>
          <w:szCs w:val="24"/>
          <w:highlight w:val="none"/>
        </w:rPr>
        <w:t>14.3采购人、采购机构可以视情况延长投标文件提交的截止时间。在上述情况下，采购机构与投标人以前在投标截止期方面的全部权利、责任和义务，将适用于延长至新的投标截止期。</w:t>
      </w:r>
    </w:p>
    <w:p w14:paraId="5F1750F5">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15.备份投标文件（本项目不适应）</w:t>
      </w:r>
    </w:p>
    <w:p w14:paraId="5513C4BB">
      <w:pPr>
        <w:pStyle w:val="13"/>
        <w:spacing w:line="360" w:lineRule="auto"/>
        <w:ind w:firstLine="42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15.1投标人在电子交易平台传输递交投标文件后，还可以在投标截止时间前直接提交或者以邮政快递方式递交备份投标文件1份，</w:t>
      </w:r>
      <w:r>
        <w:rPr>
          <w:rFonts w:hint="eastAsia" w:ascii="仿宋_GB2312" w:hAnsi="仿宋" w:eastAsia="仿宋_GB2312" w:cs="仿宋_GB2312"/>
          <w:sz w:val="24"/>
          <w:szCs w:val="24"/>
          <w:highlight w:val="none"/>
        </w:rPr>
        <w:t>但采购人、采购机构不强制或变相强制投标人提交备份投标文件。</w:t>
      </w:r>
    </w:p>
    <w:p w14:paraId="6458D8F6">
      <w:pPr>
        <w:pStyle w:val="13"/>
        <w:spacing w:line="360" w:lineRule="auto"/>
        <w:ind w:firstLine="42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15.2备份投标文件须在“政</w:t>
      </w:r>
      <w:r>
        <w:rPr>
          <w:rFonts w:hint="eastAsia" w:ascii="仿宋_GB2312" w:hAnsi="仿宋" w:eastAsia="仿宋_GB2312" w:cs="仿宋_GB2312"/>
          <w:sz w:val="24"/>
          <w:szCs w:val="24"/>
          <w:highlight w:val="none"/>
        </w:rPr>
        <w:t>采云投标客户端”制作生成，并储存在</w:t>
      </w:r>
      <w:r>
        <w:rPr>
          <w:rFonts w:ascii="仿宋_GB2312" w:hAnsi="仿宋" w:eastAsia="仿宋_GB2312" w:cs="仿宋_GB2312"/>
          <w:sz w:val="24"/>
          <w:szCs w:val="24"/>
          <w:highlight w:val="none"/>
        </w:rPr>
        <w:t>DVD光盘</w:t>
      </w:r>
      <w:r>
        <w:rPr>
          <w:rFonts w:hint="eastAsia" w:ascii="仿宋_GB2312" w:hAnsi="仿宋" w:eastAsia="仿宋_GB2312" w:cs="仿宋_GB2312"/>
          <w:sz w:val="24"/>
          <w:szCs w:val="24"/>
          <w:highlight w:val="none"/>
        </w:rPr>
        <w:t>（或者U盘）中。备份投标文件应当密封包装并在包装上加盖公章并注明投标项目名称，投标人名称</w:t>
      </w:r>
      <w:r>
        <w:rPr>
          <w:rFonts w:ascii="仿宋_GB2312" w:hAnsi="仿宋" w:eastAsia="仿宋_GB2312" w:cs="仿宋_GB2312"/>
          <w:sz w:val="24"/>
          <w:szCs w:val="24"/>
          <w:highlight w:val="none"/>
        </w:rPr>
        <w:t>(联合体投标的，包装物封面需注明联合体投标，并注明联合体成员各方的名称和联合协议中约定的牵头人的名称)。</w:t>
      </w:r>
      <w:r>
        <w:rPr>
          <w:rFonts w:hint="eastAsia" w:ascii="仿宋_GB2312" w:hAnsi="仿宋" w:eastAsia="仿宋_GB2312" w:cs="仿宋_GB2312"/>
          <w:sz w:val="24"/>
          <w:szCs w:val="24"/>
          <w:highlight w:val="none"/>
        </w:rPr>
        <w:t>不符合上述制作、存储、密封规定的备份投标文件将被视为无效或者被拒绝接收。</w:t>
      </w:r>
    </w:p>
    <w:p w14:paraId="372944C5">
      <w:pPr>
        <w:pStyle w:val="13"/>
        <w:spacing w:line="360" w:lineRule="auto"/>
        <w:ind w:firstLine="42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15.3直接提交备份投标文件的，投标人应于投标截止时间前在招标公告中载明的开标地点将备份投标文件提交给采购机构，采购机构将拒绝接受逾期送达的备份投标文件。</w:t>
      </w:r>
    </w:p>
    <w:p w14:paraId="01B797E0">
      <w:pPr>
        <w:pStyle w:val="13"/>
        <w:spacing w:line="360" w:lineRule="auto"/>
        <w:ind w:firstLine="420"/>
        <w:rPr>
          <w:rFonts w:ascii="仿宋_GB2312" w:hAnsi="仿宋" w:eastAsia="仿宋_GB2312" w:cs="仿宋_GB2312"/>
          <w:sz w:val="24"/>
          <w:szCs w:val="24"/>
          <w:highlight w:val="none"/>
        </w:rPr>
      </w:pPr>
      <w:r>
        <w:rPr>
          <w:rFonts w:ascii="仿宋_GB2312" w:hAnsi="仿宋" w:eastAsia="仿宋_GB2312" w:cs="仿宋_GB2312"/>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仿宋_GB2312" w:hAnsi="仿宋" w:eastAsia="仿宋_GB2312" w:cs="仿宋_GB2312"/>
          <w:sz w:val="24"/>
          <w:szCs w:val="24"/>
          <w:highlight w:val="none"/>
        </w:rPr>
        <w:t>招标文件第二部分投标人须知前附表规定的备份投标文件送达地点；送达时间以签收人签收时间为准。采购机构将拒绝接受逾期送达的备份投标文件。邮寄过程中，电子备份投标文件发生泄露、遗失、损坏或延期送达等情况的，由投标人自行负责。</w:t>
      </w:r>
    </w:p>
    <w:p w14:paraId="0C2F4200">
      <w:pPr>
        <w:pStyle w:val="13"/>
        <w:spacing w:line="360" w:lineRule="auto"/>
        <w:ind w:firstLine="479" w:firstLineChars="199"/>
        <w:rPr>
          <w:rFonts w:ascii="仿宋_GB2312" w:hAnsi="仿宋" w:eastAsia="仿宋_GB2312" w:cs="仿宋_GB2312"/>
          <w:b/>
          <w:szCs w:val="24"/>
          <w:highlight w:val="none"/>
        </w:rPr>
      </w:pPr>
      <w:r>
        <w:rPr>
          <w:rFonts w:ascii="仿宋_GB2312" w:hAnsi="仿宋" w:eastAsia="仿宋_GB2312" w:cs="仿宋_GB2312"/>
          <w:b/>
          <w:sz w:val="24"/>
          <w:szCs w:val="24"/>
          <w:highlight w:val="none"/>
        </w:rPr>
        <w:t>15.5投标人仅提交备份投标文件，</w:t>
      </w:r>
      <w:r>
        <w:rPr>
          <w:rFonts w:hint="eastAsia" w:ascii="仿宋_GB2312" w:hAnsi="仿宋" w:eastAsia="仿宋_GB2312" w:cs="仿宋_GB2312"/>
          <w:b/>
          <w:sz w:val="24"/>
          <w:szCs w:val="24"/>
          <w:highlight w:val="none"/>
        </w:rPr>
        <w:t>未</w:t>
      </w:r>
      <w:r>
        <w:rPr>
          <w:rFonts w:ascii="仿宋_GB2312" w:hAnsi="仿宋" w:eastAsia="仿宋_GB2312" w:cs="仿宋_GB2312"/>
          <w:b/>
          <w:sz w:val="24"/>
          <w:szCs w:val="24"/>
          <w:highlight w:val="none"/>
        </w:rPr>
        <w:t>在电子交易平台传输递交投标文件的，投标无效。</w:t>
      </w:r>
    </w:p>
    <w:p w14:paraId="5B87B6F9">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16.投标文件的无效处理</w:t>
      </w:r>
    </w:p>
    <w:p w14:paraId="30C79E2C">
      <w:pPr>
        <w:pStyle w:val="3"/>
        <w:ind w:firstLine="360" w:firstLineChars="150"/>
        <w:rPr>
          <w:rFonts w:ascii="仿宋_GB2312" w:hAnsi="仿宋" w:eastAsia="仿宋_GB2312" w:cs="仿宋_GB2312"/>
          <w:b/>
          <w:szCs w:val="24"/>
          <w:highlight w:val="none"/>
        </w:rPr>
      </w:pPr>
      <w:r>
        <w:rPr>
          <w:rFonts w:hint="eastAsia" w:ascii="仿宋_GB2312" w:hAnsi="仿宋" w:eastAsia="仿宋_GB2312" w:cs="仿宋_GB2312"/>
          <w:szCs w:val="21"/>
          <w:highlight w:val="none"/>
        </w:rPr>
        <w:t>有招标文件第四部分</w:t>
      </w:r>
      <w:r>
        <w:rPr>
          <w:rFonts w:hint="eastAsia" w:ascii="仿宋_GB2312" w:hAnsi="仿宋" w:eastAsia="仿宋_GB2312"/>
          <w:highlight w:val="none"/>
        </w:rPr>
        <w:t>第4.2</w:t>
      </w:r>
      <w:r>
        <w:rPr>
          <w:rFonts w:ascii="仿宋_GB2312" w:hAnsi="仿宋" w:eastAsia="仿宋_GB2312"/>
          <w:highlight w:val="none"/>
        </w:rPr>
        <w:t>项规定</w:t>
      </w:r>
      <w:r>
        <w:rPr>
          <w:rFonts w:hint="eastAsia" w:ascii="仿宋_GB2312" w:hAnsi="仿宋" w:eastAsia="仿宋_GB2312" w:cs="仿宋_GB2312"/>
          <w:szCs w:val="21"/>
          <w:highlight w:val="none"/>
        </w:rPr>
        <w:t>的情形之一的，投标无效。</w:t>
      </w:r>
    </w:p>
    <w:p w14:paraId="21D40479">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17.投标有效期</w:t>
      </w:r>
    </w:p>
    <w:p w14:paraId="0502F85E">
      <w:pPr>
        <w:spacing w:line="360" w:lineRule="auto"/>
        <w:ind w:firstLine="480" w:firstLineChars="200"/>
        <w:rPr>
          <w:rFonts w:ascii="仿宋_GB2312" w:hAnsi="仿宋" w:eastAsia="仿宋_GB2312" w:cs="仿宋_GB2312"/>
          <w:sz w:val="24"/>
          <w:szCs w:val="20"/>
          <w:highlight w:val="none"/>
        </w:rPr>
      </w:pPr>
      <w:r>
        <w:rPr>
          <w:rFonts w:ascii="仿宋_GB2312" w:hAnsi="仿宋" w:eastAsia="仿宋_GB2312" w:cs="仿宋_GB2312"/>
          <w:sz w:val="24"/>
          <w:szCs w:val="20"/>
          <w:highlight w:val="none"/>
        </w:rPr>
        <w:t>17.1投标有效期为从提交投标文件的截止之日起90天。</w:t>
      </w:r>
    </w:p>
    <w:p w14:paraId="355D1AB4">
      <w:pPr>
        <w:spacing w:line="360" w:lineRule="auto"/>
        <w:ind w:firstLine="480" w:firstLineChars="200"/>
        <w:rPr>
          <w:rFonts w:ascii="仿宋_GB2312" w:hAnsi="仿宋" w:eastAsia="仿宋_GB2312" w:cs="仿宋_GB2312"/>
          <w:b/>
          <w:sz w:val="24"/>
          <w:szCs w:val="21"/>
          <w:highlight w:val="none"/>
        </w:rPr>
      </w:pPr>
      <w:r>
        <w:rPr>
          <w:rFonts w:ascii="仿宋_GB2312" w:hAnsi="仿宋" w:eastAsia="仿宋_GB2312" w:cs="仿宋_GB2312"/>
          <w:sz w:val="24"/>
          <w:szCs w:val="20"/>
          <w:highlight w:val="none"/>
        </w:rPr>
        <w:t>▲</w:t>
      </w:r>
      <w:r>
        <w:rPr>
          <w:rFonts w:hint="eastAsia" w:ascii="仿宋_GB2312" w:hAnsi="仿宋" w:eastAsia="仿宋_GB2312" w:cs="仿宋_GB2312"/>
          <w:b/>
          <w:sz w:val="24"/>
          <w:szCs w:val="20"/>
          <w:highlight w:val="none"/>
        </w:rPr>
        <w:t>投标人的投标文件中承</w:t>
      </w:r>
      <w:r>
        <w:rPr>
          <w:rFonts w:hint="eastAsia" w:ascii="仿宋_GB2312" w:hAnsi="仿宋" w:eastAsia="仿宋_GB2312" w:cs="仿宋_GB2312"/>
          <w:b/>
          <w:sz w:val="24"/>
          <w:szCs w:val="21"/>
          <w:highlight w:val="none"/>
        </w:rPr>
        <w:t>诺的投标有效期少于招标文件中载明的投标有效期的，投标无效。</w:t>
      </w:r>
    </w:p>
    <w:p w14:paraId="4549E286">
      <w:pPr>
        <w:pStyle w:val="35"/>
        <w:spacing w:before="0"/>
        <w:ind w:firstLine="480"/>
        <w:rPr>
          <w:rFonts w:ascii="仿宋_GB2312" w:hAnsi="仿宋" w:eastAsia="仿宋_GB2312" w:cs="仿宋_GB2312"/>
          <w:highlight w:val="none"/>
        </w:rPr>
      </w:pPr>
      <w:r>
        <w:rPr>
          <w:rFonts w:ascii="仿宋_GB2312" w:hAnsi="仿宋" w:eastAsia="仿宋_GB2312" w:cs="仿宋_GB2312"/>
          <w:highlight w:val="none"/>
        </w:rPr>
        <w:t>17.2投标文件合格投递后，自投标截止日期起，在投标有效期内有效。</w:t>
      </w:r>
    </w:p>
    <w:p w14:paraId="094E3C1E">
      <w:pPr>
        <w:pStyle w:val="35"/>
        <w:spacing w:before="0"/>
        <w:ind w:firstLine="480"/>
        <w:rPr>
          <w:rFonts w:ascii="仿宋_GB2312" w:hAnsi="仿宋" w:eastAsia="仿宋_GB2312" w:cs="仿宋_GB2312"/>
          <w:highlight w:val="none"/>
        </w:rPr>
      </w:pPr>
      <w:r>
        <w:rPr>
          <w:rFonts w:ascii="仿宋_GB2312" w:hAnsi="仿宋" w:eastAsia="仿宋_GB2312" w:cs="仿宋_GB2312"/>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66D2F7AC">
      <w:pPr>
        <w:pStyle w:val="35"/>
        <w:spacing w:before="0"/>
        <w:ind w:firstLine="643"/>
        <w:rPr>
          <w:rFonts w:ascii="仿宋_GB2312" w:hAnsi="仿宋" w:eastAsia="仿宋_GB2312" w:cs="仿宋_GB2312"/>
          <w:b/>
          <w:sz w:val="32"/>
          <w:highlight w:val="none"/>
        </w:rPr>
      </w:pPr>
    </w:p>
    <w:p w14:paraId="73E9A961">
      <w:pPr>
        <w:snapToGrid w:val="0"/>
        <w:spacing w:line="360" w:lineRule="auto"/>
        <w:jc w:val="center"/>
        <w:outlineLvl w:val="0"/>
        <w:rPr>
          <w:rFonts w:ascii="仿宋_GB2312" w:hAnsi="仿宋" w:eastAsia="仿宋_GB2312" w:cs="仿宋_GB2312"/>
          <w:b/>
          <w:sz w:val="32"/>
          <w:szCs w:val="20"/>
          <w:highlight w:val="none"/>
        </w:rPr>
      </w:pPr>
      <w:bookmarkStart w:id="31" w:name="_Toc21386"/>
      <w:bookmarkStart w:id="32" w:name="_Toc19785"/>
      <w:bookmarkStart w:id="33" w:name="_Toc11697"/>
      <w:r>
        <w:rPr>
          <w:rFonts w:hint="eastAsia" w:ascii="仿宋_GB2312" w:hAnsi="仿宋" w:eastAsia="仿宋_GB2312" w:cs="仿宋_GB2312"/>
          <w:b/>
          <w:sz w:val="32"/>
          <w:szCs w:val="20"/>
          <w:highlight w:val="none"/>
        </w:rPr>
        <w:t>四、开标、资格审查与信用信息查询</w:t>
      </w:r>
      <w:bookmarkEnd w:id="31"/>
      <w:bookmarkEnd w:id="32"/>
      <w:bookmarkEnd w:id="33"/>
    </w:p>
    <w:p w14:paraId="4C133A14">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18.开标 </w:t>
      </w:r>
    </w:p>
    <w:p w14:paraId="23406482">
      <w:pPr>
        <w:pStyle w:val="36"/>
        <w:spacing w:before="0" w:line="360" w:lineRule="auto"/>
        <w:ind w:left="0" w:firstLine="420"/>
        <w:contextualSpacing/>
        <w:rPr>
          <w:rFonts w:ascii="仿宋_GB2312" w:hAnsi="仿宋" w:eastAsia="仿宋_GB2312" w:cs="仿宋_GB2312"/>
          <w:sz w:val="24"/>
          <w:highlight w:val="none"/>
        </w:rPr>
      </w:pPr>
      <w:r>
        <w:rPr>
          <w:rFonts w:ascii="仿宋_GB2312" w:hAnsi="仿宋" w:eastAsia="仿宋_GB2312" w:cs="仿宋_GB2312"/>
          <w:sz w:val="24"/>
          <w:highlight w:val="none"/>
        </w:rPr>
        <w:t>18.1采购机构按照招标文件规定的时间通过电子交易平台组织开标，所有投标人均应当准时在线参加。投标人不足3家的，不得开标。</w:t>
      </w:r>
    </w:p>
    <w:p w14:paraId="2CB2F08D">
      <w:pPr>
        <w:pStyle w:val="36"/>
        <w:spacing w:before="0" w:line="360" w:lineRule="auto"/>
        <w:ind w:left="0" w:firstLine="420"/>
        <w:contextualSpacing/>
        <w:rPr>
          <w:rFonts w:ascii="仿宋_GB2312" w:hAnsi="仿宋" w:eastAsia="仿宋_GB2312" w:cs="仿宋_GB2312"/>
          <w:sz w:val="24"/>
          <w:highlight w:val="none"/>
        </w:rPr>
      </w:pPr>
      <w:r>
        <w:rPr>
          <w:rFonts w:ascii="仿宋_GB2312" w:hAnsi="仿宋" w:eastAsia="仿宋_GB2312" w:cs="仿宋_GB2312"/>
          <w:sz w:val="24"/>
          <w:highlight w:val="none"/>
        </w:rPr>
        <w:t>18.2开标时，电子交易平台按开标时间自动提取所有投标文件。采购机构依托电子交易平台发起开始解密指令，投标人按照平台提示和招标文件的规定在半小时内完成在线解密。</w:t>
      </w:r>
    </w:p>
    <w:p w14:paraId="49FC5604">
      <w:pPr>
        <w:pStyle w:val="36"/>
        <w:spacing w:before="0" w:line="360" w:lineRule="auto"/>
        <w:ind w:left="0" w:firstLine="420"/>
        <w:contextualSpacing/>
        <w:rPr>
          <w:rFonts w:ascii="仿宋_GB2312" w:hAnsi="仿宋" w:eastAsia="仿宋_GB2312" w:cs="仿宋_GB2312"/>
          <w:b/>
          <w:sz w:val="24"/>
          <w:highlight w:val="none"/>
        </w:rPr>
      </w:pPr>
      <w:r>
        <w:rPr>
          <w:rFonts w:ascii="仿宋_GB2312" w:hAnsi="仿宋" w:eastAsia="仿宋_GB2312" w:cs="仿宋_GB2312"/>
          <w:sz w:val="24"/>
          <w:highlight w:val="none"/>
        </w:rPr>
        <w:t>18.3</w:t>
      </w:r>
      <w:r>
        <w:rPr>
          <w:rFonts w:hint="eastAsia" w:ascii="仿宋_GB2312" w:hAnsi="仿宋" w:eastAsia="仿宋_GB2312" w:cs="仿宋_GB2312"/>
          <w:b/>
          <w:sz w:val="24"/>
          <w:highlight w:val="none"/>
        </w:rPr>
        <w:t>投标文件未按时解密，投标人提供了备份投标文件的，以备份投标文件作为依据，否则视为投标文件撤回。投标文件已按时解密的，备份投标文件自动失效。</w:t>
      </w:r>
    </w:p>
    <w:p w14:paraId="566138A2">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19.资格审查</w:t>
      </w:r>
    </w:p>
    <w:p w14:paraId="375CE72B">
      <w:pPr>
        <w:pStyle w:val="35"/>
        <w:spacing w:before="0"/>
        <w:ind w:firstLine="420" w:firstLineChars="0"/>
        <w:rPr>
          <w:rFonts w:ascii="仿宋_GB2312" w:hAnsi="仿宋" w:eastAsia="仿宋_GB2312" w:cs="Arial"/>
          <w:kern w:val="0"/>
          <w:szCs w:val="24"/>
          <w:highlight w:val="none"/>
        </w:rPr>
      </w:pPr>
      <w:r>
        <w:rPr>
          <w:rFonts w:ascii="仿宋_GB2312" w:hAnsi="仿宋" w:eastAsia="仿宋_GB2312" w:cs="Arial"/>
          <w:kern w:val="0"/>
          <w:szCs w:val="24"/>
          <w:highlight w:val="none"/>
        </w:rPr>
        <w:t>19.1开标后，采购人或采购机构将依法对投标人的资格进行审查。</w:t>
      </w:r>
    </w:p>
    <w:p w14:paraId="7320B928">
      <w:pPr>
        <w:snapToGrid w:val="0"/>
        <w:spacing w:line="360" w:lineRule="auto"/>
        <w:ind w:firstLine="420"/>
        <w:rPr>
          <w:rFonts w:ascii="仿宋_GB2312" w:hAnsi="仿宋" w:eastAsia="仿宋_GB2312" w:cs="仿宋_GB2312"/>
          <w:sz w:val="24"/>
          <w:highlight w:val="none"/>
        </w:rPr>
      </w:pPr>
      <w:r>
        <w:rPr>
          <w:rFonts w:ascii="仿宋_GB2312" w:hAnsi="仿宋" w:eastAsia="仿宋_GB2312" w:cs="Arial"/>
          <w:kern w:val="0"/>
          <w:sz w:val="24"/>
          <w:highlight w:val="none"/>
        </w:rPr>
        <w:t>19.2</w:t>
      </w:r>
      <w:r>
        <w:rPr>
          <w:rFonts w:hint="eastAsia" w:ascii="仿宋_GB2312" w:hAnsi="仿宋" w:eastAsia="仿宋_GB2312" w:cs="仿宋_GB2312"/>
          <w:sz w:val="24"/>
          <w:highlight w:val="none"/>
        </w:rPr>
        <w:t>采购人或采购机构依据法律法规和招标文件的规定，对投标人的基本资格条件、特定资格条件进行审查。</w:t>
      </w:r>
    </w:p>
    <w:p w14:paraId="34938358">
      <w:pPr>
        <w:pStyle w:val="35"/>
        <w:spacing w:before="0"/>
        <w:ind w:firstLine="420" w:firstLineChars="0"/>
        <w:rPr>
          <w:rFonts w:ascii="仿宋_GB2312" w:hAnsi="仿宋" w:eastAsia="仿宋_GB2312" w:cs="仿宋_GB2312"/>
          <w:highlight w:val="none"/>
        </w:rPr>
      </w:pPr>
      <w:r>
        <w:rPr>
          <w:rFonts w:ascii="仿宋_GB2312" w:hAnsi="仿宋" w:eastAsia="仿宋_GB2312" w:cs="Arial"/>
          <w:kern w:val="0"/>
          <w:szCs w:val="24"/>
          <w:highlight w:val="none"/>
        </w:rPr>
        <w:t>19.3投标人未按照招标文件要求提供与</w:t>
      </w:r>
      <w:r>
        <w:rPr>
          <w:rFonts w:hint="eastAsia" w:ascii="仿宋_GB2312" w:hAnsi="仿宋" w:eastAsia="仿宋_GB2312" w:cs="仿宋_GB2312"/>
          <w:highlight w:val="none"/>
        </w:rPr>
        <w:t>基本资格条件、特定资格条件相应的</w:t>
      </w:r>
      <w:r>
        <w:rPr>
          <w:rFonts w:hint="eastAsia" w:ascii="仿宋_GB2312" w:hAnsi="仿宋" w:eastAsia="仿宋_GB2312" w:cs="Arial"/>
          <w:kern w:val="0"/>
          <w:szCs w:val="24"/>
          <w:highlight w:val="none"/>
        </w:rPr>
        <w:t>有效资格证明材料的，视为</w:t>
      </w:r>
      <w:r>
        <w:rPr>
          <w:rFonts w:hint="eastAsia" w:ascii="仿宋_GB2312" w:hAnsi="仿宋" w:eastAsia="仿宋_GB2312" w:cs="仿宋_GB2312"/>
          <w:highlight w:val="none"/>
        </w:rPr>
        <w:t>投标人不具备招标文件中规定的资格要求，其投标无效。</w:t>
      </w:r>
    </w:p>
    <w:p w14:paraId="5D916ED1">
      <w:pPr>
        <w:pStyle w:val="35"/>
        <w:spacing w:before="0"/>
        <w:ind w:firstLine="420" w:firstLineChars="0"/>
        <w:rPr>
          <w:rFonts w:ascii="仿宋_GB2312" w:hAnsi="仿宋" w:eastAsia="仿宋_GB2312" w:cs="仿宋_GB2312"/>
          <w:highlight w:val="none"/>
        </w:rPr>
      </w:pPr>
      <w:r>
        <w:rPr>
          <w:rFonts w:ascii="仿宋_GB2312" w:hAnsi="仿宋" w:eastAsia="仿宋_GB2312" w:cs="Arial"/>
          <w:kern w:val="0"/>
          <w:szCs w:val="24"/>
          <w:highlight w:val="none"/>
        </w:rPr>
        <w:t>19.</w:t>
      </w:r>
      <w:r>
        <w:rPr>
          <w:rFonts w:ascii="仿宋_GB2312" w:hAnsi="仿宋" w:eastAsia="仿宋_GB2312" w:cs="仿宋_GB2312"/>
          <w:highlight w:val="none"/>
        </w:rPr>
        <w:t>4对未通过资格审查的投标人，采购人或采购机构告知其未通过的原因。</w:t>
      </w:r>
    </w:p>
    <w:p w14:paraId="04D9F562">
      <w:pPr>
        <w:pStyle w:val="35"/>
        <w:spacing w:before="0"/>
        <w:ind w:firstLine="420" w:firstLineChars="0"/>
        <w:rPr>
          <w:rFonts w:ascii="仿宋_GB2312" w:hAnsi="仿宋" w:eastAsia="仿宋_GB2312" w:cs="仿宋_GB2312"/>
          <w:highlight w:val="none"/>
        </w:rPr>
      </w:pPr>
      <w:r>
        <w:rPr>
          <w:rFonts w:ascii="仿宋_GB2312" w:hAnsi="仿宋" w:eastAsia="仿宋_GB2312" w:cs="Arial"/>
          <w:kern w:val="0"/>
          <w:szCs w:val="24"/>
          <w:highlight w:val="none"/>
        </w:rPr>
        <w:t>19.</w:t>
      </w:r>
      <w:r>
        <w:rPr>
          <w:rFonts w:ascii="仿宋_GB2312" w:hAnsi="仿宋" w:eastAsia="仿宋_GB2312" w:cs="仿宋_GB2312"/>
          <w:highlight w:val="none"/>
        </w:rPr>
        <w:t>5合格投标人不足3家的，不再评标。</w:t>
      </w:r>
    </w:p>
    <w:tbl>
      <w:tblPr>
        <w:tblStyle w:val="22"/>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062"/>
        <w:gridCol w:w="6424"/>
      </w:tblGrid>
      <w:tr w14:paraId="76E8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93" w:type="dxa"/>
            <w:vMerge w:val="restart"/>
            <w:noWrap/>
            <w:vAlign w:val="center"/>
          </w:tcPr>
          <w:p w14:paraId="6D027E68">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序号</w:t>
            </w:r>
          </w:p>
        </w:tc>
        <w:tc>
          <w:tcPr>
            <w:tcW w:w="2062" w:type="dxa"/>
            <w:vMerge w:val="restart"/>
            <w:noWrap/>
            <w:vAlign w:val="center"/>
          </w:tcPr>
          <w:p w14:paraId="57DF5D2D">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资格要求</w:t>
            </w:r>
          </w:p>
        </w:tc>
        <w:tc>
          <w:tcPr>
            <w:tcW w:w="6424" w:type="dxa"/>
            <w:vMerge w:val="restart"/>
            <w:noWrap/>
            <w:vAlign w:val="center"/>
          </w:tcPr>
          <w:p w14:paraId="4BED0412">
            <w:pPr>
              <w:widowControl/>
              <w:spacing w:line="360" w:lineRule="auto"/>
              <w:jc w:val="center"/>
              <w:rPr>
                <w:rFonts w:ascii="仿宋" w:hAnsi="仿宋" w:eastAsia="仿宋" w:cs="仿宋"/>
                <w:color w:val="000000"/>
                <w:kern w:val="0"/>
                <w:sz w:val="24"/>
                <w:highlight w:val="none"/>
              </w:rPr>
            </w:pPr>
            <w:r>
              <w:rPr>
                <w:rFonts w:hint="eastAsia" w:ascii="仿宋_GB2312" w:hAnsi="仿宋" w:eastAsia="仿宋_GB2312" w:cs="仿宋_GB2312"/>
                <w:sz w:val="24"/>
                <w:szCs w:val="20"/>
                <w:highlight w:val="none"/>
              </w:rPr>
              <w:t>评审内容</w:t>
            </w:r>
          </w:p>
        </w:tc>
      </w:tr>
      <w:tr w14:paraId="0942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93" w:type="dxa"/>
            <w:vMerge w:val="continue"/>
            <w:vAlign w:val="center"/>
          </w:tcPr>
          <w:p w14:paraId="268D89CF">
            <w:pPr>
              <w:widowControl/>
              <w:spacing w:line="360" w:lineRule="auto"/>
              <w:rPr>
                <w:rFonts w:ascii="仿宋" w:hAnsi="仿宋" w:eastAsia="仿宋" w:cs="仿宋"/>
                <w:color w:val="000000"/>
                <w:kern w:val="0"/>
                <w:sz w:val="24"/>
                <w:highlight w:val="none"/>
              </w:rPr>
            </w:pPr>
          </w:p>
        </w:tc>
        <w:tc>
          <w:tcPr>
            <w:tcW w:w="2062" w:type="dxa"/>
            <w:vMerge w:val="continue"/>
            <w:vAlign w:val="center"/>
          </w:tcPr>
          <w:p w14:paraId="56696B1C">
            <w:pPr>
              <w:widowControl/>
              <w:spacing w:line="360" w:lineRule="auto"/>
              <w:rPr>
                <w:rFonts w:ascii="仿宋" w:hAnsi="仿宋" w:eastAsia="仿宋" w:cs="仿宋"/>
                <w:color w:val="000000"/>
                <w:kern w:val="0"/>
                <w:sz w:val="24"/>
                <w:highlight w:val="none"/>
              </w:rPr>
            </w:pPr>
          </w:p>
        </w:tc>
        <w:tc>
          <w:tcPr>
            <w:tcW w:w="6424" w:type="dxa"/>
            <w:vMerge w:val="continue"/>
            <w:vAlign w:val="center"/>
          </w:tcPr>
          <w:p w14:paraId="0FC374A7">
            <w:pPr>
              <w:widowControl/>
              <w:spacing w:line="360" w:lineRule="auto"/>
              <w:rPr>
                <w:rFonts w:ascii="仿宋" w:hAnsi="仿宋" w:eastAsia="仿宋" w:cs="仿宋"/>
                <w:color w:val="000000"/>
                <w:kern w:val="0"/>
                <w:sz w:val="24"/>
                <w:highlight w:val="none"/>
              </w:rPr>
            </w:pPr>
          </w:p>
        </w:tc>
      </w:tr>
      <w:tr w14:paraId="6BE9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14:paraId="341A4E27">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2062" w:type="dxa"/>
            <w:vAlign w:val="center"/>
          </w:tcPr>
          <w:p w14:paraId="5E87B30B">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具有独立承担民事责任的能力</w:t>
            </w:r>
          </w:p>
        </w:tc>
        <w:tc>
          <w:tcPr>
            <w:tcW w:w="6424" w:type="dxa"/>
            <w:vAlign w:val="center"/>
          </w:tcPr>
          <w:p w14:paraId="41E1CF99">
            <w:pPr>
              <w:widowControl/>
              <w:spacing w:line="360" w:lineRule="auto"/>
              <w:rPr>
                <w:rFonts w:hint="eastAsia" w:ascii="仿宋" w:hAnsi="仿宋" w:eastAsia="仿宋" w:cs="仿宋"/>
                <w:b/>
                <w:sz w:val="24"/>
                <w:highlight w:val="none"/>
                <w:lang w:eastAsia="zh-CN"/>
              </w:rPr>
            </w:pPr>
            <w:r>
              <w:rPr>
                <w:rFonts w:hint="eastAsia" w:ascii="仿宋" w:hAnsi="仿宋" w:eastAsia="仿宋" w:cs="仿宋"/>
                <w:bCs/>
                <w:color w:val="000000"/>
                <w:kern w:val="0"/>
                <w:sz w:val="24"/>
                <w:highlight w:val="none"/>
              </w:rPr>
              <w:t>投标人提供有效的营业执照</w:t>
            </w:r>
            <w:r>
              <w:rPr>
                <w:rFonts w:hint="eastAsia" w:ascii="仿宋" w:hAnsi="仿宋" w:eastAsia="仿宋" w:cs="仿宋"/>
                <w:bCs/>
                <w:color w:val="000000"/>
                <w:kern w:val="0"/>
                <w:sz w:val="24"/>
                <w:highlight w:val="none"/>
                <w:lang w:eastAsia="zh-CN"/>
              </w:rPr>
              <w:t>；</w:t>
            </w:r>
          </w:p>
        </w:tc>
      </w:tr>
      <w:tr w14:paraId="39C6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14:paraId="7FB40B65">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2062" w:type="dxa"/>
            <w:vAlign w:val="center"/>
          </w:tcPr>
          <w:p w14:paraId="29B5B235">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具有良好的商业信誉和健全的财务会计制度</w:t>
            </w:r>
          </w:p>
        </w:tc>
        <w:tc>
          <w:tcPr>
            <w:tcW w:w="6424" w:type="dxa"/>
            <w:vAlign w:val="center"/>
          </w:tcPr>
          <w:p w14:paraId="24E4A624">
            <w:pPr>
              <w:widowControl/>
              <w:spacing w:line="360" w:lineRule="auto"/>
              <w:rPr>
                <w:rFonts w:ascii="仿宋" w:hAnsi="仿宋" w:eastAsia="仿宋" w:cs="仿宋"/>
                <w:b/>
                <w:sz w:val="24"/>
                <w:highlight w:val="none"/>
              </w:rPr>
            </w:pPr>
            <w:r>
              <w:rPr>
                <w:rFonts w:hint="eastAsia" w:ascii="仿宋" w:hAnsi="仿宋" w:eastAsia="仿宋" w:cs="仿宋"/>
                <w:sz w:val="24"/>
                <w:highlight w:val="none"/>
              </w:rPr>
              <w:t>提供2024年度或2025年度的经会计师事务所审计的完整财务报告，成立不足一年的提供成立至今的财务报表；</w:t>
            </w:r>
          </w:p>
        </w:tc>
      </w:tr>
      <w:tr w14:paraId="2C50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93" w:type="dxa"/>
            <w:vAlign w:val="center"/>
          </w:tcPr>
          <w:p w14:paraId="23B6CE2C">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2062" w:type="dxa"/>
            <w:vAlign w:val="center"/>
          </w:tcPr>
          <w:p w14:paraId="4979D715">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具有履行合同所必需的设备和专业技术能力</w:t>
            </w:r>
          </w:p>
        </w:tc>
        <w:tc>
          <w:tcPr>
            <w:tcW w:w="6424" w:type="dxa"/>
            <w:vAlign w:val="center"/>
          </w:tcPr>
          <w:p w14:paraId="2670B95C">
            <w:pPr>
              <w:widowControl/>
              <w:spacing w:line="360" w:lineRule="auto"/>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投标人根据项目需求提供履行合同所必需的设备和专业技术能力的加盖单位公章的书面承诺函；</w:t>
            </w:r>
          </w:p>
        </w:tc>
      </w:tr>
      <w:tr w14:paraId="263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14:paraId="3D8273EE">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p>
        </w:tc>
        <w:tc>
          <w:tcPr>
            <w:tcW w:w="2062" w:type="dxa"/>
            <w:vAlign w:val="center"/>
          </w:tcPr>
          <w:p w14:paraId="2CA17750">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有依法缴纳社会保障资金</w:t>
            </w:r>
            <w:r>
              <w:rPr>
                <w:rFonts w:hint="eastAsia" w:ascii="仿宋" w:hAnsi="仿宋" w:eastAsia="仿宋" w:cs="仿宋"/>
                <w:color w:val="000000"/>
                <w:kern w:val="0"/>
                <w:sz w:val="24"/>
                <w:highlight w:val="none"/>
                <w:lang w:eastAsia="zh-CN"/>
              </w:rPr>
              <w:t>和</w:t>
            </w:r>
            <w:r>
              <w:rPr>
                <w:rFonts w:hint="eastAsia" w:ascii="仿宋" w:hAnsi="仿宋" w:eastAsia="仿宋" w:cs="仿宋"/>
                <w:color w:val="000000"/>
                <w:kern w:val="0"/>
                <w:sz w:val="24"/>
                <w:highlight w:val="none"/>
              </w:rPr>
              <w:t>税收的良好记录</w:t>
            </w:r>
          </w:p>
        </w:tc>
        <w:tc>
          <w:tcPr>
            <w:tcW w:w="6424" w:type="dxa"/>
            <w:vAlign w:val="center"/>
          </w:tcPr>
          <w:p w14:paraId="3414F069">
            <w:pPr>
              <w:widowControl/>
              <w:spacing w:line="360" w:lineRule="auto"/>
              <w:rPr>
                <w:rFonts w:ascii="仿宋" w:hAnsi="仿宋" w:eastAsia="仿宋" w:cs="仿宋"/>
                <w:b/>
                <w:sz w:val="24"/>
                <w:highlight w:val="none"/>
              </w:rPr>
            </w:pPr>
            <w:r>
              <w:rPr>
                <w:rFonts w:hint="eastAsia" w:ascii="仿宋" w:hAnsi="仿宋" w:eastAsia="仿宋" w:cs="仿宋"/>
                <w:color w:val="000000"/>
                <w:kern w:val="0"/>
                <w:sz w:val="24"/>
                <w:highlight w:val="none"/>
              </w:rPr>
              <w:t>提供参加本次政府采购活动前近半年内任意一个月的依法缴纳税收和社会保障资金等相关证明材料</w:t>
            </w:r>
          </w:p>
        </w:tc>
      </w:tr>
      <w:tr w14:paraId="587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14:paraId="217C26E2">
            <w:pPr>
              <w:widowControl/>
              <w:spacing w:line="360" w:lineRule="auto"/>
              <w:jc w:val="cente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val="en-US" w:eastAsia="zh-CN"/>
              </w:rPr>
              <w:t>5</w:t>
            </w:r>
          </w:p>
        </w:tc>
        <w:tc>
          <w:tcPr>
            <w:tcW w:w="2062" w:type="dxa"/>
            <w:vAlign w:val="center"/>
          </w:tcPr>
          <w:p w14:paraId="6460F40B">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参加政府采购活动前三年内，在经营活动中没有重大违法记录</w:t>
            </w:r>
          </w:p>
        </w:tc>
        <w:tc>
          <w:tcPr>
            <w:tcW w:w="6424" w:type="dxa"/>
            <w:vAlign w:val="center"/>
          </w:tcPr>
          <w:p w14:paraId="32BBD1FE">
            <w:pPr>
              <w:widowControl/>
              <w:spacing w:line="360" w:lineRule="auto"/>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rPr>
              <w:t>投标人提供参加本次政府采购活动前3年内在经营活动中没有重大违法记录的书面承诺函并加盖单位公章；</w:t>
            </w:r>
          </w:p>
        </w:tc>
      </w:tr>
      <w:tr w14:paraId="6F5C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shd w:val="clear" w:color="auto" w:fill="auto"/>
            <w:noWrap/>
            <w:vAlign w:val="center"/>
          </w:tcPr>
          <w:p w14:paraId="4881E5D5">
            <w:pPr>
              <w:widowControl/>
              <w:spacing w:line="360" w:lineRule="auto"/>
              <w:jc w:val="center"/>
              <w:rPr>
                <w:rFonts w:hint="eastAsia" w:ascii="仿宋" w:hAnsi="仿宋" w:eastAsia="仿宋" w:cs="仿宋"/>
                <w:color w:val="000000"/>
                <w:kern w:val="0"/>
                <w:sz w:val="24"/>
                <w:highlight w:val="none"/>
                <w:lang w:eastAsia="zh-CN"/>
              </w:rPr>
            </w:pPr>
            <w:r>
              <w:rPr>
                <w:rFonts w:hint="eastAsia" w:ascii="仿宋" w:hAnsi="仿宋" w:eastAsia="仿宋" w:cs="仿宋"/>
                <w:color w:val="000000"/>
                <w:sz w:val="24"/>
                <w:highlight w:val="none"/>
                <w:lang w:val="en-US" w:eastAsia="zh-CN"/>
              </w:rPr>
              <w:t>6</w:t>
            </w:r>
          </w:p>
        </w:tc>
        <w:tc>
          <w:tcPr>
            <w:tcW w:w="2062" w:type="dxa"/>
            <w:shd w:val="clear" w:color="000000" w:fill="FFFFFF"/>
            <w:vAlign w:val="center"/>
          </w:tcPr>
          <w:p w14:paraId="04967908">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法律、行政法规规定的其他条件</w:t>
            </w:r>
          </w:p>
        </w:tc>
        <w:tc>
          <w:tcPr>
            <w:tcW w:w="6424" w:type="dxa"/>
            <w:shd w:val="clear" w:color="000000" w:fill="FFFFFF"/>
            <w:vAlign w:val="center"/>
          </w:tcPr>
          <w:p w14:paraId="714E3470">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sz w:val="24"/>
                <w:highlight w:val="none"/>
              </w:rPr>
              <w:t xml:space="preserve">投标人根据《财政部关于在政府采购活动中查询及使用信用记录有关问题的通知》（财库﹝2016﹞125号）的要求，凡拟参加本次招标项目的投标人，如在“信用中国”网站（www.creditchina.gov.cn </w:t>
            </w:r>
            <w:r>
              <w:rPr>
                <w:highlight w:val="none"/>
              </w:rPr>
              <w:fldChar w:fldCharType="begin"/>
            </w:r>
            <w:r>
              <w:rPr>
                <w:highlight w:val="none"/>
              </w:rPr>
              <w:instrText xml:space="preserve"> HYPERLINK "http://www.creditchina.gov.cn）被列入重大税收违法失信主体、失信被执行人（中国执行信息公开网），中国政府采购网（http:/www.ccgp.gov.cn/search/cr/）严重违法失信行为记录名单的（尚在处罚期内的），将拒绝其参加本次招标活动；" </w:instrText>
            </w:r>
            <w:r>
              <w:rPr>
                <w:highlight w:val="none"/>
              </w:rPr>
              <w:fldChar w:fldCharType="separate"/>
            </w:r>
            <w:r>
              <w:rPr>
                <w:rFonts w:hint="eastAsia" w:ascii="仿宋" w:hAnsi="仿宋" w:eastAsia="仿宋" w:cs="仿宋"/>
                <w:sz w:val="24"/>
                <w:highlight w:val="none"/>
              </w:rPr>
              <w:t>）被列入重大税收违法失信主体、失信被执行人（中国执行信息公开网），中国政府采购网（http://www.ccgp.gov.cn/search/cr/）严重违法失信行为记录名单的（尚在处罚期内的），将拒绝其参加本次招标活动；</w:t>
            </w:r>
            <w:r>
              <w:rPr>
                <w:rFonts w:hint="eastAsia" w:ascii="仿宋" w:hAnsi="仿宋" w:eastAsia="仿宋" w:cs="仿宋"/>
                <w:sz w:val="24"/>
                <w:highlight w:val="none"/>
              </w:rPr>
              <w:fldChar w:fldCharType="end"/>
            </w:r>
          </w:p>
        </w:tc>
      </w:tr>
      <w:tr w14:paraId="416E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shd w:val="clear" w:color="auto" w:fill="auto"/>
            <w:noWrap/>
            <w:vAlign w:val="center"/>
          </w:tcPr>
          <w:p w14:paraId="2E438BE4">
            <w:pPr>
              <w:widowControl/>
              <w:spacing w:line="360" w:lineRule="auto"/>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7</w:t>
            </w:r>
          </w:p>
        </w:tc>
        <w:tc>
          <w:tcPr>
            <w:tcW w:w="2062" w:type="dxa"/>
            <w:shd w:val="clear" w:color="000000" w:fill="FFFFFF"/>
            <w:vAlign w:val="center"/>
          </w:tcPr>
          <w:p w14:paraId="513E0F01">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采购政策</w:t>
            </w:r>
          </w:p>
        </w:tc>
        <w:tc>
          <w:tcPr>
            <w:tcW w:w="6424" w:type="dxa"/>
            <w:shd w:val="clear" w:color="000000" w:fill="FFFFFF"/>
            <w:vAlign w:val="center"/>
          </w:tcPr>
          <w:p w14:paraId="4C549B7C">
            <w:pPr>
              <w:widowControl/>
              <w:spacing w:line="360" w:lineRule="auto"/>
              <w:jc w:val="left"/>
              <w:rPr>
                <w:rFonts w:ascii="仿宋" w:hAnsi="仿宋" w:eastAsia="仿宋" w:cs="仿宋"/>
                <w:sz w:val="24"/>
                <w:highlight w:val="none"/>
              </w:rPr>
            </w:pPr>
            <w:r>
              <w:rPr>
                <w:rFonts w:hint="eastAsia" w:ascii="仿宋" w:hAnsi="仿宋" w:eastAsia="仿宋" w:cs="仿宋"/>
                <w:sz w:val="24"/>
                <w:highlight w:val="none"/>
              </w:rPr>
              <w:t>供应商应为</w:t>
            </w:r>
            <w:r>
              <w:rPr>
                <w:rFonts w:hint="eastAsia" w:ascii="仿宋" w:hAnsi="仿宋" w:eastAsia="仿宋" w:cs="仿宋"/>
                <w:sz w:val="24"/>
                <w:highlight w:val="none"/>
                <w:lang w:eastAsia="zh-CN"/>
              </w:rPr>
              <w:t>小微</w:t>
            </w:r>
            <w:r>
              <w:rPr>
                <w:rFonts w:hint="eastAsia" w:ascii="仿宋" w:hAnsi="仿宋" w:eastAsia="仿宋" w:cs="仿宋"/>
                <w:sz w:val="24"/>
                <w:highlight w:val="none"/>
              </w:rPr>
              <w:t>企业，请根据要求单独上传《中小企业声明函》。</w:t>
            </w:r>
          </w:p>
        </w:tc>
      </w:tr>
      <w:tr w14:paraId="54F9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shd w:val="clear" w:color="auto" w:fill="auto"/>
            <w:noWrap/>
            <w:vAlign w:val="center"/>
          </w:tcPr>
          <w:p w14:paraId="685E34FF">
            <w:pPr>
              <w:widowControl/>
              <w:spacing w:line="360" w:lineRule="auto"/>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2062" w:type="dxa"/>
            <w:shd w:val="clear" w:color="000000" w:fill="FFFFFF"/>
            <w:vAlign w:val="center"/>
          </w:tcPr>
          <w:p w14:paraId="6D36C8F8">
            <w:pPr>
              <w:widowControl/>
              <w:spacing w:line="360" w:lineRule="auto"/>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特定资质</w:t>
            </w:r>
          </w:p>
        </w:tc>
        <w:tc>
          <w:tcPr>
            <w:tcW w:w="6424" w:type="dxa"/>
            <w:shd w:val="clear" w:color="000000" w:fill="FFFFFF"/>
            <w:vAlign w:val="center"/>
          </w:tcPr>
          <w:p w14:paraId="2E600B8C">
            <w:pPr>
              <w:pStyle w:val="4"/>
              <w:adjustRightInd w:val="0"/>
              <w:snapToGrid w:val="0"/>
              <w:spacing w:before="0" w:beforeAutospacing="0" w:after="0" w:afterAutospacing="0"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具有有效的《劳务派遣经营许可证》和《人力资源服务许可证》</w:t>
            </w:r>
          </w:p>
        </w:tc>
      </w:tr>
      <w:tr w14:paraId="2727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shd w:val="clear" w:color="auto" w:fill="auto"/>
            <w:noWrap/>
            <w:vAlign w:val="center"/>
          </w:tcPr>
          <w:p w14:paraId="1C8A0707">
            <w:pPr>
              <w:widowControl/>
              <w:spacing w:line="360" w:lineRule="auto"/>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2062" w:type="dxa"/>
            <w:shd w:val="clear" w:color="000000" w:fill="FFFFFF"/>
            <w:vAlign w:val="center"/>
          </w:tcPr>
          <w:p w14:paraId="3297254A">
            <w:pPr>
              <w:widowControl/>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rPr>
              <w:t>单位负责人为同一人或者存在控股、管理关系的不同供应商，不得参加同一合同项下的政府采购活动</w:t>
            </w:r>
          </w:p>
        </w:tc>
        <w:tc>
          <w:tcPr>
            <w:tcW w:w="6424" w:type="dxa"/>
            <w:shd w:val="clear" w:color="000000" w:fill="FFFFFF"/>
            <w:vAlign w:val="center"/>
          </w:tcPr>
          <w:p w14:paraId="6EE59649">
            <w:pPr>
              <w:widowControl/>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rPr>
              <w:t>投标人提供相关内容承诺或者说明等证明材料</w:t>
            </w:r>
          </w:p>
        </w:tc>
      </w:tr>
    </w:tbl>
    <w:p w14:paraId="779249AB">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20.信用信息查询、</w:t>
      </w:r>
      <w:r>
        <w:rPr>
          <w:rFonts w:hint="eastAsia" w:ascii="仿宋" w:hAnsi="仿宋" w:eastAsia="仿宋" w:cs="仿宋"/>
          <w:color w:val="000000"/>
          <w:kern w:val="0"/>
          <w:sz w:val="24"/>
          <w:szCs w:val="24"/>
          <w:highlight w:val="none"/>
        </w:rPr>
        <w:t>符合性审查表</w:t>
      </w:r>
    </w:p>
    <w:p w14:paraId="64085A42">
      <w:pPr>
        <w:pStyle w:val="35"/>
        <w:spacing w:before="0"/>
        <w:ind w:firstLine="420" w:firstLineChars="0"/>
        <w:rPr>
          <w:rFonts w:ascii="仿宋_GB2312" w:hAnsi="仿宋" w:eastAsia="仿宋_GB2312" w:cs="Arial"/>
          <w:kern w:val="0"/>
          <w:szCs w:val="24"/>
          <w:highlight w:val="none"/>
        </w:rPr>
      </w:pPr>
      <w:r>
        <w:rPr>
          <w:rFonts w:ascii="仿宋_GB2312" w:hAnsi="仿宋" w:eastAsia="仿宋_GB2312" w:cs="Arial"/>
          <w:kern w:val="0"/>
          <w:szCs w:val="24"/>
          <w:highlight w:val="none"/>
        </w:rPr>
        <w:t>20.1信用信息查询渠道及截止时间：采购机构将通过“信用中国”网站(www.creditchina.gov.cn)、中国政府采购网(www.ccgp.gov.cn)渠道查询投标人投标截止时间当天的信用记录。</w:t>
      </w:r>
    </w:p>
    <w:p w14:paraId="0B301A1E">
      <w:pPr>
        <w:pStyle w:val="35"/>
        <w:spacing w:before="0"/>
        <w:ind w:firstLine="420" w:firstLineChars="0"/>
        <w:rPr>
          <w:rFonts w:ascii="仿宋_GB2312" w:hAnsi="仿宋" w:eastAsia="仿宋_GB2312" w:cs="Arial"/>
          <w:kern w:val="0"/>
          <w:szCs w:val="24"/>
          <w:highlight w:val="none"/>
        </w:rPr>
      </w:pPr>
      <w:r>
        <w:rPr>
          <w:rFonts w:ascii="仿宋_GB2312" w:hAnsi="仿宋" w:eastAsia="仿宋_GB2312" w:cs="Arial"/>
          <w:kern w:val="0"/>
          <w:szCs w:val="24"/>
          <w:highlight w:val="none"/>
        </w:rPr>
        <w:t>20.2信用信息查询记录和证据留存的具体方式：现场查询的投标人的信用记录、查询结果经确认后将与采购文件一起存档。</w:t>
      </w:r>
    </w:p>
    <w:p w14:paraId="4508DFBC">
      <w:pPr>
        <w:pStyle w:val="35"/>
        <w:spacing w:before="0"/>
        <w:ind w:firstLine="420" w:firstLineChars="0"/>
        <w:rPr>
          <w:rFonts w:ascii="仿宋_GB2312" w:hAnsi="仿宋" w:eastAsia="仿宋_GB2312" w:cs="Arial"/>
          <w:kern w:val="0"/>
          <w:szCs w:val="24"/>
          <w:highlight w:val="none"/>
        </w:rPr>
      </w:pPr>
      <w:r>
        <w:rPr>
          <w:rFonts w:ascii="仿宋_GB2312" w:hAnsi="仿宋" w:eastAsia="仿宋_GB2312" w:cs="Arial"/>
          <w:kern w:val="0"/>
          <w:szCs w:val="24"/>
          <w:highlight w:val="none"/>
        </w:rPr>
        <w:t>20.3信用信息的使用规则：经查询列入失信被执行人名单、重大税收违法案件当事人名单、政府采购严重违法失信行为记录名单的投标人将被拒绝参与政府采购活动。</w:t>
      </w:r>
    </w:p>
    <w:p w14:paraId="109D8D25">
      <w:pPr>
        <w:pStyle w:val="35"/>
        <w:spacing w:before="0"/>
        <w:ind w:firstLine="420" w:firstLineChars="0"/>
        <w:rPr>
          <w:rFonts w:ascii="仿宋_GB2312" w:hAnsi="仿宋" w:eastAsia="仿宋_GB2312" w:cs="Arial"/>
          <w:kern w:val="0"/>
          <w:szCs w:val="24"/>
          <w:highlight w:val="none"/>
        </w:rPr>
      </w:pPr>
      <w:r>
        <w:rPr>
          <w:rFonts w:ascii="仿宋_GB2312" w:hAnsi="仿宋" w:eastAsia="仿宋_GB2312" w:cs="Arial"/>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_GB2312" w:hAnsi="仿宋" w:eastAsia="仿宋_GB2312" w:cs="Arial"/>
          <w:kern w:val="0"/>
          <w:szCs w:val="24"/>
          <w:highlight w:val="none"/>
        </w:rPr>
        <w:t>。</w:t>
      </w:r>
    </w:p>
    <w:p w14:paraId="337D6477">
      <w:pPr>
        <w:snapToGrid w:val="0"/>
        <w:spacing w:line="360" w:lineRule="auto"/>
        <w:jc w:val="center"/>
        <w:outlineLvl w:val="0"/>
        <w:rPr>
          <w:rFonts w:hint="eastAsia" w:ascii="仿宋_GB2312" w:hAnsi="仿宋" w:eastAsia="仿宋_GB2312" w:cs="仿宋_GB2312"/>
          <w:b/>
          <w:sz w:val="32"/>
          <w:szCs w:val="20"/>
          <w:highlight w:val="none"/>
        </w:rPr>
      </w:pPr>
      <w:bookmarkStart w:id="34" w:name="_Toc14988"/>
      <w:bookmarkStart w:id="35" w:name="_Toc10751"/>
      <w:bookmarkStart w:id="36" w:name="_Toc4635"/>
    </w:p>
    <w:p w14:paraId="6FA8DD0B">
      <w:pPr>
        <w:snapToGrid w:val="0"/>
        <w:spacing w:line="360" w:lineRule="auto"/>
        <w:jc w:val="center"/>
        <w:outlineLvl w:val="0"/>
        <w:rPr>
          <w:rFonts w:hint="eastAsia" w:ascii="仿宋_GB2312" w:hAnsi="仿宋" w:eastAsia="仿宋_GB2312" w:cs="仿宋_GB2312"/>
          <w:b/>
          <w:sz w:val="32"/>
          <w:szCs w:val="20"/>
          <w:highlight w:val="none"/>
        </w:rPr>
      </w:pPr>
    </w:p>
    <w:p w14:paraId="1B8AB4D7">
      <w:pPr>
        <w:snapToGrid w:val="0"/>
        <w:spacing w:line="360" w:lineRule="auto"/>
        <w:jc w:val="center"/>
        <w:outlineLvl w:val="0"/>
        <w:rPr>
          <w:rFonts w:ascii="仿宋_GB2312" w:hAnsi="仿宋" w:eastAsia="仿宋_GB2312" w:cs="仿宋_GB2312"/>
          <w:b/>
          <w:sz w:val="32"/>
          <w:szCs w:val="20"/>
          <w:highlight w:val="none"/>
        </w:rPr>
      </w:pPr>
      <w:r>
        <w:rPr>
          <w:rFonts w:hint="eastAsia" w:ascii="仿宋_GB2312" w:hAnsi="仿宋" w:eastAsia="仿宋_GB2312" w:cs="仿宋_GB2312"/>
          <w:b/>
          <w:sz w:val="32"/>
          <w:szCs w:val="20"/>
          <w:highlight w:val="none"/>
        </w:rPr>
        <w:t>五、评标</w:t>
      </w:r>
      <w:bookmarkEnd w:id="34"/>
      <w:bookmarkEnd w:id="35"/>
      <w:bookmarkEnd w:id="36"/>
    </w:p>
    <w:p w14:paraId="712DBBEA">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21.评标</w:t>
      </w:r>
    </w:p>
    <w:p w14:paraId="01325256">
      <w:pPr>
        <w:pStyle w:val="35"/>
        <w:spacing w:before="0"/>
        <w:ind w:firstLine="420" w:firstLineChars="0"/>
        <w:rPr>
          <w:rFonts w:ascii="仿宋_GB2312" w:hAnsi="仿宋" w:eastAsia="仿宋_GB2312" w:cs="Arial"/>
          <w:kern w:val="0"/>
          <w:szCs w:val="24"/>
          <w:highlight w:val="none"/>
        </w:rPr>
      </w:pPr>
      <w:r>
        <w:rPr>
          <w:rFonts w:hint="eastAsia" w:ascii="仿宋_GB2312" w:hAnsi="仿宋" w:eastAsia="仿宋_GB2312" w:cs="Arial"/>
          <w:kern w:val="0"/>
          <w:szCs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_GB2312" w:hAnsi="仿宋" w:eastAsia="仿宋_GB2312" w:cs="Arial"/>
          <w:b/>
          <w:bCs/>
          <w:kern w:val="0"/>
          <w:szCs w:val="24"/>
          <w:highlight w:val="none"/>
        </w:rPr>
        <w:t>详见招标文件第四部分评标办法</w:t>
      </w:r>
      <w:r>
        <w:rPr>
          <w:rFonts w:hint="eastAsia" w:ascii="仿宋_GB2312" w:hAnsi="仿宋" w:eastAsia="仿宋_GB2312" w:cs="Arial"/>
          <w:kern w:val="0"/>
          <w:szCs w:val="24"/>
          <w:highlight w:val="none"/>
        </w:rPr>
        <w:t>。</w:t>
      </w:r>
    </w:p>
    <w:p w14:paraId="597088AA">
      <w:pPr>
        <w:spacing w:line="360" w:lineRule="auto"/>
        <w:rPr>
          <w:rFonts w:ascii="仿宋_GB2312" w:hAnsi="仿宋" w:eastAsia="仿宋_GB2312" w:cs="仿宋_GB2312"/>
          <w:b/>
          <w:sz w:val="24"/>
          <w:highlight w:val="none"/>
        </w:rPr>
      </w:pPr>
    </w:p>
    <w:p w14:paraId="214987A2">
      <w:pPr>
        <w:snapToGrid w:val="0"/>
        <w:spacing w:line="360" w:lineRule="auto"/>
        <w:jc w:val="center"/>
        <w:outlineLvl w:val="0"/>
        <w:rPr>
          <w:rFonts w:hint="eastAsia" w:ascii="仿宋_GB2312" w:hAnsi="仿宋" w:eastAsia="仿宋_GB2312" w:cs="仿宋_GB2312"/>
          <w:b/>
          <w:sz w:val="32"/>
          <w:szCs w:val="20"/>
          <w:highlight w:val="none"/>
        </w:rPr>
      </w:pPr>
      <w:bookmarkStart w:id="37" w:name="_Toc8093"/>
      <w:bookmarkStart w:id="38" w:name="_Toc29044"/>
      <w:bookmarkStart w:id="39" w:name="_Toc28908"/>
    </w:p>
    <w:p w14:paraId="7E68EE23">
      <w:pPr>
        <w:snapToGrid w:val="0"/>
        <w:spacing w:line="360" w:lineRule="auto"/>
        <w:jc w:val="center"/>
        <w:outlineLvl w:val="0"/>
        <w:rPr>
          <w:rFonts w:ascii="仿宋_GB2312" w:hAnsi="仿宋" w:eastAsia="仿宋_GB2312" w:cs="仿宋_GB2312"/>
          <w:b/>
          <w:sz w:val="32"/>
          <w:szCs w:val="20"/>
          <w:highlight w:val="none"/>
        </w:rPr>
      </w:pPr>
      <w:r>
        <w:rPr>
          <w:rFonts w:hint="eastAsia" w:ascii="仿宋_GB2312" w:hAnsi="仿宋" w:eastAsia="仿宋_GB2312" w:cs="仿宋_GB2312"/>
          <w:b/>
          <w:sz w:val="32"/>
          <w:szCs w:val="20"/>
          <w:highlight w:val="none"/>
        </w:rPr>
        <w:t>六、定 标</w:t>
      </w:r>
      <w:bookmarkEnd w:id="37"/>
      <w:bookmarkEnd w:id="38"/>
      <w:bookmarkEnd w:id="39"/>
    </w:p>
    <w:p w14:paraId="5A56C959">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22. 确定中标供应商</w:t>
      </w:r>
    </w:p>
    <w:p w14:paraId="0DC9AB2A">
      <w:pPr>
        <w:pStyle w:val="35"/>
        <w:snapToGrid w:val="0"/>
        <w:spacing w:before="0"/>
        <w:ind w:firstLine="480"/>
        <w:rPr>
          <w:rFonts w:ascii="仿宋_GB2312" w:hAnsi="仿宋" w:eastAsia="仿宋_GB2312" w:cs="仿宋_GB2312"/>
          <w:b/>
          <w:szCs w:val="24"/>
          <w:highlight w:val="none"/>
        </w:rPr>
      </w:pPr>
      <w:r>
        <w:rPr>
          <w:rFonts w:hint="eastAsia" w:ascii="仿宋_GB2312" w:hAnsi="仿宋" w:eastAsia="仿宋_GB2312" w:cs="仿宋_GB2312"/>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04A8C7B5">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23. 中标通知与中标结果公告</w:t>
      </w:r>
    </w:p>
    <w:p w14:paraId="7DB804D7">
      <w:pPr>
        <w:widowControl/>
        <w:shd w:val="clear" w:color="auto" w:fill="FFFFFF"/>
        <w:spacing w:line="360" w:lineRule="auto"/>
        <w:ind w:firstLine="420"/>
        <w:jc w:val="left"/>
        <w:rPr>
          <w:rFonts w:ascii="仿宋_GB2312" w:hAnsi="仿宋" w:eastAsia="仿宋_GB2312" w:cs="仿宋_GB2312"/>
          <w:sz w:val="24"/>
          <w:highlight w:val="none"/>
        </w:rPr>
      </w:pPr>
      <w:r>
        <w:rPr>
          <w:rFonts w:ascii="仿宋_GB2312" w:hAnsi="仿宋" w:eastAsia="仿宋_GB2312" w:cs="仿宋_GB2312"/>
          <w:sz w:val="24"/>
          <w:highlight w:val="none"/>
        </w:rPr>
        <w:t>23.1自中标人确定之日起2个工作日内，采购机构通过电子交易平台向中标人发出中标通知书，</w:t>
      </w:r>
      <w:r>
        <w:rPr>
          <w:rFonts w:hint="eastAsia" w:ascii="仿宋_GB2312" w:hAnsi="仿宋" w:eastAsia="仿宋_GB2312" w:cs="仿宋_GB2312"/>
          <w:sz w:val="24"/>
          <w:highlight w:val="none"/>
        </w:rPr>
        <w:t>同时编制发布采购结果公告。采购机构也可以以纸质形式进行中标通知。</w:t>
      </w:r>
    </w:p>
    <w:p w14:paraId="3724DA81">
      <w:pPr>
        <w:widowControl/>
        <w:shd w:val="clear" w:color="auto" w:fill="FFFFFF"/>
        <w:spacing w:line="360" w:lineRule="auto"/>
        <w:ind w:firstLine="420"/>
        <w:jc w:val="left"/>
        <w:rPr>
          <w:rFonts w:ascii="仿宋_GB2312" w:hAnsi="仿宋" w:eastAsia="仿宋_GB2312" w:cs="仿宋_GB2312"/>
          <w:sz w:val="24"/>
          <w:highlight w:val="none"/>
        </w:rPr>
      </w:pPr>
      <w:r>
        <w:rPr>
          <w:rFonts w:ascii="仿宋_GB2312" w:hAnsi="仿宋" w:eastAsia="仿宋_GB2312" w:cs="仿宋_GB2312"/>
          <w:sz w:val="24"/>
          <w:highlight w:val="none"/>
        </w:rPr>
        <w:t>23.2中标结果公告内容包括采购人及其委托的采购机构的名称、地址、联系方式，项目名称和项目编号，中标人名称、地址和中标金额，主要中标标的</w:t>
      </w:r>
      <w:r>
        <w:rPr>
          <w:rFonts w:hint="eastAsia" w:ascii="仿宋_GB2312" w:hAnsi="仿宋" w:eastAsia="仿宋_GB2312" w:cs="仿宋_GB2312"/>
          <w:sz w:val="24"/>
          <w:highlight w:val="none"/>
        </w:rPr>
        <w:t>的名称、规格型号、数量、单价、服务要求，开标记录、未中标情况说明、中标公告期限以及评审专家名单、评分汇总及明细。</w:t>
      </w:r>
    </w:p>
    <w:p w14:paraId="4ECFF91A">
      <w:pPr>
        <w:widowControl/>
        <w:shd w:val="clear" w:color="auto" w:fill="FFFFFF"/>
        <w:spacing w:line="360" w:lineRule="auto"/>
        <w:ind w:firstLine="420"/>
        <w:jc w:val="left"/>
        <w:rPr>
          <w:rFonts w:ascii="仿宋_GB2312" w:hAnsi="仿宋" w:eastAsia="仿宋_GB2312" w:cs="仿宋_GB2312"/>
          <w:sz w:val="24"/>
          <w:highlight w:val="none"/>
        </w:rPr>
      </w:pPr>
      <w:r>
        <w:rPr>
          <w:rFonts w:ascii="仿宋_GB2312" w:hAnsi="仿宋" w:eastAsia="仿宋_GB2312" w:cs="仿宋_GB2312"/>
          <w:sz w:val="24"/>
          <w:highlight w:val="none"/>
        </w:rPr>
        <w:t>23.3公告期限为1个工作日。</w:t>
      </w:r>
    </w:p>
    <w:p w14:paraId="454454EA">
      <w:pPr>
        <w:snapToGrid w:val="0"/>
        <w:spacing w:line="360" w:lineRule="auto"/>
        <w:ind w:left="120" w:leftChars="57" w:firstLine="482" w:firstLineChars="150"/>
        <w:jc w:val="center"/>
        <w:rPr>
          <w:rFonts w:ascii="仿宋_GB2312" w:hAnsi="仿宋" w:eastAsia="仿宋_GB2312" w:cs="仿宋_GB2312"/>
          <w:b/>
          <w:sz w:val="32"/>
          <w:highlight w:val="none"/>
        </w:rPr>
      </w:pPr>
    </w:p>
    <w:p w14:paraId="211A964A">
      <w:pPr>
        <w:snapToGrid w:val="0"/>
        <w:spacing w:line="360" w:lineRule="auto"/>
        <w:jc w:val="center"/>
        <w:outlineLvl w:val="0"/>
        <w:rPr>
          <w:rFonts w:hint="eastAsia" w:ascii="仿宋_GB2312" w:hAnsi="仿宋" w:eastAsia="仿宋_GB2312" w:cs="仿宋_GB2312"/>
          <w:b/>
          <w:sz w:val="32"/>
          <w:szCs w:val="20"/>
          <w:highlight w:val="none"/>
        </w:rPr>
      </w:pPr>
      <w:bookmarkStart w:id="40" w:name="_Toc6786"/>
      <w:bookmarkStart w:id="41" w:name="_Toc20841"/>
      <w:bookmarkStart w:id="42" w:name="_Toc10668"/>
    </w:p>
    <w:p w14:paraId="49DC3208">
      <w:pPr>
        <w:snapToGrid w:val="0"/>
        <w:spacing w:line="360" w:lineRule="auto"/>
        <w:jc w:val="center"/>
        <w:outlineLvl w:val="0"/>
        <w:rPr>
          <w:rFonts w:hint="eastAsia" w:ascii="仿宋_GB2312" w:hAnsi="仿宋" w:eastAsia="仿宋_GB2312" w:cs="仿宋_GB2312"/>
          <w:b/>
          <w:sz w:val="32"/>
          <w:szCs w:val="20"/>
          <w:highlight w:val="none"/>
        </w:rPr>
      </w:pPr>
    </w:p>
    <w:p w14:paraId="3A41C9C3">
      <w:pPr>
        <w:snapToGrid w:val="0"/>
        <w:spacing w:line="360" w:lineRule="auto"/>
        <w:jc w:val="center"/>
        <w:outlineLvl w:val="0"/>
        <w:rPr>
          <w:rFonts w:ascii="仿宋_GB2312" w:hAnsi="仿宋" w:eastAsia="仿宋_GB2312" w:cs="仿宋_GB2312"/>
          <w:b/>
          <w:sz w:val="32"/>
          <w:szCs w:val="20"/>
          <w:highlight w:val="none"/>
        </w:rPr>
      </w:pPr>
      <w:r>
        <w:rPr>
          <w:rFonts w:hint="eastAsia" w:ascii="仿宋_GB2312" w:hAnsi="仿宋" w:eastAsia="仿宋_GB2312" w:cs="仿宋_GB2312"/>
          <w:b/>
          <w:sz w:val="32"/>
          <w:szCs w:val="20"/>
          <w:highlight w:val="none"/>
        </w:rPr>
        <w:t>七、合同授予</w:t>
      </w:r>
      <w:bookmarkEnd w:id="40"/>
      <w:bookmarkEnd w:id="41"/>
      <w:bookmarkEnd w:id="42"/>
    </w:p>
    <w:p w14:paraId="4BC8C4DD">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24. 合同授予</w:t>
      </w:r>
    </w:p>
    <w:p w14:paraId="2EA26C14">
      <w:pPr>
        <w:widowControl/>
        <w:shd w:val="clear" w:color="auto" w:fill="FFFFFF"/>
        <w:spacing w:line="360" w:lineRule="auto"/>
        <w:ind w:firstLine="420"/>
        <w:jc w:val="left"/>
        <w:rPr>
          <w:rFonts w:ascii="仿宋_GB2312" w:hAnsi="仿宋" w:eastAsia="仿宋_GB2312" w:cs="仿宋_GB2312"/>
          <w:sz w:val="24"/>
          <w:highlight w:val="none"/>
        </w:rPr>
      </w:pPr>
      <w:r>
        <w:rPr>
          <w:rFonts w:hint="eastAsia" w:ascii="仿宋_GB2312" w:hAnsi="仿宋" w:eastAsia="仿宋_GB2312" w:cs="仿宋_GB2312"/>
          <w:sz w:val="24"/>
          <w:highlight w:val="none"/>
        </w:rPr>
        <w:t>合同主要条款详见第五部分拟签订的合同文本。</w:t>
      </w:r>
    </w:p>
    <w:p w14:paraId="36A2FBF7">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25. 合同的签订</w:t>
      </w:r>
    </w:p>
    <w:p w14:paraId="595C4381">
      <w:pPr>
        <w:pStyle w:val="35"/>
        <w:snapToGrid w:val="0"/>
        <w:ind w:firstLine="480"/>
        <w:rPr>
          <w:rFonts w:ascii="仿宋_GB2312" w:hAnsi="仿宋" w:eastAsia="仿宋_GB2312"/>
          <w:kern w:val="0"/>
          <w:highlight w:val="none"/>
          <w:lang w:val="zh-CN"/>
        </w:rPr>
      </w:pPr>
      <w:r>
        <w:rPr>
          <w:rFonts w:hint="eastAsia" w:ascii="仿宋_GB2312" w:hAnsi="仿宋" w:eastAsia="仿宋_GB2312"/>
          <w:kern w:val="0"/>
          <w:highlight w:val="none"/>
          <w:lang w:val="zh-CN"/>
        </w:rPr>
        <w:t>25.1 采购人与中标人应当通过电子交易平台在中标通知书发出之日起三十日内，按照招标文件确定的事项签订政府采购合同，并在签订之日起2个工作日内将政府采购合同在</w:t>
      </w:r>
      <w:r>
        <w:rPr>
          <w:rFonts w:hint="eastAsia" w:ascii="仿宋_GB2312" w:hAnsi="仿宋" w:eastAsia="仿宋_GB2312"/>
          <w:kern w:val="0"/>
          <w:highlight w:val="none"/>
        </w:rPr>
        <w:t>新疆</w:t>
      </w:r>
      <w:r>
        <w:rPr>
          <w:rFonts w:hint="eastAsia" w:ascii="仿宋_GB2312" w:hAnsi="仿宋" w:eastAsia="仿宋_GB2312"/>
          <w:kern w:val="0"/>
          <w:highlight w:val="none"/>
          <w:lang w:val="zh-CN"/>
        </w:rPr>
        <w:t>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721390B2">
      <w:pPr>
        <w:pStyle w:val="35"/>
        <w:snapToGrid w:val="0"/>
        <w:spacing w:before="0"/>
        <w:ind w:firstLine="420" w:firstLineChars="0"/>
        <w:rPr>
          <w:rFonts w:ascii="仿宋_GB2312" w:hAnsi="仿宋" w:eastAsia="仿宋_GB2312"/>
          <w:kern w:val="0"/>
          <w:highlight w:val="none"/>
        </w:rPr>
      </w:pPr>
      <w:r>
        <w:rPr>
          <w:rFonts w:ascii="仿宋_GB2312" w:hAnsi="仿宋" w:eastAsia="仿宋_GB2312" w:cs="仿宋_GB2312"/>
          <w:kern w:val="0"/>
          <w:highlight w:val="none"/>
          <w:lang w:val="zh-CN"/>
        </w:rPr>
        <w:t>25.2</w:t>
      </w:r>
      <w:r>
        <w:rPr>
          <w:rFonts w:hint="eastAsia" w:ascii="仿宋_GB2312" w:hAnsi="仿宋" w:eastAsia="仿宋_GB2312"/>
          <w:kern w:val="0"/>
          <w:highlight w:val="none"/>
          <w:lang w:val="zh-CN"/>
        </w:rPr>
        <w:t>中标人按规定的日期、时间、地点，由法定代表人或其授权代表与采购人代表签订合同。如中标人为联合体的，由联合体成员各方法定代表人或其授权代表与采购人代表签订合同。</w:t>
      </w:r>
    </w:p>
    <w:p w14:paraId="50F7F691">
      <w:pPr>
        <w:pStyle w:val="35"/>
        <w:snapToGrid w:val="0"/>
        <w:spacing w:before="0"/>
        <w:ind w:firstLine="420" w:firstLineChars="0"/>
        <w:rPr>
          <w:rFonts w:ascii="仿宋_GB2312" w:hAnsi="仿宋" w:eastAsia="仿宋_GB2312" w:cs="仿宋_GB2312"/>
          <w:kern w:val="0"/>
          <w:highlight w:val="none"/>
          <w:lang w:val="zh-CN"/>
        </w:rPr>
      </w:pPr>
      <w:r>
        <w:rPr>
          <w:rFonts w:ascii="仿宋_GB2312" w:hAnsi="仿宋" w:eastAsia="仿宋_GB2312" w:cs="仿宋_GB2312"/>
          <w:kern w:val="0"/>
          <w:highlight w:val="none"/>
          <w:lang w:val="zh-CN"/>
        </w:rPr>
        <w:t>25.3如签订合同并生效后，供应商无故拒绝或延期，除按照合同条款处理外，列入不良行为记录一次，并给予通报。</w:t>
      </w:r>
    </w:p>
    <w:p w14:paraId="27F14711">
      <w:pPr>
        <w:pStyle w:val="35"/>
        <w:snapToGrid w:val="0"/>
        <w:spacing w:before="0"/>
        <w:ind w:firstLine="420" w:firstLineChars="0"/>
        <w:rPr>
          <w:rFonts w:ascii="仿宋_GB2312" w:hAnsi="仿宋" w:eastAsia="仿宋_GB2312" w:cs="仿宋_GB2312"/>
          <w:kern w:val="0"/>
          <w:highlight w:val="none"/>
          <w:lang w:val="zh-CN"/>
        </w:rPr>
      </w:pPr>
      <w:r>
        <w:rPr>
          <w:rFonts w:ascii="仿宋_GB2312" w:hAnsi="仿宋" w:eastAsia="仿宋_GB2312" w:cs="仿宋_GB2312"/>
          <w:kern w:val="0"/>
          <w:highlight w:val="none"/>
          <w:lang w:val="zh-CN"/>
        </w:rPr>
        <w:t>25.4中标供应</w:t>
      </w:r>
      <w:r>
        <w:rPr>
          <w:rFonts w:hint="eastAsia" w:ascii="仿宋_GB2312" w:hAnsi="仿宋" w:eastAsia="仿宋_GB2312" w:cs="仿宋_GB2312"/>
          <w:kern w:val="0"/>
          <w:highlight w:val="none"/>
          <w:lang w:val="zh-CN"/>
        </w:rPr>
        <w:t>商拒绝与采购人签订合同的，采购人可以按照评审报告推荐的中标或者成交候选人名单排序，确定下一候选人为中标供应商，也可以重新开展政府采购活动。</w:t>
      </w:r>
    </w:p>
    <w:p w14:paraId="1993689D">
      <w:pPr>
        <w:pStyle w:val="35"/>
        <w:snapToGrid w:val="0"/>
        <w:spacing w:before="0"/>
        <w:ind w:firstLine="420" w:firstLineChars="0"/>
        <w:rPr>
          <w:rFonts w:ascii="仿宋_GB2312" w:hAnsi="仿宋" w:eastAsia="仿宋_GB2312" w:cs="仿宋_GB2312"/>
          <w:kern w:val="0"/>
          <w:highlight w:val="none"/>
          <w:lang w:val="zh-CN"/>
        </w:rPr>
      </w:pPr>
      <w:r>
        <w:rPr>
          <w:rFonts w:ascii="仿宋_GB2312" w:hAnsi="仿宋" w:eastAsia="仿宋_GB2312" w:cs="仿宋_GB2312"/>
          <w:kern w:val="0"/>
          <w:highlight w:val="none"/>
          <w:lang w:val="zh-CN"/>
        </w:rPr>
        <w:t>25.5采购合同由采购人与中标供应商根据</w:t>
      </w:r>
      <w:r>
        <w:rPr>
          <w:rFonts w:hint="eastAsia" w:ascii="仿宋_GB2312" w:hAnsi="仿宋" w:eastAsia="仿宋_GB2312" w:cs="仿宋_GB2312"/>
          <w:kern w:val="0"/>
          <w:highlight w:val="none"/>
          <w:lang w:val="zh-CN"/>
        </w:rPr>
        <w:t>招标文件、投标文件等内容通过政府采购电子交易平台在线签订，自动备案。</w:t>
      </w:r>
    </w:p>
    <w:p w14:paraId="3B53ED83">
      <w:pPr>
        <w:pStyle w:val="3"/>
        <w:ind w:left="479" w:hanging="479" w:hangingChars="199"/>
        <w:rPr>
          <w:rFonts w:ascii="仿宋_GB2312" w:hAnsi="仿宋" w:eastAsia="仿宋_GB2312" w:cs="仿宋_GB2312"/>
          <w:b/>
          <w:highlight w:val="none"/>
        </w:rPr>
      </w:pPr>
    </w:p>
    <w:p w14:paraId="606782A6">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26. 履约保证金</w:t>
      </w:r>
    </w:p>
    <w:p w14:paraId="0BF88516">
      <w:pPr>
        <w:tabs>
          <w:tab w:val="left" w:pos="0"/>
        </w:tabs>
        <w:spacing w:line="360" w:lineRule="auto"/>
        <w:rPr>
          <w:rFonts w:ascii="仿宋_GB2312" w:hAnsi="仿宋" w:eastAsia="仿宋_GB2312"/>
          <w:b/>
          <w:sz w:val="24"/>
          <w:highlight w:val="none"/>
        </w:rPr>
      </w:pPr>
      <w:r>
        <w:rPr>
          <w:rFonts w:hint="eastAsia" w:ascii="仿宋_GB2312" w:hAnsi="仿宋" w:eastAsia="仿宋_GB2312" w:cs="Helvetica"/>
          <w:kern w:val="0"/>
          <w:sz w:val="24"/>
          <w:highlight w:val="none"/>
        </w:rPr>
        <w:tab/>
      </w:r>
      <w:r>
        <w:rPr>
          <w:rFonts w:hint="eastAsia" w:ascii="仿宋_GB2312" w:hAnsi="仿宋" w:eastAsia="仿宋_GB2312" w:cs="Helvetica"/>
          <w:kern w:val="0"/>
          <w:sz w:val="24"/>
          <w:highlight w:val="none"/>
        </w:rPr>
        <w:t>26.1</w:t>
      </w:r>
      <w:r>
        <w:rPr>
          <w:rFonts w:hint="eastAsia" w:ascii="仿宋_GB2312" w:hAnsi="仿宋" w:eastAsia="仿宋_GB2312"/>
          <w:bCs/>
          <w:sz w:val="24"/>
          <w:highlight w:val="none"/>
        </w:rPr>
        <w:t>以前附表为准。</w:t>
      </w:r>
    </w:p>
    <w:p w14:paraId="7440F28E">
      <w:pPr>
        <w:snapToGrid w:val="0"/>
        <w:spacing w:line="360" w:lineRule="auto"/>
        <w:ind w:firstLine="3357" w:firstLineChars="1045"/>
        <w:rPr>
          <w:rFonts w:ascii="仿宋_GB2312" w:hAnsi="仿宋" w:eastAsia="仿宋_GB2312" w:cs="仿宋_GB2312"/>
          <w:b/>
          <w:sz w:val="32"/>
          <w:highlight w:val="none"/>
        </w:rPr>
      </w:pPr>
    </w:p>
    <w:p w14:paraId="4381A62C">
      <w:pPr>
        <w:snapToGrid w:val="0"/>
        <w:spacing w:line="360" w:lineRule="auto"/>
        <w:jc w:val="center"/>
        <w:outlineLvl w:val="0"/>
        <w:rPr>
          <w:rFonts w:ascii="仿宋_GB2312" w:hAnsi="仿宋" w:eastAsia="仿宋_GB2312" w:cs="仿宋_GB2312"/>
          <w:b/>
          <w:sz w:val="32"/>
          <w:szCs w:val="20"/>
          <w:highlight w:val="none"/>
        </w:rPr>
      </w:pPr>
      <w:bookmarkStart w:id="43" w:name="_Toc19263"/>
      <w:bookmarkStart w:id="44" w:name="_Toc18986"/>
      <w:bookmarkStart w:id="45" w:name="_Toc8713"/>
      <w:r>
        <w:rPr>
          <w:rFonts w:hint="eastAsia" w:ascii="仿宋_GB2312" w:hAnsi="仿宋" w:eastAsia="仿宋_GB2312" w:cs="仿宋_GB2312"/>
          <w:b/>
          <w:sz w:val="32"/>
          <w:szCs w:val="20"/>
          <w:highlight w:val="none"/>
        </w:rPr>
        <w:t>八、电子交易活动的中止</w:t>
      </w:r>
      <w:bookmarkEnd w:id="43"/>
      <w:bookmarkEnd w:id="44"/>
      <w:bookmarkEnd w:id="45"/>
    </w:p>
    <w:p w14:paraId="6A6218A3">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27. 电子交易活动的中止</w:t>
      </w:r>
    </w:p>
    <w:p w14:paraId="5892DE3A">
      <w:pPr>
        <w:pStyle w:val="35"/>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采购过程中出现以下情形，导致电子交易平台无法正常运行，或者无法保证电子交易的公平、公正和安全时，采购机构可中止电子交易活动：</w:t>
      </w:r>
    </w:p>
    <w:p w14:paraId="370F8D1C">
      <w:pPr>
        <w:pStyle w:val="35"/>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 xml:space="preserve">27.1电子交易平台发生故障而无法登录访问的； </w:t>
      </w:r>
    </w:p>
    <w:p w14:paraId="1AD5834A">
      <w:pPr>
        <w:pStyle w:val="35"/>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27.2电子交易平台应用或数据库出现错误，不能进行正常操作的；</w:t>
      </w:r>
    </w:p>
    <w:p w14:paraId="41C8D0A9">
      <w:pPr>
        <w:pStyle w:val="35"/>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27.3电子交易平台发现严重安全漏洞，有潜在泄密危险的；</w:t>
      </w:r>
    </w:p>
    <w:p w14:paraId="214BDB5D">
      <w:pPr>
        <w:pStyle w:val="35"/>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 xml:space="preserve">27.4病毒发作导致不能进行正常操作的； </w:t>
      </w:r>
    </w:p>
    <w:p w14:paraId="37E21404">
      <w:pPr>
        <w:pStyle w:val="35"/>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27.5其他无法保证电子交易的公平、公正和安全的情况。</w:t>
      </w:r>
    </w:p>
    <w:p w14:paraId="0CB57807">
      <w:pPr>
        <w:pStyle w:val="35"/>
        <w:snapToGrid w:val="0"/>
        <w:spacing w:before="0"/>
        <w:ind w:firstLine="0" w:firstLineChars="0"/>
        <w:rPr>
          <w:rFonts w:ascii="仿宋_GB2312" w:hAnsi="仿宋" w:eastAsia="仿宋_GB2312" w:cs="仿宋_GB2312"/>
          <w:b/>
          <w:bCs/>
          <w:highlight w:val="none"/>
        </w:rPr>
      </w:pPr>
      <w:r>
        <w:rPr>
          <w:rFonts w:ascii="仿宋_GB2312" w:hAnsi="仿宋" w:eastAsia="仿宋_GB2312" w:cs="仿宋_GB2312"/>
          <w:b/>
          <w:bCs/>
          <w:highlight w:val="none"/>
        </w:rPr>
        <w:t>28.出现以上情形，不影响采购公平、公正性的，采购组织机构可以待上述情形消除后继续组织电子交易活动，也可以决定某些环节以纸质形式进行；影响或可能影响采购公平、公正性的，应当重新采购。</w:t>
      </w:r>
    </w:p>
    <w:p w14:paraId="60A6CB19">
      <w:pPr>
        <w:tabs>
          <w:tab w:val="left" w:pos="0"/>
        </w:tabs>
        <w:spacing w:line="360" w:lineRule="auto"/>
        <w:ind w:firstLine="480"/>
        <w:rPr>
          <w:rFonts w:ascii="仿宋_GB2312" w:hAnsi="仿宋" w:eastAsia="仿宋_GB2312"/>
          <w:sz w:val="24"/>
          <w:highlight w:val="none"/>
        </w:rPr>
      </w:pPr>
    </w:p>
    <w:p w14:paraId="21CBC669">
      <w:pPr>
        <w:snapToGrid w:val="0"/>
        <w:spacing w:line="360" w:lineRule="auto"/>
        <w:jc w:val="center"/>
        <w:outlineLvl w:val="0"/>
        <w:rPr>
          <w:rFonts w:ascii="仿宋_GB2312" w:hAnsi="仿宋" w:eastAsia="仿宋_GB2312" w:cs="仿宋_GB2312"/>
          <w:b/>
          <w:sz w:val="32"/>
          <w:szCs w:val="20"/>
          <w:highlight w:val="none"/>
        </w:rPr>
      </w:pPr>
      <w:bookmarkStart w:id="46" w:name="_Toc28268"/>
      <w:bookmarkStart w:id="47" w:name="_Toc5499"/>
      <w:bookmarkStart w:id="48" w:name="_Toc32587"/>
      <w:r>
        <w:rPr>
          <w:rFonts w:hint="eastAsia" w:ascii="仿宋_GB2312" w:hAnsi="仿宋" w:eastAsia="仿宋_GB2312" w:cs="仿宋_GB2312"/>
          <w:b/>
          <w:sz w:val="32"/>
          <w:szCs w:val="20"/>
          <w:highlight w:val="none"/>
        </w:rPr>
        <w:t>九、验收</w:t>
      </w:r>
      <w:bookmarkEnd w:id="46"/>
      <w:bookmarkEnd w:id="47"/>
      <w:bookmarkEnd w:id="48"/>
    </w:p>
    <w:p w14:paraId="5418CB61">
      <w:pPr>
        <w:pStyle w:val="8"/>
        <w:adjustRightInd w:val="0"/>
        <w:snapToGrid w:val="0"/>
        <w:spacing w:before="120" w:beforeLines="50" w:after="120" w:afterLines="50" w:line="360" w:lineRule="auto"/>
        <w:rPr>
          <w:rFonts w:ascii="仿宋" w:hAnsi="仿宋" w:eastAsia="仿宋" w:cs="仿宋"/>
          <w:sz w:val="24"/>
          <w:szCs w:val="24"/>
          <w:highlight w:val="none"/>
        </w:rPr>
      </w:pPr>
      <w:r>
        <w:rPr>
          <w:rFonts w:hint="eastAsia" w:ascii="仿宋" w:hAnsi="仿宋" w:eastAsia="仿宋" w:cs="仿宋"/>
          <w:sz w:val="24"/>
          <w:szCs w:val="24"/>
          <w:highlight w:val="none"/>
        </w:rPr>
        <w:t>29.验收</w:t>
      </w:r>
    </w:p>
    <w:p w14:paraId="6B9A5096">
      <w:pPr>
        <w:pStyle w:val="35"/>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29.1采购人组织对供应商履约的验收。验收方成员应当在验收书上签字，并承担相应的法律责任。如果发现与合同中要求不符，供应商须承担由此发生的一切损失和费用，并接受相应的处理。</w:t>
      </w:r>
    </w:p>
    <w:p w14:paraId="7EB97B01">
      <w:pPr>
        <w:pStyle w:val="35"/>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29.2采购人可以邀请参加本项目的其他投标人或者第三方机构参与验收。参与验收的投标人或者第三方机构的意见作为验收书的参考资料一并存档。</w:t>
      </w:r>
    </w:p>
    <w:p w14:paraId="2A4482BB">
      <w:pPr>
        <w:pStyle w:val="35"/>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260EB19">
      <w:pPr>
        <w:pStyle w:val="35"/>
        <w:snapToGrid w:val="0"/>
        <w:spacing w:before="0"/>
        <w:ind w:firstLine="480"/>
        <w:rPr>
          <w:rFonts w:ascii="仿宋_GB2312" w:hAnsi="仿宋" w:eastAsia="仿宋_GB2312" w:cs="仿宋_GB2312"/>
          <w:highlight w:val="none"/>
        </w:rPr>
      </w:pPr>
      <w:r>
        <w:rPr>
          <w:rFonts w:hint="eastAsia" w:ascii="仿宋_GB2312" w:hAnsi="仿宋" w:eastAsia="仿宋_GB2312" w:cs="仿宋_GB2312"/>
          <w:highlight w:val="none"/>
        </w:rPr>
        <w:t>29.4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BA1B5DB">
      <w:pPr>
        <w:pStyle w:val="35"/>
        <w:snapToGrid w:val="0"/>
        <w:spacing w:before="0"/>
        <w:ind w:firstLine="480"/>
        <w:rPr>
          <w:rFonts w:ascii="仿宋_GB2312" w:hAnsi="仿宋" w:eastAsia="仿宋_GB2312" w:cs="仿宋_GB2312"/>
          <w:highlight w:val="none"/>
        </w:rPr>
      </w:pPr>
    </w:p>
    <w:p w14:paraId="4A1FE8F7">
      <w:pPr>
        <w:pStyle w:val="35"/>
        <w:snapToGrid w:val="0"/>
        <w:spacing w:before="0"/>
        <w:ind w:firstLine="480"/>
        <w:rPr>
          <w:rFonts w:ascii="仿宋_GB2312" w:hAnsi="仿宋" w:eastAsia="仿宋_GB2312" w:cs="仿宋_GB2312"/>
          <w:highlight w:val="none"/>
        </w:rPr>
      </w:pPr>
    </w:p>
    <w:p w14:paraId="3031E183">
      <w:pPr>
        <w:pStyle w:val="35"/>
        <w:snapToGrid w:val="0"/>
        <w:spacing w:before="0"/>
        <w:ind w:firstLine="480"/>
        <w:rPr>
          <w:rFonts w:ascii="仿宋_GB2312" w:hAnsi="仿宋" w:eastAsia="仿宋_GB2312" w:cs="仿宋_GB2312"/>
          <w:highlight w:val="none"/>
        </w:rPr>
      </w:pPr>
    </w:p>
    <w:p w14:paraId="020E27F8">
      <w:pPr>
        <w:pStyle w:val="35"/>
        <w:snapToGrid w:val="0"/>
        <w:spacing w:before="0"/>
        <w:ind w:firstLine="480"/>
        <w:rPr>
          <w:rFonts w:ascii="仿宋_GB2312" w:hAnsi="仿宋" w:eastAsia="仿宋_GB2312" w:cs="仿宋_GB2312"/>
          <w:highlight w:val="none"/>
        </w:rPr>
      </w:pPr>
    </w:p>
    <w:p w14:paraId="481165A7">
      <w:pPr>
        <w:adjustRightInd w:val="0"/>
        <w:snapToGrid w:val="0"/>
        <w:spacing w:before="120" w:beforeLines="50" w:after="120" w:afterLines="50" w:line="360" w:lineRule="auto"/>
        <w:rPr>
          <w:rFonts w:ascii="仿宋" w:hAnsi="仿宋" w:eastAsia="仿宋" w:cs="仿宋"/>
          <w:b/>
          <w:bCs/>
          <w:sz w:val="28"/>
          <w:szCs w:val="21"/>
          <w:highlight w:val="none"/>
        </w:rPr>
        <w:sectPr>
          <w:footerReference r:id="rId8" w:type="first"/>
          <w:headerReference r:id="rId6" w:type="default"/>
          <w:footerReference r:id="rId7" w:type="default"/>
          <w:pgSz w:w="11906" w:h="16838"/>
          <w:pgMar w:top="1276" w:right="1418" w:bottom="1247" w:left="1418" w:header="851" w:footer="992" w:gutter="0"/>
          <w:cols w:space="720" w:num="1"/>
          <w:titlePg/>
          <w:docGrid w:linePitch="312" w:charSpace="0"/>
        </w:sectPr>
      </w:pPr>
    </w:p>
    <w:p w14:paraId="072A2103">
      <w:pPr>
        <w:jc w:val="center"/>
        <w:outlineLvl w:val="0"/>
        <w:rPr>
          <w:rFonts w:ascii="仿宋" w:hAnsi="仿宋" w:eastAsia="仿宋" w:cs="仿宋"/>
          <w:b/>
          <w:sz w:val="30"/>
          <w:szCs w:val="30"/>
          <w:highlight w:val="none"/>
        </w:rPr>
      </w:pPr>
      <w:bookmarkStart w:id="49" w:name="_Toc3298"/>
      <w:bookmarkStart w:id="50" w:name="_Toc9192"/>
      <w:bookmarkStart w:id="51" w:name="_Toc242012824"/>
      <w:bookmarkStart w:id="52" w:name="_Toc19650"/>
      <w:r>
        <w:rPr>
          <w:rFonts w:hint="eastAsia" w:ascii="仿宋" w:hAnsi="仿宋" w:eastAsia="仿宋" w:cs="仿宋"/>
          <w:b/>
          <w:sz w:val="30"/>
          <w:szCs w:val="30"/>
          <w:highlight w:val="none"/>
        </w:rPr>
        <w:t xml:space="preserve">第三部分 </w:t>
      </w:r>
      <w:bookmarkStart w:id="53" w:name="_Toc18931"/>
      <w:r>
        <w:rPr>
          <w:rFonts w:hint="eastAsia" w:ascii="仿宋" w:hAnsi="仿宋" w:eastAsia="仿宋" w:cs="仿宋"/>
          <w:b/>
          <w:sz w:val="30"/>
          <w:szCs w:val="30"/>
          <w:highlight w:val="none"/>
        </w:rPr>
        <w:t>采购需求</w:t>
      </w:r>
      <w:bookmarkEnd w:id="49"/>
      <w:bookmarkEnd w:id="53"/>
      <w:bookmarkStart w:id="54" w:name="_Toc14349"/>
      <w:bookmarkStart w:id="55" w:name="_Toc342633574"/>
    </w:p>
    <w:p w14:paraId="04507150">
      <w:pPr>
        <w:pStyle w:val="4"/>
        <w:adjustRightInd w:val="0"/>
        <w:snapToGrid w:val="0"/>
        <w:spacing w:before="0" w:beforeAutospacing="0" w:after="0" w:afterAutospacing="0" w:line="360" w:lineRule="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一、项目概况</w:t>
      </w:r>
    </w:p>
    <w:p w14:paraId="37027DCA">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项目名称：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新疆维吾尔自治区天山东部国有林管理局哈密分局2026年森林生态修复项目一森林管护服务</w:t>
      </w:r>
    </w:p>
    <w:p w14:paraId="6FF840DC">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sz w:val="24"/>
          <w:highlight w:val="none"/>
        </w:rPr>
        <w:t>项目编号：</w:t>
      </w:r>
      <w:r>
        <w:rPr>
          <w:rFonts w:hint="eastAsia" w:asciiTheme="minorEastAsia" w:hAnsiTheme="minorEastAsia" w:eastAsiaTheme="minorEastAsia" w:cstheme="minorEastAsia"/>
          <w:color w:val="auto"/>
          <w:sz w:val="24"/>
          <w:highlight w:val="none"/>
          <w:lang w:eastAsia="zh-CN"/>
        </w:rPr>
        <w:t>XJMTZBCG(2026)-026</w:t>
      </w:r>
    </w:p>
    <w:p w14:paraId="59F5D8B6">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预算金额（元）：</w:t>
      </w:r>
      <w:r>
        <w:rPr>
          <w:rFonts w:hint="eastAsia" w:asciiTheme="minorEastAsia" w:hAnsiTheme="minorEastAsia" w:eastAsiaTheme="minorEastAsia" w:cstheme="minorEastAsia"/>
          <w:sz w:val="24"/>
          <w:highlight w:val="none"/>
          <w:lang w:val="en-US" w:eastAsia="zh-CN"/>
        </w:rPr>
        <w:t>41016</w:t>
      </w:r>
      <w:r>
        <w:rPr>
          <w:rFonts w:hint="eastAsia" w:asciiTheme="minorEastAsia" w:hAnsiTheme="minorEastAsia" w:eastAsiaTheme="minorEastAsia" w:cstheme="minorEastAsia"/>
          <w:sz w:val="24"/>
          <w:highlight w:val="none"/>
        </w:rPr>
        <w:t>00.00</w:t>
      </w:r>
      <w:r>
        <w:rPr>
          <w:rFonts w:hint="eastAsia" w:asciiTheme="minorEastAsia" w:hAnsiTheme="minorEastAsia" w:eastAsiaTheme="minorEastAsia" w:cstheme="minorEastAsia"/>
          <w:sz w:val="24"/>
          <w:highlight w:val="none"/>
          <w:lang w:eastAsia="zh-CN"/>
        </w:rPr>
        <w:t>元</w:t>
      </w:r>
    </w:p>
    <w:p w14:paraId="005035E8">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采购需求：补充管护队伍，稳步推进林业生态建设，提高就业率</w:t>
      </w:r>
      <w:r>
        <w:rPr>
          <w:rFonts w:hint="eastAsia" w:asciiTheme="minorEastAsia" w:hAnsiTheme="minorEastAsia" w:eastAsiaTheme="minorEastAsia" w:cstheme="minorEastAsia"/>
          <w:sz w:val="24"/>
          <w:highlight w:val="none"/>
          <w:lang w:eastAsia="zh-CN"/>
        </w:rPr>
        <w:t>。</w:t>
      </w:r>
    </w:p>
    <w:p w14:paraId="7F19CB08">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kern w:val="0"/>
          <w:sz w:val="24"/>
          <w:szCs w:val="18"/>
          <w:highlight w:val="none"/>
          <w:lang w:val="en-US" w:eastAsia="zh-CN" w:bidi="ar-SA"/>
        </w:rPr>
      </w:pPr>
      <w:r>
        <w:rPr>
          <w:rFonts w:hint="eastAsia" w:asciiTheme="minorEastAsia" w:hAnsiTheme="minorEastAsia" w:eastAsiaTheme="minorEastAsia" w:cstheme="minorEastAsia"/>
          <w:kern w:val="0"/>
          <w:sz w:val="24"/>
          <w:szCs w:val="18"/>
          <w:highlight w:val="none"/>
          <w:lang w:val="en-US" w:eastAsia="zh-CN" w:bidi="ar-SA"/>
        </w:rPr>
        <w:t>5.合同履约期限：一年。</w:t>
      </w:r>
    </w:p>
    <w:p w14:paraId="1E360ABD">
      <w:pPr>
        <w:keepNext w:val="0"/>
        <w:keepLines w:val="0"/>
        <w:pageBreakBefore w:val="0"/>
        <w:kinsoku/>
        <w:wordWrap/>
        <w:overflowPunct/>
        <w:topLinePunct w:val="0"/>
        <w:autoSpaceDE/>
        <w:autoSpaceDN/>
        <w:bidi w:val="0"/>
        <w:spacing w:line="360" w:lineRule="auto"/>
        <w:jc w:val="both"/>
        <w:textAlignment w:val="auto"/>
        <w:rPr>
          <w:rFonts w:hint="eastAsia"/>
          <w:lang w:val="en-US" w:eastAsia="zh-CN"/>
        </w:rPr>
      </w:pPr>
      <w:r>
        <w:rPr>
          <w:rFonts w:hint="eastAsia" w:asciiTheme="minorEastAsia" w:hAnsiTheme="minorEastAsia" w:eastAsiaTheme="minorEastAsia" w:cstheme="minorEastAsia"/>
          <w:color w:val="000000" w:themeColor="text1"/>
          <w:kern w:val="0"/>
          <w:sz w:val="24"/>
          <w:szCs w:val="18"/>
          <w:highlight w:val="none"/>
          <w:lang w:val="en-US" w:eastAsia="zh-CN" w:bidi="ar-SA"/>
          <w14:textFill>
            <w14:solidFill>
              <w14:schemeClr w14:val="tx1"/>
            </w14:solidFill>
          </w14:textFill>
        </w:rPr>
        <w:t>二、服务范围及内容</w:t>
      </w:r>
    </w:p>
    <w:p w14:paraId="09D3807D">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kern w:val="0"/>
          <w:sz w:val="24"/>
          <w:szCs w:val="18"/>
          <w:highlight w:val="none"/>
          <w:lang w:val="en-US" w:eastAsia="zh-CN" w:bidi="ar-SA"/>
        </w:rPr>
      </w:pPr>
      <w:bookmarkStart w:id="56" w:name="_Toc31361"/>
      <w:r>
        <w:rPr>
          <w:rFonts w:hint="eastAsia" w:ascii="仿宋" w:hAnsi="仿宋" w:eastAsia="仿宋" w:cs="仿宋"/>
          <w:b/>
          <w:sz w:val="30"/>
          <w:szCs w:val="30"/>
          <w:highlight w:val="none"/>
          <w:lang w:val="en-US" w:eastAsia="zh-CN"/>
        </w:rPr>
        <w:t xml:space="preserve">  </w:t>
      </w:r>
      <w:r>
        <w:rPr>
          <w:rFonts w:hint="eastAsia" w:asciiTheme="minorEastAsia" w:hAnsiTheme="minorEastAsia" w:eastAsiaTheme="minorEastAsia" w:cstheme="minorEastAsia"/>
          <w:kern w:val="0"/>
          <w:sz w:val="24"/>
          <w:szCs w:val="18"/>
          <w:highlight w:val="none"/>
          <w:lang w:val="en-US" w:eastAsia="zh-CN" w:bidi="ar-SA"/>
        </w:rPr>
        <w:t xml:space="preserve"> 1.本次招标内容是采购第三方人力资源服务机构，其中主要包含人员招聘配置（长期管护人员：共计48人（其中含应急分队聘用人员7人）的人员；临时管护人员：共计30人）、劳动合同管理、社保及公积金代缴、薪酬核算发放、个人所得税申报、员工档案规范化管理、入职离职手续办理、工伤意外事件协助处理、日常用工合规咨询、劳动争议辅助协调等配套服务。</w:t>
      </w:r>
    </w:p>
    <w:p w14:paraId="7C10C1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eastAsia" w:asciiTheme="minorEastAsia" w:hAnsiTheme="minorEastAsia" w:eastAsiaTheme="minorEastAsia" w:cstheme="minorEastAsia"/>
          <w:kern w:val="0"/>
          <w:sz w:val="24"/>
          <w:szCs w:val="18"/>
          <w:highlight w:val="none"/>
          <w:lang w:val="en-US" w:eastAsia="zh-CN" w:bidi="ar-SA"/>
        </w:rPr>
      </w:pPr>
      <w:r>
        <w:rPr>
          <w:rFonts w:hint="eastAsia" w:asciiTheme="minorEastAsia" w:hAnsiTheme="minorEastAsia" w:eastAsiaTheme="minorEastAsia" w:cstheme="minorEastAsia"/>
          <w:kern w:val="0"/>
          <w:sz w:val="24"/>
          <w:szCs w:val="18"/>
          <w:highlight w:val="none"/>
          <w:lang w:val="en-US" w:eastAsia="zh-CN" w:bidi="ar-SA"/>
        </w:rPr>
        <w:t>2.服务覆盖本单位各类辅助性岗位用工保障，服务过程严格遵守《中华人民共和国劳动合同法》及属地人社管理相关要求，保障用工合法合规、流程规范高效，日常事项及时响应，保障单位日常运转稳定。</w:t>
      </w:r>
    </w:p>
    <w:p w14:paraId="74DE8317">
      <w:pPr>
        <w:jc w:val="center"/>
        <w:outlineLvl w:val="0"/>
        <w:rPr>
          <w:rFonts w:hint="eastAsia" w:ascii="仿宋" w:hAnsi="仿宋" w:eastAsia="仿宋" w:cs="仿宋"/>
          <w:b/>
          <w:sz w:val="30"/>
          <w:szCs w:val="30"/>
          <w:highlight w:val="none"/>
        </w:rPr>
      </w:pPr>
    </w:p>
    <w:p w14:paraId="08A89EEC">
      <w:pPr>
        <w:jc w:val="center"/>
        <w:outlineLvl w:val="0"/>
        <w:rPr>
          <w:rFonts w:hint="eastAsia" w:ascii="仿宋" w:hAnsi="仿宋" w:eastAsia="仿宋" w:cs="仿宋"/>
          <w:b/>
          <w:sz w:val="30"/>
          <w:szCs w:val="30"/>
          <w:highlight w:val="none"/>
        </w:rPr>
      </w:pPr>
    </w:p>
    <w:p w14:paraId="11D6A271">
      <w:pPr>
        <w:jc w:val="center"/>
        <w:outlineLvl w:val="0"/>
        <w:rPr>
          <w:rFonts w:hint="eastAsia" w:ascii="仿宋" w:hAnsi="仿宋" w:eastAsia="仿宋" w:cs="仿宋"/>
          <w:b/>
          <w:sz w:val="30"/>
          <w:szCs w:val="30"/>
          <w:highlight w:val="none"/>
        </w:rPr>
      </w:pPr>
    </w:p>
    <w:p w14:paraId="43F61EA9">
      <w:pPr>
        <w:jc w:val="center"/>
        <w:outlineLvl w:val="0"/>
        <w:rPr>
          <w:rFonts w:hint="eastAsia" w:ascii="仿宋" w:hAnsi="仿宋" w:eastAsia="仿宋" w:cs="仿宋"/>
          <w:b/>
          <w:sz w:val="30"/>
          <w:szCs w:val="30"/>
          <w:highlight w:val="none"/>
        </w:rPr>
      </w:pPr>
    </w:p>
    <w:p w14:paraId="3BE32107">
      <w:pPr>
        <w:jc w:val="center"/>
        <w:outlineLvl w:val="0"/>
        <w:rPr>
          <w:rFonts w:hint="eastAsia" w:ascii="仿宋" w:hAnsi="仿宋" w:eastAsia="仿宋" w:cs="仿宋"/>
          <w:b/>
          <w:sz w:val="30"/>
          <w:szCs w:val="30"/>
          <w:highlight w:val="none"/>
        </w:rPr>
      </w:pPr>
    </w:p>
    <w:p w14:paraId="4F25C135">
      <w:pPr>
        <w:jc w:val="center"/>
        <w:outlineLvl w:val="0"/>
        <w:rPr>
          <w:rFonts w:hint="eastAsia" w:ascii="仿宋" w:hAnsi="仿宋" w:eastAsia="仿宋" w:cs="仿宋"/>
          <w:b/>
          <w:sz w:val="30"/>
          <w:szCs w:val="30"/>
          <w:highlight w:val="none"/>
        </w:rPr>
      </w:pPr>
    </w:p>
    <w:p w14:paraId="5B680615">
      <w:pPr>
        <w:jc w:val="center"/>
        <w:outlineLvl w:val="0"/>
        <w:rPr>
          <w:rFonts w:hint="eastAsia" w:ascii="仿宋" w:hAnsi="仿宋" w:eastAsia="仿宋" w:cs="仿宋"/>
          <w:b/>
          <w:sz w:val="30"/>
          <w:szCs w:val="30"/>
          <w:highlight w:val="none"/>
        </w:rPr>
      </w:pPr>
    </w:p>
    <w:p w14:paraId="33E2C09E">
      <w:pPr>
        <w:jc w:val="center"/>
        <w:outlineLvl w:val="0"/>
        <w:rPr>
          <w:rFonts w:hint="eastAsia" w:ascii="仿宋" w:hAnsi="仿宋" w:eastAsia="仿宋" w:cs="仿宋"/>
          <w:b/>
          <w:sz w:val="30"/>
          <w:szCs w:val="30"/>
          <w:highlight w:val="none"/>
        </w:rPr>
      </w:pPr>
    </w:p>
    <w:p w14:paraId="4EA6DCA2">
      <w:pPr>
        <w:jc w:val="center"/>
        <w:outlineLvl w:val="0"/>
        <w:rPr>
          <w:rFonts w:hint="eastAsia" w:ascii="仿宋" w:hAnsi="仿宋" w:eastAsia="仿宋" w:cs="仿宋"/>
          <w:b/>
          <w:sz w:val="30"/>
          <w:szCs w:val="30"/>
          <w:highlight w:val="none"/>
        </w:rPr>
      </w:pPr>
    </w:p>
    <w:p w14:paraId="49E5050A">
      <w:pPr>
        <w:rPr>
          <w:rFonts w:hint="eastAsia" w:ascii="仿宋" w:hAnsi="仿宋" w:eastAsia="仿宋" w:cs="仿宋"/>
          <w:b/>
          <w:sz w:val="30"/>
          <w:szCs w:val="30"/>
          <w:highlight w:val="none"/>
        </w:rPr>
      </w:pPr>
      <w:r>
        <w:rPr>
          <w:rFonts w:hint="eastAsia" w:ascii="仿宋" w:hAnsi="仿宋" w:eastAsia="仿宋" w:cs="仿宋"/>
          <w:b/>
          <w:sz w:val="30"/>
          <w:szCs w:val="30"/>
          <w:highlight w:val="none"/>
        </w:rPr>
        <w:br w:type="page"/>
      </w:r>
    </w:p>
    <w:p w14:paraId="0E525115">
      <w:pPr>
        <w:jc w:val="center"/>
        <w:outlineLvl w:val="0"/>
        <w:rPr>
          <w:rFonts w:ascii="仿宋" w:hAnsi="仿宋" w:eastAsia="仿宋" w:cs="仿宋"/>
          <w:b/>
          <w:sz w:val="30"/>
          <w:szCs w:val="30"/>
          <w:highlight w:val="none"/>
        </w:rPr>
      </w:pPr>
      <w:r>
        <w:rPr>
          <w:rFonts w:hint="eastAsia" w:ascii="仿宋" w:hAnsi="仿宋" w:eastAsia="仿宋" w:cs="仿宋"/>
          <w:b/>
          <w:sz w:val="30"/>
          <w:szCs w:val="30"/>
          <w:highlight w:val="none"/>
        </w:rPr>
        <w:t>第四部分  评标办法</w:t>
      </w:r>
      <w:bookmarkEnd w:id="54"/>
      <w:bookmarkEnd w:id="56"/>
    </w:p>
    <w:tbl>
      <w:tblPr>
        <w:tblStyle w:val="22"/>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791"/>
        <w:gridCol w:w="6900"/>
      </w:tblGrid>
      <w:tr w14:paraId="33E0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52" w:type="dxa"/>
            <w:gridSpan w:val="2"/>
            <w:tcBorders>
              <w:top w:val="single" w:color="auto" w:sz="4" w:space="0"/>
              <w:left w:val="single" w:color="auto" w:sz="4" w:space="0"/>
              <w:bottom w:val="single" w:color="auto" w:sz="4" w:space="0"/>
              <w:right w:val="single" w:color="auto" w:sz="4" w:space="0"/>
            </w:tcBorders>
          </w:tcPr>
          <w:p w14:paraId="5B1A19DA">
            <w:pPr>
              <w:jc w:val="center"/>
              <w:rPr>
                <w:rFonts w:ascii="仿宋" w:hAnsi="仿宋" w:eastAsia="仿宋" w:cs="仿宋"/>
                <w:sz w:val="24"/>
                <w:highlight w:val="none"/>
              </w:rPr>
            </w:pPr>
            <w:r>
              <w:rPr>
                <w:rFonts w:hint="eastAsia" w:ascii="仿宋" w:hAnsi="仿宋" w:eastAsia="仿宋" w:cs="仿宋"/>
                <w:sz w:val="24"/>
                <w:highlight w:val="none"/>
              </w:rPr>
              <w:t>项目</w:t>
            </w:r>
          </w:p>
        </w:tc>
        <w:tc>
          <w:tcPr>
            <w:tcW w:w="6900" w:type="dxa"/>
            <w:tcBorders>
              <w:top w:val="single" w:color="auto" w:sz="4" w:space="0"/>
              <w:left w:val="single" w:color="auto" w:sz="4" w:space="0"/>
              <w:bottom w:val="single" w:color="auto" w:sz="4" w:space="0"/>
              <w:right w:val="single" w:color="auto" w:sz="4" w:space="0"/>
            </w:tcBorders>
          </w:tcPr>
          <w:p w14:paraId="30CB52DA">
            <w:pPr>
              <w:jc w:val="center"/>
              <w:rPr>
                <w:rFonts w:ascii="仿宋" w:hAnsi="仿宋" w:eastAsia="仿宋" w:cs="仿宋"/>
                <w:sz w:val="24"/>
                <w:highlight w:val="none"/>
              </w:rPr>
            </w:pPr>
            <w:r>
              <w:rPr>
                <w:rFonts w:hint="eastAsia" w:ascii="仿宋" w:hAnsi="仿宋" w:eastAsia="仿宋" w:cs="仿宋"/>
                <w:sz w:val="24"/>
                <w:highlight w:val="none"/>
              </w:rPr>
              <w:t>评分细则</w:t>
            </w:r>
          </w:p>
        </w:tc>
      </w:tr>
      <w:tr w14:paraId="0C96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261" w:type="dxa"/>
            <w:tcBorders>
              <w:top w:val="single" w:color="auto" w:sz="4" w:space="0"/>
              <w:left w:val="single" w:color="auto" w:sz="4" w:space="0"/>
              <w:right w:val="single" w:color="auto" w:sz="4" w:space="0"/>
            </w:tcBorders>
            <w:vAlign w:val="center"/>
          </w:tcPr>
          <w:p w14:paraId="698A7A4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投标报价（10分）</w:t>
            </w:r>
          </w:p>
        </w:tc>
        <w:tc>
          <w:tcPr>
            <w:tcW w:w="1791" w:type="dxa"/>
            <w:tcBorders>
              <w:top w:val="single" w:color="auto" w:sz="4" w:space="0"/>
              <w:left w:val="single" w:color="auto" w:sz="4" w:space="0"/>
              <w:bottom w:val="single" w:color="auto" w:sz="4" w:space="0"/>
              <w:right w:val="single" w:color="auto" w:sz="4" w:space="0"/>
            </w:tcBorders>
            <w:vAlign w:val="center"/>
          </w:tcPr>
          <w:p w14:paraId="42408ED8">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投标报价</w:t>
            </w:r>
          </w:p>
          <w:p w14:paraId="40297F3C">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10分</w:t>
            </w:r>
            <w:r>
              <w:rPr>
                <w:rFonts w:hint="eastAsia" w:ascii="仿宋" w:hAnsi="仿宋" w:eastAsia="仿宋" w:cs="仿宋"/>
                <w:sz w:val="24"/>
                <w:highlight w:val="none"/>
                <w:lang w:eastAsia="zh-CN"/>
              </w:rPr>
              <w:t>）</w:t>
            </w:r>
          </w:p>
        </w:tc>
        <w:tc>
          <w:tcPr>
            <w:tcW w:w="6900" w:type="dxa"/>
            <w:tcBorders>
              <w:top w:val="single" w:color="auto" w:sz="4" w:space="0"/>
              <w:left w:val="single" w:color="auto" w:sz="4" w:space="0"/>
              <w:bottom w:val="single" w:color="auto" w:sz="4" w:space="0"/>
              <w:right w:val="single" w:color="auto" w:sz="4" w:space="0"/>
            </w:tcBorders>
            <w:vAlign w:val="center"/>
          </w:tcPr>
          <w:p w14:paraId="074C66C7">
            <w:pPr>
              <w:adjustRightInd w:val="0"/>
              <w:snapToGrid w:val="0"/>
              <w:rPr>
                <w:rFonts w:ascii="仿宋" w:hAnsi="仿宋" w:eastAsia="仿宋" w:cs="仿宋"/>
                <w:sz w:val="24"/>
                <w:highlight w:val="none"/>
              </w:rPr>
            </w:pPr>
            <w:r>
              <w:rPr>
                <w:rFonts w:hint="eastAsia" w:ascii="仿宋" w:hAnsi="仿宋" w:eastAsia="仿宋" w:cs="仿宋"/>
                <w:sz w:val="24"/>
                <w:highlight w:val="none"/>
              </w:rPr>
              <w:t>评标基准价：满足招标文件要求且投标价格最低的投标报价为评标基准价，其价格分为10分。其他投标人的价格分统一按照下列公式计算：投标报价得分=(评标基准价/投标报价)×10（保留小数点后两位有效数字，按四舍五入进制）。</w:t>
            </w:r>
          </w:p>
        </w:tc>
      </w:tr>
      <w:tr w14:paraId="509D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261" w:type="dxa"/>
            <w:tcBorders>
              <w:left w:val="single" w:color="auto" w:sz="4" w:space="0"/>
              <w:right w:val="single" w:color="auto" w:sz="4" w:space="0"/>
            </w:tcBorders>
            <w:vAlign w:val="center"/>
          </w:tcPr>
          <w:p w14:paraId="66F19D2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lang w:val="en-US" w:eastAsia="zh-CN"/>
              </w:rPr>
              <w:t>商务部分（5分）</w:t>
            </w:r>
          </w:p>
        </w:tc>
        <w:tc>
          <w:tcPr>
            <w:tcW w:w="1791" w:type="dxa"/>
            <w:tcBorders>
              <w:top w:val="single" w:color="auto" w:sz="4" w:space="0"/>
              <w:left w:val="single" w:color="auto" w:sz="4" w:space="0"/>
              <w:right w:val="single" w:color="auto" w:sz="4" w:space="0"/>
            </w:tcBorders>
            <w:vAlign w:val="center"/>
          </w:tcPr>
          <w:p w14:paraId="0065EE03">
            <w:pPr>
              <w:adjustRightInd w:val="0"/>
              <w:snapToGrid w:val="0"/>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企业类似业绩</w:t>
            </w:r>
          </w:p>
          <w:p w14:paraId="3FB70595">
            <w:pPr>
              <w:adjustRightInd w:val="0"/>
              <w:snapToGrid w:val="0"/>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5分</w:t>
            </w:r>
            <w:r>
              <w:rPr>
                <w:rFonts w:hint="eastAsia" w:ascii="仿宋" w:hAnsi="仿宋" w:eastAsia="仿宋" w:cs="仿宋"/>
                <w:sz w:val="24"/>
                <w:highlight w:val="none"/>
                <w:lang w:eastAsia="zh-CN"/>
              </w:rPr>
              <w:t>）</w:t>
            </w:r>
          </w:p>
        </w:tc>
        <w:tc>
          <w:tcPr>
            <w:tcW w:w="6900" w:type="dxa"/>
            <w:tcBorders>
              <w:top w:val="single" w:color="auto" w:sz="4" w:space="0"/>
              <w:left w:val="single" w:color="auto" w:sz="4" w:space="0"/>
              <w:bottom w:val="single" w:color="auto" w:sz="4" w:space="0"/>
              <w:right w:val="single" w:color="auto" w:sz="4" w:space="0"/>
            </w:tcBorders>
            <w:vAlign w:val="center"/>
          </w:tcPr>
          <w:p w14:paraId="5DE6DB6E">
            <w:pPr>
              <w:adjustRightInd w:val="0"/>
              <w:snapToGrid w:val="0"/>
              <w:rPr>
                <w:rFonts w:hint="eastAsia" w:ascii="仿宋" w:hAnsi="仿宋" w:eastAsia="仿宋" w:cs="仿宋"/>
                <w:sz w:val="24"/>
                <w:highlight w:val="none"/>
              </w:rPr>
            </w:pPr>
            <w:r>
              <w:rPr>
                <w:rFonts w:hint="eastAsia" w:ascii="仿宋" w:hAnsi="仿宋" w:eastAsia="仿宋" w:cs="仿宋"/>
                <w:sz w:val="24"/>
                <w:highlight w:val="none"/>
              </w:rPr>
              <w:t>供应商近三年（</w:t>
            </w:r>
            <w:r>
              <w:rPr>
                <w:rFonts w:hint="eastAsia" w:ascii="仿宋" w:hAnsi="仿宋" w:eastAsia="仿宋" w:cs="仿宋"/>
                <w:sz w:val="24"/>
                <w:highlight w:val="none"/>
                <w:lang w:eastAsia="zh-CN"/>
              </w:rPr>
              <w:t>202</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年</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月1日</w:t>
            </w:r>
            <w:r>
              <w:rPr>
                <w:rFonts w:hint="eastAsia" w:ascii="仿宋" w:hAnsi="仿宋" w:eastAsia="仿宋" w:cs="仿宋"/>
                <w:sz w:val="24"/>
                <w:highlight w:val="none"/>
              </w:rPr>
              <w:t>-至今，以合同签订时间为准）完成的类似项目业绩（须提供中标（成交）通知书和合同），每提供一项得</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分，最多得</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w:t>
            </w:r>
          </w:p>
        </w:tc>
      </w:tr>
      <w:tr w14:paraId="0703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261" w:type="dxa"/>
            <w:vMerge w:val="restart"/>
            <w:tcBorders>
              <w:top w:val="single" w:color="auto" w:sz="4" w:space="0"/>
              <w:left w:val="single" w:color="auto" w:sz="4" w:space="0"/>
              <w:right w:val="single" w:color="auto" w:sz="4" w:space="0"/>
            </w:tcBorders>
            <w:vAlign w:val="center"/>
          </w:tcPr>
          <w:p w14:paraId="5AB86313">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技术部分（85分）</w:t>
            </w:r>
          </w:p>
        </w:tc>
        <w:tc>
          <w:tcPr>
            <w:tcW w:w="1791" w:type="dxa"/>
            <w:tcBorders>
              <w:top w:val="single" w:color="auto" w:sz="4" w:space="0"/>
              <w:left w:val="single" w:color="auto" w:sz="4" w:space="0"/>
              <w:bottom w:val="single" w:color="auto" w:sz="4" w:space="0"/>
              <w:right w:val="single" w:color="auto" w:sz="4" w:space="0"/>
            </w:tcBorders>
            <w:vAlign w:val="center"/>
          </w:tcPr>
          <w:p w14:paraId="2C9510BB">
            <w:pPr>
              <w:adjustRightInd w:val="0"/>
              <w:snapToGrid w:val="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服务方案</w:t>
            </w:r>
          </w:p>
          <w:p w14:paraId="6EF981B6">
            <w:pPr>
              <w:pStyle w:val="2"/>
              <w:ind w:left="0" w:leftChars="0" w:firstLine="480" w:firstLineChars="200"/>
              <w:jc w:val="center"/>
              <w:rPr>
                <w:rFonts w:hint="eastAsia"/>
                <w:lang w:val="en-US" w:eastAsia="zh-CN"/>
              </w:rPr>
            </w:pPr>
            <w:r>
              <w:rPr>
                <w:rFonts w:hint="eastAsia" w:ascii="仿宋" w:hAnsi="仿宋" w:eastAsia="仿宋" w:cs="仿宋"/>
                <w:sz w:val="24"/>
                <w:highlight w:val="none"/>
                <w:lang w:val="en-US" w:eastAsia="zh-CN"/>
              </w:rPr>
              <w:t>（45分）</w:t>
            </w:r>
          </w:p>
        </w:tc>
        <w:tc>
          <w:tcPr>
            <w:tcW w:w="6900" w:type="dxa"/>
            <w:tcBorders>
              <w:top w:val="single" w:color="auto" w:sz="4" w:space="0"/>
              <w:left w:val="single" w:color="auto" w:sz="4" w:space="0"/>
              <w:bottom w:val="single" w:color="auto" w:sz="4" w:space="0"/>
              <w:right w:val="single" w:color="auto" w:sz="4" w:space="0"/>
            </w:tcBorders>
            <w:vAlign w:val="center"/>
          </w:tcPr>
          <w:p w14:paraId="0E1E8ECB">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服务内容包括但不限于：</w:t>
            </w:r>
          </w:p>
          <w:p w14:paraId="1F7FF492">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①派遣人员关系管理方案 ：覆盖人员入职到离职全周期关系管 理，含培训、沟通、职业规划 、激励策略， 结合相关纪律要求， 执行流程与分工明确 。</w:t>
            </w:r>
          </w:p>
          <w:p w14:paraId="03CE7C03">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②档案户籍及社保管理方案：档案、户籍、社保管理流 程清晰 ，操作 规范 ，明确 责任，建立电子档案与部门协作 。</w:t>
            </w:r>
          </w:p>
          <w:p w14:paraId="183886A0">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③派遣员工每年体检方案： 体检时间、项目合理 ，选优质机构 ，有结果反馈与跟踪服务。</w:t>
            </w:r>
          </w:p>
          <w:p w14:paraId="197FF5B7">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④员工派遣时效性方案：劳动合同、派签、社保等办理流程明晰，设时间节点与监控机制，确保时效。</w:t>
            </w:r>
          </w:p>
          <w:p w14:paraId="2F0D1769">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⑤有完整处理劳务纠纷服务方案 ：含纠纷预防、处理流程，组建专业团队，建案例库。</w:t>
            </w:r>
          </w:p>
          <w:p w14:paraId="0F92E655">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⑥整体策划：目标清晰可量化，分析内外部环境 ，规划关键节点，建协调机制，指导全面 。</w:t>
            </w:r>
          </w:p>
          <w:p w14:paraId="5879C616">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⑦拟采取的管理方式 、工作计划：管理方式科学合理，工作 计划覆盖全阶段，设跟 踪评估 机制 ，相互支撑 。</w:t>
            </w:r>
          </w:p>
          <w:p w14:paraId="52530F35">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⑧质量保证措施：建完整质量体系，含目标、标准、责任与流程 ，措施覆盖全环节 ，设监督考核 ，配专人服务。</w:t>
            </w:r>
          </w:p>
          <w:p w14:paraId="3FAF5056">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⑨检查 、考核及奖惩措施：制度全面 ，检查、考核 、奖惩机制完善，形成管理闭环。</w:t>
            </w:r>
          </w:p>
          <w:p w14:paraId="79C6B373">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满分45分，每缺失一项内容扣 5分，每一项内容中有一处内容缺陷扣 1.5 分，扣完为止。</w:t>
            </w:r>
          </w:p>
        </w:tc>
      </w:tr>
      <w:tr w14:paraId="389A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261" w:type="dxa"/>
            <w:vMerge w:val="continue"/>
            <w:tcBorders>
              <w:left w:val="single" w:color="auto" w:sz="4" w:space="0"/>
              <w:right w:val="single" w:color="auto" w:sz="4" w:space="0"/>
            </w:tcBorders>
            <w:vAlign w:val="center"/>
          </w:tcPr>
          <w:p w14:paraId="33D0ED66">
            <w:pPr>
              <w:adjustRightInd w:val="0"/>
              <w:snapToGrid w:val="0"/>
              <w:rPr>
                <w:rFonts w:hint="eastAsia" w:ascii="仿宋" w:hAnsi="仿宋" w:eastAsia="仿宋" w:cs="仿宋"/>
                <w:sz w:val="24"/>
                <w:highlight w:val="none"/>
                <w:lang w:val="en-US" w:eastAsia="zh-CN"/>
              </w:rPr>
            </w:pPr>
          </w:p>
        </w:tc>
        <w:tc>
          <w:tcPr>
            <w:tcW w:w="1791" w:type="dxa"/>
            <w:tcBorders>
              <w:top w:val="single" w:color="auto" w:sz="4" w:space="0"/>
              <w:left w:val="single" w:color="auto" w:sz="4" w:space="0"/>
              <w:bottom w:val="single" w:color="auto" w:sz="4" w:space="0"/>
              <w:right w:val="single" w:color="auto" w:sz="4" w:space="0"/>
            </w:tcBorders>
            <w:vAlign w:val="center"/>
          </w:tcPr>
          <w:p w14:paraId="4E8EACC5">
            <w:pPr>
              <w:adjustRightInd w:val="0"/>
              <w:snapToGrid w:val="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培训方案</w:t>
            </w:r>
          </w:p>
          <w:p w14:paraId="71825733">
            <w:pPr>
              <w:adjustRightInd w:val="0"/>
              <w:snapToGrid w:val="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（20分）</w:t>
            </w:r>
          </w:p>
        </w:tc>
        <w:tc>
          <w:tcPr>
            <w:tcW w:w="6900" w:type="dxa"/>
            <w:tcBorders>
              <w:top w:val="single" w:color="auto" w:sz="4" w:space="0"/>
              <w:left w:val="single" w:color="auto" w:sz="4" w:space="0"/>
              <w:bottom w:val="single" w:color="auto" w:sz="4" w:space="0"/>
              <w:right w:val="single" w:color="auto" w:sz="4" w:space="0"/>
            </w:tcBorders>
            <w:vAlign w:val="center"/>
          </w:tcPr>
          <w:p w14:paraId="74D067F7">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为确保服务质量，制定服务期内对相关人员的培训方案，包括但不限于：</w:t>
            </w:r>
          </w:p>
          <w:p w14:paraId="3D8600B2">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①职业道德培训：职业道德培训的具体内容，职业操守的具体要求等。</w:t>
            </w:r>
          </w:p>
          <w:p w14:paraId="49C5DC53">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②相关劳动政策培训：涵盖劳动法律法规解读、劳动合同签订规范、工资支付标准、休息休假制度等劳动政策内容。</w:t>
            </w:r>
          </w:p>
          <w:p w14:paraId="5C97D54C">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③法律法规培训：法律法规条款解析、密级保护范围界定、泄密后果与责任等内容。</w:t>
            </w:r>
          </w:p>
          <w:p w14:paraId="2F353E8E">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④安全服务培训：安全生产知识、安全操作规程、应急处理流程、安全风险防范等内容。</w:t>
            </w:r>
          </w:p>
          <w:p w14:paraId="1A7D3E0B">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满分20分，每缺失一项内容扣 5分，每一项内容中有一处内容缺陷扣 1.5 分，扣完为止。</w:t>
            </w:r>
          </w:p>
        </w:tc>
      </w:tr>
      <w:tr w14:paraId="725F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261" w:type="dxa"/>
            <w:vMerge w:val="continue"/>
            <w:tcBorders>
              <w:left w:val="single" w:color="auto" w:sz="4" w:space="0"/>
              <w:right w:val="single" w:color="auto" w:sz="4" w:space="0"/>
            </w:tcBorders>
            <w:vAlign w:val="center"/>
          </w:tcPr>
          <w:p w14:paraId="3CEB8A1F">
            <w:pPr>
              <w:adjustRightInd w:val="0"/>
              <w:snapToGrid w:val="0"/>
              <w:rPr>
                <w:rFonts w:hint="eastAsia" w:ascii="仿宋" w:hAnsi="仿宋" w:eastAsia="仿宋" w:cs="仿宋"/>
                <w:sz w:val="24"/>
                <w:highlight w:val="none"/>
                <w:lang w:val="en-US" w:eastAsia="zh-CN"/>
              </w:rPr>
            </w:pPr>
          </w:p>
        </w:tc>
        <w:tc>
          <w:tcPr>
            <w:tcW w:w="1791" w:type="dxa"/>
            <w:tcBorders>
              <w:top w:val="single" w:color="auto" w:sz="4" w:space="0"/>
              <w:left w:val="single" w:color="auto" w:sz="4" w:space="0"/>
              <w:bottom w:val="single" w:color="auto" w:sz="4" w:space="0"/>
              <w:right w:val="single" w:color="auto" w:sz="4" w:space="0"/>
            </w:tcBorders>
            <w:vAlign w:val="center"/>
          </w:tcPr>
          <w:p w14:paraId="7957E0D8">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重点难点分析及合理化建议（10分）</w:t>
            </w:r>
          </w:p>
        </w:tc>
        <w:tc>
          <w:tcPr>
            <w:tcW w:w="6900" w:type="dxa"/>
            <w:tcBorders>
              <w:top w:val="single" w:color="auto" w:sz="4" w:space="0"/>
              <w:left w:val="single" w:color="auto" w:sz="4" w:space="0"/>
              <w:bottom w:val="single" w:color="auto" w:sz="4" w:space="0"/>
              <w:right w:val="single" w:color="auto" w:sz="4" w:space="0"/>
            </w:tcBorders>
            <w:vAlign w:val="center"/>
          </w:tcPr>
          <w:p w14:paraId="52D99371">
            <w:pPr>
              <w:adjustRightInd w:val="0"/>
              <w:snapToGrid w:val="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①分析项目开展过程中的重点难点，分析全面、精准掌握要点得5分，不提供的不得分。</w:t>
            </w:r>
          </w:p>
          <w:p w14:paraId="23B7E35D">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②供应商针对本项目提出合理化建议，建议内容具有较强可操作性，每提供 1条有效建议得 2.5 分，最高得 5 分，不提供的不得分。</w:t>
            </w:r>
          </w:p>
        </w:tc>
      </w:tr>
      <w:tr w14:paraId="5F7F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261" w:type="dxa"/>
            <w:vMerge w:val="continue"/>
            <w:tcBorders>
              <w:left w:val="single" w:color="auto" w:sz="4" w:space="0"/>
              <w:right w:val="single" w:color="auto" w:sz="4" w:space="0"/>
            </w:tcBorders>
            <w:vAlign w:val="center"/>
          </w:tcPr>
          <w:p w14:paraId="49C07FB0">
            <w:pPr>
              <w:adjustRightInd w:val="0"/>
              <w:snapToGrid w:val="0"/>
              <w:rPr>
                <w:rFonts w:hint="eastAsia" w:ascii="仿宋" w:hAnsi="仿宋" w:eastAsia="仿宋" w:cs="仿宋"/>
                <w:sz w:val="24"/>
                <w:highlight w:val="none"/>
                <w:lang w:val="en-US" w:eastAsia="zh-CN"/>
              </w:rPr>
            </w:pPr>
          </w:p>
        </w:tc>
        <w:tc>
          <w:tcPr>
            <w:tcW w:w="1791" w:type="dxa"/>
            <w:tcBorders>
              <w:top w:val="single" w:color="auto" w:sz="4" w:space="0"/>
              <w:left w:val="single" w:color="auto" w:sz="4" w:space="0"/>
              <w:bottom w:val="single" w:color="auto" w:sz="4" w:space="0"/>
              <w:right w:val="single" w:color="auto" w:sz="4" w:space="0"/>
            </w:tcBorders>
            <w:vAlign w:val="center"/>
          </w:tcPr>
          <w:p w14:paraId="71FBCF44">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后续服务及现场服务</w:t>
            </w:r>
            <w:bookmarkStart w:id="138" w:name="_GoBack"/>
            <w:bookmarkEnd w:id="138"/>
            <w:r>
              <w:rPr>
                <w:rFonts w:hint="eastAsia" w:ascii="仿宋" w:hAnsi="仿宋" w:eastAsia="仿宋" w:cs="仿宋"/>
                <w:sz w:val="24"/>
                <w:highlight w:val="none"/>
                <w:lang w:val="en-US" w:eastAsia="zh-CN"/>
              </w:rPr>
              <w:t>（10分）</w:t>
            </w:r>
          </w:p>
        </w:tc>
        <w:tc>
          <w:tcPr>
            <w:tcW w:w="6900" w:type="dxa"/>
            <w:tcBorders>
              <w:top w:val="single" w:color="auto" w:sz="4" w:space="0"/>
              <w:left w:val="single" w:color="auto" w:sz="4" w:space="0"/>
              <w:bottom w:val="single" w:color="auto" w:sz="4" w:space="0"/>
              <w:right w:val="single" w:color="auto" w:sz="4" w:space="0"/>
            </w:tcBorders>
            <w:vAlign w:val="center"/>
          </w:tcPr>
          <w:p w14:paraId="34B45309">
            <w:pPr>
              <w:adjustRightInd w:val="0"/>
              <w:snapToGrid w:val="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后续服务措施完善，有详细完整的服务说明和计划，服务响应时间、就近售后服务机构、售后服务内容，有针对本项目的服务人员机构配置和岗位职责，服务内容完整得10分。</w:t>
            </w:r>
          </w:p>
        </w:tc>
      </w:tr>
    </w:tbl>
    <w:p w14:paraId="44B34D78">
      <w:pPr>
        <w:adjustRightInd w:val="0"/>
        <w:snapToGrid w:val="0"/>
        <w:rPr>
          <w:rFonts w:hint="eastAsia" w:ascii="仿宋" w:hAnsi="仿宋" w:eastAsia="仿宋" w:cs="仿宋"/>
          <w:sz w:val="24"/>
          <w:highlight w:val="none"/>
          <w:lang w:val="en-US" w:eastAsia="zh-CN"/>
        </w:rPr>
      </w:pPr>
    </w:p>
    <w:bookmarkEnd w:id="55"/>
    <w:p w14:paraId="0FE2C62D">
      <w:pPr>
        <w:snapToGrid w:val="0"/>
        <w:spacing w:line="360" w:lineRule="auto"/>
        <w:rPr>
          <w:rFonts w:ascii="仿宋" w:hAnsi="仿宋" w:eastAsia="仿宋" w:cs="仿宋_GB2312"/>
          <w:b/>
          <w:sz w:val="24"/>
          <w:highlight w:val="none"/>
        </w:rPr>
      </w:pPr>
      <w:r>
        <w:rPr>
          <w:rFonts w:hint="eastAsia" w:ascii="仿宋_GB2312" w:hAnsi="仿宋" w:eastAsia="仿宋_GB2312" w:cs="仿宋_GB2312"/>
          <w:b/>
          <w:sz w:val="32"/>
          <w:highlight w:val="none"/>
        </w:rPr>
        <w:br w:type="page"/>
      </w:r>
    </w:p>
    <w:p w14:paraId="6A03ACE9">
      <w:pPr>
        <w:adjustRightInd w:val="0"/>
        <w:snapToGrid w:val="0"/>
        <w:spacing w:before="120" w:beforeLines="50" w:after="120" w:afterLines="50" w:line="360" w:lineRule="auto"/>
        <w:jc w:val="center"/>
        <w:rPr>
          <w:rFonts w:ascii="仿宋" w:hAnsi="仿宋" w:eastAsia="仿宋" w:cs="仿宋"/>
          <w:sz w:val="24"/>
          <w:highlight w:val="none"/>
        </w:rPr>
      </w:pPr>
      <w:bookmarkStart w:id="57" w:name="_Toc9979"/>
      <w:bookmarkStart w:id="58" w:name="_Toc11632"/>
      <w:bookmarkStart w:id="59" w:name="_Toc22950"/>
      <w:bookmarkStart w:id="60" w:name="_Toc12452"/>
      <w:r>
        <w:rPr>
          <w:rFonts w:hint="eastAsia" w:ascii="仿宋" w:hAnsi="仿宋" w:eastAsia="仿宋" w:cs="仿宋"/>
          <w:b/>
          <w:kern w:val="21"/>
          <w:sz w:val="28"/>
          <w:szCs w:val="28"/>
          <w:highlight w:val="none"/>
        </w:rPr>
        <w:t>评标办法前附表</w:t>
      </w:r>
      <w:bookmarkEnd w:id="57"/>
      <w:bookmarkEnd w:id="58"/>
      <w:bookmarkEnd w:id="59"/>
    </w:p>
    <w:p w14:paraId="7FF6B6F2">
      <w:pPr>
        <w:pStyle w:val="7"/>
        <w:snapToGrid w:val="0"/>
        <w:spacing w:before="120" w:beforeLines="50" w:after="120" w:afterLines="50" w:line="360" w:lineRule="auto"/>
        <w:rPr>
          <w:rFonts w:ascii="仿宋" w:hAnsi="仿宋" w:eastAsia="仿宋" w:cs="仿宋"/>
          <w:sz w:val="24"/>
          <w:szCs w:val="24"/>
          <w:highlight w:val="none"/>
        </w:rPr>
      </w:pPr>
      <w:bookmarkStart w:id="61" w:name="_Toc20484"/>
      <w:bookmarkStart w:id="62" w:name="_Toc22166"/>
      <w:r>
        <w:rPr>
          <w:rFonts w:hint="eastAsia" w:ascii="仿宋" w:hAnsi="仿宋" w:eastAsia="仿宋" w:cs="仿宋"/>
          <w:sz w:val="24"/>
          <w:szCs w:val="24"/>
          <w:highlight w:val="none"/>
        </w:rPr>
        <w:t>一、评标方法</w:t>
      </w:r>
      <w:bookmarkEnd w:id="50"/>
      <w:bookmarkEnd w:id="60"/>
      <w:bookmarkEnd w:id="61"/>
      <w:bookmarkEnd w:id="62"/>
    </w:p>
    <w:p w14:paraId="08359149">
      <w:pPr>
        <w:spacing w:line="360" w:lineRule="auto"/>
        <w:ind w:firstLine="472" w:firstLineChars="196"/>
        <w:rPr>
          <w:rFonts w:ascii="仿宋_GB2312" w:hAnsi="仿宋" w:eastAsia="仿宋_GB2312" w:cs="Arial"/>
          <w:kern w:val="0"/>
          <w:sz w:val="24"/>
          <w:highlight w:val="none"/>
        </w:rPr>
      </w:pPr>
      <w:r>
        <w:rPr>
          <w:rFonts w:ascii="仿宋_GB2312" w:hAnsi="仿宋" w:eastAsia="仿宋_GB2312" w:cs="Arial"/>
          <w:b/>
          <w:kern w:val="0"/>
          <w:sz w:val="24"/>
          <w:highlight w:val="none"/>
        </w:rPr>
        <w:t>1.</w:t>
      </w:r>
      <w:r>
        <w:rPr>
          <w:rFonts w:hint="eastAsia" w:ascii="仿宋_GB2312" w:hAnsi="仿宋" w:eastAsia="仿宋_GB2312" w:cs="Arial"/>
          <w:b/>
          <w:kern w:val="0"/>
          <w:sz w:val="24"/>
          <w:highlight w:val="none"/>
        </w:rPr>
        <w:t>本项目采用综合评分法。</w:t>
      </w:r>
      <w:r>
        <w:rPr>
          <w:rFonts w:hint="eastAsia" w:ascii="仿宋_GB2312" w:hAnsi="仿宋" w:eastAsia="仿宋_GB2312" w:cs="Arial"/>
          <w:kern w:val="0"/>
          <w:sz w:val="24"/>
          <w:highlight w:val="none"/>
        </w:rPr>
        <w:t>综合评分法，是指投标文件满足招标文件全部实质性要求，且按照评审因素的量化指标评审得分最高的投标人为中标候选人的评标方法。</w:t>
      </w:r>
    </w:p>
    <w:p w14:paraId="706BB723">
      <w:pPr>
        <w:pStyle w:val="7"/>
        <w:snapToGrid w:val="0"/>
        <w:spacing w:before="120" w:beforeLines="50" w:after="120" w:afterLines="50" w:line="360" w:lineRule="auto"/>
        <w:rPr>
          <w:rFonts w:ascii="仿宋" w:hAnsi="仿宋" w:eastAsia="仿宋" w:cs="仿宋"/>
          <w:sz w:val="24"/>
          <w:szCs w:val="24"/>
          <w:highlight w:val="none"/>
        </w:rPr>
      </w:pPr>
      <w:bookmarkStart w:id="63" w:name="_Toc12935"/>
      <w:bookmarkStart w:id="64" w:name="_Toc5040"/>
      <w:bookmarkStart w:id="65" w:name="_Toc12599"/>
      <w:bookmarkStart w:id="66" w:name="_Toc10819"/>
      <w:r>
        <w:rPr>
          <w:rFonts w:hint="eastAsia" w:ascii="仿宋" w:hAnsi="仿宋" w:eastAsia="仿宋" w:cs="仿宋"/>
          <w:sz w:val="24"/>
          <w:szCs w:val="24"/>
          <w:highlight w:val="none"/>
        </w:rPr>
        <w:t>二、评标标准</w:t>
      </w:r>
      <w:bookmarkEnd w:id="63"/>
      <w:bookmarkEnd w:id="64"/>
      <w:bookmarkEnd w:id="65"/>
      <w:bookmarkEnd w:id="66"/>
    </w:p>
    <w:p w14:paraId="2ECA37DC">
      <w:pPr>
        <w:spacing w:line="360" w:lineRule="auto"/>
        <w:ind w:firstLine="472" w:firstLineChars="196"/>
        <w:rPr>
          <w:rFonts w:ascii="仿宋_GB2312" w:hAnsi="仿宋_GB2312" w:eastAsia="仿宋_GB2312" w:cs="仿宋_GB2312"/>
          <w:b/>
          <w:sz w:val="24"/>
          <w:highlight w:val="none"/>
        </w:rPr>
      </w:pPr>
      <w:r>
        <w:rPr>
          <w:rFonts w:ascii="仿宋_GB2312" w:hAnsi="仿宋_GB2312" w:eastAsia="仿宋_GB2312" w:cs="仿宋_GB2312"/>
          <w:b/>
          <w:sz w:val="24"/>
          <w:highlight w:val="none"/>
        </w:rPr>
        <w:t>2.</w:t>
      </w:r>
      <w:r>
        <w:rPr>
          <w:highlight w:val="none"/>
        </w:rPr>
        <w:t xml:space="preserve"> </w:t>
      </w:r>
      <w:r>
        <w:rPr>
          <w:rFonts w:hint="eastAsia" w:ascii="仿宋_GB2312" w:hAnsi="仿宋_GB2312" w:eastAsia="仿宋_GB2312" w:cs="仿宋_GB2312"/>
          <w:b/>
          <w:sz w:val="24"/>
          <w:highlight w:val="none"/>
        </w:rPr>
        <w:t>评标标准：</w:t>
      </w:r>
      <w:r>
        <w:rPr>
          <w:rFonts w:hint="eastAsia" w:ascii="仿宋_GB2312" w:hAnsi="仿宋" w:eastAsia="仿宋_GB2312" w:cs="Arial"/>
          <w:kern w:val="0"/>
          <w:sz w:val="24"/>
          <w:highlight w:val="none"/>
        </w:rPr>
        <w:t>见评标办法前附表。</w:t>
      </w:r>
    </w:p>
    <w:p w14:paraId="73CD0A00">
      <w:pPr>
        <w:pStyle w:val="7"/>
        <w:snapToGrid w:val="0"/>
        <w:spacing w:before="120" w:beforeLines="50" w:after="120" w:afterLines="50" w:line="360" w:lineRule="auto"/>
        <w:rPr>
          <w:rFonts w:ascii="仿宋" w:hAnsi="仿宋" w:eastAsia="仿宋" w:cs="仿宋"/>
          <w:sz w:val="24"/>
          <w:szCs w:val="24"/>
          <w:highlight w:val="none"/>
        </w:rPr>
      </w:pPr>
      <w:bookmarkStart w:id="67" w:name="_Toc5509"/>
      <w:bookmarkStart w:id="68" w:name="_Toc2541"/>
      <w:bookmarkStart w:id="69" w:name="_Toc26566"/>
      <w:bookmarkStart w:id="70" w:name="_Toc21141"/>
      <w:r>
        <w:rPr>
          <w:rFonts w:hint="eastAsia" w:ascii="仿宋" w:hAnsi="仿宋" w:eastAsia="仿宋" w:cs="仿宋"/>
          <w:sz w:val="24"/>
          <w:szCs w:val="24"/>
          <w:highlight w:val="none"/>
        </w:rPr>
        <w:t>三、评标程序</w:t>
      </w:r>
      <w:bookmarkEnd w:id="67"/>
      <w:bookmarkEnd w:id="68"/>
      <w:bookmarkEnd w:id="69"/>
      <w:bookmarkEnd w:id="70"/>
    </w:p>
    <w:p w14:paraId="1BD14752">
      <w:pPr>
        <w:spacing w:line="360" w:lineRule="auto"/>
        <w:ind w:firstLine="472" w:firstLineChars="196"/>
        <w:rPr>
          <w:rFonts w:ascii="仿宋_GB2312" w:hAnsi="仿宋" w:eastAsia="仿宋_GB2312" w:cs="Arial"/>
          <w:kern w:val="0"/>
          <w:sz w:val="24"/>
          <w:highlight w:val="none"/>
        </w:rPr>
      </w:pPr>
      <w:r>
        <w:rPr>
          <w:rFonts w:ascii="仿宋_GB2312" w:hAnsi="仿宋" w:eastAsia="仿宋_GB2312" w:cs="Arial"/>
          <w:b/>
          <w:kern w:val="0"/>
          <w:sz w:val="24"/>
          <w:highlight w:val="none"/>
        </w:rPr>
        <w:t>3.1符合性审查。</w:t>
      </w:r>
      <w:r>
        <w:rPr>
          <w:rFonts w:ascii="仿宋_GB2312" w:hAnsi="仿宋" w:eastAsia="仿宋_GB2312" w:cs="Arial"/>
          <w:kern w:val="0"/>
          <w:sz w:val="24"/>
          <w:highlight w:val="none"/>
        </w:rPr>
        <w:t>评标委员会应当对符合资格的投标人的投标文件进行符合性审查，以确定其是否满足招标文件的实质性要求。</w:t>
      </w:r>
      <w:r>
        <w:rPr>
          <w:rFonts w:hint="eastAsia" w:ascii="仿宋_GB2312" w:hAnsi="仿宋" w:eastAsia="仿宋_GB2312" w:cs="Arial"/>
          <w:kern w:val="0"/>
          <w:sz w:val="24"/>
          <w:highlight w:val="none"/>
        </w:rPr>
        <w:t>不</w:t>
      </w:r>
      <w:r>
        <w:rPr>
          <w:rFonts w:ascii="仿宋_GB2312" w:hAnsi="仿宋" w:eastAsia="仿宋_GB2312" w:cs="Arial"/>
          <w:kern w:val="0"/>
          <w:sz w:val="24"/>
          <w:highlight w:val="none"/>
        </w:rPr>
        <w:t>满足招标文件的实质性要求</w:t>
      </w:r>
      <w:r>
        <w:rPr>
          <w:rFonts w:hint="eastAsia" w:ascii="仿宋_GB2312" w:hAnsi="仿宋" w:eastAsia="仿宋_GB2312" w:cs="Arial"/>
          <w:kern w:val="0"/>
          <w:sz w:val="24"/>
          <w:highlight w:val="none"/>
        </w:rPr>
        <w:t>的，投标无效。</w:t>
      </w:r>
    </w:p>
    <w:p w14:paraId="4FE0F515">
      <w:pPr>
        <w:widowControl/>
        <w:spacing w:line="360" w:lineRule="auto"/>
        <w:ind w:firstLine="482" w:firstLineChars="200"/>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符合性审查表</w:t>
      </w:r>
    </w:p>
    <w:tbl>
      <w:tblPr>
        <w:tblStyle w:val="22"/>
        <w:tblW w:w="9280" w:type="dxa"/>
        <w:jc w:val="center"/>
        <w:tblLayout w:type="fixed"/>
        <w:tblCellMar>
          <w:top w:w="0" w:type="dxa"/>
          <w:left w:w="108" w:type="dxa"/>
          <w:bottom w:w="0" w:type="dxa"/>
          <w:right w:w="108" w:type="dxa"/>
        </w:tblCellMar>
      </w:tblPr>
      <w:tblGrid>
        <w:gridCol w:w="806"/>
        <w:gridCol w:w="1879"/>
        <w:gridCol w:w="6595"/>
      </w:tblGrid>
      <w:tr w14:paraId="089C423F">
        <w:tblPrEx>
          <w:tblCellMar>
            <w:top w:w="0" w:type="dxa"/>
            <w:left w:w="108" w:type="dxa"/>
            <w:bottom w:w="0" w:type="dxa"/>
            <w:right w:w="108" w:type="dxa"/>
          </w:tblCellMar>
        </w:tblPrEx>
        <w:trPr>
          <w:trHeight w:val="60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4AA6E">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序号</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C87BF">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审查事项</w:t>
            </w:r>
          </w:p>
        </w:tc>
        <w:tc>
          <w:tcPr>
            <w:tcW w:w="6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FFF38">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审查内容</w:t>
            </w:r>
          </w:p>
        </w:tc>
      </w:tr>
      <w:tr w14:paraId="402D0546">
        <w:tblPrEx>
          <w:tblCellMar>
            <w:top w:w="0" w:type="dxa"/>
            <w:left w:w="108" w:type="dxa"/>
            <w:bottom w:w="0" w:type="dxa"/>
            <w:right w:w="108" w:type="dxa"/>
          </w:tblCellMar>
        </w:tblPrEx>
        <w:trPr>
          <w:trHeight w:val="60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80546">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7FB97">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投标人名称</w:t>
            </w:r>
          </w:p>
        </w:tc>
        <w:tc>
          <w:tcPr>
            <w:tcW w:w="6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2B06E">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投标人名称与营业执照等一致</w:t>
            </w:r>
          </w:p>
        </w:tc>
      </w:tr>
      <w:tr w14:paraId="5761CBA4">
        <w:tblPrEx>
          <w:tblCellMar>
            <w:top w:w="0" w:type="dxa"/>
            <w:left w:w="108" w:type="dxa"/>
            <w:bottom w:w="0" w:type="dxa"/>
            <w:right w:w="108" w:type="dxa"/>
          </w:tblCellMar>
        </w:tblPrEx>
        <w:trPr>
          <w:trHeight w:val="60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161E9">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CA86A">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投标保证金</w:t>
            </w:r>
          </w:p>
        </w:tc>
        <w:tc>
          <w:tcPr>
            <w:tcW w:w="6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C1570">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保证金按招标文件要求递交</w:t>
            </w:r>
          </w:p>
        </w:tc>
      </w:tr>
      <w:tr w14:paraId="3797F153">
        <w:tblPrEx>
          <w:tblCellMar>
            <w:top w:w="0" w:type="dxa"/>
            <w:left w:w="108" w:type="dxa"/>
            <w:bottom w:w="0" w:type="dxa"/>
            <w:right w:w="108" w:type="dxa"/>
          </w:tblCellMar>
        </w:tblPrEx>
        <w:trPr>
          <w:trHeight w:val="60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18902">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DD505">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授权委托书</w:t>
            </w:r>
          </w:p>
        </w:tc>
        <w:tc>
          <w:tcPr>
            <w:tcW w:w="6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F57F7">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按要求提供法定代表人身份证明或法定代表人授权委托书</w:t>
            </w:r>
          </w:p>
        </w:tc>
      </w:tr>
      <w:tr w14:paraId="37CDCC2B">
        <w:tblPrEx>
          <w:tblCellMar>
            <w:top w:w="0" w:type="dxa"/>
            <w:left w:w="108" w:type="dxa"/>
            <w:bottom w:w="0" w:type="dxa"/>
            <w:right w:w="108" w:type="dxa"/>
          </w:tblCellMar>
        </w:tblPrEx>
        <w:trPr>
          <w:trHeight w:val="60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D74D7">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C3DC1">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投标文件签字盖章</w:t>
            </w:r>
          </w:p>
        </w:tc>
        <w:tc>
          <w:tcPr>
            <w:tcW w:w="6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607BB">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投标文件按要求签字盖章，且投标有效期满足招标文件要求</w:t>
            </w:r>
          </w:p>
        </w:tc>
      </w:tr>
      <w:tr w14:paraId="150985CC">
        <w:tblPrEx>
          <w:tblCellMar>
            <w:top w:w="0" w:type="dxa"/>
            <w:left w:w="108" w:type="dxa"/>
            <w:bottom w:w="0" w:type="dxa"/>
            <w:right w:w="108" w:type="dxa"/>
          </w:tblCellMar>
        </w:tblPrEx>
        <w:trPr>
          <w:trHeight w:val="600"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14:paraId="06A528F8">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5</w:t>
            </w:r>
          </w:p>
        </w:tc>
        <w:tc>
          <w:tcPr>
            <w:tcW w:w="1879" w:type="dxa"/>
            <w:tcBorders>
              <w:top w:val="single" w:color="000000" w:sz="4" w:space="0"/>
              <w:left w:val="single" w:color="000000" w:sz="4" w:space="0"/>
              <w:bottom w:val="single" w:color="000000" w:sz="4" w:space="0"/>
              <w:right w:val="single" w:color="000000" w:sz="4" w:space="0"/>
            </w:tcBorders>
            <w:vAlign w:val="center"/>
          </w:tcPr>
          <w:p w14:paraId="598C7E4D">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有效报价</w:t>
            </w:r>
          </w:p>
        </w:tc>
        <w:tc>
          <w:tcPr>
            <w:tcW w:w="6595" w:type="dxa"/>
            <w:tcBorders>
              <w:top w:val="single" w:color="000000" w:sz="4" w:space="0"/>
              <w:left w:val="single" w:color="000000" w:sz="4" w:space="0"/>
              <w:bottom w:val="single" w:color="000000" w:sz="4" w:space="0"/>
              <w:right w:val="single" w:color="000000" w:sz="4" w:space="0"/>
            </w:tcBorders>
            <w:vAlign w:val="center"/>
          </w:tcPr>
          <w:p w14:paraId="00789D1D">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按照招标文件要求进行有效报价，不存在高于最高限价或低于成本价，不存在恶意报价损害采购人利益的行为</w:t>
            </w:r>
          </w:p>
        </w:tc>
      </w:tr>
      <w:tr w14:paraId="7D43EA42">
        <w:tblPrEx>
          <w:tblCellMar>
            <w:top w:w="0" w:type="dxa"/>
            <w:left w:w="108" w:type="dxa"/>
            <w:bottom w:w="0" w:type="dxa"/>
            <w:right w:w="108" w:type="dxa"/>
          </w:tblCellMar>
        </w:tblPrEx>
        <w:trPr>
          <w:trHeight w:val="600"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14:paraId="132A3F9E">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6</w:t>
            </w:r>
          </w:p>
        </w:tc>
        <w:tc>
          <w:tcPr>
            <w:tcW w:w="1879" w:type="dxa"/>
            <w:tcBorders>
              <w:top w:val="single" w:color="000000" w:sz="4" w:space="0"/>
              <w:left w:val="single" w:color="000000" w:sz="4" w:space="0"/>
              <w:bottom w:val="single" w:color="000000" w:sz="4" w:space="0"/>
              <w:right w:val="single" w:color="000000" w:sz="4" w:space="0"/>
            </w:tcBorders>
            <w:vAlign w:val="center"/>
          </w:tcPr>
          <w:p w14:paraId="5A988593">
            <w:pPr>
              <w:widowControl/>
              <w:spacing w:line="360" w:lineRule="auto"/>
              <w:jc w:val="center"/>
              <w:rPr>
                <w:rFonts w:ascii="仿宋" w:hAnsi="仿宋" w:eastAsia="仿宋" w:cs="仿宋"/>
                <w:color w:val="000000"/>
                <w:kern w:val="0"/>
                <w:sz w:val="24"/>
                <w:highlight w:val="none"/>
              </w:rPr>
            </w:pPr>
            <w:r>
              <w:rPr>
                <w:rFonts w:ascii="仿宋" w:hAnsi="仿宋" w:eastAsia="仿宋" w:cs="仿宋"/>
                <w:color w:val="000000"/>
                <w:kern w:val="0"/>
                <w:sz w:val="24"/>
                <w:highlight w:val="none"/>
              </w:rPr>
              <w:t>实质性要求</w:t>
            </w:r>
            <w:r>
              <w:rPr>
                <w:rFonts w:hint="eastAsia" w:ascii="仿宋" w:hAnsi="仿宋" w:eastAsia="仿宋" w:cs="仿宋"/>
                <w:color w:val="000000"/>
                <w:kern w:val="0"/>
                <w:sz w:val="24"/>
                <w:highlight w:val="none"/>
              </w:rPr>
              <w:t>响应</w:t>
            </w:r>
          </w:p>
        </w:tc>
        <w:tc>
          <w:tcPr>
            <w:tcW w:w="6595" w:type="dxa"/>
            <w:tcBorders>
              <w:top w:val="single" w:color="000000" w:sz="4" w:space="0"/>
              <w:left w:val="single" w:color="000000" w:sz="4" w:space="0"/>
              <w:bottom w:val="single" w:color="000000" w:sz="4" w:space="0"/>
              <w:right w:val="single" w:color="000000" w:sz="4" w:space="0"/>
            </w:tcBorders>
            <w:vAlign w:val="center"/>
          </w:tcPr>
          <w:p w14:paraId="0947290B">
            <w:pPr>
              <w:widowControl/>
              <w:spacing w:line="360" w:lineRule="auto"/>
              <w:jc w:val="left"/>
              <w:rPr>
                <w:rFonts w:ascii="仿宋" w:hAnsi="仿宋" w:eastAsia="仿宋" w:cs="仿宋"/>
                <w:color w:val="000000"/>
                <w:kern w:val="0"/>
                <w:sz w:val="24"/>
                <w:highlight w:val="none"/>
              </w:rPr>
            </w:pPr>
            <w:r>
              <w:rPr>
                <w:rFonts w:ascii="仿宋" w:hAnsi="仿宋" w:eastAsia="仿宋" w:cs="仿宋"/>
                <w:color w:val="000000"/>
                <w:kern w:val="0"/>
                <w:sz w:val="24"/>
                <w:highlight w:val="none"/>
              </w:rPr>
              <w:t>投标文件满足招标文件商务、技术等实质性要求</w:t>
            </w:r>
          </w:p>
        </w:tc>
      </w:tr>
      <w:tr w14:paraId="23AEB463">
        <w:tblPrEx>
          <w:tblCellMar>
            <w:top w:w="0" w:type="dxa"/>
            <w:left w:w="108" w:type="dxa"/>
            <w:bottom w:w="0" w:type="dxa"/>
            <w:right w:w="108" w:type="dxa"/>
          </w:tblCellMar>
        </w:tblPrEx>
        <w:trPr>
          <w:trHeight w:val="60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1E92D">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7</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61E34">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其他</w:t>
            </w:r>
          </w:p>
        </w:tc>
        <w:tc>
          <w:tcPr>
            <w:tcW w:w="6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0F4B8">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1.不存在串通投标、弄虚作假、行贿等违法行为；</w:t>
            </w:r>
          </w:p>
          <w:p w14:paraId="74D72940">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2.符合国家及招标文件规定的其他要求；</w:t>
            </w:r>
          </w:p>
          <w:p w14:paraId="6903E2BF">
            <w:pPr>
              <w:widowControl/>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3.未出现采购人不能接受的附加条件。</w:t>
            </w:r>
          </w:p>
        </w:tc>
      </w:tr>
    </w:tbl>
    <w:p w14:paraId="4F4A6DEE">
      <w:pPr>
        <w:spacing w:line="360" w:lineRule="auto"/>
        <w:ind w:firstLine="472" w:firstLineChars="196"/>
        <w:rPr>
          <w:rFonts w:ascii="仿宋_GB2312" w:hAnsi="仿宋" w:eastAsia="仿宋_GB2312" w:cs="Arial"/>
          <w:kern w:val="0"/>
          <w:sz w:val="24"/>
          <w:highlight w:val="none"/>
        </w:rPr>
      </w:pPr>
      <w:r>
        <w:rPr>
          <w:rFonts w:ascii="仿宋_GB2312" w:hAnsi="仿宋" w:eastAsia="仿宋_GB2312" w:cs="Arial"/>
          <w:b/>
          <w:kern w:val="0"/>
          <w:sz w:val="24"/>
          <w:highlight w:val="none"/>
        </w:rPr>
        <w:t xml:space="preserve">3.2 </w:t>
      </w:r>
      <w:r>
        <w:rPr>
          <w:rFonts w:hint="eastAsia" w:ascii="仿宋_GB2312" w:hAnsi="仿宋" w:eastAsia="仿宋_GB2312" w:cs="Arial"/>
          <w:b/>
          <w:kern w:val="0"/>
          <w:sz w:val="24"/>
          <w:highlight w:val="none"/>
        </w:rPr>
        <w:t>比较与评价。</w:t>
      </w:r>
      <w:r>
        <w:rPr>
          <w:rFonts w:ascii="仿宋_GB2312" w:hAnsi="仿宋" w:eastAsia="仿宋_GB2312" w:cs="Arial"/>
          <w:kern w:val="0"/>
          <w:sz w:val="24"/>
          <w:highlight w:val="none"/>
        </w:rPr>
        <w:t>评标委员会应当按照招标文件中规定的评标方法和标准，对符合性审查合格的投标文件进行商务和技术评估，综合比较与评价。</w:t>
      </w:r>
    </w:p>
    <w:p w14:paraId="43F5FC82">
      <w:pPr>
        <w:spacing w:line="360" w:lineRule="auto"/>
        <w:ind w:firstLine="472" w:firstLineChars="196"/>
        <w:rPr>
          <w:rFonts w:ascii="仿宋_GB2312" w:hAnsi="仿宋" w:eastAsia="仿宋_GB2312" w:cs="Arial"/>
          <w:kern w:val="0"/>
          <w:sz w:val="24"/>
          <w:highlight w:val="none"/>
        </w:rPr>
      </w:pPr>
      <w:r>
        <w:rPr>
          <w:rFonts w:ascii="仿宋_GB2312" w:hAnsi="仿宋" w:eastAsia="仿宋_GB2312" w:cs="Arial"/>
          <w:b/>
          <w:kern w:val="0"/>
          <w:sz w:val="24"/>
          <w:highlight w:val="none"/>
        </w:rPr>
        <w:t>3.3汇总商务技术得分。</w:t>
      </w:r>
      <w:r>
        <w:rPr>
          <w:rFonts w:hint="eastAsia" w:ascii="仿宋_GB2312" w:hAnsi="仿宋" w:eastAsia="仿宋_GB2312" w:cs="Arial"/>
          <w:kern w:val="0"/>
          <w:sz w:val="24"/>
          <w:highlight w:val="none"/>
        </w:rPr>
        <w:t>评标委员会各成员应当独立对每个投标人的商务和技术文件进行评价，并汇总商务技术得分情况。</w:t>
      </w:r>
    </w:p>
    <w:p w14:paraId="76CDDF8A">
      <w:pPr>
        <w:spacing w:line="360" w:lineRule="auto"/>
        <w:ind w:firstLine="472" w:firstLineChars="196"/>
        <w:rPr>
          <w:rFonts w:ascii="仿宋_GB2312" w:hAnsi="仿宋" w:eastAsia="仿宋_GB2312" w:cs="Arial"/>
          <w:b/>
          <w:kern w:val="0"/>
          <w:sz w:val="24"/>
          <w:highlight w:val="none"/>
        </w:rPr>
      </w:pPr>
      <w:r>
        <w:rPr>
          <w:rFonts w:ascii="仿宋_GB2312" w:hAnsi="仿宋" w:eastAsia="仿宋_GB2312" w:cs="Arial"/>
          <w:b/>
          <w:kern w:val="0"/>
          <w:sz w:val="24"/>
          <w:highlight w:val="none"/>
        </w:rPr>
        <w:t>3.4报价评审。</w:t>
      </w:r>
    </w:p>
    <w:p w14:paraId="09DE18D4">
      <w:pPr>
        <w:pStyle w:val="35"/>
        <w:spacing w:before="0"/>
        <w:ind w:firstLine="508" w:firstLineChars="212"/>
        <w:rPr>
          <w:rFonts w:ascii="仿宋_GB2312" w:hAnsi="仿宋" w:eastAsia="仿宋_GB2312" w:cs="Arial"/>
          <w:kern w:val="0"/>
          <w:highlight w:val="none"/>
        </w:rPr>
      </w:pPr>
      <w:r>
        <w:rPr>
          <w:rFonts w:ascii="仿宋_GB2312" w:hAnsi="仿宋" w:eastAsia="仿宋_GB2312" w:cs="Arial"/>
          <w:kern w:val="0"/>
          <w:highlight w:val="none"/>
        </w:rPr>
        <w:t>3.4.1投标文件报价出现前后不一致的，按照下列规定修正：</w:t>
      </w:r>
    </w:p>
    <w:p w14:paraId="3E0CD9C0">
      <w:pPr>
        <w:pStyle w:val="35"/>
        <w:spacing w:before="0"/>
        <w:ind w:firstLine="480"/>
        <w:rPr>
          <w:rFonts w:ascii="仿宋" w:hAnsi="仿宋" w:eastAsia="仿宋" w:cs="仿宋"/>
          <w:kern w:val="0"/>
          <w:szCs w:val="24"/>
          <w:highlight w:val="none"/>
        </w:rPr>
      </w:pPr>
      <w:r>
        <w:rPr>
          <w:rFonts w:ascii="仿宋" w:hAnsi="仿宋" w:eastAsia="仿宋" w:cs="仿宋"/>
          <w:kern w:val="0"/>
          <w:szCs w:val="24"/>
          <w:highlight w:val="none"/>
        </w:rPr>
        <w:t>3.4.1.1投标文件中开标一览表(报价表)内容与投标文件中相应内容不一致的，以开标一览表(报价表)为准;</w:t>
      </w:r>
    </w:p>
    <w:p w14:paraId="43A8F5B3">
      <w:pPr>
        <w:pStyle w:val="35"/>
        <w:spacing w:before="0"/>
        <w:ind w:firstLine="480"/>
        <w:rPr>
          <w:rFonts w:ascii="仿宋" w:hAnsi="仿宋" w:eastAsia="仿宋" w:cs="仿宋"/>
          <w:kern w:val="0"/>
          <w:szCs w:val="24"/>
          <w:highlight w:val="none"/>
        </w:rPr>
      </w:pPr>
      <w:r>
        <w:rPr>
          <w:rFonts w:ascii="仿宋" w:hAnsi="仿宋" w:eastAsia="仿宋" w:cs="仿宋"/>
          <w:kern w:val="0"/>
          <w:szCs w:val="24"/>
          <w:highlight w:val="none"/>
        </w:rPr>
        <w:t>3.4.1.2大写金额和小写金额不一致的，以大写金额为准;</w:t>
      </w:r>
    </w:p>
    <w:p w14:paraId="766484A5">
      <w:pPr>
        <w:pStyle w:val="35"/>
        <w:spacing w:before="0"/>
        <w:ind w:firstLine="480"/>
        <w:rPr>
          <w:rFonts w:ascii="仿宋" w:hAnsi="仿宋" w:eastAsia="仿宋" w:cs="仿宋"/>
          <w:kern w:val="0"/>
          <w:szCs w:val="24"/>
          <w:highlight w:val="none"/>
        </w:rPr>
      </w:pPr>
      <w:r>
        <w:rPr>
          <w:rFonts w:ascii="仿宋" w:hAnsi="仿宋" w:eastAsia="仿宋" w:cs="仿宋"/>
          <w:kern w:val="0"/>
          <w:szCs w:val="24"/>
          <w:highlight w:val="none"/>
        </w:rPr>
        <w:t>3.4.1.3单价金额小数点或者百分比有明显错位的，以开标一览表的总价为准，并修改单价;</w:t>
      </w:r>
    </w:p>
    <w:p w14:paraId="5C2C3B77">
      <w:pPr>
        <w:pStyle w:val="35"/>
        <w:spacing w:before="0"/>
        <w:ind w:firstLine="480"/>
        <w:rPr>
          <w:rFonts w:ascii="仿宋" w:hAnsi="仿宋" w:eastAsia="仿宋" w:cs="仿宋"/>
          <w:kern w:val="0"/>
          <w:szCs w:val="24"/>
          <w:highlight w:val="none"/>
        </w:rPr>
      </w:pPr>
      <w:r>
        <w:rPr>
          <w:rFonts w:ascii="仿宋" w:hAnsi="仿宋" w:eastAsia="仿宋" w:cs="仿宋"/>
          <w:kern w:val="0"/>
          <w:szCs w:val="24"/>
          <w:highlight w:val="none"/>
        </w:rPr>
        <w:t>3.4.1.4总价金额与按单价汇总金额不一致的，以单价金额计算结果为准。</w:t>
      </w:r>
    </w:p>
    <w:p w14:paraId="64D87600">
      <w:pPr>
        <w:pStyle w:val="35"/>
        <w:spacing w:before="0"/>
        <w:ind w:firstLine="480"/>
        <w:rPr>
          <w:rFonts w:ascii="仿宋" w:hAnsi="仿宋" w:eastAsia="仿宋" w:cs="仿宋"/>
          <w:kern w:val="0"/>
          <w:szCs w:val="24"/>
          <w:highlight w:val="none"/>
        </w:rPr>
      </w:pPr>
      <w:r>
        <w:rPr>
          <w:rFonts w:ascii="仿宋" w:hAnsi="仿宋" w:eastAsia="仿宋" w:cs="仿宋"/>
          <w:kern w:val="0"/>
          <w:szCs w:val="24"/>
          <w:highlight w:val="none"/>
        </w:rPr>
        <w:t>3.4.1.5同时出现两种以上不一致的，按照3.4.1</w:t>
      </w:r>
      <w:r>
        <w:rPr>
          <w:rFonts w:hint="eastAsia" w:ascii="仿宋" w:hAnsi="仿宋" w:eastAsia="仿宋" w:cs="仿宋"/>
          <w:kern w:val="0"/>
          <w:szCs w:val="24"/>
          <w:highlight w:val="none"/>
        </w:rPr>
        <w:t>规定的顺序修正。修正后的报价按照财政部第</w:t>
      </w:r>
      <w:r>
        <w:rPr>
          <w:rFonts w:ascii="仿宋" w:hAnsi="仿宋" w:eastAsia="仿宋" w:cs="仿宋"/>
          <w:kern w:val="0"/>
          <w:szCs w:val="24"/>
          <w:highlight w:val="none"/>
        </w:rPr>
        <w:t xml:space="preserve">87号令 </w:t>
      </w:r>
      <w:r>
        <w:rPr>
          <w:rFonts w:hint="eastAsia" w:ascii="仿宋" w:hAnsi="仿宋" w:eastAsia="仿宋" w:cs="仿宋"/>
          <w:kern w:val="0"/>
          <w:szCs w:val="24"/>
          <w:highlight w:val="none"/>
        </w:rPr>
        <w:t>《政府采购货物和服务招标投标管理办法》第五十一条第二款的规定经投标人确认后产生约束力。</w:t>
      </w:r>
    </w:p>
    <w:p w14:paraId="5B4818F4">
      <w:pPr>
        <w:snapToGrid w:val="0"/>
        <w:spacing w:line="360" w:lineRule="auto"/>
        <w:ind w:firstLine="480" w:firstLineChars="200"/>
        <w:jc w:val="left"/>
        <w:rPr>
          <w:rFonts w:ascii="仿宋" w:hAnsi="仿宋" w:eastAsia="仿宋" w:cs="仿宋"/>
          <w:kern w:val="0"/>
          <w:sz w:val="24"/>
          <w:highlight w:val="none"/>
        </w:rPr>
      </w:pPr>
      <w:r>
        <w:rPr>
          <w:rFonts w:ascii="仿宋" w:hAnsi="仿宋" w:eastAsia="仿宋" w:cs="仿宋"/>
          <w:kern w:val="0"/>
          <w:sz w:val="24"/>
          <w:highlight w:val="none"/>
        </w:rPr>
        <w:t>3.4.2</w:t>
      </w:r>
      <w:r>
        <w:rPr>
          <w:rFonts w:hint="eastAsia" w:ascii="仿宋" w:hAnsi="仿宋" w:eastAsia="仿宋" w:cs="仿宋"/>
          <w:kern w:val="0"/>
          <w:sz w:val="24"/>
          <w:highlight w:val="none"/>
        </w:rPr>
        <w:t>投标文件出现不是唯一的、有选择性投标报价的，投标无效。</w:t>
      </w:r>
    </w:p>
    <w:p w14:paraId="6FB829BA">
      <w:pPr>
        <w:snapToGrid w:val="0"/>
        <w:spacing w:line="360" w:lineRule="auto"/>
        <w:ind w:firstLine="480" w:firstLineChars="200"/>
        <w:jc w:val="left"/>
        <w:rPr>
          <w:rFonts w:ascii="仿宋" w:hAnsi="仿宋" w:eastAsia="仿宋" w:cs="仿宋"/>
          <w:kern w:val="0"/>
          <w:sz w:val="24"/>
          <w:highlight w:val="none"/>
        </w:rPr>
      </w:pPr>
      <w:r>
        <w:rPr>
          <w:rFonts w:ascii="仿宋" w:hAnsi="仿宋" w:eastAsia="仿宋" w:cs="仿宋"/>
          <w:kern w:val="0"/>
          <w:sz w:val="24"/>
          <w:highlight w:val="none"/>
        </w:rPr>
        <w:t>3.4.3</w:t>
      </w:r>
      <w:r>
        <w:rPr>
          <w:rFonts w:hint="eastAsia" w:ascii="仿宋" w:hAnsi="仿宋" w:eastAsia="仿宋" w:cs="仿宋"/>
          <w:kern w:val="0"/>
          <w:sz w:val="24"/>
          <w:highlight w:val="none"/>
        </w:rPr>
        <w:t>投标报价超过招标文件中规定的预算金额或者最高限价的，投标无效。</w:t>
      </w:r>
    </w:p>
    <w:p w14:paraId="7E6E0637">
      <w:pPr>
        <w:pStyle w:val="35"/>
        <w:spacing w:before="0"/>
        <w:ind w:firstLine="480"/>
        <w:rPr>
          <w:rFonts w:ascii="仿宋" w:hAnsi="仿宋" w:eastAsia="仿宋" w:cs="仿宋"/>
          <w:kern w:val="0"/>
          <w:szCs w:val="24"/>
          <w:highlight w:val="none"/>
        </w:rPr>
      </w:pPr>
      <w:r>
        <w:rPr>
          <w:rFonts w:ascii="仿宋" w:hAnsi="仿宋" w:eastAsia="仿宋" w:cs="仿宋"/>
          <w:kern w:val="0"/>
          <w:szCs w:val="24"/>
          <w:highlight w:val="none"/>
        </w:rPr>
        <w:t>3.4.4</w:t>
      </w:r>
      <w:r>
        <w:rPr>
          <w:rFonts w:hint="eastAsia" w:ascii="仿宋" w:hAnsi="仿宋" w:eastAsia="仿宋" w:cs="仿宋"/>
          <w:kern w:val="0"/>
          <w:szCs w:val="24"/>
          <w:highlight w:val="none"/>
        </w:rPr>
        <w:t>评标委员会认为投标人的报价明显低于其他通过符合性审查投标人的报价，有可能影响产品质量或者不能诚信履约的，应当要求其在合理的时间内提供书面说明，必要时提交相关证明材料</w:t>
      </w:r>
      <w:r>
        <w:rPr>
          <w:rFonts w:ascii="仿宋" w:hAnsi="仿宋" w:eastAsia="仿宋" w:cs="仿宋"/>
          <w:kern w:val="0"/>
          <w:szCs w:val="24"/>
          <w:highlight w:val="none"/>
        </w:rPr>
        <w:t>;投标人不能证明其报价合理性的，评标委员会应当将其作为无效投标处理。</w:t>
      </w:r>
    </w:p>
    <w:p w14:paraId="18540D10">
      <w:pPr>
        <w:pStyle w:val="35"/>
        <w:spacing w:before="0"/>
        <w:ind w:firstLine="480"/>
        <w:rPr>
          <w:rFonts w:ascii="仿宋" w:hAnsi="仿宋" w:eastAsia="仿宋" w:cs="仿宋"/>
          <w:kern w:val="0"/>
          <w:szCs w:val="24"/>
          <w:highlight w:val="none"/>
        </w:rPr>
      </w:pPr>
      <w:r>
        <w:rPr>
          <w:rFonts w:ascii="仿宋" w:hAnsi="仿宋" w:eastAsia="仿宋" w:cs="仿宋"/>
          <w:kern w:val="0"/>
          <w:szCs w:val="24"/>
          <w:highlight w:val="none"/>
        </w:rPr>
        <w:t>3.4.5</w:t>
      </w:r>
      <w:r>
        <w:rPr>
          <w:rFonts w:hint="eastAsia" w:ascii="仿宋" w:hAnsi="仿宋" w:eastAsia="仿宋" w:cs="仿宋"/>
          <w:kern w:val="0"/>
          <w:szCs w:val="24"/>
          <w:highlight w:val="none"/>
        </w:rPr>
        <w:t>对于未预留份额专门面向中小企业的政府采购货物或服务项目，以及预留份额政府采购货物或服务项目中的非预留部分标项，对小型和微型企业的投标报价给予</w:t>
      </w:r>
      <w:r>
        <w:rPr>
          <w:rFonts w:hint="eastAsia" w:ascii="仿宋" w:hAnsi="仿宋" w:eastAsia="仿宋" w:cs="仿宋"/>
          <w:kern w:val="0"/>
          <w:szCs w:val="24"/>
          <w:highlight w:val="none"/>
          <w:u w:val="single"/>
        </w:rPr>
        <w:t>10</w:t>
      </w:r>
      <w:r>
        <w:rPr>
          <w:rFonts w:ascii="仿宋" w:hAnsi="仿宋" w:eastAsia="仿宋" w:cs="仿宋"/>
          <w:kern w:val="0"/>
          <w:szCs w:val="24"/>
          <w:highlight w:val="none"/>
          <w:u w:val="single"/>
        </w:rPr>
        <w:t>%</w:t>
      </w:r>
      <w:r>
        <w:rPr>
          <w:rFonts w:ascii="仿宋" w:hAnsi="仿宋" w:eastAsia="仿宋" w:cs="仿宋"/>
          <w:kern w:val="0"/>
          <w:szCs w:val="24"/>
          <w:highlight w:val="none"/>
        </w:rPr>
        <w:t>的扣除，用扣除后的价格参与评审。</w:t>
      </w:r>
    </w:p>
    <w:tbl>
      <w:tblPr>
        <w:tblStyle w:val="22"/>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617"/>
        <w:gridCol w:w="2489"/>
        <w:gridCol w:w="3375"/>
      </w:tblGrid>
      <w:tr w14:paraId="64A5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1" w:type="dxa"/>
            <w:shd w:val="clear" w:color="auto" w:fill="auto"/>
            <w:vAlign w:val="center"/>
          </w:tcPr>
          <w:p w14:paraId="6608FFAB">
            <w:pPr>
              <w:jc w:val="center"/>
              <w:rPr>
                <w:rFonts w:ascii="仿宋" w:hAnsi="仿宋" w:eastAsia="仿宋" w:cs="仿宋"/>
                <w:sz w:val="24"/>
                <w:highlight w:val="none"/>
              </w:rPr>
            </w:pPr>
            <w:r>
              <w:rPr>
                <w:rFonts w:hint="eastAsia" w:ascii="仿宋" w:hAnsi="仿宋" w:eastAsia="仿宋" w:cs="仿宋"/>
                <w:sz w:val="24"/>
                <w:highlight w:val="none"/>
              </w:rPr>
              <w:t>序号</w:t>
            </w:r>
          </w:p>
        </w:tc>
        <w:tc>
          <w:tcPr>
            <w:tcW w:w="2617" w:type="dxa"/>
            <w:shd w:val="clear" w:color="auto" w:fill="auto"/>
            <w:vAlign w:val="center"/>
          </w:tcPr>
          <w:p w14:paraId="4194BA6F">
            <w:pPr>
              <w:jc w:val="center"/>
              <w:rPr>
                <w:rFonts w:ascii="仿宋" w:hAnsi="仿宋" w:eastAsia="仿宋" w:cs="仿宋"/>
                <w:sz w:val="24"/>
                <w:highlight w:val="none"/>
              </w:rPr>
            </w:pPr>
            <w:r>
              <w:rPr>
                <w:rFonts w:hint="eastAsia" w:ascii="仿宋" w:hAnsi="仿宋" w:eastAsia="仿宋" w:cs="仿宋"/>
                <w:sz w:val="24"/>
                <w:highlight w:val="none"/>
              </w:rPr>
              <w:t>情形</w:t>
            </w:r>
          </w:p>
        </w:tc>
        <w:tc>
          <w:tcPr>
            <w:tcW w:w="2489" w:type="dxa"/>
            <w:shd w:val="clear" w:color="auto" w:fill="auto"/>
            <w:vAlign w:val="center"/>
          </w:tcPr>
          <w:p w14:paraId="6D71CCCE">
            <w:pPr>
              <w:jc w:val="center"/>
              <w:rPr>
                <w:rFonts w:ascii="仿宋" w:hAnsi="仿宋" w:eastAsia="仿宋" w:cs="仿宋"/>
                <w:sz w:val="24"/>
                <w:highlight w:val="none"/>
              </w:rPr>
            </w:pPr>
            <w:r>
              <w:rPr>
                <w:rFonts w:hint="eastAsia" w:ascii="仿宋" w:hAnsi="仿宋" w:eastAsia="仿宋" w:cs="仿宋"/>
                <w:sz w:val="24"/>
                <w:highlight w:val="none"/>
              </w:rPr>
              <w:t>价格扣除比例</w:t>
            </w:r>
          </w:p>
        </w:tc>
        <w:tc>
          <w:tcPr>
            <w:tcW w:w="3375" w:type="dxa"/>
            <w:shd w:val="clear" w:color="auto" w:fill="auto"/>
            <w:vAlign w:val="center"/>
          </w:tcPr>
          <w:p w14:paraId="27B71E43">
            <w:pPr>
              <w:jc w:val="center"/>
              <w:rPr>
                <w:rFonts w:ascii="仿宋" w:hAnsi="仿宋" w:eastAsia="仿宋" w:cs="仿宋"/>
                <w:sz w:val="24"/>
                <w:highlight w:val="none"/>
              </w:rPr>
            </w:pPr>
            <w:r>
              <w:rPr>
                <w:rFonts w:hint="eastAsia" w:ascii="仿宋" w:hAnsi="仿宋" w:eastAsia="仿宋" w:cs="仿宋"/>
                <w:sz w:val="24"/>
                <w:highlight w:val="none"/>
              </w:rPr>
              <w:t>计算公式</w:t>
            </w:r>
          </w:p>
        </w:tc>
      </w:tr>
      <w:tr w14:paraId="469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1" w:type="dxa"/>
            <w:shd w:val="clear" w:color="auto" w:fill="auto"/>
            <w:vAlign w:val="center"/>
          </w:tcPr>
          <w:p w14:paraId="76FCB7C2">
            <w:pPr>
              <w:jc w:val="center"/>
              <w:rPr>
                <w:rFonts w:ascii="仿宋" w:hAnsi="仿宋" w:eastAsia="仿宋" w:cs="仿宋"/>
                <w:sz w:val="24"/>
                <w:highlight w:val="none"/>
              </w:rPr>
            </w:pPr>
            <w:r>
              <w:rPr>
                <w:rFonts w:hint="eastAsia" w:ascii="仿宋" w:hAnsi="仿宋" w:eastAsia="仿宋" w:cs="仿宋"/>
                <w:sz w:val="24"/>
                <w:highlight w:val="none"/>
              </w:rPr>
              <w:t>1</w:t>
            </w:r>
          </w:p>
        </w:tc>
        <w:tc>
          <w:tcPr>
            <w:tcW w:w="2617" w:type="dxa"/>
            <w:shd w:val="clear" w:color="auto" w:fill="auto"/>
            <w:vAlign w:val="center"/>
          </w:tcPr>
          <w:p w14:paraId="41A6694D">
            <w:pPr>
              <w:jc w:val="center"/>
              <w:rPr>
                <w:rFonts w:ascii="仿宋" w:hAnsi="仿宋" w:eastAsia="仿宋" w:cs="仿宋"/>
                <w:sz w:val="24"/>
                <w:highlight w:val="none"/>
              </w:rPr>
            </w:pPr>
            <w:r>
              <w:rPr>
                <w:rFonts w:hint="eastAsia" w:ascii="仿宋" w:hAnsi="仿宋" w:eastAsia="仿宋" w:cs="仿宋"/>
                <w:sz w:val="24"/>
                <w:highlight w:val="none"/>
              </w:rPr>
              <w:t>供应商须为小型、微型企业</w:t>
            </w:r>
          </w:p>
        </w:tc>
        <w:tc>
          <w:tcPr>
            <w:tcW w:w="2489" w:type="dxa"/>
            <w:shd w:val="clear" w:color="auto" w:fill="auto"/>
            <w:vAlign w:val="center"/>
          </w:tcPr>
          <w:p w14:paraId="4EC5FAF9">
            <w:pPr>
              <w:jc w:val="center"/>
              <w:rPr>
                <w:rFonts w:ascii="仿宋" w:hAnsi="仿宋" w:eastAsia="仿宋" w:cs="仿宋"/>
                <w:sz w:val="24"/>
                <w:highlight w:val="none"/>
              </w:rPr>
            </w:pPr>
            <w:r>
              <w:rPr>
                <w:rFonts w:hint="eastAsia" w:ascii="仿宋" w:hAnsi="仿宋" w:eastAsia="仿宋" w:cs="仿宋"/>
                <w:sz w:val="24"/>
                <w:highlight w:val="none"/>
              </w:rPr>
              <w:t>对小型和微型企业产品的价格扣除10%</w:t>
            </w:r>
          </w:p>
        </w:tc>
        <w:tc>
          <w:tcPr>
            <w:tcW w:w="3375" w:type="dxa"/>
            <w:shd w:val="clear" w:color="auto" w:fill="auto"/>
            <w:vAlign w:val="center"/>
          </w:tcPr>
          <w:p w14:paraId="69606302">
            <w:pPr>
              <w:jc w:val="center"/>
              <w:rPr>
                <w:rFonts w:ascii="仿宋" w:hAnsi="仿宋" w:eastAsia="仿宋" w:cs="仿宋"/>
                <w:sz w:val="24"/>
                <w:highlight w:val="none"/>
              </w:rPr>
            </w:pPr>
            <w:r>
              <w:rPr>
                <w:rFonts w:hint="eastAsia" w:ascii="仿宋" w:hAnsi="仿宋" w:eastAsia="仿宋" w:cs="仿宋"/>
                <w:sz w:val="24"/>
                <w:highlight w:val="none"/>
              </w:rPr>
              <w:t>评标价＝总投标报价—小型和微型企业产品的价格×10%</w:t>
            </w:r>
          </w:p>
        </w:tc>
      </w:tr>
    </w:tbl>
    <w:p w14:paraId="7266A659">
      <w:pPr>
        <w:pStyle w:val="35"/>
        <w:spacing w:before="0"/>
        <w:ind w:firstLine="480"/>
        <w:rPr>
          <w:rFonts w:ascii="仿宋" w:hAnsi="仿宋" w:eastAsia="仿宋" w:cs="仿宋"/>
          <w:kern w:val="0"/>
          <w:szCs w:val="24"/>
          <w:highlight w:val="none"/>
        </w:rPr>
      </w:pPr>
      <w:r>
        <w:rPr>
          <w:rFonts w:ascii="仿宋" w:hAnsi="仿宋" w:eastAsia="仿宋" w:cs="仿宋"/>
          <w:kern w:val="0"/>
          <w:szCs w:val="24"/>
          <w:highlight w:val="none"/>
        </w:rPr>
        <w:t>接受大中型企业与小</w:t>
      </w:r>
      <w:r>
        <w:rPr>
          <w:rFonts w:hint="eastAsia" w:ascii="仿宋" w:hAnsi="仿宋" w:eastAsia="仿宋" w:cs="仿宋"/>
          <w:kern w:val="0"/>
          <w:szCs w:val="24"/>
          <w:highlight w:val="none"/>
        </w:rPr>
        <w:t>微企业组成联合体或者允许大中型企业向一家或者多家小微企业分包的政府采购货物或服务项目，对于联合协议或者分包意向协议约定小微企业的合同份额占到合同总金额</w:t>
      </w:r>
      <w:r>
        <w:rPr>
          <w:rFonts w:ascii="仿宋" w:hAnsi="仿宋" w:eastAsia="仿宋" w:cs="仿宋"/>
          <w:kern w:val="0"/>
          <w:szCs w:val="24"/>
          <w:highlight w:val="none"/>
        </w:rPr>
        <w:t>30%以上的，对联合体或者大中型企业的报价给予</w:t>
      </w:r>
      <w:r>
        <w:rPr>
          <w:rFonts w:hint="eastAsia" w:ascii="仿宋" w:hAnsi="仿宋" w:eastAsia="仿宋" w:cs="仿宋"/>
          <w:kern w:val="0"/>
          <w:szCs w:val="24"/>
          <w:highlight w:val="none"/>
        </w:rPr>
        <w:t>4</w:t>
      </w:r>
      <w:r>
        <w:rPr>
          <w:rFonts w:ascii="仿宋" w:hAnsi="仿宋" w:eastAsia="仿宋" w:cs="仿宋"/>
          <w:kern w:val="0"/>
          <w:szCs w:val="24"/>
          <w:highlight w:val="none"/>
        </w:rPr>
        <w:t>%的扣除，用扣除后的价格参加评审。组成联合体或者接受分包的小</w:t>
      </w:r>
      <w:r>
        <w:rPr>
          <w:rFonts w:hint="eastAsia" w:ascii="仿宋" w:hAnsi="仿宋" w:eastAsia="仿宋" w:cs="仿宋"/>
          <w:kern w:val="0"/>
          <w:szCs w:val="24"/>
          <w:highlight w:val="none"/>
        </w:rPr>
        <w:t>微企业与联合体内其他企业、分包企业之间存在直接控股、管理关系的，不享受价格扣除优惠政策。</w:t>
      </w:r>
    </w:p>
    <w:p w14:paraId="69490A5C">
      <w:pPr>
        <w:spacing w:line="360" w:lineRule="auto"/>
        <w:ind w:firstLine="482" w:firstLineChars="200"/>
        <w:rPr>
          <w:rFonts w:ascii="仿宋_GB2312" w:hAnsi="仿宋" w:eastAsia="仿宋_GB2312" w:cs="Arial"/>
          <w:kern w:val="0"/>
          <w:sz w:val="24"/>
          <w:highlight w:val="none"/>
        </w:rPr>
      </w:pPr>
      <w:r>
        <w:rPr>
          <w:rFonts w:ascii="仿宋_GB2312" w:hAnsi="仿宋" w:eastAsia="仿宋_GB2312" w:cs="Arial"/>
          <w:b/>
          <w:kern w:val="0"/>
          <w:sz w:val="24"/>
          <w:highlight w:val="none"/>
        </w:rPr>
        <w:t>3.5</w:t>
      </w:r>
      <w:r>
        <w:rPr>
          <w:rFonts w:hint="eastAsia" w:ascii="仿宋_GB2312" w:hAnsi="仿宋" w:eastAsia="仿宋_GB2312" w:cs="Arial"/>
          <w:b/>
          <w:kern w:val="0"/>
          <w:sz w:val="24"/>
          <w:highlight w:val="none"/>
        </w:rPr>
        <w:t>排序与推荐。</w:t>
      </w:r>
      <w:r>
        <w:rPr>
          <w:rFonts w:ascii="仿宋_GB2312" w:hAnsi="仿宋" w:eastAsia="仿宋_GB2312" w:cs="Arial"/>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_GB2312" w:hAnsi="仿宋" w:eastAsia="仿宋_GB2312" w:cs="Arial"/>
          <w:kern w:val="0"/>
          <w:sz w:val="24"/>
          <w:highlight w:val="none"/>
        </w:rPr>
        <w:t>。</w:t>
      </w:r>
    </w:p>
    <w:p w14:paraId="2D40A4B2">
      <w:pPr>
        <w:spacing w:line="360" w:lineRule="auto"/>
        <w:ind w:firstLine="420"/>
        <w:rPr>
          <w:rFonts w:ascii="仿宋_GB2312" w:hAnsi="仿宋" w:eastAsia="仿宋_GB2312" w:cs="Arial"/>
          <w:b/>
          <w:kern w:val="0"/>
          <w:sz w:val="24"/>
          <w:highlight w:val="none"/>
        </w:rPr>
      </w:pPr>
      <w:r>
        <w:rPr>
          <w:rFonts w:hint="eastAsia" w:ascii="仿宋_GB2312" w:hAnsi="仿宋" w:eastAsia="仿宋_GB2312" w:cs="Arial"/>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9AC7238">
      <w:pPr>
        <w:spacing w:line="360" w:lineRule="auto"/>
        <w:ind w:firstLine="472" w:firstLineChars="196"/>
        <w:rPr>
          <w:rFonts w:ascii="仿宋_GB2312" w:hAnsi="仿宋" w:eastAsia="仿宋_GB2312" w:cs="Arial"/>
          <w:kern w:val="0"/>
          <w:sz w:val="24"/>
          <w:highlight w:val="none"/>
        </w:rPr>
      </w:pPr>
      <w:r>
        <w:rPr>
          <w:rFonts w:ascii="仿宋_GB2312" w:hAnsi="仿宋" w:eastAsia="仿宋_GB2312" w:cs="Arial"/>
          <w:b/>
          <w:kern w:val="0"/>
          <w:sz w:val="24"/>
          <w:highlight w:val="none"/>
        </w:rPr>
        <w:t>3.6编写评标报告。</w:t>
      </w:r>
      <w:r>
        <w:rPr>
          <w:rFonts w:ascii="仿宋_GB2312" w:hAnsi="仿宋" w:eastAsia="仿宋_GB2312" w:cs="Arial"/>
          <w:kern w:val="0"/>
          <w:sz w:val="24"/>
          <w:highlight w:val="none"/>
        </w:rPr>
        <w:t>评标委员会根据全体评标成员签字的原始评标记录和评标结果编写评标报告。</w:t>
      </w:r>
      <w:r>
        <w:rPr>
          <w:rFonts w:hint="eastAsia" w:ascii="仿宋_GB2312" w:hAnsi="仿宋" w:eastAsia="仿宋_GB2312" w:cs="Arial"/>
          <w:kern w:val="0"/>
          <w:sz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A032238">
      <w:pPr>
        <w:pStyle w:val="7"/>
        <w:snapToGrid w:val="0"/>
        <w:spacing w:before="120" w:beforeLines="50" w:after="120" w:afterLines="50" w:line="360" w:lineRule="auto"/>
        <w:rPr>
          <w:rFonts w:ascii="仿宋" w:hAnsi="仿宋" w:eastAsia="仿宋" w:cs="仿宋"/>
          <w:sz w:val="24"/>
          <w:szCs w:val="24"/>
          <w:highlight w:val="none"/>
        </w:rPr>
      </w:pPr>
      <w:bookmarkStart w:id="71" w:name="_Toc14932"/>
      <w:bookmarkStart w:id="72" w:name="_Toc20079"/>
      <w:bookmarkStart w:id="73" w:name="_Toc2823"/>
      <w:bookmarkStart w:id="74" w:name="_Toc4730"/>
      <w:r>
        <w:rPr>
          <w:rFonts w:hint="eastAsia" w:ascii="仿宋" w:hAnsi="仿宋" w:eastAsia="仿宋" w:cs="仿宋"/>
          <w:sz w:val="24"/>
          <w:szCs w:val="24"/>
          <w:highlight w:val="none"/>
        </w:rPr>
        <w:t>四、评标中的其他事项</w:t>
      </w:r>
      <w:bookmarkEnd w:id="71"/>
      <w:bookmarkEnd w:id="72"/>
      <w:bookmarkEnd w:id="73"/>
      <w:bookmarkEnd w:id="74"/>
    </w:p>
    <w:p w14:paraId="691A7F2D">
      <w:pPr>
        <w:pStyle w:val="35"/>
        <w:spacing w:before="0"/>
        <w:ind w:firstLine="472" w:firstLineChars="196"/>
        <w:rPr>
          <w:rFonts w:ascii="仿宋_GB2312" w:hAnsi="仿宋" w:eastAsia="仿宋_GB2312" w:cs="Arial"/>
          <w:kern w:val="0"/>
          <w:szCs w:val="24"/>
          <w:highlight w:val="none"/>
        </w:rPr>
      </w:pPr>
      <w:r>
        <w:rPr>
          <w:rFonts w:ascii="仿宋_GB2312" w:hAnsi="仿宋" w:eastAsia="仿宋_GB2312" w:cs="Arial"/>
          <w:b/>
          <w:kern w:val="0"/>
          <w:szCs w:val="24"/>
          <w:highlight w:val="none"/>
        </w:rPr>
        <w:t>4.1</w:t>
      </w:r>
      <w:r>
        <w:rPr>
          <w:rFonts w:hint="eastAsia" w:ascii="仿宋_GB2312" w:hAnsi="仿宋" w:eastAsia="仿宋_GB2312" w:cs="Arial"/>
          <w:b/>
          <w:kern w:val="0"/>
          <w:szCs w:val="24"/>
          <w:highlight w:val="none"/>
        </w:rPr>
        <w:t>投标人澄清、说明或者补正。</w:t>
      </w:r>
      <w:r>
        <w:rPr>
          <w:rFonts w:hint="eastAsia" w:ascii="仿宋_GB2312" w:hAnsi="仿宋" w:eastAsia="仿宋_GB2312" w:cs="Arial"/>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315C418">
      <w:pPr>
        <w:pStyle w:val="3"/>
        <w:ind w:left="954" w:leftChars="226" w:hanging="479"/>
        <w:rPr>
          <w:rFonts w:ascii="仿宋_GB2312" w:hAnsi="仿宋" w:eastAsia="仿宋_GB2312" w:cs="仿宋_GB2312"/>
          <w:szCs w:val="21"/>
          <w:highlight w:val="none"/>
        </w:rPr>
      </w:pPr>
      <w:r>
        <w:rPr>
          <w:rFonts w:ascii="仿宋_GB2312" w:hAnsi="仿宋" w:eastAsia="仿宋_GB2312" w:cs="Arial"/>
          <w:b/>
          <w:kern w:val="0"/>
          <w:highlight w:val="none"/>
        </w:rPr>
        <w:t>4.2投标无效。</w:t>
      </w:r>
      <w:r>
        <w:rPr>
          <w:rFonts w:hint="eastAsia" w:ascii="仿宋_GB2312" w:hAnsi="仿宋" w:eastAsia="仿宋_GB2312" w:cs="仿宋_GB2312"/>
          <w:szCs w:val="21"/>
          <w:highlight w:val="none"/>
        </w:rPr>
        <w:t>有下列情况之一的，投标无效：</w:t>
      </w:r>
    </w:p>
    <w:p w14:paraId="684C3048">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4.2.1投标人不具备招标文件中规定的资格要求的（投标人未提供有效的资格文件的，视为投标人不具备招标文件中规定的资格要求）；</w:t>
      </w:r>
    </w:p>
    <w:p w14:paraId="3D6B4E9E">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4.2.2投标文件未按照招标文件要求签署、盖章的；</w:t>
      </w:r>
    </w:p>
    <w:p w14:paraId="7E35112C">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4.2.3采购人拟采购的产品属于政府强制采购的节能产品品目清单范围的，投标人未按招标文件要求提供国家确定的认证机构出具的、处于有效期之内的节能产品认证证书</w:t>
      </w:r>
      <w:r>
        <w:rPr>
          <w:rFonts w:hint="eastAsia" w:ascii="仿宋_GB2312" w:hAnsi="仿宋" w:eastAsia="仿宋_GB2312" w:cs="Arial"/>
          <w:b/>
          <w:bCs/>
          <w:kern w:val="0"/>
          <w:sz w:val="24"/>
          <w:highlight w:val="none"/>
        </w:rPr>
        <w:t>的；</w:t>
      </w:r>
    </w:p>
    <w:p w14:paraId="794493E8">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4.2.4投标文件含有采购人不能接受的附加条件的；</w:t>
      </w:r>
    </w:p>
    <w:p w14:paraId="24C203BD">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4.2.5投标文件中承诺的投标有效期少于招标文件中载明的投标有效期的；</w:t>
      </w:r>
    </w:p>
    <w:p w14:paraId="66306207">
      <w:pPr>
        <w:snapToGrid w:val="0"/>
        <w:spacing w:line="360" w:lineRule="auto"/>
        <w:ind w:firstLine="120" w:firstLineChars="50"/>
        <w:jc w:val="left"/>
        <w:rPr>
          <w:rFonts w:ascii="仿宋_GB2312" w:hAnsi="仿宋" w:eastAsia="仿宋_GB2312" w:cs="Arial"/>
          <w:b/>
          <w:bCs/>
          <w:kern w:val="0"/>
          <w:sz w:val="24"/>
          <w:highlight w:val="none"/>
        </w:rPr>
      </w:pPr>
      <w:r>
        <w:rPr>
          <w:rFonts w:ascii="仿宋_GB2312" w:hAnsi="仿宋" w:eastAsia="仿宋_GB2312" w:cs="Arial"/>
          <w:b/>
          <w:bCs/>
          <w:kern w:val="0"/>
          <w:sz w:val="24"/>
          <w:highlight w:val="none"/>
        </w:rPr>
        <w:t xml:space="preserve">  </w:t>
      </w:r>
      <w:r>
        <w:rPr>
          <w:rFonts w:hint="eastAsia" w:ascii="仿宋_GB2312" w:hAnsi="仿宋" w:eastAsia="仿宋_GB2312" w:cs="Arial"/>
          <w:b/>
          <w:bCs/>
          <w:kern w:val="0"/>
          <w:sz w:val="24"/>
          <w:highlight w:val="none"/>
        </w:rPr>
        <w:t xml:space="preserve"> </w:t>
      </w:r>
      <w:r>
        <w:rPr>
          <w:rFonts w:ascii="仿宋_GB2312" w:hAnsi="仿宋" w:eastAsia="仿宋_GB2312" w:cs="Arial"/>
          <w:b/>
          <w:bCs/>
          <w:kern w:val="0"/>
          <w:sz w:val="24"/>
          <w:highlight w:val="none"/>
        </w:rPr>
        <w:t>4.2.6投标文件出现不是唯一的、有选择性投标报价的</w:t>
      </w:r>
      <w:r>
        <w:rPr>
          <w:rFonts w:hint="eastAsia" w:ascii="仿宋_GB2312" w:hAnsi="仿宋" w:eastAsia="仿宋_GB2312" w:cs="Arial"/>
          <w:b/>
          <w:bCs/>
          <w:kern w:val="0"/>
          <w:sz w:val="24"/>
          <w:highlight w:val="none"/>
          <w:lang w:val="en-US" w:eastAsia="zh-CN"/>
        </w:rPr>
        <w:t xml:space="preserve"> </w:t>
      </w:r>
      <w:r>
        <w:rPr>
          <w:rFonts w:ascii="仿宋_GB2312" w:hAnsi="仿宋" w:eastAsia="仿宋_GB2312" w:cs="Arial"/>
          <w:b/>
          <w:bCs/>
          <w:kern w:val="0"/>
          <w:sz w:val="24"/>
          <w:highlight w:val="none"/>
        </w:rPr>
        <w:t>;</w:t>
      </w:r>
    </w:p>
    <w:p w14:paraId="67296442">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4.2.7投标报价超过招标文件中规定的预算金额或者最高限价的;</w:t>
      </w:r>
    </w:p>
    <w:p w14:paraId="2F84C827">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33A38193">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4.2.9投标人对根据修正原则修正后的报价不确认的；</w:t>
      </w:r>
    </w:p>
    <w:p w14:paraId="13A7F5CA">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4.2.10投标人提供虚假材料投标的；</w:t>
      </w:r>
    </w:p>
    <w:p w14:paraId="5FD637CD">
      <w:pPr>
        <w:spacing w:line="360" w:lineRule="auto"/>
        <w:ind w:firstLine="241" w:firstLineChars="1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 xml:space="preserve">  4.2.11投标人有恶意串通、妨碍其他投标人的竞争行为、损害采购人或者其他投标人的合法权益情形的；</w:t>
      </w:r>
    </w:p>
    <w:p w14:paraId="46EB2CC7">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4.2.12投标人仅提交备份投标文件，没有在电子交易平台传输递交投标文件的，投标无效；</w:t>
      </w:r>
    </w:p>
    <w:p w14:paraId="087B5A92">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 xml:space="preserve">4.2.13 </w:t>
      </w:r>
      <w:r>
        <w:rPr>
          <w:rFonts w:hint="eastAsia" w:ascii="仿宋_GB2312" w:hAnsi="仿宋" w:eastAsia="仿宋_GB2312" w:cs="Arial"/>
          <w:b/>
          <w:bCs/>
          <w:kern w:val="0"/>
          <w:sz w:val="24"/>
          <w:highlight w:val="none"/>
        </w:rPr>
        <w:t>投标文件不满足招标文件的其它实质性要求的；</w:t>
      </w:r>
    </w:p>
    <w:p w14:paraId="2FABA3F8">
      <w:pPr>
        <w:spacing w:line="360" w:lineRule="auto"/>
        <w:ind w:firstLine="482" w:firstLineChars="200"/>
        <w:rPr>
          <w:rFonts w:ascii="仿宋_GB2312" w:hAnsi="仿宋" w:eastAsia="仿宋_GB2312" w:cs="Arial"/>
          <w:b/>
          <w:bCs/>
          <w:kern w:val="0"/>
          <w:sz w:val="24"/>
          <w:highlight w:val="none"/>
        </w:rPr>
      </w:pPr>
      <w:r>
        <w:rPr>
          <w:rFonts w:ascii="仿宋_GB2312" w:hAnsi="仿宋" w:eastAsia="仿宋_GB2312" w:cs="Arial"/>
          <w:b/>
          <w:bCs/>
          <w:kern w:val="0"/>
          <w:sz w:val="24"/>
          <w:highlight w:val="none"/>
        </w:rPr>
        <w:t>4.2.14法律、法规、规章（适用本市的）及省级以上规范性文件（适用本市的）规定的其他无效情形。</w:t>
      </w:r>
    </w:p>
    <w:p w14:paraId="2E8438E0">
      <w:pPr>
        <w:pStyle w:val="3"/>
        <w:snapToGrid w:val="0"/>
        <w:ind w:firstLine="472" w:firstLineChars="196"/>
        <w:rPr>
          <w:rFonts w:ascii="仿宋_GB2312" w:hAnsi="仿宋" w:eastAsia="仿宋_GB2312" w:cs="仿宋_GB2312"/>
          <w:highlight w:val="none"/>
        </w:rPr>
      </w:pPr>
      <w:r>
        <w:rPr>
          <w:rFonts w:ascii="仿宋_GB2312" w:hAnsi="仿宋" w:eastAsia="仿宋_GB2312" w:cs="仿宋_GB2312"/>
          <w:b/>
          <w:highlight w:val="none"/>
        </w:rPr>
        <w:t>5.废标。</w:t>
      </w:r>
      <w:r>
        <w:rPr>
          <w:rFonts w:hint="eastAsia" w:ascii="仿宋_GB2312" w:hAnsi="仿宋" w:eastAsia="仿宋_GB2312" w:cs="仿宋_GB2312"/>
          <w:highlight w:val="none"/>
        </w:rPr>
        <w:t>根据《中华人民共和国政府采购法》第三十六条之规定，在采购中，出现下列情形之一的，应予废标：</w:t>
      </w:r>
    </w:p>
    <w:p w14:paraId="0EF92C8E">
      <w:pPr>
        <w:pStyle w:val="3"/>
        <w:snapToGrid w:val="0"/>
        <w:rPr>
          <w:rFonts w:ascii="仿宋_GB2312" w:hAnsi="仿宋" w:eastAsia="仿宋_GB2312" w:cs="仿宋_GB2312"/>
          <w:highlight w:val="none"/>
        </w:rPr>
      </w:pPr>
      <w:r>
        <w:rPr>
          <w:rFonts w:ascii="仿宋_GB2312" w:hAnsi="仿宋" w:eastAsia="仿宋_GB2312" w:cs="仿宋_GB2312"/>
          <w:highlight w:val="none"/>
        </w:rPr>
        <w:t>5.1符合专业条件的供应商或者对招标文件作实质响应的供应商不足3家的；</w:t>
      </w:r>
    </w:p>
    <w:p w14:paraId="17CCC0D6">
      <w:pPr>
        <w:pStyle w:val="3"/>
        <w:snapToGrid w:val="0"/>
        <w:rPr>
          <w:rFonts w:ascii="仿宋_GB2312" w:hAnsi="仿宋" w:eastAsia="仿宋_GB2312" w:cs="仿宋_GB2312"/>
          <w:highlight w:val="none"/>
        </w:rPr>
      </w:pPr>
      <w:r>
        <w:rPr>
          <w:rFonts w:ascii="仿宋_GB2312" w:hAnsi="仿宋" w:eastAsia="仿宋_GB2312" w:cs="仿宋_GB2312"/>
          <w:highlight w:val="none"/>
        </w:rPr>
        <w:t>5.2出现影响采购公正的违法、违规行为的；</w:t>
      </w:r>
    </w:p>
    <w:p w14:paraId="6E3D6EE6">
      <w:pPr>
        <w:pStyle w:val="3"/>
        <w:snapToGrid w:val="0"/>
        <w:rPr>
          <w:rFonts w:ascii="仿宋_GB2312" w:hAnsi="仿宋" w:eastAsia="仿宋_GB2312" w:cs="仿宋_GB2312"/>
          <w:highlight w:val="none"/>
        </w:rPr>
      </w:pPr>
      <w:r>
        <w:rPr>
          <w:rFonts w:ascii="仿宋_GB2312" w:hAnsi="仿宋" w:eastAsia="仿宋_GB2312" w:cs="仿宋_GB2312"/>
          <w:highlight w:val="none"/>
        </w:rPr>
        <w:t>5.3投标人的报价均超过了采购预算，采购人不能支付的；</w:t>
      </w:r>
    </w:p>
    <w:p w14:paraId="40980B8B">
      <w:pPr>
        <w:pStyle w:val="3"/>
        <w:snapToGrid w:val="0"/>
        <w:rPr>
          <w:rFonts w:ascii="仿宋_GB2312" w:hAnsi="仿宋" w:eastAsia="仿宋_GB2312" w:cs="仿宋_GB2312"/>
          <w:highlight w:val="none"/>
        </w:rPr>
      </w:pPr>
      <w:r>
        <w:rPr>
          <w:rFonts w:ascii="仿宋_GB2312" w:hAnsi="仿宋" w:eastAsia="仿宋_GB2312" w:cs="仿宋_GB2312"/>
          <w:highlight w:val="none"/>
        </w:rPr>
        <w:t>5.4因重大变故，采购任务取消的。</w:t>
      </w:r>
    </w:p>
    <w:p w14:paraId="6590BC1E">
      <w:pPr>
        <w:pStyle w:val="3"/>
        <w:snapToGrid w:val="0"/>
        <w:rPr>
          <w:rFonts w:ascii="仿宋_GB2312" w:hAnsi="仿宋" w:eastAsia="仿宋_GB2312" w:cs="仿宋_GB2312"/>
          <w:highlight w:val="none"/>
        </w:rPr>
      </w:pPr>
      <w:r>
        <w:rPr>
          <w:rFonts w:hint="eastAsia" w:ascii="仿宋_GB2312" w:hAnsi="仿宋" w:eastAsia="仿宋_GB2312" w:cs="仿宋_GB2312"/>
          <w:highlight w:val="none"/>
        </w:rPr>
        <w:t>废标后，采购机构应当将废标理由通知所有投标人。</w:t>
      </w:r>
    </w:p>
    <w:p w14:paraId="2B0EC75E">
      <w:pPr>
        <w:pStyle w:val="3"/>
        <w:snapToGrid w:val="0"/>
        <w:ind w:firstLine="590" w:firstLineChars="245"/>
        <w:rPr>
          <w:rFonts w:ascii="仿宋_GB2312" w:hAnsi="仿宋" w:eastAsia="仿宋_GB2312" w:cs="仿宋_GB2312"/>
          <w:highlight w:val="none"/>
        </w:rPr>
      </w:pPr>
      <w:r>
        <w:rPr>
          <w:rFonts w:ascii="仿宋_GB2312" w:hAnsi="仿宋" w:eastAsia="仿宋_GB2312" w:cs="仿宋_GB2312"/>
          <w:b/>
          <w:highlight w:val="none"/>
        </w:rPr>
        <w:t>6.修改招标文件，重新组织采购活动。</w:t>
      </w:r>
      <w:r>
        <w:rPr>
          <w:rFonts w:hint="eastAsia" w:ascii="仿宋_GB2312" w:hAnsi="仿宋" w:eastAsia="仿宋_GB2312" w:cs="仿宋_GB2312"/>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08EA5650">
      <w:pPr>
        <w:pStyle w:val="3"/>
        <w:snapToGrid w:val="0"/>
        <w:ind w:firstLine="590" w:firstLineChars="245"/>
        <w:rPr>
          <w:rFonts w:ascii="仿宋_GB2312" w:hAnsi="仿宋" w:eastAsia="仿宋_GB2312" w:cs="仿宋_GB2312"/>
          <w:highlight w:val="none"/>
        </w:rPr>
      </w:pPr>
      <w:r>
        <w:rPr>
          <w:rFonts w:hint="eastAsia" w:ascii="仿宋_GB2312" w:hAnsi="Helvetica" w:eastAsia="仿宋_GB2312" w:cs="Helvetica"/>
          <w:b/>
          <w:kern w:val="0"/>
          <w:highlight w:val="none"/>
        </w:rPr>
        <w:t>7.重新开展采购。</w:t>
      </w:r>
      <w:r>
        <w:rPr>
          <w:rFonts w:hint="eastAsia" w:ascii="仿宋_GB2312" w:hAnsi="仿宋" w:eastAsia="仿宋_GB2312" w:cs="仿宋_GB2312"/>
          <w:highlight w:val="none"/>
        </w:rPr>
        <w:t>有政府采购法第七十一条、第七十二条规定的违法行为之一，影响或者可能影响中标、成交结果的，依照下列规定处理：</w:t>
      </w:r>
    </w:p>
    <w:p w14:paraId="7CB54B6C">
      <w:pPr>
        <w:pStyle w:val="3"/>
        <w:snapToGrid w:val="0"/>
        <w:ind w:firstLine="600" w:firstLineChars="250"/>
        <w:rPr>
          <w:rFonts w:ascii="仿宋_GB2312" w:hAnsi="仿宋" w:eastAsia="仿宋_GB2312" w:cs="仿宋_GB2312"/>
          <w:highlight w:val="none"/>
        </w:rPr>
      </w:pPr>
      <w:r>
        <w:rPr>
          <w:rFonts w:ascii="仿宋_GB2312" w:hAnsi="仿宋" w:eastAsia="仿宋_GB2312" w:cs="仿宋_GB2312"/>
          <w:highlight w:val="none"/>
        </w:rPr>
        <w:t>7.1未确定中标或者中标人的，终止本次政府采购活动，重新开展政府采购</w:t>
      </w:r>
      <w:r>
        <w:rPr>
          <w:rFonts w:hint="eastAsia" w:ascii="仿宋_GB2312" w:hAnsi="仿宋" w:eastAsia="仿宋_GB2312" w:cs="仿宋_GB2312"/>
          <w:highlight w:val="none"/>
        </w:rPr>
        <w:t>活动。</w:t>
      </w:r>
    </w:p>
    <w:p w14:paraId="3C46DD79">
      <w:pPr>
        <w:pStyle w:val="3"/>
        <w:snapToGrid w:val="0"/>
        <w:ind w:firstLine="600" w:firstLineChars="250"/>
        <w:rPr>
          <w:rFonts w:ascii="仿宋_GB2312" w:hAnsi="仿宋" w:eastAsia="仿宋_GB2312" w:cs="仿宋_GB2312"/>
          <w:highlight w:val="none"/>
        </w:rPr>
      </w:pPr>
      <w:r>
        <w:rPr>
          <w:rFonts w:ascii="仿宋_GB2312" w:hAnsi="仿宋" w:eastAsia="仿宋_GB2312" w:cs="仿宋_GB2312"/>
          <w:highlight w:val="none"/>
        </w:rPr>
        <w:t>7.2已确定中标或者中标人但尚未签订政府采购合同的，中标或者成交结果无效，从合格的中标或者成交候选人中另行确定中标或者中标人；没有合格的中标或者成交候选人的，重新开展政府采购活动。</w:t>
      </w:r>
    </w:p>
    <w:p w14:paraId="6F6B70EF">
      <w:pPr>
        <w:pStyle w:val="3"/>
        <w:snapToGrid w:val="0"/>
        <w:ind w:firstLine="600" w:firstLineChars="250"/>
        <w:rPr>
          <w:rFonts w:ascii="仿宋_GB2312" w:hAnsi="仿宋" w:eastAsia="仿宋_GB2312" w:cs="仿宋_GB2312"/>
          <w:highlight w:val="none"/>
        </w:rPr>
      </w:pPr>
      <w:r>
        <w:rPr>
          <w:rFonts w:ascii="仿宋_GB2312" w:hAnsi="仿宋" w:eastAsia="仿宋_GB2312" w:cs="仿宋_GB2312"/>
          <w:highlight w:val="none"/>
        </w:rPr>
        <w:t>7.3政府采购合同已签订但尚未履行的，撤销合同，从合格的中标或者成交候选人中另行确定中标或者中标人；没有合格的中标或者成交候选人的，重新开展政府采购活动。</w:t>
      </w:r>
    </w:p>
    <w:p w14:paraId="589B15DF">
      <w:pPr>
        <w:pStyle w:val="3"/>
        <w:snapToGrid w:val="0"/>
        <w:rPr>
          <w:rFonts w:ascii="仿宋_GB2312" w:hAnsi="仿宋" w:eastAsia="仿宋_GB2312" w:cs="仿宋_GB2312"/>
          <w:highlight w:val="none"/>
        </w:rPr>
      </w:pPr>
      <w:r>
        <w:rPr>
          <w:rFonts w:ascii="仿宋_GB2312" w:hAnsi="仿宋" w:eastAsia="仿宋_GB2312" w:cs="仿宋_GB2312"/>
          <w:highlight w:val="none"/>
        </w:rPr>
        <w:t>7.4政府采购合同已经履行，给采购人、供应</w:t>
      </w:r>
      <w:r>
        <w:rPr>
          <w:rFonts w:hint="eastAsia" w:ascii="仿宋_GB2312" w:hAnsi="仿宋" w:eastAsia="仿宋_GB2312" w:cs="仿宋_GB2312"/>
          <w:highlight w:val="none"/>
        </w:rPr>
        <w:t>商造成损失的，由责任人承担赔偿责任。</w:t>
      </w:r>
    </w:p>
    <w:p w14:paraId="2DED3A9A">
      <w:pPr>
        <w:pStyle w:val="3"/>
        <w:snapToGrid w:val="0"/>
        <w:rPr>
          <w:rFonts w:ascii="仿宋_GB2312" w:hAnsi="仿宋" w:eastAsia="仿宋_GB2312" w:cs="仿宋_GB2312"/>
          <w:highlight w:val="none"/>
        </w:rPr>
      </w:pPr>
      <w:bookmarkStart w:id="75" w:name="_Toc25437"/>
      <w:r>
        <w:rPr>
          <w:rFonts w:ascii="仿宋_GB2312" w:hAnsi="仿宋" w:eastAsia="仿宋_GB2312" w:cs="仿宋_GB2312"/>
          <w:highlight w:val="none"/>
        </w:rPr>
        <w:t>7.5政府采购当事人有其他违反政府采购</w:t>
      </w:r>
      <w:r>
        <w:rPr>
          <w:rFonts w:hint="eastAsia" w:ascii="仿宋_GB2312" w:hAnsi="仿宋" w:eastAsia="仿宋_GB2312" w:cs="仿宋_GB2312"/>
          <w:highlight w:val="none"/>
        </w:rPr>
        <w:t>法或者政府采购法实施条例等法律法规规定的行为，经改正后仍然影响或者可能影响中标、成交结果或者依法被认定为中标、成交无效的，依照</w:t>
      </w:r>
      <w:r>
        <w:rPr>
          <w:rFonts w:ascii="仿宋_GB2312" w:hAnsi="仿宋" w:eastAsia="仿宋_GB2312" w:cs="仿宋_GB2312"/>
          <w:highlight w:val="none"/>
        </w:rPr>
        <w:t>7.1-7.4规定处理</w:t>
      </w:r>
      <w:bookmarkEnd w:id="75"/>
      <w:r>
        <w:rPr>
          <w:rFonts w:hint="eastAsia" w:ascii="仿宋_GB2312" w:hAnsi="仿宋" w:eastAsia="仿宋_GB2312" w:cs="仿宋_GB2312"/>
          <w:highlight w:val="none"/>
        </w:rPr>
        <w:t>。</w:t>
      </w:r>
    </w:p>
    <w:p w14:paraId="270E1F06">
      <w:pPr>
        <w:pStyle w:val="11"/>
        <w:rPr>
          <w:highlight w:val="none"/>
        </w:rPr>
      </w:pPr>
    </w:p>
    <w:p w14:paraId="561C8D44">
      <w:pPr>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0F3BDEC0">
      <w:pPr>
        <w:numPr>
          <w:ilvl w:val="0"/>
          <w:numId w:val="0"/>
        </w:numPr>
        <w:adjustRightInd w:val="0"/>
        <w:snapToGrid w:val="0"/>
        <w:spacing w:before="120" w:beforeLines="50" w:after="120" w:afterLines="50" w:line="360" w:lineRule="auto"/>
        <w:jc w:val="center"/>
        <w:outlineLvl w:val="0"/>
        <w:rPr>
          <w:rFonts w:hint="eastAsia" w:ascii="仿宋" w:hAnsi="仿宋" w:eastAsia="仿宋" w:cs="仿宋"/>
          <w:b/>
          <w:sz w:val="30"/>
          <w:szCs w:val="30"/>
          <w:highlight w:val="none"/>
        </w:rPr>
      </w:pPr>
      <w:bookmarkStart w:id="76" w:name="_Toc3920"/>
      <w:bookmarkStart w:id="77" w:name="_Toc15789"/>
      <w:bookmarkStart w:id="78" w:name="_Toc10498"/>
      <w:r>
        <w:rPr>
          <w:rFonts w:hint="eastAsia" w:ascii="仿宋" w:hAnsi="仿宋" w:eastAsia="仿宋" w:cs="仿宋"/>
          <w:b/>
          <w:kern w:val="2"/>
          <w:sz w:val="30"/>
          <w:szCs w:val="30"/>
          <w:lang w:val="en-US" w:eastAsia="zh-CN" w:bidi="ar-SA"/>
        </w:rPr>
        <w:t>第五部分</w:t>
      </w:r>
      <w:r>
        <w:rPr>
          <w:rFonts w:hint="eastAsia" w:ascii="仿宋" w:hAnsi="仿宋" w:eastAsia="仿宋" w:cs="仿宋"/>
          <w:b/>
          <w:sz w:val="30"/>
          <w:szCs w:val="30"/>
          <w:highlight w:val="none"/>
        </w:rPr>
        <w:t xml:space="preserve"> 合同条款</w:t>
      </w:r>
      <w:bookmarkEnd w:id="51"/>
      <w:bookmarkEnd w:id="52"/>
      <w:bookmarkEnd w:id="76"/>
      <w:bookmarkEnd w:id="77"/>
      <w:bookmarkEnd w:id="78"/>
    </w:p>
    <w:p w14:paraId="25749F17">
      <w:pPr>
        <w:snapToGrid w:val="0"/>
        <w:spacing w:before="120" w:beforeLines="50" w:after="120" w:afterLines="50" w:line="360" w:lineRule="auto"/>
        <w:ind w:firstLine="420" w:firstLineChars="200"/>
        <w:jc w:val="left"/>
        <w:rPr>
          <w:rFonts w:ascii="仿宋" w:hAnsi="仿宋" w:eastAsia="仿宋" w:cs="仿宋"/>
          <w:spacing w:val="-6"/>
          <w:highlight w:val="none"/>
        </w:rPr>
      </w:pPr>
      <w:bookmarkStart w:id="79" w:name="_Toc251566661"/>
      <w:bookmarkStart w:id="80" w:name="_Toc249760790"/>
      <w:bookmarkStart w:id="81" w:name="_Hlk534720381"/>
      <w:r>
        <w:rPr>
          <w:rFonts w:hint="eastAsia" w:ascii="仿宋" w:hAnsi="仿宋" w:eastAsia="仿宋" w:cs="仿宋"/>
          <w:bCs/>
          <w:snapToGrid w:val="0"/>
          <w:highlight w:val="none"/>
        </w:rPr>
        <w:t>合同将由</w:t>
      </w:r>
      <w:r>
        <w:rPr>
          <w:rFonts w:hint="eastAsia" w:ascii="仿宋" w:hAnsi="仿宋" w:eastAsia="仿宋" w:cs="仿宋"/>
          <w:bCs/>
          <w:snapToGrid w:val="0"/>
          <w:color w:val="000000" w:themeColor="text1"/>
          <w:highlight w:val="none"/>
          <w:u w:val="single"/>
          <w:lang w:eastAsia="zh-CN"/>
          <w14:textFill>
            <w14:solidFill>
              <w14:schemeClr w14:val="tx1"/>
            </w14:solidFill>
          </w14:textFill>
        </w:rPr>
        <w:t xml:space="preserve">  新疆维吾尔自治区天山东部国有林管理局哈密分局</w:t>
      </w:r>
      <w:r>
        <w:rPr>
          <w:rFonts w:hint="eastAsia" w:ascii="仿宋" w:hAnsi="仿宋" w:eastAsia="仿宋" w:cs="仿宋"/>
          <w:bCs/>
          <w:snapToGrid w:val="0"/>
          <w:color w:val="000000" w:themeColor="text1"/>
          <w:highlight w:val="none"/>
          <w:u w:val="single"/>
          <w14:textFill>
            <w14:solidFill>
              <w14:schemeClr w14:val="tx1"/>
            </w14:solidFill>
          </w14:textFill>
        </w:rPr>
        <w:t xml:space="preserve"> </w:t>
      </w:r>
      <w:r>
        <w:rPr>
          <w:rFonts w:hint="eastAsia" w:ascii="仿宋" w:hAnsi="仿宋" w:eastAsia="仿宋" w:cs="仿宋"/>
          <w:bCs/>
          <w:snapToGrid w:val="0"/>
          <w:highlight w:val="none"/>
        </w:rPr>
        <w:t>（以下简称甲方）与经评审最终确定的中标人（以下简称乙方）结合本项目具体情况协商后签订。以下为招标人提出涉及乙方的主要条款，投标人在投标文件中应对其进行确认或拒绝。如投标人在其投标文件中未做拒绝或提出修改要求的，招标人将视作认同。</w:t>
      </w:r>
    </w:p>
    <w:p w14:paraId="7DBC6905">
      <w:pPr>
        <w:rPr>
          <w:highlight w:val="none"/>
        </w:rPr>
      </w:pPr>
    </w:p>
    <w:p w14:paraId="4E5D05E5">
      <w:pPr>
        <w:rPr>
          <w:highlight w:val="none"/>
        </w:rPr>
      </w:pPr>
    </w:p>
    <w:p w14:paraId="402A3908">
      <w:pPr>
        <w:rPr>
          <w:highlight w:val="none"/>
        </w:rPr>
      </w:pPr>
    </w:p>
    <w:p w14:paraId="61CF065C">
      <w:pPr>
        <w:rPr>
          <w:highlight w:val="none"/>
        </w:rPr>
      </w:pPr>
    </w:p>
    <w:p w14:paraId="5A118D1D">
      <w:pPr>
        <w:rPr>
          <w:highlight w:val="none"/>
        </w:rPr>
      </w:pPr>
      <w:r>
        <w:rPr>
          <w:highlight w:val="none"/>
        </w:rPr>
        <w:br w:type="page"/>
      </w:r>
    </w:p>
    <w:p w14:paraId="51126033">
      <w:pPr>
        <w:pStyle w:val="11"/>
        <w:rPr>
          <w:highlight w:val="none"/>
        </w:rPr>
      </w:pPr>
    </w:p>
    <w:bookmarkEnd w:id="79"/>
    <w:bookmarkEnd w:id="80"/>
    <w:bookmarkEnd w:id="81"/>
    <w:p w14:paraId="5678D4B1">
      <w:pPr>
        <w:spacing w:line="360" w:lineRule="auto"/>
        <w:jc w:val="center"/>
        <w:outlineLvl w:val="0"/>
        <w:rPr>
          <w:rFonts w:hint="eastAsia" w:ascii="仿宋" w:hAnsi="仿宋" w:eastAsia="仿宋" w:cs="仿宋"/>
          <w:b/>
          <w:bCs/>
          <w:color w:val="000000" w:themeColor="text1"/>
          <w:kern w:val="44"/>
          <w:sz w:val="28"/>
          <w:szCs w:val="28"/>
          <w:highlight w:val="none"/>
          <w:lang w:eastAsia="zh-CN"/>
          <w14:textFill>
            <w14:solidFill>
              <w14:schemeClr w14:val="tx1"/>
            </w14:solidFill>
          </w14:textFill>
        </w:rPr>
      </w:pPr>
      <w:bookmarkStart w:id="82" w:name="_Toc8107"/>
      <w:bookmarkStart w:id="83" w:name="_Toc80724672"/>
      <w:r>
        <w:rPr>
          <w:rFonts w:hint="eastAsia" w:ascii="仿宋" w:hAnsi="仿宋" w:eastAsia="仿宋" w:cs="仿宋"/>
          <w:b/>
          <w:bCs/>
          <w:color w:val="000000" w:themeColor="text1"/>
          <w:kern w:val="44"/>
          <w:sz w:val="28"/>
          <w:szCs w:val="28"/>
          <w:highlight w:val="none"/>
          <w:lang w:eastAsia="zh-CN"/>
          <w14:textFill>
            <w14:solidFill>
              <w14:schemeClr w14:val="tx1"/>
            </w14:solidFill>
          </w14:textFill>
        </w:rPr>
        <w:t>新疆维吾尔自治区天山东部国有林管理局哈密分局2026年森林生态修复项目一森林管护服务</w:t>
      </w:r>
    </w:p>
    <w:p w14:paraId="296B9DF7">
      <w:pPr>
        <w:spacing w:line="360" w:lineRule="auto"/>
        <w:jc w:val="center"/>
        <w:outlineLvl w:val="0"/>
        <w:rPr>
          <w:rFonts w:ascii="仿宋" w:hAnsi="仿宋" w:eastAsia="仿宋" w:cs="仿宋"/>
          <w:b/>
          <w:bCs/>
          <w:color w:val="000000" w:themeColor="text1"/>
          <w:kern w:val="44"/>
          <w:sz w:val="28"/>
          <w:szCs w:val="28"/>
          <w:highlight w:val="none"/>
          <w14:textFill>
            <w14:solidFill>
              <w14:schemeClr w14:val="tx1"/>
            </w14:solidFill>
          </w14:textFill>
        </w:rPr>
      </w:pPr>
      <w:r>
        <w:rPr>
          <w:rFonts w:hint="eastAsia" w:ascii="仿宋" w:hAnsi="仿宋" w:eastAsia="仿宋" w:cs="仿宋"/>
          <w:b/>
          <w:bCs/>
          <w:color w:val="000000" w:themeColor="text1"/>
          <w:kern w:val="44"/>
          <w:sz w:val="28"/>
          <w:szCs w:val="28"/>
          <w:highlight w:val="none"/>
          <w14:textFill>
            <w14:solidFill>
              <w14:schemeClr w14:val="tx1"/>
            </w14:solidFill>
          </w14:textFill>
        </w:rPr>
        <w:t>采购合同</w:t>
      </w:r>
      <w:bookmarkEnd w:id="82"/>
    </w:p>
    <w:p w14:paraId="76354513">
      <w:pPr>
        <w:pStyle w:val="3"/>
        <w:rPr>
          <w:rFonts w:ascii="仿宋" w:hAnsi="仿宋" w:eastAsia="仿宋" w:cs="仿宋"/>
          <w:color w:val="000000" w:themeColor="text1"/>
          <w:highlight w:val="none"/>
          <w14:textFill>
            <w14:solidFill>
              <w14:schemeClr w14:val="tx1"/>
            </w14:solidFill>
          </w14:textFill>
        </w:rPr>
      </w:pPr>
    </w:p>
    <w:bookmarkEnd w:id="83"/>
    <w:p w14:paraId="4CE924E5">
      <w:pPr>
        <w:spacing w:line="500" w:lineRule="exact"/>
        <w:ind w:firstLine="480" w:firstLineChars="200"/>
        <w:rPr>
          <w:rFonts w:ascii="仿宋" w:hAnsi="仿宋" w:eastAsia="仿宋" w:cs="仿宋"/>
          <w:sz w:val="24"/>
          <w:highlight w:val="none"/>
        </w:rPr>
      </w:pPr>
      <w:bookmarkStart w:id="84" w:name="_Toc25338"/>
      <w:bookmarkStart w:id="85" w:name="_Toc249760797"/>
      <w:bookmarkStart w:id="86" w:name="_Toc251566668"/>
      <w:bookmarkStart w:id="87" w:name="_Toc1306"/>
      <w:bookmarkStart w:id="88" w:name="_Toc234764855"/>
      <w:r>
        <w:rPr>
          <w:rFonts w:hint="eastAsia" w:ascii="仿宋" w:hAnsi="仿宋" w:eastAsia="仿宋" w:cs="仿宋"/>
          <w:sz w:val="24"/>
          <w:highlight w:val="none"/>
        </w:rPr>
        <w:t>由于不可抗力而影响合同义务执行时，则延迟合同义务的期限相当于不可抗力事件的时间，但是不能因为不可抗力的延迟而调整合同价格。</w:t>
      </w:r>
    </w:p>
    <w:p w14:paraId="5DA065E3">
      <w:pPr>
        <w:spacing w:line="500" w:lineRule="exact"/>
        <w:ind w:firstLine="361" w:firstLineChars="150"/>
        <w:outlineLvl w:val="0"/>
        <w:rPr>
          <w:rFonts w:ascii="仿宋" w:hAnsi="仿宋" w:eastAsia="仿宋" w:cs="仿宋"/>
          <w:b/>
          <w:sz w:val="24"/>
          <w:highlight w:val="none"/>
        </w:rPr>
      </w:pPr>
      <w:bookmarkStart w:id="89" w:name="_Toc24140"/>
      <w:r>
        <w:rPr>
          <w:rFonts w:hint="eastAsia" w:ascii="仿宋" w:hAnsi="仿宋" w:eastAsia="仿宋" w:cs="仿宋"/>
          <w:b/>
          <w:sz w:val="24"/>
          <w:highlight w:val="none"/>
        </w:rPr>
        <w:t>8．合同争议的解决</w:t>
      </w:r>
      <w:bookmarkEnd w:id="89"/>
    </w:p>
    <w:p w14:paraId="6DBF3744">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8.1本合同适用法律为中华人民共和国法律。</w:t>
      </w:r>
    </w:p>
    <w:p w14:paraId="265851C0">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8.2凡与本合同有关而引起的一切争议，双方应通过友好协商解决，如经协商仍不能达成协议时，任何一方均有权将争议提交人民法院审理。</w:t>
      </w:r>
    </w:p>
    <w:p w14:paraId="473AFB6E">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8.3双方约定的有审判管辖权的审判机关为：甲方所在地有管辖权的人民法院。</w:t>
      </w:r>
    </w:p>
    <w:p w14:paraId="26B1F585">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8.4法院判决对双方都有约束力。</w:t>
      </w:r>
    </w:p>
    <w:p w14:paraId="4D45EB1A">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8.5上述过程发生的费用除另有规定外，应由败诉方承担。</w:t>
      </w:r>
    </w:p>
    <w:p w14:paraId="17C8935A">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8.6在法院判决期间，除提交法院判决的事项外，合同仍应继续履行。</w:t>
      </w:r>
    </w:p>
    <w:p w14:paraId="0FEE86EB">
      <w:pPr>
        <w:spacing w:line="500" w:lineRule="exact"/>
        <w:ind w:firstLine="241" w:firstLineChars="100"/>
        <w:outlineLvl w:val="0"/>
        <w:rPr>
          <w:rFonts w:ascii="仿宋" w:hAnsi="仿宋" w:eastAsia="仿宋" w:cs="仿宋"/>
          <w:b/>
          <w:sz w:val="24"/>
          <w:highlight w:val="none"/>
        </w:rPr>
      </w:pPr>
      <w:bookmarkStart w:id="90" w:name="_Toc15689"/>
      <w:r>
        <w:rPr>
          <w:rFonts w:hint="eastAsia" w:ascii="仿宋" w:hAnsi="仿宋" w:eastAsia="仿宋" w:cs="仿宋"/>
          <w:b/>
          <w:sz w:val="24"/>
          <w:highlight w:val="none"/>
        </w:rPr>
        <w:t>9．税费</w:t>
      </w:r>
      <w:bookmarkEnd w:id="90"/>
    </w:p>
    <w:p w14:paraId="7658419B">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本合同价格为含税价，所有税费已全部包含在合同价格内，由乙方承担。</w:t>
      </w:r>
    </w:p>
    <w:p w14:paraId="238B1550">
      <w:pPr>
        <w:spacing w:line="500" w:lineRule="exact"/>
        <w:ind w:firstLine="241" w:firstLineChars="100"/>
        <w:outlineLvl w:val="0"/>
        <w:rPr>
          <w:rFonts w:ascii="仿宋" w:hAnsi="仿宋" w:eastAsia="仿宋" w:cs="仿宋"/>
          <w:b/>
          <w:sz w:val="24"/>
          <w:highlight w:val="none"/>
        </w:rPr>
      </w:pPr>
      <w:bookmarkStart w:id="91" w:name="_Toc13729"/>
      <w:r>
        <w:rPr>
          <w:rFonts w:hint="eastAsia" w:ascii="仿宋" w:hAnsi="仿宋" w:eastAsia="仿宋" w:cs="仿宋"/>
          <w:b/>
          <w:sz w:val="24"/>
          <w:highlight w:val="none"/>
        </w:rPr>
        <w:t>10. 其它</w:t>
      </w:r>
      <w:bookmarkEnd w:id="91"/>
    </w:p>
    <w:p w14:paraId="3884904D">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10.1本合同于年月日由甲乙双方法人代表或授权代表在签字。本合同经双方方法人代表或授权代表签字并加盖合同章后生效。</w:t>
      </w:r>
    </w:p>
    <w:p w14:paraId="0CA9CBCB">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10.2本合同有效期从合同生效之日起至合同双方责任和义务履行完毕时止。</w:t>
      </w:r>
    </w:p>
    <w:p w14:paraId="785594A3">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10.3双方任何一方未取得另一方事先同意前，不得将本合同项下的部分或全部权利或义务转让给第三方。</w:t>
      </w:r>
    </w:p>
    <w:p w14:paraId="347A4127">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10.4乙方在取得甲方同意后所选定的分包商应被视为同乙方一样为履行本合同对甲方承担责任。其过失疏忽或其他任何违反合同的行为，应由乙方直接承担。</w:t>
      </w:r>
    </w:p>
    <w:p w14:paraId="1B9AA68C">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10.5本合同项下双方相互提供的文件、资料、双方除为履行合同的目的外，均不得泄露给无关的第三方。</w:t>
      </w:r>
    </w:p>
    <w:p w14:paraId="5B7D08AA">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10.6甲乙双方签订的《技术协议》（如果有的话）、《招标文件》、乙方的评标澄清说明、乙方的《投标文件》及其补充说明均为本合同的补充文件，是与本合同不可分割的一部分，与本合同具有同等法律效力。</w:t>
      </w:r>
    </w:p>
    <w:p w14:paraId="09C76186">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rPr>
        <w:t>10.7本合同一式份，甲、乙双方各持壹份；未尽事宜由双方协商解决。</w:t>
      </w:r>
    </w:p>
    <w:tbl>
      <w:tblPr>
        <w:tblStyle w:val="22"/>
        <w:tblpPr w:leftFromText="180" w:rightFromText="180" w:vertAnchor="text" w:horzAnchor="page" w:tblpX="1647" w:tblpY="459"/>
        <w:tblOverlap w:val="never"/>
        <w:tblW w:w="8840" w:type="dxa"/>
        <w:tblInd w:w="0" w:type="dxa"/>
        <w:tblLayout w:type="fixed"/>
        <w:tblCellMar>
          <w:top w:w="0" w:type="dxa"/>
          <w:left w:w="108" w:type="dxa"/>
          <w:bottom w:w="0" w:type="dxa"/>
          <w:right w:w="108" w:type="dxa"/>
        </w:tblCellMar>
      </w:tblPr>
      <w:tblGrid>
        <w:gridCol w:w="4619"/>
        <w:gridCol w:w="4221"/>
      </w:tblGrid>
      <w:tr w14:paraId="122B210D">
        <w:tblPrEx>
          <w:tblCellMar>
            <w:top w:w="0" w:type="dxa"/>
            <w:left w:w="108" w:type="dxa"/>
            <w:bottom w:w="0" w:type="dxa"/>
            <w:right w:w="108" w:type="dxa"/>
          </w:tblCellMar>
        </w:tblPrEx>
        <w:trPr>
          <w:trHeight w:val="632" w:hRule="atLeast"/>
        </w:trPr>
        <w:tc>
          <w:tcPr>
            <w:tcW w:w="4619" w:type="dxa"/>
            <w:noWrap/>
          </w:tcPr>
          <w:p w14:paraId="6C8577D2">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甲 方：</w:t>
            </w:r>
          </w:p>
          <w:p w14:paraId="10FCEE40">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地 址：</w:t>
            </w:r>
          </w:p>
          <w:p w14:paraId="192BC55A">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单位负责人：</w:t>
            </w:r>
          </w:p>
          <w:p w14:paraId="70FAA90E">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联系人：</w:t>
            </w:r>
          </w:p>
          <w:p w14:paraId="31CE4DBB">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 xml:space="preserve">联系电话： </w:t>
            </w:r>
          </w:p>
          <w:p w14:paraId="7E3DA273">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 xml:space="preserve">电子邮件: </w:t>
            </w:r>
          </w:p>
          <w:p w14:paraId="07C8A9D6">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邮政编码：</w:t>
            </w:r>
          </w:p>
          <w:p w14:paraId="058AC42C">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开户银行：</w:t>
            </w:r>
          </w:p>
          <w:p w14:paraId="6168FE27">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账号：</w:t>
            </w:r>
          </w:p>
          <w:p w14:paraId="3213127B">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银行行号：</w:t>
            </w:r>
          </w:p>
          <w:p w14:paraId="6D81EA24">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日期：</w:t>
            </w:r>
          </w:p>
        </w:tc>
        <w:tc>
          <w:tcPr>
            <w:tcW w:w="4221" w:type="dxa"/>
            <w:noWrap/>
          </w:tcPr>
          <w:p w14:paraId="0A90AA08">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乙 方：</w:t>
            </w:r>
          </w:p>
          <w:p w14:paraId="735E9D8E">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地 址：</w:t>
            </w:r>
          </w:p>
          <w:p w14:paraId="2E79C786">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单位负责人：</w:t>
            </w:r>
          </w:p>
          <w:p w14:paraId="0FE48A69">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联系人：</w:t>
            </w:r>
          </w:p>
          <w:p w14:paraId="76BAD80E">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 xml:space="preserve">联系电话： </w:t>
            </w:r>
          </w:p>
          <w:p w14:paraId="1EB1CEA6">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 xml:space="preserve">电子邮件: </w:t>
            </w:r>
          </w:p>
          <w:p w14:paraId="3E06D8E1">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邮政编码：</w:t>
            </w:r>
          </w:p>
          <w:p w14:paraId="66F8F0F4">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开户银行：</w:t>
            </w:r>
          </w:p>
          <w:p w14:paraId="3CC16B6D">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账号：</w:t>
            </w:r>
          </w:p>
          <w:p w14:paraId="3F2BD212">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银行行号：</w:t>
            </w:r>
          </w:p>
          <w:p w14:paraId="0A7AA46F">
            <w:pPr>
              <w:spacing w:line="500" w:lineRule="exact"/>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日期：</w:t>
            </w:r>
          </w:p>
        </w:tc>
      </w:tr>
    </w:tbl>
    <w:p w14:paraId="4D02C466">
      <w:pPr>
        <w:spacing w:line="500" w:lineRule="exact"/>
        <w:ind w:firstLine="480" w:firstLineChars="200"/>
        <w:rPr>
          <w:rFonts w:ascii="仿宋" w:hAnsi="仿宋" w:eastAsia="仿宋" w:cs="仿宋"/>
          <w:sz w:val="24"/>
          <w:highlight w:val="none"/>
          <w:lang w:val="zh-CN"/>
        </w:rPr>
      </w:pPr>
    </w:p>
    <w:p w14:paraId="597CF4FB">
      <w:pPr>
        <w:spacing w:line="500" w:lineRule="exact"/>
        <w:ind w:firstLine="480" w:firstLineChars="200"/>
        <w:rPr>
          <w:rFonts w:ascii="仿宋" w:hAnsi="仿宋" w:eastAsia="仿宋" w:cs="仿宋"/>
          <w:sz w:val="24"/>
          <w:highlight w:val="none"/>
          <w:lang w:val="zh-CN"/>
        </w:rPr>
      </w:pPr>
    </w:p>
    <w:p w14:paraId="1016135C">
      <w:pPr>
        <w:spacing w:line="500" w:lineRule="exact"/>
        <w:ind w:firstLine="482" w:firstLineChars="200"/>
        <w:rPr>
          <w:rFonts w:ascii="仿宋" w:hAnsi="仿宋" w:eastAsia="仿宋" w:cs="仿宋"/>
          <w:highlight w:val="none"/>
        </w:rPr>
      </w:pPr>
      <w:r>
        <w:rPr>
          <w:rFonts w:hint="eastAsia" w:ascii="仿宋" w:hAnsi="仿宋" w:eastAsia="仿宋" w:cs="仿宋"/>
          <w:b/>
          <w:bCs/>
          <w:sz w:val="24"/>
          <w:highlight w:val="none"/>
          <w:lang w:val="zh-CN"/>
        </w:rPr>
        <w:t>注：本合同为简易版本，使用过程中，请结合项目特点，充实细化，最终合同版本以甲乙双方签订为准。</w:t>
      </w:r>
    </w:p>
    <w:p w14:paraId="41D60251">
      <w:pPr>
        <w:pStyle w:val="9"/>
        <w:rPr>
          <w:rFonts w:ascii="仿宋" w:hAnsi="仿宋" w:eastAsia="仿宋" w:cs="仿宋"/>
          <w:highlight w:val="none"/>
        </w:rPr>
      </w:pPr>
    </w:p>
    <w:p w14:paraId="0BF298ED">
      <w:pPr>
        <w:adjustRightInd w:val="0"/>
        <w:snapToGrid w:val="0"/>
        <w:spacing w:before="120" w:beforeLines="50" w:after="120" w:afterLines="50" w:line="360" w:lineRule="auto"/>
        <w:jc w:val="center"/>
        <w:rPr>
          <w:rFonts w:ascii="仿宋" w:hAnsi="仿宋" w:eastAsia="仿宋" w:cs="仿宋"/>
          <w:b/>
          <w:sz w:val="30"/>
          <w:szCs w:val="30"/>
          <w:highlight w:val="none"/>
        </w:rPr>
      </w:pPr>
    </w:p>
    <w:p w14:paraId="4C5D1A84">
      <w:pPr>
        <w:adjustRightInd w:val="0"/>
        <w:snapToGrid w:val="0"/>
        <w:spacing w:before="120" w:beforeLines="50" w:after="120" w:afterLines="50" w:line="360" w:lineRule="auto"/>
        <w:jc w:val="center"/>
        <w:rPr>
          <w:rFonts w:ascii="仿宋" w:hAnsi="仿宋" w:eastAsia="仿宋" w:cs="仿宋"/>
          <w:b/>
          <w:sz w:val="30"/>
          <w:szCs w:val="30"/>
          <w:highlight w:val="none"/>
        </w:rPr>
      </w:pPr>
    </w:p>
    <w:p w14:paraId="4664C62E">
      <w:pPr>
        <w:adjustRightInd w:val="0"/>
        <w:snapToGrid w:val="0"/>
        <w:spacing w:before="120" w:beforeLines="50" w:after="120" w:afterLines="50" w:line="360" w:lineRule="auto"/>
        <w:jc w:val="center"/>
        <w:rPr>
          <w:rFonts w:ascii="仿宋" w:hAnsi="仿宋" w:eastAsia="仿宋" w:cs="仿宋"/>
          <w:b/>
          <w:sz w:val="30"/>
          <w:szCs w:val="30"/>
          <w:highlight w:val="none"/>
        </w:rPr>
      </w:pPr>
    </w:p>
    <w:p w14:paraId="612840FF">
      <w:pPr>
        <w:adjustRightInd w:val="0"/>
        <w:snapToGrid w:val="0"/>
        <w:spacing w:before="120" w:beforeLines="50" w:after="120" w:afterLines="50" w:line="360" w:lineRule="auto"/>
        <w:jc w:val="center"/>
        <w:rPr>
          <w:rFonts w:ascii="仿宋" w:hAnsi="仿宋" w:eastAsia="仿宋" w:cs="仿宋"/>
          <w:b/>
          <w:sz w:val="30"/>
          <w:szCs w:val="30"/>
          <w:highlight w:val="none"/>
        </w:rPr>
      </w:pPr>
    </w:p>
    <w:p w14:paraId="3E3C8346">
      <w:pPr>
        <w:adjustRightInd w:val="0"/>
        <w:snapToGrid w:val="0"/>
        <w:spacing w:before="120" w:beforeLines="50" w:after="120" w:afterLines="50" w:line="360" w:lineRule="auto"/>
        <w:jc w:val="center"/>
        <w:rPr>
          <w:rFonts w:ascii="仿宋" w:hAnsi="仿宋" w:eastAsia="仿宋" w:cs="仿宋"/>
          <w:b/>
          <w:sz w:val="30"/>
          <w:szCs w:val="30"/>
          <w:highlight w:val="none"/>
        </w:rPr>
      </w:pPr>
    </w:p>
    <w:p w14:paraId="06196368">
      <w:pPr>
        <w:adjustRightInd w:val="0"/>
        <w:snapToGrid w:val="0"/>
        <w:spacing w:before="120" w:beforeLines="50" w:after="120" w:afterLines="50" w:line="360" w:lineRule="auto"/>
        <w:jc w:val="center"/>
        <w:rPr>
          <w:rFonts w:ascii="仿宋" w:hAnsi="仿宋" w:eastAsia="仿宋" w:cs="仿宋"/>
          <w:b/>
          <w:sz w:val="30"/>
          <w:szCs w:val="30"/>
          <w:highlight w:val="none"/>
        </w:rPr>
      </w:pPr>
    </w:p>
    <w:p w14:paraId="5F74080D">
      <w:pPr>
        <w:adjustRightInd w:val="0"/>
        <w:snapToGrid w:val="0"/>
        <w:spacing w:before="120" w:beforeLines="50" w:after="120" w:afterLines="50" w:line="360" w:lineRule="auto"/>
        <w:jc w:val="both"/>
        <w:rPr>
          <w:rFonts w:ascii="仿宋" w:hAnsi="仿宋" w:eastAsia="仿宋" w:cs="仿宋"/>
          <w:b/>
          <w:sz w:val="30"/>
          <w:szCs w:val="30"/>
          <w:highlight w:val="none"/>
        </w:rPr>
      </w:pPr>
    </w:p>
    <w:p w14:paraId="3051C77F">
      <w:pPr>
        <w:adjustRightInd w:val="0"/>
        <w:snapToGrid w:val="0"/>
        <w:spacing w:before="120" w:beforeLines="50" w:after="120" w:afterLines="50" w:line="360" w:lineRule="auto"/>
        <w:jc w:val="center"/>
        <w:outlineLvl w:val="0"/>
        <w:rPr>
          <w:rFonts w:ascii="仿宋" w:hAnsi="仿宋" w:eastAsia="仿宋" w:cs="仿宋"/>
          <w:b/>
          <w:bCs/>
          <w:sz w:val="32"/>
          <w:szCs w:val="32"/>
          <w:highlight w:val="none"/>
        </w:rPr>
      </w:pPr>
      <w:bookmarkStart w:id="92" w:name="_Toc6879"/>
      <w:bookmarkStart w:id="93" w:name="_Toc19085"/>
      <w:r>
        <w:rPr>
          <w:rFonts w:hint="eastAsia" w:ascii="仿宋" w:hAnsi="仿宋" w:eastAsia="仿宋" w:cs="仿宋"/>
          <w:b/>
          <w:sz w:val="30"/>
          <w:szCs w:val="30"/>
          <w:highlight w:val="none"/>
        </w:rPr>
        <w:t>第六部分  投标文件格式</w:t>
      </w:r>
      <w:bookmarkEnd w:id="84"/>
      <w:bookmarkEnd w:id="85"/>
      <w:bookmarkEnd w:id="86"/>
      <w:bookmarkEnd w:id="87"/>
      <w:bookmarkEnd w:id="88"/>
      <w:bookmarkEnd w:id="92"/>
      <w:bookmarkEnd w:id="93"/>
    </w:p>
    <w:p w14:paraId="74E8B151">
      <w:pPr>
        <w:pStyle w:val="76"/>
        <w:spacing w:line="360" w:lineRule="auto"/>
        <w:jc w:val="center"/>
        <w:rPr>
          <w:rFonts w:hint="eastAsia" w:ascii="仿宋" w:hAnsi="仿宋" w:eastAsia="仿宋" w:cs="宋体"/>
          <w:color w:val="auto"/>
          <w:sz w:val="28"/>
          <w:szCs w:val="28"/>
        </w:rPr>
      </w:pPr>
      <w:r>
        <w:rPr>
          <w:rFonts w:hint="eastAsia" w:ascii="仿宋" w:hAnsi="仿宋" w:eastAsia="仿宋" w:cs="宋体"/>
          <w:color w:val="auto"/>
          <w:sz w:val="28"/>
          <w:szCs w:val="28"/>
        </w:rPr>
        <w:t>（项目名称）</w:t>
      </w:r>
    </w:p>
    <w:p w14:paraId="625AA0E0">
      <w:pPr>
        <w:pStyle w:val="76"/>
        <w:spacing w:line="360" w:lineRule="auto"/>
        <w:jc w:val="center"/>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（项目编号）</w:t>
      </w:r>
    </w:p>
    <w:p w14:paraId="28E043DC">
      <w:pPr>
        <w:pStyle w:val="76"/>
        <w:spacing w:line="360" w:lineRule="auto"/>
        <w:jc w:val="center"/>
        <w:rPr>
          <w:rFonts w:hint="eastAsia" w:ascii="仿宋" w:hAnsi="仿宋" w:eastAsia="仿宋" w:cs="宋体"/>
          <w:color w:val="auto"/>
          <w:sz w:val="24"/>
        </w:rPr>
      </w:pPr>
    </w:p>
    <w:p w14:paraId="3E098882">
      <w:pPr>
        <w:pStyle w:val="76"/>
        <w:spacing w:line="360" w:lineRule="auto"/>
        <w:jc w:val="center"/>
        <w:rPr>
          <w:rFonts w:hint="eastAsia" w:ascii="仿宋" w:hAnsi="仿宋" w:eastAsia="仿宋" w:cs="宋体"/>
          <w:color w:val="auto"/>
          <w:sz w:val="24"/>
        </w:rPr>
      </w:pPr>
    </w:p>
    <w:p w14:paraId="239719E1">
      <w:pPr>
        <w:pStyle w:val="76"/>
        <w:spacing w:line="360" w:lineRule="auto"/>
        <w:jc w:val="center"/>
        <w:rPr>
          <w:rFonts w:hint="eastAsia" w:ascii="仿宋" w:hAnsi="仿宋" w:eastAsia="仿宋" w:cs="宋体"/>
          <w:color w:val="auto"/>
          <w:sz w:val="24"/>
        </w:rPr>
      </w:pPr>
    </w:p>
    <w:p w14:paraId="32589D0F">
      <w:pPr>
        <w:pStyle w:val="76"/>
        <w:spacing w:line="360" w:lineRule="auto"/>
        <w:jc w:val="center"/>
        <w:rPr>
          <w:rFonts w:hint="eastAsia" w:ascii="仿宋" w:hAnsi="仿宋" w:eastAsia="仿宋" w:cs="宋体"/>
          <w:b/>
          <w:color w:val="auto"/>
          <w:sz w:val="52"/>
          <w:szCs w:val="52"/>
        </w:rPr>
      </w:pPr>
      <w:r>
        <w:rPr>
          <w:rFonts w:hint="eastAsia" w:ascii="仿宋" w:hAnsi="仿宋" w:eastAsia="仿宋" w:cs="宋体"/>
          <w:b/>
          <w:color w:val="auto"/>
          <w:sz w:val="52"/>
          <w:szCs w:val="52"/>
          <w:lang w:eastAsia="zh-CN"/>
        </w:rPr>
        <w:t>投标</w:t>
      </w:r>
      <w:r>
        <w:rPr>
          <w:rFonts w:hint="eastAsia" w:ascii="仿宋" w:hAnsi="仿宋" w:eastAsia="仿宋" w:cs="宋体"/>
          <w:b/>
          <w:color w:val="auto"/>
          <w:sz w:val="52"/>
          <w:szCs w:val="52"/>
        </w:rPr>
        <w:t>文件</w:t>
      </w:r>
    </w:p>
    <w:p w14:paraId="313B9E9F">
      <w:pPr>
        <w:pStyle w:val="76"/>
        <w:spacing w:line="360" w:lineRule="auto"/>
        <w:jc w:val="center"/>
        <w:rPr>
          <w:rFonts w:hint="eastAsia" w:ascii="仿宋" w:hAnsi="仿宋" w:eastAsia="仿宋" w:cs="宋体"/>
          <w:color w:val="auto"/>
          <w:sz w:val="24"/>
        </w:rPr>
      </w:pPr>
    </w:p>
    <w:p w14:paraId="47660F19">
      <w:pPr>
        <w:pStyle w:val="76"/>
        <w:spacing w:line="360" w:lineRule="auto"/>
        <w:jc w:val="center"/>
        <w:rPr>
          <w:rFonts w:hint="eastAsia" w:ascii="仿宋" w:hAnsi="仿宋" w:eastAsia="仿宋" w:cs="宋体"/>
          <w:color w:val="auto"/>
          <w:sz w:val="24"/>
        </w:rPr>
      </w:pPr>
    </w:p>
    <w:p w14:paraId="27EC55EC">
      <w:pPr>
        <w:pStyle w:val="76"/>
        <w:spacing w:line="360" w:lineRule="auto"/>
        <w:jc w:val="center"/>
        <w:rPr>
          <w:rFonts w:hint="eastAsia" w:ascii="仿宋" w:hAnsi="仿宋" w:eastAsia="仿宋" w:cs="宋体"/>
          <w:b/>
          <w:color w:val="auto"/>
          <w:sz w:val="24"/>
        </w:rPr>
      </w:pPr>
    </w:p>
    <w:p w14:paraId="1E99F9DC">
      <w:pPr>
        <w:pStyle w:val="76"/>
        <w:spacing w:line="360" w:lineRule="auto"/>
        <w:jc w:val="center"/>
        <w:rPr>
          <w:rFonts w:hint="eastAsia" w:ascii="仿宋" w:hAnsi="仿宋" w:eastAsia="仿宋" w:cs="宋体"/>
          <w:b/>
          <w:color w:val="auto"/>
          <w:sz w:val="24"/>
        </w:rPr>
      </w:pPr>
    </w:p>
    <w:p w14:paraId="7A101A74">
      <w:pPr>
        <w:pStyle w:val="76"/>
        <w:spacing w:line="360" w:lineRule="auto"/>
        <w:jc w:val="center"/>
        <w:rPr>
          <w:rFonts w:hint="eastAsia" w:ascii="仿宋" w:hAnsi="仿宋" w:eastAsia="仿宋" w:cs="宋体"/>
          <w:b/>
          <w:color w:val="auto"/>
          <w:sz w:val="24"/>
        </w:rPr>
      </w:pPr>
    </w:p>
    <w:p w14:paraId="2198CCE6">
      <w:pPr>
        <w:pStyle w:val="76"/>
        <w:spacing w:line="360" w:lineRule="auto"/>
        <w:jc w:val="center"/>
        <w:rPr>
          <w:rFonts w:hint="eastAsia" w:ascii="仿宋" w:hAnsi="仿宋" w:eastAsia="仿宋" w:cs="宋体"/>
          <w:b/>
          <w:color w:val="auto"/>
          <w:sz w:val="24"/>
        </w:rPr>
      </w:pPr>
    </w:p>
    <w:p w14:paraId="1DD922DB">
      <w:pPr>
        <w:pStyle w:val="76"/>
        <w:spacing w:line="360" w:lineRule="auto"/>
        <w:jc w:val="center"/>
        <w:rPr>
          <w:rFonts w:hint="eastAsia" w:ascii="仿宋" w:hAnsi="仿宋" w:eastAsia="仿宋" w:cs="宋体"/>
          <w:b/>
          <w:color w:val="auto"/>
          <w:sz w:val="24"/>
        </w:rPr>
      </w:pPr>
    </w:p>
    <w:p w14:paraId="005D50F5">
      <w:pPr>
        <w:pStyle w:val="76"/>
        <w:spacing w:line="360" w:lineRule="auto"/>
        <w:jc w:val="center"/>
        <w:rPr>
          <w:rFonts w:hint="eastAsia" w:ascii="仿宋" w:hAnsi="仿宋" w:eastAsia="仿宋" w:cs="宋体"/>
          <w:b/>
          <w:color w:val="auto"/>
          <w:sz w:val="24"/>
        </w:rPr>
      </w:pPr>
    </w:p>
    <w:p w14:paraId="5336AAA1">
      <w:pPr>
        <w:pStyle w:val="76"/>
        <w:spacing w:line="360" w:lineRule="auto"/>
        <w:jc w:val="center"/>
        <w:rPr>
          <w:rFonts w:hint="eastAsia" w:ascii="仿宋" w:hAnsi="仿宋" w:eastAsia="仿宋" w:cs="宋体"/>
          <w:b/>
          <w:color w:val="auto"/>
          <w:sz w:val="24"/>
        </w:rPr>
      </w:pPr>
    </w:p>
    <w:p w14:paraId="04796705">
      <w:pPr>
        <w:pStyle w:val="76"/>
        <w:spacing w:line="360" w:lineRule="auto"/>
        <w:jc w:val="center"/>
        <w:rPr>
          <w:rFonts w:hint="eastAsia" w:ascii="仿宋" w:hAnsi="仿宋" w:eastAsia="仿宋" w:cs="宋体"/>
          <w:b/>
          <w:color w:val="auto"/>
          <w:sz w:val="24"/>
        </w:rPr>
      </w:pPr>
    </w:p>
    <w:p w14:paraId="7F9A3A30">
      <w:pPr>
        <w:pStyle w:val="76"/>
        <w:spacing w:line="360" w:lineRule="auto"/>
        <w:jc w:val="center"/>
        <w:rPr>
          <w:rFonts w:hint="eastAsia" w:ascii="仿宋" w:hAnsi="仿宋" w:eastAsia="仿宋" w:cs="宋体"/>
          <w:b/>
          <w:color w:val="auto"/>
          <w:sz w:val="24"/>
        </w:rPr>
      </w:pPr>
    </w:p>
    <w:p w14:paraId="3EFDCC9D">
      <w:pPr>
        <w:pStyle w:val="76"/>
        <w:spacing w:line="360" w:lineRule="auto"/>
        <w:jc w:val="left"/>
        <w:rPr>
          <w:rFonts w:hint="eastAsia" w:ascii="仿宋" w:hAnsi="仿宋" w:eastAsia="仿宋" w:cs="宋体"/>
          <w:color w:val="auto"/>
          <w:sz w:val="28"/>
          <w:szCs w:val="28"/>
          <w:u w:val="single"/>
        </w:rPr>
      </w:pPr>
      <w:r>
        <w:rPr>
          <w:rFonts w:hint="eastAsia" w:ascii="仿宋" w:hAnsi="仿宋" w:eastAsia="仿宋" w:cs="宋体"/>
          <w:color w:val="auto"/>
          <w:sz w:val="28"/>
          <w:szCs w:val="28"/>
        </w:rPr>
        <w:t>供应商</w:t>
      </w:r>
      <w:r>
        <w:rPr>
          <w:rFonts w:hint="eastAsia" w:ascii="仿宋" w:hAnsi="仿宋" w:eastAsia="仿宋" w:cs="宋体"/>
          <w:color w:val="auto"/>
          <w:sz w:val="28"/>
          <w:szCs w:val="28"/>
          <w:u w:val="single"/>
        </w:rPr>
        <w:t xml:space="preserve">                     </w:t>
      </w:r>
      <w:r>
        <w:rPr>
          <w:rFonts w:hint="eastAsia" w:ascii="仿宋" w:hAnsi="仿宋" w:eastAsia="仿宋" w:cs="宋体"/>
          <w:color w:val="auto"/>
          <w:sz w:val="28"/>
          <w:szCs w:val="28"/>
        </w:rPr>
        <w:t>（盖章）</w:t>
      </w:r>
    </w:p>
    <w:p w14:paraId="38EE86A6">
      <w:pPr>
        <w:pStyle w:val="76"/>
        <w:spacing w:line="360" w:lineRule="auto"/>
        <w:jc w:val="left"/>
        <w:rPr>
          <w:rFonts w:hint="eastAsia" w:ascii="仿宋" w:hAnsi="仿宋" w:eastAsia="仿宋" w:cs="宋体"/>
          <w:color w:val="auto"/>
          <w:sz w:val="28"/>
          <w:szCs w:val="28"/>
        </w:rPr>
      </w:pPr>
      <w:r>
        <w:rPr>
          <w:rFonts w:hint="eastAsia" w:ascii="仿宋" w:hAnsi="仿宋" w:eastAsia="仿宋" w:cs="宋体"/>
          <w:color w:val="auto"/>
          <w:sz w:val="28"/>
          <w:szCs w:val="28"/>
        </w:rPr>
        <w:t>法定代表人或其授权代表</w:t>
      </w:r>
      <w:r>
        <w:rPr>
          <w:rFonts w:hint="eastAsia" w:ascii="仿宋" w:hAnsi="仿宋" w:eastAsia="仿宋" w:cs="宋体"/>
          <w:color w:val="auto"/>
          <w:sz w:val="28"/>
          <w:szCs w:val="28"/>
          <w:u w:val="single"/>
        </w:rPr>
        <w:t xml:space="preserve">                   </w:t>
      </w:r>
      <w:r>
        <w:rPr>
          <w:rFonts w:hint="eastAsia" w:ascii="仿宋" w:hAnsi="仿宋" w:eastAsia="仿宋" w:cs="宋体"/>
          <w:color w:val="auto"/>
          <w:sz w:val="28"/>
          <w:szCs w:val="28"/>
        </w:rPr>
        <w:t>（签字或盖章）</w:t>
      </w:r>
    </w:p>
    <w:p w14:paraId="6AABD343">
      <w:pPr>
        <w:pStyle w:val="76"/>
        <w:spacing w:line="360" w:lineRule="auto"/>
        <w:jc w:val="left"/>
        <w:rPr>
          <w:rFonts w:hint="eastAsia" w:ascii="仿宋" w:hAnsi="仿宋" w:eastAsia="仿宋" w:cs="宋体"/>
          <w:color w:val="auto"/>
          <w:sz w:val="28"/>
          <w:szCs w:val="28"/>
          <w:u w:val="single"/>
        </w:rPr>
      </w:pPr>
      <w:r>
        <w:rPr>
          <w:rFonts w:hint="eastAsia" w:ascii="仿宋" w:hAnsi="仿宋" w:eastAsia="仿宋" w:cs="宋体"/>
          <w:color w:val="auto"/>
          <w:sz w:val="28"/>
          <w:szCs w:val="28"/>
        </w:rPr>
        <w:t>日期</w:t>
      </w:r>
      <w:r>
        <w:rPr>
          <w:rFonts w:hint="eastAsia" w:ascii="仿宋" w:hAnsi="仿宋" w:eastAsia="仿宋" w:cs="宋体"/>
          <w:color w:val="auto"/>
          <w:sz w:val="28"/>
          <w:szCs w:val="28"/>
          <w:u w:val="single"/>
        </w:rPr>
        <w:t xml:space="preserve">                   </w:t>
      </w:r>
      <w:r>
        <w:rPr>
          <w:rFonts w:hint="eastAsia" w:ascii="仿宋" w:hAnsi="仿宋" w:eastAsia="仿宋" w:cs="宋体"/>
          <w:color w:val="auto"/>
          <w:sz w:val="28"/>
          <w:szCs w:val="28"/>
        </w:rPr>
        <w:t>（年/月/日）</w:t>
      </w:r>
    </w:p>
    <w:p w14:paraId="4C1407B6">
      <w:pPr>
        <w:spacing w:line="360" w:lineRule="auto"/>
        <w:rPr>
          <w:rFonts w:hint="eastAsia" w:ascii="仿宋" w:hAnsi="仿宋" w:eastAsia="仿宋" w:cs="宋体"/>
          <w:color w:val="auto"/>
        </w:rPr>
      </w:pPr>
    </w:p>
    <w:p w14:paraId="13A0B6D6">
      <w:pPr>
        <w:autoSpaceDE w:val="0"/>
        <w:autoSpaceDN w:val="0"/>
        <w:adjustRightInd w:val="0"/>
        <w:spacing w:line="360" w:lineRule="auto"/>
        <w:ind w:firstLine="480"/>
        <w:rPr>
          <w:rFonts w:ascii="仿宋" w:hAnsi="仿宋" w:eastAsia="仿宋" w:cs="仿宋"/>
          <w:sz w:val="24"/>
          <w:highlight w:val="none"/>
        </w:rPr>
      </w:pPr>
    </w:p>
    <w:p w14:paraId="2719D8EB">
      <w:pPr>
        <w:rPr>
          <w:rFonts w:hint="eastAsia" w:ascii="仿宋_GB2312" w:hAnsi="仿宋" w:eastAsia="仿宋_GB2312" w:cs="仿宋_GB2312"/>
          <w:b/>
          <w:kern w:val="0"/>
          <w:sz w:val="36"/>
          <w:szCs w:val="36"/>
          <w:highlight w:val="none"/>
        </w:rPr>
      </w:pPr>
      <w:bookmarkStart w:id="94" w:name="_Toc8952"/>
      <w:bookmarkStart w:id="95" w:name="_Toc20723"/>
      <w:bookmarkStart w:id="96" w:name="_Toc32560"/>
      <w:bookmarkStart w:id="97" w:name="_Toc23772"/>
      <w:bookmarkStart w:id="98" w:name="_Toc17481"/>
      <w:bookmarkStart w:id="99" w:name="_Toc5570"/>
      <w:bookmarkStart w:id="100" w:name="_Toc25507"/>
      <w:r>
        <w:rPr>
          <w:rFonts w:hint="eastAsia" w:ascii="仿宋_GB2312" w:hAnsi="仿宋" w:eastAsia="仿宋_GB2312" w:cs="仿宋_GB2312"/>
          <w:b/>
          <w:kern w:val="0"/>
          <w:sz w:val="36"/>
          <w:szCs w:val="36"/>
          <w:highlight w:val="none"/>
        </w:rPr>
        <w:br w:type="page"/>
      </w:r>
    </w:p>
    <w:bookmarkEnd w:id="94"/>
    <w:bookmarkEnd w:id="95"/>
    <w:bookmarkEnd w:id="96"/>
    <w:bookmarkEnd w:id="97"/>
    <w:bookmarkEnd w:id="98"/>
    <w:bookmarkEnd w:id="99"/>
    <w:bookmarkEnd w:id="100"/>
    <w:p w14:paraId="1F588322">
      <w:pPr>
        <w:spacing w:line="360" w:lineRule="auto"/>
        <w:jc w:val="center"/>
        <w:rPr>
          <w:rFonts w:ascii="仿宋_GB2312" w:hAnsi="仿宋" w:eastAsia="仿宋_GB2312" w:cs="仿宋_GB2312"/>
          <w:b/>
          <w:kern w:val="0"/>
          <w:sz w:val="36"/>
          <w:szCs w:val="36"/>
          <w:highlight w:val="none"/>
        </w:rPr>
      </w:pPr>
      <w:r>
        <w:rPr>
          <w:rFonts w:hint="eastAsia" w:ascii="仿宋_GB2312" w:hAnsi="仿宋" w:eastAsia="仿宋_GB2312" w:cs="仿宋_GB2312"/>
          <w:b/>
          <w:kern w:val="0"/>
          <w:sz w:val="36"/>
          <w:szCs w:val="36"/>
          <w:highlight w:val="none"/>
        </w:rPr>
        <w:t>目录</w:t>
      </w:r>
    </w:p>
    <w:p w14:paraId="4ABED291">
      <w:pPr>
        <w:snapToGrid w:val="0"/>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（1）符合参加政府采购活动应当具备的一般条件的承诺函………………………………（页码）</w:t>
      </w:r>
    </w:p>
    <w:p w14:paraId="3286FE20">
      <w:pPr>
        <w:snapToGrid w:val="0"/>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（2）落实政府采购政策需满足的资格要求…………………………………………………（页码）</w:t>
      </w:r>
    </w:p>
    <w:p w14:paraId="3EE6C328">
      <w:pPr>
        <w:snapToGrid w:val="0"/>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（3）本项目的特定资格要求…………………………………………………………………（页码）</w:t>
      </w:r>
    </w:p>
    <w:p w14:paraId="76E8FF7A">
      <w:pPr>
        <w:snapToGrid w:val="0"/>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sz w:val="21"/>
          <w:szCs w:val="21"/>
          <w:highlight w:val="none"/>
        </w:rPr>
        <w:t>）投标函……………………………………………………………………………………（页码）</w:t>
      </w:r>
    </w:p>
    <w:p w14:paraId="3C980875">
      <w:pPr>
        <w:snapToGrid w:val="0"/>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rPr>
        <w:t>）授权委托书或法定代表人（单位负责人、自然人本人）身份证明……</w:t>
      </w:r>
      <w:r>
        <w:rPr>
          <w:rFonts w:hint="eastAsia" w:cs="仿宋_GB2312"/>
          <w:highlight w:val="none"/>
        </w:rPr>
        <w:t>…………</w:t>
      </w:r>
      <w:r>
        <w:rPr>
          <w:rFonts w:hint="eastAsia" w:asciiTheme="majorEastAsia" w:hAnsiTheme="majorEastAsia" w:eastAsiaTheme="majorEastAsia" w:cstheme="majorEastAsia"/>
          <w:sz w:val="21"/>
          <w:szCs w:val="21"/>
          <w:highlight w:val="none"/>
        </w:rPr>
        <w:t>…（页码）</w:t>
      </w:r>
    </w:p>
    <w:p w14:paraId="67759D50">
      <w:pPr>
        <w:snapToGrid w:val="0"/>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eastAsia="zh-CN"/>
        </w:rPr>
        <w:t>7</w:t>
      </w:r>
      <w:r>
        <w:rPr>
          <w:rFonts w:hint="eastAsia" w:asciiTheme="majorEastAsia" w:hAnsiTheme="majorEastAsia" w:eastAsiaTheme="majorEastAsia" w:cstheme="majorEastAsia"/>
          <w:sz w:val="21"/>
          <w:szCs w:val="21"/>
          <w:highlight w:val="none"/>
        </w:rPr>
        <w:t>）符合性审查资料…………………………………………………………………………（页码）</w:t>
      </w:r>
    </w:p>
    <w:p w14:paraId="61176D4A">
      <w:pPr>
        <w:snapToGrid w:val="0"/>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eastAsia="zh-CN"/>
        </w:rPr>
        <w:t>8</w:t>
      </w:r>
      <w:r>
        <w:rPr>
          <w:rFonts w:hint="eastAsia" w:asciiTheme="majorEastAsia" w:hAnsiTheme="majorEastAsia" w:eastAsiaTheme="majorEastAsia" w:cstheme="majorEastAsia"/>
          <w:sz w:val="21"/>
          <w:szCs w:val="21"/>
          <w:highlight w:val="none"/>
        </w:rPr>
        <w:t>）评标标准相应的商务技术资料…………………………………………………………（页码）</w:t>
      </w:r>
    </w:p>
    <w:p w14:paraId="7EEB9757">
      <w:pPr>
        <w:snapToGrid w:val="0"/>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eastAsia="zh-CN"/>
        </w:rPr>
        <w:t>9</w:t>
      </w:r>
      <w:r>
        <w:rPr>
          <w:rFonts w:hint="eastAsia" w:asciiTheme="majorEastAsia" w:hAnsiTheme="majorEastAsia" w:eastAsiaTheme="majorEastAsia" w:cstheme="majorEastAsia"/>
          <w:sz w:val="21"/>
          <w:szCs w:val="21"/>
          <w:highlight w:val="none"/>
        </w:rPr>
        <w:t>）商务技术偏离表…………………………………………………………………………（页码）</w:t>
      </w:r>
    </w:p>
    <w:p w14:paraId="32C4D0BC">
      <w:pPr>
        <w:snapToGrid w:val="0"/>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zh-CN"/>
        </w:rPr>
        <w:t>（</w:t>
      </w:r>
      <w:r>
        <w:rPr>
          <w:rFonts w:hint="eastAsia" w:asciiTheme="majorEastAsia" w:hAnsiTheme="majorEastAsia" w:eastAsiaTheme="majorEastAsia" w:cstheme="majorEastAsia"/>
          <w:sz w:val="21"/>
          <w:szCs w:val="21"/>
          <w:highlight w:val="none"/>
          <w:lang w:val="en-US" w:eastAsia="zh-CN"/>
        </w:rPr>
        <w:t>10</w:t>
      </w:r>
      <w:r>
        <w:rPr>
          <w:rFonts w:hint="eastAsia" w:asciiTheme="majorEastAsia" w:hAnsiTheme="majorEastAsia" w:eastAsiaTheme="majorEastAsia" w:cstheme="majorEastAsia"/>
          <w:sz w:val="21"/>
          <w:szCs w:val="21"/>
          <w:highlight w:val="none"/>
          <w:lang w:val="zh-CN"/>
        </w:rPr>
        <w:t>）政府采购供应商廉洁自律承诺书</w:t>
      </w:r>
      <w:r>
        <w:rPr>
          <w:rFonts w:hint="eastAsia" w:asciiTheme="majorEastAsia" w:hAnsiTheme="majorEastAsia" w:eastAsiaTheme="majorEastAsia" w:cstheme="majorEastAsia"/>
          <w:sz w:val="21"/>
          <w:szCs w:val="21"/>
          <w:highlight w:val="none"/>
        </w:rPr>
        <w:t>……………………………………………………（页码）</w:t>
      </w:r>
    </w:p>
    <w:p w14:paraId="2571997C">
      <w:pPr>
        <w:snapToGrid w:val="0"/>
        <w:spacing w:line="360" w:lineRule="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（11）开标一览表</w:t>
      </w:r>
      <w:r>
        <w:rPr>
          <w:rFonts w:hint="eastAsia" w:asciiTheme="majorEastAsia" w:hAnsiTheme="majorEastAsia" w:eastAsiaTheme="majorEastAsia" w:cstheme="majorEastAsia"/>
          <w:sz w:val="21"/>
          <w:szCs w:val="21"/>
          <w:highlight w:val="none"/>
        </w:rPr>
        <w:t>……………………………………………………………………………（页码）</w:t>
      </w:r>
    </w:p>
    <w:p w14:paraId="7D73BD89">
      <w:pPr>
        <w:snapToGrid w:val="0"/>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（12）</w:t>
      </w:r>
      <w:r>
        <w:rPr>
          <w:rFonts w:hint="eastAsia" w:asciiTheme="majorEastAsia" w:hAnsiTheme="majorEastAsia" w:eastAsiaTheme="majorEastAsia" w:cstheme="majorEastAsia"/>
          <w:sz w:val="21"/>
          <w:szCs w:val="21"/>
          <w:highlight w:val="none"/>
        </w:rPr>
        <w:t>投标报价明细表………………………………………………………………………（页码）</w:t>
      </w:r>
    </w:p>
    <w:p w14:paraId="1E98709C">
      <w:pPr>
        <w:pStyle w:val="2"/>
        <w:rPr>
          <w:rFonts w:hint="eastAsia"/>
          <w:lang w:val="zh-CN"/>
        </w:rPr>
      </w:pPr>
    </w:p>
    <w:p w14:paraId="06251498">
      <w:pPr>
        <w:snapToGrid w:val="0"/>
        <w:spacing w:line="360" w:lineRule="auto"/>
        <w:ind w:firstLine="480" w:firstLineChars="200"/>
        <w:rPr>
          <w:rFonts w:ascii="仿宋_GB2312" w:hAnsi="仿宋" w:eastAsia="仿宋_GB2312" w:cs="仿宋_GB2312"/>
          <w:sz w:val="24"/>
          <w:highlight w:val="none"/>
        </w:rPr>
      </w:pPr>
    </w:p>
    <w:p w14:paraId="2E72A249">
      <w:pPr>
        <w:spacing w:line="360" w:lineRule="auto"/>
        <w:ind w:firstLine="480" w:firstLineChars="200"/>
        <w:rPr>
          <w:rFonts w:ascii="仿宋_GB2312" w:hAnsi="仿宋" w:eastAsia="仿宋_GB2312" w:cs="仿宋_GB2312"/>
          <w:sz w:val="24"/>
          <w:highlight w:val="none"/>
        </w:rPr>
      </w:pPr>
    </w:p>
    <w:p w14:paraId="40AD8CA3">
      <w:pPr>
        <w:snapToGrid w:val="0"/>
        <w:spacing w:line="360" w:lineRule="auto"/>
        <w:ind w:right="480"/>
        <w:outlineLvl w:val="0"/>
        <w:rPr>
          <w:rFonts w:ascii="仿宋_GB2312" w:hAnsi="仿宋" w:eastAsia="仿宋_GB2312" w:cs="仿宋_GB2312"/>
          <w:kern w:val="0"/>
          <w:sz w:val="24"/>
          <w:highlight w:val="none"/>
        </w:rPr>
      </w:pPr>
      <w:r>
        <w:rPr>
          <w:rFonts w:ascii="仿宋_GB2312" w:hAnsi="仿宋" w:eastAsia="仿宋_GB2312" w:cs="仿宋_GB2312"/>
          <w:kern w:val="0"/>
          <w:sz w:val="24"/>
          <w:highlight w:val="none"/>
        </w:rPr>
        <w:br w:type="page"/>
      </w:r>
      <w:bookmarkStart w:id="101" w:name="_Toc9461"/>
    </w:p>
    <w:p w14:paraId="781708F1">
      <w:pPr>
        <w:snapToGrid w:val="0"/>
        <w:spacing w:line="360" w:lineRule="auto"/>
        <w:ind w:right="480"/>
        <w:jc w:val="center"/>
        <w:outlineLvl w:val="0"/>
        <w:rPr>
          <w:rFonts w:hint="eastAsia" w:ascii="仿宋_GB2312" w:hAnsi="仿宋" w:eastAsia="仿宋_GB2312" w:cs="仿宋_GB2312"/>
          <w:b/>
          <w:bCs/>
          <w:kern w:val="0"/>
          <w:sz w:val="28"/>
          <w:szCs w:val="28"/>
          <w:highlight w:val="none"/>
          <w:lang w:eastAsia="zh-CN"/>
        </w:rPr>
      </w:pPr>
      <w:r>
        <w:rPr>
          <w:rFonts w:hint="eastAsia" w:ascii="仿宋_GB2312" w:hAnsi="仿宋" w:eastAsia="仿宋_GB2312" w:cs="仿宋_GB2312"/>
          <w:b/>
          <w:bCs/>
          <w:kern w:val="0"/>
          <w:sz w:val="28"/>
          <w:szCs w:val="28"/>
          <w:highlight w:val="none"/>
          <w:lang w:eastAsia="zh-CN"/>
        </w:rPr>
        <w:t>资格部分文件</w:t>
      </w:r>
    </w:p>
    <w:p w14:paraId="10CBFFF1">
      <w:pPr>
        <w:snapToGrid w:val="0"/>
        <w:spacing w:line="360" w:lineRule="auto"/>
        <w:ind w:right="480"/>
        <w:outlineLvl w:val="0"/>
        <w:rPr>
          <w:rFonts w:ascii="仿宋_GB2312" w:hAnsi="仿宋" w:eastAsia="仿宋_GB2312" w:cs="仿宋_GB2312"/>
          <w:b/>
          <w:kern w:val="0"/>
          <w:sz w:val="24"/>
          <w:szCs w:val="24"/>
          <w:highlight w:val="none"/>
        </w:rPr>
      </w:pPr>
      <w:r>
        <w:rPr>
          <w:rFonts w:ascii="仿宋_GB2312" w:hAnsi="仿宋" w:eastAsia="仿宋_GB2312" w:cs="仿宋_GB2312"/>
          <w:b/>
          <w:kern w:val="0"/>
          <w:sz w:val="24"/>
          <w:szCs w:val="24"/>
          <w:highlight w:val="none"/>
        </w:rPr>
        <w:t>一、 符合参加政府采购活动应当具备的一般条件的承诺函</w:t>
      </w:r>
      <w:bookmarkEnd w:id="101"/>
    </w:p>
    <w:p w14:paraId="3DD49F75">
      <w:pPr>
        <w:snapToGrid w:val="0"/>
        <w:spacing w:line="360" w:lineRule="auto"/>
        <w:rPr>
          <w:rFonts w:ascii="仿宋_GB2312" w:hAnsi="仿宋" w:eastAsia="仿宋_GB2312" w:cs="仿宋_GB2312"/>
          <w:sz w:val="24"/>
          <w:highlight w:val="none"/>
        </w:rPr>
      </w:pPr>
      <w:r>
        <w:rPr>
          <w:rFonts w:hint="eastAsia" w:ascii="仿宋_GB2312" w:hAnsi="仿宋" w:eastAsia="仿宋_GB2312" w:cs="仿宋_GB2312"/>
          <w:sz w:val="24"/>
          <w:highlight w:val="none"/>
          <w:u w:val="single"/>
          <w:lang w:eastAsia="zh-CN"/>
        </w:rPr>
        <w:t>致</w:t>
      </w:r>
      <w:r>
        <w:rPr>
          <w:rFonts w:hint="eastAsia" w:ascii="仿宋_GB2312" w:hAnsi="仿宋" w:eastAsia="仿宋_GB2312" w:cs="仿宋_GB2312"/>
          <w:sz w:val="24"/>
          <w:highlight w:val="none"/>
          <w:u w:val="single"/>
        </w:rPr>
        <w:t>（采购人）</w:t>
      </w:r>
      <w:r>
        <w:rPr>
          <w:rFonts w:hint="eastAsia" w:ascii="仿宋_GB2312" w:hAnsi="仿宋" w:eastAsia="仿宋_GB2312" w:cs="仿宋_GB2312"/>
          <w:sz w:val="24"/>
          <w:highlight w:val="none"/>
        </w:rPr>
        <w:t>：</w:t>
      </w:r>
    </w:p>
    <w:p w14:paraId="3706DBAA">
      <w:pPr>
        <w:snapToGrid w:val="0"/>
        <w:spacing w:line="360" w:lineRule="auto"/>
        <w:ind w:firstLine="420"/>
        <w:rPr>
          <w:rFonts w:ascii="仿宋_GB2312" w:hAnsi="仿宋" w:eastAsia="仿宋_GB2312" w:cs="仿宋_GB2312"/>
          <w:sz w:val="24"/>
          <w:highlight w:val="none"/>
        </w:rPr>
      </w:pPr>
      <w:r>
        <w:rPr>
          <w:rFonts w:hint="eastAsia" w:ascii="仿宋_GB2312" w:hAnsi="仿宋" w:eastAsia="仿宋_GB2312" w:cs="仿宋_GB2312"/>
          <w:sz w:val="24"/>
          <w:highlight w:val="none"/>
        </w:rPr>
        <w:t>我方参与</w:t>
      </w:r>
      <w:r>
        <w:rPr>
          <w:rFonts w:hint="eastAsia" w:ascii="仿宋_GB2312" w:hAnsi="仿宋" w:eastAsia="仿宋_GB2312" w:cs="仿宋_GB2312"/>
          <w:sz w:val="24"/>
          <w:highlight w:val="none"/>
          <w:u w:val="single"/>
        </w:rPr>
        <w:t>（项目名称）【</w:t>
      </w:r>
      <w:r>
        <w:rPr>
          <w:rFonts w:hint="eastAsia" w:ascii="仿宋_GB2312" w:hAnsi="仿宋" w:eastAsia="仿宋_GB2312"/>
          <w:sz w:val="24"/>
          <w:highlight w:val="none"/>
          <w:u w:val="single"/>
        </w:rPr>
        <w:t xml:space="preserve">项目编号 </w:t>
      </w:r>
      <w:r>
        <w:rPr>
          <w:rFonts w:hint="eastAsia" w:ascii="仿宋_GB2312" w:hAnsi="仿宋" w:eastAsia="仿宋_GB2312" w:cs="仿宋_GB2312"/>
          <w:sz w:val="24"/>
          <w:highlight w:val="none"/>
          <w:u w:val="single"/>
        </w:rPr>
        <w:t>】</w:t>
      </w:r>
      <w:r>
        <w:rPr>
          <w:rFonts w:hint="eastAsia" w:ascii="仿宋_GB2312" w:hAnsi="仿宋" w:eastAsia="仿宋_GB2312" w:cs="仿宋_GB2312"/>
          <w:sz w:val="24"/>
          <w:highlight w:val="none"/>
        </w:rPr>
        <w:t>政府采购活动，郑重承诺：</w:t>
      </w:r>
    </w:p>
    <w:p w14:paraId="09FEE815">
      <w:pPr>
        <w:snapToGrid w:val="0"/>
        <w:spacing w:line="360" w:lineRule="auto"/>
        <w:ind w:firstLine="360" w:firstLineChars="150"/>
        <w:rPr>
          <w:rFonts w:ascii="仿宋_GB2312" w:hAnsi="仿宋" w:eastAsia="仿宋_GB2312" w:cs="仿宋_GB2312"/>
          <w:sz w:val="24"/>
          <w:highlight w:val="none"/>
        </w:rPr>
      </w:pPr>
      <w:r>
        <w:rPr>
          <w:rFonts w:hint="eastAsia" w:ascii="仿宋_GB2312" w:hAnsi="仿宋" w:eastAsia="仿宋_GB2312" w:cs="仿宋_GB2312"/>
          <w:sz w:val="24"/>
          <w:highlight w:val="none"/>
        </w:rPr>
        <w:t>（一）具备《中华人民共和国政府采购法》第二十二条第一款规定的条件，并提供相关证明材料：</w:t>
      </w:r>
    </w:p>
    <w:p w14:paraId="0CF1D6AB">
      <w:pPr>
        <w:snapToGrid w:val="0"/>
        <w:spacing w:line="360" w:lineRule="auto"/>
        <w:ind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1、</w:t>
      </w:r>
      <w:r>
        <w:rPr>
          <w:rFonts w:ascii="仿宋_GB2312" w:hAnsi="仿宋" w:eastAsia="仿宋_GB2312" w:cs="仿宋_GB2312"/>
          <w:sz w:val="24"/>
          <w:highlight w:val="none"/>
        </w:rPr>
        <w:t>具有独立承担民事责任的能力；</w:t>
      </w:r>
    </w:p>
    <w:p w14:paraId="5C352E2B">
      <w:pPr>
        <w:snapToGrid w:val="0"/>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2、</w:t>
      </w:r>
      <w:r>
        <w:rPr>
          <w:rFonts w:ascii="仿宋_GB2312" w:hAnsi="仿宋" w:eastAsia="仿宋_GB2312"/>
          <w:sz w:val="24"/>
          <w:highlight w:val="none"/>
        </w:rPr>
        <w:t xml:space="preserve">具有良好的商业信誉和健全的财务会计制度； </w:t>
      </w:r>
    </w:p>
    <w:p w14:paraId="517A7415">
      <w:pPr>
        <w:snapToGrid w:val="0"/>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3、</w:t>
      </w:r>
      <w:r>
        <w:rPr>
          <w:rFonts w:ascii="仿宋_GB2312" w:hAnsi="仿宋" w:eastAsia="仿宋_GB2312"/>
          <w:sz w:val="24"/>
          <w:highlight w:val="none"/>
        </w:rPr>
        <w:t>具有履行合同所必需的设备和专业技术能力；</w:t>
      </w:r>
    </w:p>
    <w:p w14:paraId="162DF9AD">
      <w:pPr>
        <w:snapToGrid w:val="0"/>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4、</w:t>
      </w:r>
      <w:r>
        <w:rPr>
          <w:rFonts w:ascii="仿宋_GB2312" w:hAnsi="仿宋" w:eastAsia="仿宋_GB2312"/>
          <w:sz w:val="24"/>
          <w:highlight w:val="none"/>
        </w:rPr>
        <w:t>有依法缴纳税收和社会保障资金的良好记录；</w:t>
      </w:r>
    </w:p>
    <w:p w14:paraId="66A5D458">
      <w:pPr>
        <w:snapToGrid w:val="0"/>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5、</w:t>
      </w:r>
      <w:r>
        <w:rPr>
          <w:rFonts w:ascii="仿宋_GB2312" w:hAnsi="仿宋" w:eastAsia="仿宋_GB2312"/>
          <w:sz w:val="24"/>
          <w:highlight w:val="none"/>
        </w:rPr>
        <w:t>参加政府采购活动前三年内，在经营活动中没有重大违法记录；</w:t>
      </w:r>
    </w:p>
    <w:p w14:paraId="686DEFFB">
      <w:pPr>
        <w:snapToGrid w:val="0"/>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6、</w:t>
      </w:r>
      <w:r>
        <w:rPr>
          <w:rFonts w:ascii="仿宋_GB2312" w:hAnsi="仿宋" w:eastAsia="仿宋_GB2312"/>
          <w:sz w:val="24"/>
          <w:highlight w:val="none"/>
        </w:rPr>
        <w:t>具有法律、行政法规规定的其他条件。</w:t>
      </w:r>
    </w:p>
    <w:p w14:paraId="0BFCDF08">
      <w:pPr>
        <w:snapToGrid w:val="0"/>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w:t>
      </w:r>
      <w:r>
        <w:rPr>
          <w:rFonts w:hint="eastAsia" w:ascii="仿宋_GB2312" w:hAnsi="仿宋" w:eastAsia="仿宋_GB2312"/>
          <w:sz w:val="24"/>
          <w:highlight w:val="none"/>
          <w:lang w:eastAsia="zh-CN"/>
        </w:rPr>
        <w:t>二</w:t>
      </w:r>
      <w:r>
        <w:rPr>
          <w:rFonts w:hint="eastAsia" w:ascii="仿宋_GB2312" w:hAnsi="仿宋" w:eastAsia="仿宋_GB2312"/>
          <w:sz w:val="24"/>
          <w:highlight w:val="none"/>
        </w:rPr>
        <w:t>）不存在以下情况：</w:t>
      </w:r>
    </w:p>
    <w:p w14:paraId="145C892D">
      <w:pPr>
        <w:snapToGrid w:val="0"/>
        <w:spacing w:line="360" w:lineRule="auto"/>
        <w:ind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1、</w:t>
      </w:r>
      <w:r>
        <w:rPr>
          <w:rFonts w:hint="eastAsia" w:ascii="仿宋_GB2312" w:hAnsi="仿宋" w:eastAsia="仿宋_GB2312"/>
          <w:sz w:val="24"/>
          <w:highlight w:val="none"/>
          <w:lang w:val="en-US" w:eastAsia="zh-CN"/>
        </w:rPr>
        <w:t>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DC19BE7">
      <w:pPr>
        <w:pStyle w:val="3"/>
        <w:rPr>
          <w:rFonts w:ascii="仿宋_GB2312" w:hAnsi="仿宋" w:eastAsia="仿宋_GB2312" w:cs="仿宋_GB2312"/>
          <w:highlight w:val="none"/>
        </w:rPr>
      </w:pPr>
      <w:r>
        <w:rPr>
          <w:rFonts w:hint="eastAsia" w:ascii="仿宋_GB2312" w:hAnsi="仿宋" w:eastAsia="仿宋_GB2312" w:cs="仿宋_GB2312"/>
          <w:highlight w:val="none"/>
        </w:rPr>
        <w:t>以上承诺如经核查不实的，按《政府采购法》提供虚假材料的有关规定给予处罚。</w:t>
      </w:r>
    </w:p>
    <w:p w14:paraId="3A94AD72">
      <w:pPr>
        <w:pStyle w:val="3"/>
        <w:rPr>
          <w:rFonts w:ascii="仿宋_GB2312" w:hAnsi="仿宋" w:eastAsia="仿宋_GB2312" w:cs="仿宋_GB2312"/>
          <w:highlight w:val="none"/>
        </w:rPr>
      </w:pPr>
    </w:p>
    <w:p w14:paraId="0D49DD49">
      <w:pPr>
        <w:rPr>
          <w:highlight w:val="none"/>
        </w:rPr>
      </w:pPr>
    </w:p>
    <w:p w14:paraId="130E49A7">
      <w:pPr>
        <w:snapToGrid w:val="0"/>
        <w:spacing w:line="360" w:lineRule="auto"/>
        <w:ind w:firstLine="5520" w:firstLineChars="2300"/>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投标人名称</w:t>
      </w:r>
      <w:r>
        <w:rPr>
          <w:rFonts w:ascii="仿宋_GB2312" w:hAnsi="仿宋" w:eastAsia="仿宋_GB2312" w:cs="仿宋_GB2312"/>
          <w:kern w:val="0"/>
          <w:sz w:val="24"/>
          <w:highlight w:val="none"/>
          <w:lang w:val="zh-CN"/>
        </w:rPr>
        <w:t>(</w:t>
      </w:r>
      <w:r>
        <w:rPr>
          <w:rFonts w:hint="eastAsia" w:ascii="仿宋_GB2312" w:hAnsi="仿宋" w:eastAsia="仿宋_GB2312" w:cs="仿宋_GB2312"/>
          <w:kern w:val="0"/>
          <w:sz w:val="24"/>
          <w:highlight w:val="none"/>
          <w:lang w:val="zh-CN"/>
        </w:rPr>
        <w:t>盖</w:t>
      </w:r>
      <w:r>
        <w:rPr>
          <w:rFonts w:ascii="仿宋_GB2312" w:hAnsi="仿宋" w:eastAsia="仿宋_GB2312" w:cs="仿宋_GB2312"/>
          <w:kern w:val="0"/>
          <w:sz w:val="24"/>
          <w:highlight w:val="none"/>
          <w:lang w:val="zh-CN"/>
        </w:rPr>
        <w:t>公章)：</w:t>
      </w:r>
    </w:p>
    <w:p w14:paraId="2D20F92E">
      <w:pPr>
        <w:pStyle w:val="2"/>
        <w:jc w:val="right"/>
      </w:pPr>
      <w:r>
        <w:rPr>
          <w:rFonts w:hint="eastAsia" w:ascii="仿宋_GB2312" w:hAnsi="仿宋" w:eastAsia="仿宋_GB2312" w:cs="仿宋_GB2312"/>
          <w:kern w:val="0"/>
          <w:sz w:val="24"/>
          <w:highlight w:val="none"/>
          <w:lang w:val="zh-CN"/>
        </w:rPr>
        <w:t>法定代表人或授权委托人（签字或盖章）：</w:t>
      </w:r>
    </w:p>
    <w:p w14:paraId="6C7ED71A">
      <w:pPr>
        <w:snapToGrid w:val="0"/>
        <w:spacing w:line="360" w:lineRule="auto"/>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 xml:space="preserve">                        </w:t>
      </w:r>
      <w:r>
        <w:rPr>
          <w:rFonts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w:t>
      </w:r>
      <w:r>
        <w:rPr>
          <w:rFonts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567538E8">
      <w:pPr>
        <w:rPr>
          <w:highlight w:val="none"/>
        </w:rPr>
      </w:pPr>
      <w:r>
        <w:rPr>
          <w:highlight w:val="none"/>
        </w:rPr>
        <w:br w:type="page"/>
      </w:r>
    </w:p>
    <w:p w14:paraId="37D93EF4">
      <w:pPr>
        <w:snapToGrid w:val="0"/>
        <w:spacing w:line="360" w:lineRule="auto"/>
        <w:ind w:firstLine="480" w:firstLineChars="200"/>
        <w:rPr>
          <w:rFonts w:hint="eastAsia" w:ascii="仿宋_GB2312" w:hAnsi="仿宋" w:eastAsia="仿宋_GB2312"/>
          <w:sz w:val="24"/>
          <w:highlight w:val="none"/>
          <w:lang w:eastAsia="zh-CN"/>
        </w:rPr>
      </w:pPr>
      <w:r>
        <w:rPr>
          <w:rFonts w:hint="eastAsia" w:ascii="仿宋_GB2312" w:hAnsi="仿宋" w:eastAsia="仿宋_GB2312"/>
          <w:sz w:val="24"/>
          <w:highlight w:val="none"/>
          <w:lang w:eastAsia="zh-CN"/>
        </w:rPr>
        <w:t>附件：</w:t>
      </w:r>
    </w:p>
    <w:p w14:paraId="7325D8CD">
      <w:pPr>
        <w:snapToGrid w:val="0"/>
        <w:spacing w:line="360" w:lineRule="auto"/>
        <w:ind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1.</w:t>
      </w:r>
      <w:r>
        <w:rPr>
          <w:rFonts w:hint="eastAsia" w:ascii="仿宋_GB2312" w:hAnsi="仿宋" w:eastAsia="仿宋_GB2312" w:cs="仿宋_GB2312"/>
          <w:sz w:val="24"/>
          <w:highlight w:val="none"/>
        </w:rPr>
        <w:t>《中华人民共和国政府采购法》第二十二条</w:t>
      </w:r>
      <w:r>
        <w:rPr>
          <w:rFonts w:hint="eastAsia" w:ascii="仿宋_GB2312" w:hAnsi="仿宋" w:eastAsia="仿宋_GB2312" w:cs="仿宋_GB2312"/>
          <w:sz w:val="24"/>
          <w:highlight w:val="none"/>
          <w:lang w:eastAsia="zh-CN"/>
        </w:rPr>
        <w:t>：</w:t>
      </w:r>
    </w:p>
    <w:p w14:paraId="17BDF9E5">
      <w:pPr>
        <w:snapToGrid w:val="0"/>
        <w:spacing w:line="360" w:lineRule="auto"/>
        <w:ind w:firstLine="480" w:firstLineChars="200"/>
        <w:rPr>
          <w:rFonts w:hint="eastAsia" w:ascii="仿宋_GB2312" w:hAnsi="仿宋" w:eastAsia="仿宋_GB2312"/>
          <w:sz w:val="24"/>
          <w:highlight w:val="none"/>
          <w:lang w:eastAsia="zh-CN"/>
        </w:rPr>
      </w:pPr>
      <w:r>
        <w:rPr>
          <w:rFonts w:hint="eastAsia" w:ascii="仿宋_GB2312" w:hAnsi="仿宋" w:eastAsia="仿宋_GB2312"/>
          <w:sz w:val="24"/>
          <w:highlight w:val="none"/>
          <w:lang w:eastAsia="zh-CN"/>
        </w:rPr>
        <w:t>（一）具有独立承担民事责任的能力。（提供合法有效的法人营业执照）</w:t>
      </w:r>
    </w:p>
    <w:p w14:paraId="7773E25C">
      <w:pPr>
        <w:snapToGrid w:val="0"/>
        <w:spacing w:line="360" w:lineRule="auto"/>
        <w:ind w:firstLine="480" w:firstLineChars="200"/>
        <w:rPr>
          <w:rFonts w:hint="eastAsia" w:ascii="仿宋_GB2312" w:hAnsi="仿宋" w:eastAsia="仿宋_GB2312"/>
          <w:sz w:val="24"/>
          <w:highlight w:val="none"/>
          <w:lang w:val="en-US" w:eastAsia="zh-CN"/>
        </w:rPr>
      </w:pPr>
      <w:r>
        <w:rPr>
          <w:rFonts w:hint="eastAsia" w:ascii="仿宋_GB2312" w:hAnsi="仿宋" w:eastAsia="仿宋_GB2312"/>
          <w:sz w:val="24"/>
          <w:highlight w:val="none"/>
          <w:lang w:eastAsia="zh-CN"/>
        </w:rPr>
        <w:t>（二）具有良好的商业信誉和健全的财务会计制度。（提供2024年度或2025年度的经会计师事务所审计的完整财务报告，成立不足一年的提供成立至今的财务报表）</w:t>
      </w:r>
      <w:r>
        <w:rPr>
          <w:rFonts w:hint="eastAsia" w:ascii="仿宋_GB2312" w:hAnsi="仿宋" w:eastAsia="仿宋_GB2312"/>
          <w:sz w:val="24"/>
          <w:highlight w:val="none"/>
          <w:lang w:val="en-US" w:eastAsia="zh-CN"/>
        </w:rPr>
        <w:t xml:space="preserve">               </w:t>
      </w:r>
    </w:p>
    <w:p w14:paraId="3623CE5E">
      <w:pPr>
        <w:snapToGrid w:val="0"/>
        <w:spacing w:line="360" w:lineRule="auto"/>
        <w:ind w:firstLine="480" w:firstLineChars="200"/>
        <w:rPr>
          <w:rFonts w:hint="eastAsia" w:ascii="仿宋_GB2312" w:hAnsi="仿宋" w:eastAsia="仿宋_GB2312"/>
          <w:sz w:val="24"/>
          <w:highlight w:val="none"/>
          <w:lang w:eastAsia="zh-CN"/>
        </w:rPr>
      </w:pPr>
      <w:r>
        <w:rPr>
          <w:rFonts w:hint="eastAsia" w:ascii="仿宋_GB2312" w:hAnsi="仿宋" w:eastAsia="仿宋_GB2312"/>
          <w:sz w:val="24"/>
          <w:highlight w:val="none"/>
          <w:lang w:eastAsia="zh-CN"/>
        </w:rPr>
        <w:t>（三）具有履行合同所必需的设备和专业技术能力。（根据项目需求提供履行合同所必需的设备和专业技术能力的加盖单位公章的书面承诺函）</w:t>
      </w:r>
    </w:p>
    <w:p w14:paraId="24380B36">
      <w:pPr>
        <w:snapToGrid w:val="0"/>
        <w:spacing w:line="360" w:lineRule="auto"/>
        <w:ind w:firstLine="480" w:firstLineChars="200"/>
        <w:rPr>
          <w:rFonts w:hint="eastAsia" w:ascii="仿宋_GB2312" w:hAnsi="仿宋" w:eastAsia="仿宋_GB2312"/>
          <w:sz w:val="24"/>
          <w:highlight w:val="none"/>
          <w:lang w:eastAsia="zh-CN"/>
        </w:rPr>
      </w:pPr>
      <w:r>
        <w:rPr>
          <w:rFonts w:hint="eastAsia" w:ascii="仿宋_GB2312" w:hAnsi="仿宋" w:eastAsia="仿宋_GB2312"/>
          <w:sz w:val="24"/>
          <w:highlight w:val="none"/>
          <w:lang w:eastAsia="zh-CN"/>
        </w:rPr>
        <w:t>（四）有依法缴纳税收和社会保障资金的良好记录。（提供参加本次政府采购活动前近半年内任意一个月的依法缴纳税收和社会保障资金的相关材料）</w:t>
      </w:r>
    </w:p>
    <w:p w14:paraId="03BC3ECE">
      <w:pPr>
        <w:snapToGrid w:val="0"/>
        <w:spacing w:line="360" w:lineRule="auto"/>
        <w:ind w:firstLine="480" w:firstLineChars="200"/>
        <w:rPr>
          <w:rFonts w:hint="eastAsia" w:ascii="仿宋_GB2312" w:hAnsi="仿宋" w:eastAsia="仿宋_GB2312"/>
          <w:sz w:val="24"/>
          <w:highlight w:val="none"/>
          <w:lang w:eastAsia="zh-CN"/>
        </w:rPr>
      </w:pPr>
      <w:r>
        <w:rPr>
          <w:rFonts w:hint="eastAsia" w:ascii="仿宋_GB2312" w:hAnsi="仿宋" w:eastAsia="仿宋_GB2312"/>
          <w:sz w:val="24"/>
          <w:highlight w:val="none"/>
          <w:lang w:eastAsia="zh-CN"/>
        </w:rPr>
        <w:t>（五）参加政府采购活动前三年内，在经营活动中没有重大违法记录。（提供参加本次政府采购活动前3年内在经营活动中没有重大违法记录的书面承诺函并加盖单位公章）</w:t>
      </w:r>
    </w:p>
    <w:p w14:paraId="6C69FCA5">
      <w:pPr>
        <w:snapToGrid w:val="0"/>
        <w:spacing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lang w:eastAsia="zh-CN"/>
        </w:rPr>
        <w:t>（六）法律、行政法规规定的其他条件（</w:t>
      </w:r>
      <w:r>
        <w:rPr>
          <w:rFonts w:hint="eastAsia" w:ascii="仿宋_GB2312" w:hAnsi="仿宋" w:eastAsia="仿宋_GB2312"/>
          <w:sz w:val="24"/>
          <w:highlight w:val="none"/>
          <w:lang w:val="en-US" w:eastAsia="zh-CN"/>
        </w:rPr>
        <w:t>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w:t>
      </w:r>
      <w:r>
        <w:rPr>
          <w:rFonts w:hint="eastAsia" w:ascii="仿宋_GB2312" w:hAnsi="仿宋" w:eastAsia="仿宋_GB2312"/>
          <w:sz w:val="24"/>
          <w:highlight w:val="none"/>
          <w:lang w:eastAsia="zh-CN"/>
        </w:rPr>
        <w:t>）。</w:t>
      </w:r>
    </w:p>
    <w:p w14:paraId="29D88E60">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2.</w:t>
      </w:r>
      <w:r>
        <w:rPr>
          <w:rFonts w:hint="eastAsia" w:ascii="仿宋_GB2312" w:hAnsi="仿宋" w:eastAsia="仿宋_GB2312"/>
          <w:sz w:val="24"/>
          <w:highlight w:val="none"/>
          <w:lang w:val="en-US" w:eastAsia="zh-CN"/>
        </w:rPr>
        <w:t>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供应商提供相关内容承诺或者说明等证明材料）</w:t>
      </w:r>
    </w:p>
    <w:p w14:paraId="78C21A16">
      <w:pPr>
        <w:widowControl/>
        <w:spacing w:line="480" w:lineRule="auto"/>
        <w:rPr>
          <w:rFonts w:ascii="仿宋" w:hAnsi="仿宋" w:eastAsia="仿宋" w:cs="仿宋"/>
          <w:color w:val="000000"/>
          <w:kern w:val="0"/>
          <w:sz w:val="24"/>
          <w:highlight w:val="none"/>
        </w:rPr>
      </w:pPr>
    </w:p>
    <w:p w14:paraId="3CD62C15">
      <w:pP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br w:type="page"/>
      </w:r>
    </w:p>
    <w:p w14:paraId="01F58109">
      <w:pPr>
        <w:rPr>
          <w:rFonts w:ascii="仿宋" w:hAnsi="仿宋" w:eastAsia="仿宋" w:cs="仿宋"/>
          <w:color w:val="000000"/>
          <w:kern w:val="0"/>
          <w:sz w:val="24"/>
          <w:highlight w:val="none"/>
        </w:rPr>
      </w:pPr>
    </w:p>
    <w:p w14:paraId="6C555978">
      <w:pPr>
        <w:snapToGrid w:val="0"/>
        <w:spacing w:line="360" w:lineRule="auto"/>
        <w:ind w:right="480"/>
        <w:jc w:val="left"/>
        <w:outlineLvl w:val="0"/>
        <w:rPr>
          <w:rFonts w:ascii="仿宋_GB2312" w:hAnsi="仿宋" w:eastAsia="仿宋_GB2312" w:cs="仿宋_GB2312"/>
          <w:b/>
          <w:kern w:val="0"/>
          <w:sz w:val="24"/>
          <w:szCs w:val="24"/>
          <w:highlight w:val="none"/>
        </w:rPr>
      </w:pPr>
      <w:bookmarkStart w:id="102" w:name="_Toc14522"/>
      <w:r>
        <w:rPr>
          <w:rFonts w:hint="eastAsia" w:ascii="仿宋_GB2312" w:hAnsi="仿宋" w:eastAsia="仿宋_GB2312" w:cs="仿宋_GB2312"/>
          <w:b/>
          <w:kern w:val="0"/>
          <w:sz w:val="24"/>
          <w:szCs w:val="24"/>
          <w:highlight w:val="none"/>
        </w:rPr>
        <w:t>二、落实政府采购政策需满足的资格要求</w:t>
      </w:r>
      <w:bookmarkEnd w:id="102"/>
    </w:p>
    <w:p w14:paraId="76A3D334">
      <w:pPr>
        <w:tabs>
          <w:tab w:val="left" w:pos="3600"/>
        </w:tabs>
        <w:adjustRightInd w:val="0"/>
        <w:snapToGrid w:val="0"/>
        <w:jc w:val="cente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中小企业声明函(工程、服务)</w:t>
      </w:r>
    </w:p>
    <w:p w14:paraId="716F4E46">
      <w:pPr>
        <w:pStyle w:val="11"/>
        <w:kinsoku w:val="0"/>
        <w:overflowPunct w:val="0"/>
        <w:spacing w:before="34" w:line="358" w:lineRule="auto"/>
        <w:ind w:right="125"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本公司（联合体）郑重声明，根据《政府采购促进中小企业发展管理办法》（财库﹝2020﹞46 号）的规定，本公司（联合体）参加</w:t>
      </w:r>
      <w:r>
        <w:rPr>
          <w:rFonts w:hint="eastAsia" w:ascii="仿宋" w:hAnsi="仿宋" w:eastAsia="仿宋" w:cs="仿宋"/>
          <w:color w:val="auto"/>
          <w:sz w:val="24"/>
          <w:szCs w:val="24"/>
          <w:u w:val="single"/>
          <w:lang w:val="en-US" w:eastAsia="zh-CN"/>
        </w:rPr>
        <w:t>（单位名称）</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u w:val="single"/>
          <w:lang w:val="en-US" w:eastAsia="zh-CN"/>
        </w:rPr>
        <w:t>（项目名称）</w:t>
      </w:r>
      <w:r>
        <w:rPr>
          <w:rFonts w:hint="eastAsia" w:ascii="仿宋" w:hAnsi="仿宋" w:eastAsia="仿宋" w:cs="仿宋"/>
          <w:color w:val="auto"/>
          <w:sz w:val="24"/>
          <w:szCs w:val="24"/>
          <w:lang w:val="en-US"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6C9D1304">
      <w:pPr>
        <w:pStyle w:val="11"/>
        <w:kinsoku w:val="0"/>
        <w:overflowPunct w:val="0"/>
        <w:spacing w:before="34" w:line="358" w:lineRule="auto"/>
        <w:ind w:right="125"/>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 </w:t>
      </w:r>
      <w:r>
        <w:rPr>
          <w:rFonts w:hint="eastAsia" w:ascii="仿宋" w:hAnsi="仿宋" w:eastAsia="仿宋" w:cs="仿宋"/>
          <w:color w:val="auto"/>
          <w:sz w:val="24"/>
          <w:szCs w:val="24"/>
          <w:u w:val="single"/>
          <w:lang w:val="en-US" w:eastAsia="zh-CN"/>
        </w:rPr>
        <w:t xml:space="preserve">（标的名称） </w:t>
      </w:r>
      <w:r>
        <w:rPr>
          <w:rFonts w:hint="eastAsia" w:ascii="仿宋" w:hAnsi="仿宋" w:eastAsia="仿宋" w:cs="仿宋"/>
          <w:color w:val="auto"/>
          <w:sz w:val="24"/>
          <w:szCs w:val="24"/>
          <w:lang w:val="en-US" w:eastAsia="zh-CN"/>
        </w:rPr>
        <w:t>，属于</w:t>
      </w:r>
      <w:r>
        <w:rPr>
          <w:rFonts w:hint="eastAsia" w:ascii="仿宋" w:hAnsi="仿宋" w:eastAsia="仿宋" w:cs="仿宋"/>
          <w:color w:val="auto"/>
          <w:sz w:val="24"/>
          <w:szCs w:val="24"/>
          <w:u w:val="single"/>
          <w:lang w:val="en-US" w:eastAsia="zh-CN"/>
        </w:rPr>
        <w:t>（采购文件中明确的所属行业）</w:t>
      </w:r>
      <w:r>
        <w:rPr>
          <w:rFonts w:hint="eastAsia" w:ascii="仿宋" w:hAnsi="仿宋" w:eastAsia="仿宋" w:cs="仿宋"/>
          <w:color w:val="auto"/>
          <w:sz w:val="24"/>
          <w:szCs w:val="24"/>
          <w:lang w:val="en-US" w:eastAsia="zh-CN"/>
        </w:rPr>
        <w:t>；承建（承接）企业为</w:t>
      </w:r>
      <w:r>
        <w:rPr>
          <w:rFonts w:hint="eastAsia" w:ascii="仿宋" w:hAnsi="仿宋" w:eastAsia="仿宋" w:cs="仿宋"/>
          <w:color w:val="auto"/>
          <w:sz w:val="24"/>
          <w:szCs w:val="24"/>
          <w:u w:val="single"/>
          <w:lang w:val="en-US" w:eastAsia="zh-CN"/>
        </w:rPr>
        <w:t>（企业名称）</w:t>
      </w:r>
      <w:r>
        <w:rPr>
          <w:rFonts w:hint="eastAsia" w:ascii="仿宋" w:hAnsi="仿宋" w:eastAsia="仿宋" w:cs="仿宋"/>
          <w:color w:val="auto"/>
          <w:sz w:val="24"/>
          <w:szCs w:val="24"/>
          <w:lang w:val="en-US" w:eastAsia="zh-CN"/>
        </w:rPr>
        <w:t>，从业人员</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人，营业收入为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万元，资产总额为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万元 ，属于（</w:t>
      </w:r>
      <w:r>
        <w:rPr>
          <w:rFonts w:hint="eastAsia" w:ascii="仿宋" w:hAnsi="仿宋" w:eastAsia="仿宋" w:cs="仿宋"/>
          <w:color w:val="auto"/>
          <w:sz w:val="24"/>
          <w:szCs w:val="24"/>
          <w:u w:val="single"/>
          <w:lang w:val="en-US" w:eastAsia="zh-CN"/>
        </w:rPr>
        <w:t>中型企业、 小型企业、微型企业</w:t>
      </w:r>
      <w:r>
        <w:rPr>
          <w:rFonts w:hint="eastAsia" w:ascii="仿宋" w:hAnsi="仿宋" w:eastAsia="仿宋" w:cs="仿宋"/>
          <w:color w:val="auto"/>
          <w:sz w:val="24"/>
          <w:szCs w:val="24"/>
          <w:lang w:val="en-US" w:eastAsia="zh-CN"/>
        </w:rPr>
        <w:t xml:space="preserve">）； </w:t>
      </w:r>
    </w:p>
    <w:p w14:paraId="7A258003">
      <w:pPr>
        <w:pStyle w:val="11"/>
        <w:kinsoku w:val="0"/>
        <w:overflowPunct w:val="0"/>
        <w:spacing w:before="34" w:line="358" w:lineRule="auto"/>
        <w:ind w:right="125"/>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2. </w:t>
      </w:r>
      <w:r>
        <w:rPr>
          <w:rFonts w:hint="eastAsia" w:ascii="仿宋" w:hAnsi="仿宋" w:eastAsia="仿宋" w:cs="仿宋"/>
          <w:color w:val="auto"/>
          <w:sz w:val="24"/>
          <w:szCs w:val="24"/>
          <w:u w:val="single"/>
          <w:lang w:val="en-US" w:eastAsia="zh-CN"/>
        </w:rPr>
        <w:t xml:space="preserve">（标的名称） </w:t>
      </w:r>
      <w:r>
        <w:rPr>
          <w:rFonts w:hint="eastAsia" w:ascii="仿宋" w:hAnsi="仿宋" w:eastAsia="仿宋" w:cs="仿宋"/>
          <w:color w:val="auto"/>
          <w:sz w:val="24"/>
          <w:szCs w:val="24"/>
          <w:lang w:val="en-US" w:eastAsia="zh-CN"/>
        </w:rPr>
        <w:t>，属于</w:t>
      </w:r>
      <w:r>
        <w:rPr>
          <w:rFonts w:hint="eastAsia" w:ascii="仿宋" w:hAnsi="仿宋" w:eastAsia="仿宋" w:cs="仿宋"/>
          <w:color w:val="auto"/>
          <w:sz w:val="24"/>
          <w:szCs w:val="24"/>
          <w:u w:val="single"/>
          <w:lang w:val="en-US" w:eastAsia="zh-CN"/>
        </w:rPr>
        <w:t>（采购文件中明确的所属行业）</w:t>
      </w:r>
      <w:r>
        <w:rPr>
          <w:rFonts w:hint="eastAsia" w:ascii="仿宋" w:hAnsi="仿宋" w:eastAsia="仿宋" w:cs="仿宋"/>
          <w:color w:val="auto"/>
          <w:sz w:val="24"/>
          <w:szCs w:val="24"/>
          <w:lang w:val="en-US" w:eastAsia="zh-CN"/>
        </w:rPr>
        <w:t>； 承建（承接）企业为</w:t>
      </w:r>
      <w:r>
        <w:rPr>
          <w:rFonts w:hint="eastAsia" w:ascii="仿宋" w:hAnsi="仿宋" w:eastAsia="仿宋" w:cs="仿宋"/>
          <w:color w:val="auto"/>
          <w:sz w:val="24"/>
          <w:szCs w:val="24"/>
          <w:u w:val="single"/>
          <w:lang w:val="en-US" w:eastAsia="zh-CN"/>
        </w:rPr>
        <w:t>（企业名称）</w:t>
      </w:r>
      <w:r>
        <w:rPr>
          <w:rFonts w:hint="eastAsia" w:ascii="仿宋" w:hAnsi="仿宋" w:eastAsia="仿宋" w:cs="仿宋"/>
          <w:color w:val="auto"/>
          <w:sz w:val="24"/>
          <w:szCs w:val="24"/>
          <w:lang w:val="en-US" w:eastAsia="zh-CN"/>
        </w:rPr>
        <w:t>，从业人员</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人，营业收入为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万元，资产总额为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万元，属于</w:t>
      </w:r>
      <w:r>
        <w:rPr>
          <w:rFonts w:hint="eastAsia" w:ascii="仿宋" w:hAnsi="仿宋" w:eastAsia="仿宋" w:cs="仿宋"/>
          <w:color w:val="auto"/>
          <w:sz w:val="24"/>
          <w:szCs w:val="24"/>
          <w:u w:val="single"/>
          <w:lang w:val="en-US" w:eastAsia="zh-CN"/>
        </w:rPr>
        <w:t>（中型企业、 小型企业、微型企业）</w:t>
      </w:r>
      <w:r>
        <w:rPr>
          <w:rFonts w:hint="eastAsia" w:ascii="仿宋" w:hAnsi="仿宋" w:eastAsia="仿宋" w:cs="仿宋"/>
          <w:color w:val="auto"/>
          <w:sz w:val="24"/>
          <w:szCs w:val="24"/>
          <w:lang w:val="en-US" w:eastAsia="zh-CN"/>
        </w:rPr>
        <w:t xml:space="preserve">； </w:t>
      </w:r>
    </w:p>
    <w:p w14:paraId="0C7F63F4">
      <w:pPr>
        <w:pStyle w:val="11"/>
        <w:kinsoku w:val="0"/>
        <w:overflowPunct w:val="0"/>
        <w:spacing w:before="34" w:line="358" w:lineRule="auto"/>
        <w:ind w:right="125"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p>
    <w:p w14:paraId="68584D7A">
      <w:pPr>
        <w:pStyle w:val="11"/>
        <w:kinsoku w:val="0"/>
        <w:overflowPunct w:val="0"/>
        <w:spacing w:before="34" w:line="358" w:lineRule="auto"/>
        <w:ind w:right="125"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以上企业，不属于大企业的分支机构，不存在控股股东为大企业的情形，也不存在与大企业的负责人为同一人的情形。 </w:t>
      </w:r>
    </w:p>
    <w:p w14:paraId="618A0B07">
      <w:pPr>
        <w:pStyle w:val="11"/>
        <w:kinsoku w:val="0"/>
        <w:overflowPunct w:val="0"/>
        <w:spacing w:before="34" w:line="358" w:lineRule="auto"/>
        <w:ind w:right="125"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本企业对上述声明内容的真实性负责。如有虚假，将依法承担相应责任。 </w:t>
      </w:r>
    </w:p>
    <w:p w14:paraId="537173AE">
      <w:pPr>
        <w:pStyle w:val="11"/>
        <w:kinsoku w:val="0"/>
        <w:overflowPunct w:val="0"/>
        <w:spacing w:before="34" w:line="358" w:lineRule="auto"/>
        <w:ind w:right="125"/>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企业名称（盖章）： </w:t>
      </w:r>
    </w:p>
    <w:p w14:paraId="4AC991E7">
      <w:pPr>
        <w:pStyle w:val="11"/>
        <w:kinsoku w:val="0"/>
        <w:overflowPunct w:val="0"/>
        <w:spacing w:before="34" w:line="358" w:lineRule="auto"/>
        <w:ind w:right="125"/>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日 期：</w:t>
      </w:r>
    </w:p>
    <w:p w14:paraId="268F0158">
      <w:pPr>
        <w:snapToGrid w:val="0"/>
        <w:spacing w:before="50" w:after="50" w:line="360" w:lineRule="auto"/>
        <w:ind w:firstLine="472" w:firstLineChars="196"/>
        <w:jc w:val="left"/>
        <w:rPr>
          <w:rFonts w:ascii="仿宋_GB2312" w:hAnsi="仿宋" w:eastAsia="仿宋_GB2312" w:cs="仿宋_GB2312"/>
          <w:b/>
          <w:sz w:val="24"/>
          <w:highlight w:val="none"/>
        </w:rPr>
        <w:sectPr>
          <w:pgSz w:w="11906" w:h="16838"/>
          <w:pgMar w:top="1276" w:right="1418" w:bottom="1247" w:left="1418" w:header="851" w:footer="992" w:gutter="0"/>
          <w:cols w:space="720" w:num="1"/>
          <w:titlePg/>
          <w:docGrid w:linePitch="312" w:charSpace="0"/>
        </w:sectPr>
      </w:pPr>
    </w:p>
    <w:p w14:paraId="3D47339C">
      <w:pPr>
        <w:spacing w:line="360" w:lineRule="auto"/>
        <w:ind w:right="420" w:firstLine="480" w:firstLineChars="200"/>
        <w:rPr>
          <w:rFonts w:ascii="仿宋_GB2312" w:hAnsi="仿宋" w:eastAsia="仿宋_GB2312" w:cs="仿宋_GB2312"/>
          <w:sz w:val="24"/>
          <w:highlight w:val="none"/>
        </w:rPr>
      </w:pPr>
    </w:p>
    <w:p w14:paraId="07FD4112">
      <w:pPr>
        <w:widowControl/>
        <w:spacing w:line="360" w:lineRule="auto"/>
        <w:ind w:left="150"/>
        <w:jc w:val="left"/>
        <w:outlineLvl w:val="0"/>
        <w:rPr>
          <w:rFonts w:ascii="仿宋_GB2312" w:hAnsi="仿宋" w:eastAsia="仿宋_GB2312" w:cs="仿宋_GB2312"/>
          <w:b/>
          <w:kern w:val="0"/>
          <w:sz w:val="24"/>
          <w:szCs w:val="24"/>
          <w:highlight w:val="none"/>
        </w:rPr>
      </w:pPr>
      <w:bookmarkStart w:id="103" w:name="_Toc13953"/>
      <w:r>
        <w:rPr>
          <w:rFonts w:hint="eastAsia" w:ascii="仿宋_GB2312" w:hAnsi="仿宋" w:eastAsia="仿宋_GB2312" w:cs="仿宋_GB2312"/>
          <w:b/>
          <w:kern w:val="0"/>
          <w:sz w:val="24"/>
          <w:szCs w:val="24"/>
          <w:highlight w:val="none"/>
        </w:rPr>
        <w:t>三、本项目的特定资格要求</w:t>
      </w:r>
      <w:bookmarkEnd w:id="103"/>
    </w:p>
    <w:p w14:paraId="6C03296E">
      <w:pPr>
        <w:rPr>
          <w:highlight w:val="none"/>
        </w:rPr>
      </w:pPr>
      <w:r>
        <w:rPr>
          <w:rFonts w:hint="eastAsia" w:asciiTheme="minorEastAsia" w:hAnsiTheme="minorEastAsia" w:eastAsiaTheme="minorEastAsia" w:cstheme="minorEastAsia"/>
          <w:sz w:val="24"/>
          <w:highlight w:val="none"/>
          <w:lang w:val="en-US" w:eastAsia="zh-CN"/>
        </w:rPr>
        <w:t>1.具有有效的《劳务派遣经营许可证》</w:t>
      </w:r>
    </w:p>
    <w:p w14:paraId="1F1103AC">
      <w:pPr>
        <w:rPr>
          <w:highlight w:val="none"/>
        </w:rPr>
      </w:pPr>
      <w:r>
        <w:rPr>
          <w:highlight w:val="none"/>
        </w:rPr>
        <w:br w:type="page"/>
      </w:r>
    </w:p>
    <w:p w14:paraId="4E4AB620">
      <w:pPr>
        <w:pStyle w:val="2"/>
        <w:ind w:left="0" w:leftChars="0" w:firstLine="0"/>
        <w:rPr>
          <w:highlight w:val="none"/>
        </w:rPr>
      </w:pPr>
    </w:p>
    <w:p w14:paraId="536797EC">
      <w:pPr>
        <w:spacing w:line="360" w:lineRule="auto"/>
        <w:ind w:right="420"/>
        <w:jc w:val="center"/>
        <w:outlineLvl w:val="0"/>
        <w:rPr>
          <w:rFonts w:ascii="仿宋_GB2312" w:hAnsi="仿宋" w:eastAsia="仿宋_GB2312" w:cs="仿宋_GB2312"/>
          <w:b/>
          <w:kern w:val="0"/>
          <w:sz w:val="30"/>
          <w:szCs w:val="30"/>
          <w:highlight w:val="none"/>
        </w:rPr>
      </w:pPr>
      <w:bookmarkStart w:id="104" w:name="_Toc3264"/>
      <w:bookmarkStart w:id="105" w:name="_Toc22489"/>
      <w:bookmarkStart w:id="106" w:name="_Toc23502"/>
      <w:bookmarkStart w:id="107" w:name="_Toc32269"/>
      <w:bookmarkStart w:id="108" w:name="_Toc24649"/>
      <w:bookmarkStart w:id="109" w:name="_Toc3036"/>
      <w:bookmarkStart w:id="110" w:name="_Toc23246"/>
      <w:r>
        <w:rPr>
          <w:rFonts w:hint="eastAsia" w:ascii="仿宋_GB2312" w:hAnsi="仿宋" w:eastAsia="仿宋_GB2312" w:cs="仿宋_GB2312"/>
          <w:b/>
          <w:kern w:val="0"/>
          <w:sz w:val="30"/>
          <w:szCs w:val="30"/>
          <w:highlight w:val="none"/>
        </w:rPr>
        <w:t>商务技术文件部分</w:t>
      </w:r>
      <w:bookmarkEnd w:id="104"/>
      <w:bookmarkEnd w:id="105"/>
      <w:bookmarkEnd w:id="106"/>
      <w:bookmarkEnd w:id="107"/>
      <w:bookmarkEnd w:id="108"/>
      <w:bookmarkEnd w:id="109"/>
      <w:bookmarkEnd w:id="110"/>
    </w:p>
    <w:p w14:paraId="7BDEBA72">
      <w:pPr>
        <w:snapToGrid w:val="0"/>
        <w:spacing w:line="360" w:lineRule="auto"/>
        <w:jc w:val="center"/>
        <w:outlineLvl w:val="0"/>
        <w:rPr>
          <w:rFonts w:ascii="仿宋_GB2312" w:hAnsi="仿宋" w:eastAsia="仿宋_GB2312" w:cs="仿宋_GB2312"/>
          <w:b/>
          <w:sz w:val="28"/>
          <w:szCs w:val="28"/>
          <w:highlight w:val="none"/>
        </w:rPr>
      </w:pPr>
      <w:bookmarkStart w:id="111" w:name="_Toc28989"/>
      <w:r>
        <w:rPr>
          <w:rFonts w:hint="eastAsia" w:ascii="仿宋_GB2312" w:hAnsi="仿宋" w:eastAsia="仿宋_GB2312" w:cs="仿宋_GB2312"/>
          <w:b/>
          <w:kern w:val="0"/>
          <w:sz w:val="28"/>
          <w:szCs w:val="28"/>
          <w:highlight w:val="none"/>
        </w:rPr>
        <w:t>一、投标</w:t>
      </w:r>
      <w:r>
        <w:rPr>
          <w:rFonts w:hint="eastAsia" w:ascii="仿宋_GB2312" w:hAnsi="仿宋" w:eastAsia="仿宋_GB2312" w:cs="仿宋_GB2312"/>
          <w:b/>
          <w:sz w:val="28"/>
          <w:szCs w:val="28"/>
          <w:highlight w:val="none"/>
        </w:rPr>
        <w:t>函</w:t>
      </w:r>
      <w:bookmarkEnd w:id="111"/>
    </w:p>
    <w:p w14:paraId="0AFCC26E">
      <w:pPr>
        <w:adjustRightInd w:val="0"/>
        <w:snapToGrid w:val="0"/>
        <w:spacing w:line="400" w:lineRule="exact"/>
        <w:rPr>
          <w:rFonts w:ascii="仿宋_GB2312" w:hAnsi="仿宋" w:eastAsia="仿宋_GB2312" w:cs="仿宋_GB2312"/>
          <w:sz w:val="24"/>
          <w:highlight w:val="none"/>
        </w:rPr>
      </w:pPr>
      <w:r>
        <w:rPr>
          <w:rFonts w:hint="eastAsia" w:ascii="仿宋_GB2312" w:hAnsi="仿宋" w:eastAsia="仿宋_GB2312" w:cs="仿宋_GB2312"/>
          <w:sz w:val="24"/>
          <w:highlight w:val="none"/>
          <w:u w:val="single"/>
          <w:lang w:eastAsia="zh-CN"/>
        </w:rPr>
        <w:t>致</w:t>
      </w:r>
      <w:r>
        <w:rPr>
          <w:rFonts w:hint="eastAsia" w:ascii="仿宋_GB2312" w:hAnsi="仿宋" w:eastAsia="仿宋_GB2312" w:cs="仿宋_GB2312"/>
          <w:sz w:val="24"/>
          <w:highlight w:val="none"/>
          <w:u w:val="single"/>
        </w:rPr>
        <w:t>（采购人）</w:t>
      </w:r>
      <w:r>
        <w:rPr>
          <w:rFonts w:hint="eastAsia" w:ascii="仿宋_GB2312" w:hAnsi="仿宋" w:eastAsia="仿宋_GB2312" w:cs="仿宋_GB2312"/>
          <w:sz w:val="24"/>
          <w:highlight w:val="none"/>
        </w:rPr>
        <w:t>：</w:t>
      </w:r>
    </w:p>
    <w:p w14:paraId="09704104">
      <w:pPr>
        <w:adjustRightInd w:val="0"/>
        <w:snapToGrid w:val="0"/>
        <w:spacing w:line="400" w:lineRule="exact"/>
        <w:ind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我方参加你方组织的（项目名称）【招标编号：</w:t>
      </w:r>
      <w:r>
        <w:rPr>
          <w:rFonts w:hint="eastAsia" w:ascii="仿宋_GB2312" w:hAnsi="仿宋" w:eastAsia="仿宋_GB2312"/>
          <w:sz w:val="24"/>
          <w:highlight w:val="none"/>
        </w:rPr>
        <w:t>（项目编号）</w:t>
      </w:r>
      <w:r>
        <w:rPr>
          <w:rFonts w:hint="eastAsia" w:ascii="仿宋_GB2312" w:hAnsi="仿宋" w:eastAsia="仿宋_GB2312" w:cs="仿宋_GB2312"/>
          <w:sz w:val="24"/>
          <w:highlight w:val="none"/>
        </w:rPr>
        <w:t>】招标的有关活动，并对此项目进行投标。为此：</w:t>
      </w:r>
    </w:p>
    <w:p w14:paraId="114C5EEF">
      <w:pPr>
        <w:adjustRightInd w:val="0"/>
        <w:snapToGrid w:val="0"/>
        <w:spacing w:line="400" w:lineRule="exact"/>
        <w:ind w:firstLine="420"/>
        <w:rPr>
          <w:rFonts w:ascii="仿宋_GB2312" w:hAnsi="仿宋" w:eastAsia="仿宋_GB2312" w:cs="仿宋_GB2312"/>
          <w:sz w:val="24"/>
          <w:highlight w:val="none"/>
        </w:rPr>
      </w:pPr>
      <w:r>
        <w:rPr>
          <w:rFonts w:ascii="仿宋_GB2312" w:hAnsi="仿宋" w:eastAsia="仿宋_GB2312" w:cs="仿宋_GB2312"/>
          <w:sz w:val="24"/>
          <w:highlight w:val="none"/>
        </w:rPr>
        <w:t>1、我方承诺投标有效期从提交投标文件的截止之日起</w:t>
      </w:r>
      <w:r>
        <w:rPr>
          <w:rFonts w:ascii="仿宋_GB2312" w:hAnsi="仿宋" w:eastAsia="仿宋_GB2312" w:cs="仿宋_GB2312"/>
          <w:sz w:val="24"/>
          <w:highlight w:val="none"/>
          <w:u w:val="single"/>
        </w:rPr>
        <w:t xml:space="preserve">     </w:t>
      </w:r>
      <w:r>
        <w:rPr>
          <w:rFonts w:hint="eastAsia" w:ascii="仿宋_GB2312" w:hAnsi="仿宋" w:eastAsia="仿宋_GB2312" w:cs="仿宋_GB2312"/>
          <w:sz w:val="24"/>
          <w:highlight w:val="none"/>
        </w:rPr>
        <w:t>天（不少于</w:t>
      </w:r>
      <w:r>
        <w:rPr>
          <w:rFonts w:ascii="仿宋_GB2312" w:hAnsi="仿宋" w:eastAsia="仿宋_GB2312" w:cs="仿宋_GB2312"/>
          <w:sz w:val="24"/>
          <w:highlight w:val="none"/>
        </w:rPr>
        <w:t>90天）</w:t>
      </w:r>
      <w:r>
        <w:rPr>
          <w:rFonts w:hint="eastAsia"/>
          <w:highlight w:val="none"/>
        </w:rPr>
        <w:t>，</w:t>
      </w:r>
      <w:r>
        <w:rPr>
          <w:rFonts w:hint="eastAsia" w:ascii="仿宋_GB2312" w:hAnsi="仿宋" w:eastAsia="仿宋_GB2312" w:cs="仿宋_GB2312"/>
          <w:sz w:val="24"/>
          <w:highlight w:val="none"/>
        </w:rPr>
        <w:t>本投标文件在投标有效期满之前均具有约束力。</w:t>
      </w:r>
    </w:p>
    <w:p w14:paraId="1A80658D">
      <w:pPr>
        <w:adjustRightInd w:val="0"/>
        <w:snapToGrid w:val="0"/>
        <w:spacing w:line="400" w:lineRule="exact"/>
        <w:ind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2、我方的投标文件包括以下内容：</w:t>
      </w:r>
    </w:p>
    <w:p w14:paraId="05083094">
      <w:pPr>
        <w:adjustRightInd w:val="0"/>
        <w:snapToGrid w:val="0"/>
        <w:spacing w:line="400" w:lineRule="exact"/>
        <w:ind w:left="210" w:leftChars="1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2.1资格文件：</w:t>
      </w:r>
    </w:p>
    <w:p w14:paraId="5C9BBFEB">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2.1.1</w:t>
      </w:r>
      <w:r>
        <w:rPr>
          <w:rFonts w:hint="eastAsia" w:ascii="仿宋_GB2312" w:hAnsi="仿宋" w:eastAsia="仿宋_GB2312" w:cs="仿宋_GB2312"/>
          <w:sz w:val="24"/>
          <w:highlight w:val="none"/>
        </w:rPr>
        <w:t>承诺函；</w:t>
      </w:r>
    </w:p>
    <w:p w14:paraId="1B574ADE">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2.1.2落实政府采购政策需满足的资格要求</w:t>
      </w:r>
      <w:r>
        <w:rPr>
          <w:rFonts w:hint="eastAsia" w:ascii="仿宋_GB2312" w:hAnsi="仿宋" w:eastAsia="仿宋_GB2312" w:cs="仿宋_GB2312"/>
          <w:sz w:val="24"/>
          <w:highlight w:val="none"/>
        </w:rPr>
        <w:t>；</w:t>
      </w:r>
    </w:p>
    <w:p w14:paraId="7968EE1F">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2.1.3本项目的特定资格要求</w:t>
      </w:r>
      <w:r>
        <w:rPr>
          <w:rFonts w:hint="eastAsia" w:ascii="仿宋_GB2312" w:hAnsi="仿宋" w:eastAsia="仿宋_GB2312" w:cs="仿宋_GB2312"/>
          <w:sz w:val="24"/>
          <w:highlight w:val="none"/>
        </w:rPr>
        <w:t>；</w:t>
      </w:r>
    </w:p>
    <w:p w14:paraId="62F42208">
      <w:pPr>
        <w:adjustRightInd w:val="0"/>
        <w:snapToGrid w:val="0"/>
        <w:spacing w:line="400" w:lineRule="exact"/>
        <w:ind w:left="210" w:leftChars="100" w:firstLine="480" w:firstLineChars="200"/>
        <w:rPr>
          <w:rFonts w:ascii="仿宋_GB2312" w:hAnsi="仿宋" w:eastAsia="仿宋_GB2312" w:cs="仿宋_GB2312"/>
          <w:sz w:val="24"/>
          <w:highlight w:val="none"/>
          <w:lang w:val="zh-CN"/>
        </w:rPr>
      </w:pPr>
      <w:r>
        <w:rPr>
          <w:rFonts w:ascii="仿宋_GB2312" w:hAnsi="仿宋" w:eastAsia="仿宋_GB2312" w:cs="仿宋_GB2312"/>
          <w:sz w:val="24"/>
          <w:highlight w:val="none"/>
        </w:rPr>
        <w:t>2</w:t>
      </w:r>
      <w:r>
        <w:rPr>
          <w:rFonts w:ascii="仿宋_GB2312" w:hAnsi="仿宋" w:eastAsia="仿宋_GB2312" w:cs="仿宋_GB2312"/>
          <w:sz w:val="24"/>
          <w:highlight w:val="none"/>
          <w:lang w:val="zh-CN"/>
        </w:rPr>
        <w:t>.</w:t>
      </w:r>
      <w:r>
        <w:rPr>
          <w:rFonts w:ascii="仿宋_GB2312" w:hAnsi="仿宋" w:eastAsia="仿宋_GB2312" w:cs="仿宋_GB2312"/>
          <w:sz w:val="24"/>
          <w:highlight w:val="none"/>
        </w:rPr>
        <w:t>2</w:t>
      </w:r>
      <w:r>
        <w:rPr>
          <w:rFonts w:ascii="仿宋_GB2312" w:hAnsi="仿宋" w:eastAsia="仿宋_GB2312" w:cs="仿宋_GB2312"/>
          <w:sz w:val="24"/>
          <w:highlight w:val="none"/>
          <w:lang w:val="zh-CN"/>
        </w:rPr>
        <w:t xml:space="preserve"> </w:t>
      </w:r>
      <w:r>
        <w:rPr>
          <w:rFonts w:hint="eastAsia" w:ascii="仿宋_GB2312" w:hAnsi="仿宋" w:eastAsia="仿宋_GB2312" w:cs="仿宋_GB2312"/>
          <w:sz w:val="24"/>
          <w:highlight w:val="none"/>
        </w:rPr>
        <w:t>商务技术</w:t>
      </w:r>
      <w:r>
        <w:rPr>
          <w:rFonts w:hint="eastAsia" w:ascii="仿宋_GB2312" w:hAnsi="仿宋" w:eastAsia="仿宋_GB2312" w:cs="仿宋_GB2312"/>
          <w:sz w:val="24"/>
          <w:highlight w:val="none"/>
          <w:lang w:val="zh-CN"/>
        </w:rPr>
        <w:t>文件：</w:t>
      </w:r>
    </w:p>
    <w:p w14:paraId="64FB7F45">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2.2.1投标函；</w:t>
      </w:r>
      <w:r>
        <w:rPr>
          <w:rFonts w:ascii="仿宋_GB2312" w:hAnsi="仿宋" w:eastAsia="仿宋_GB2312" w:cs="仿宋_GB2312"/>
          <w:sz w:val="24"/>
          <w:highlight w:val="none"/>
          <w:lang w:val="zh-CN"/>
        </w:rPr>
        <w:t xml:space="preserve"> </w:t>
      </w:r>
    </w:p>
    <w:p w14:paraId="528CE8F3">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2.2.2授权委托书或法定代表人（单位负责人）身份证明；</w:t>
      </w:r>
    </w:p>
    <w:p w14:paraId="48CCA3B7">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2.2.</w:t>
      </w:r>
      <w:r>
        <w:rPr>
          <w:rFonts w:hint="eastAsia" w:ascii="仿宋_GB2312" w:hAnsi="仿宋" w:eastAsia="仿宋_GB2312" w:cs="仿宋_GB2312"/>
          <w:sz w:val="24"/>
          <w:highlight w:val="none"/>
          <w:lang w:val="en-US" w:eastAsia="zh-CN"/>
        </w:rPr>
        <w:t>3</w:t>
      </w:r>
      <w:r>
        <w:rPr>
          <w:rFonts w:ascii="仿宋_GB2312" w:hAnsi="仿宋" w:eastAsia="仿宋_GB2312" w:cs="仿宋_GB2312"/>
          <w:sz w:val="24"/>
          <w:highlight w:val="none"/>
        </w:rPr>
        <w:t>符合性审查资料；</w:t>
      </w:r>
    </w:p>
    <w:p w14:paraId="1880D0F4">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2.2.</w:t>
      </w:r>
      <w:r>
        <w:rPr>
          <w:rFonts w:hint="eastAsia" w:ascii="仿宋_GB2312" w:hAnsi="仿宋" w:eastAsia="仿宋_GB2312" w:cs="仿宋_GB2312"/>
          <w:sz w:val="24"/>
          <w:highlight w:val="none"/>
          <w:lang w:val="en-US" w:eastAsia="zh-CN"/>
        </w:rPr>
        <w:t>4</w:t>
      </w:r>
      <w:r>
        <w:rPr>
          <w:rFonts w:ascii="仿宋_GB2312" w:hAnsi="仿宋" w:eastAsia="仿宋_GB2312" w:cs="仿宋_GB2312"/>
          <w:sz w:val="24"/>
          <w:highlight w:val="none"/>
        </w:rPr>
        <w:t>评标标准相应的商务技术资料；</w:t>
      </w:r>
    </w:p>
    <w:p w14:paraId="70220700">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2.2.</w:t>
      </w:r>
      <w:r>
        <w:rPr>
          <w:rFonts w:hint="eastAsia" w:ascii="仿宋_GB2312" w:hAnsi="仿宋" w:eastAsia="仿宋_GB2312" w:cs="仿宋_GB2312"/>
          <w:sz w:val="24"/>
          <w:highlight w:val="none"/>
          <w:lang w:val="en-US" w:eastAsia="zh-CN"/>
        </w:rPr>
        <w:t>5</w:t>
      </w:r>
      <w:r>
        <w:rPr>
          <w:rFonts w:ascii="仿宋_GB2312" w:hAnsi="仿宋" w:eastAsia="仿宋_GB2312" w:cs="仿宋_GB2312"/>
          <w:sz w:val="24"/>
          <w:highlight w:val="none"/>
        </w:rPr>
        <w:t>商务技术偏离表；</w:t>
      </w:r>
    </w:p>
    <w:p w14:paraId="30B90881">
      <w:pPr>
        <w:adjustRightInd w:val="0"/>
        <w:snapToGrid w:val="0"/>
        <w:spacing w:line="400" w:lineRule="exact"/>
        <w:ind w:left="420" w:leftChars="200" w:firstLine="480" w:firstLineChars="200"/>
        <w:rPr>
          <w:rFonts w:ascii="仿宋_GB2312" w:hAnsi="仿宋" w:eastAsia="仿宋_GB2312" w:cs="仿宋_GB2312"/>
          <w:sz w:val="24"/>
          <w:highlight w:val="none"/>
          <w:lang w:val="zh-CN"/>
        </w:rPr>
      </w:pPr>
      <w:r>
        <w:rPr>
          <w:rFonts w:ascii="仿宋_GB2312" w:hAnsi="仿宋" w:eastAsia="仿宋_GB2312" w:cs="仿宋_GB2312"/>
          <w:sz w:val="24"/>
          <w:highlight w:val="none"/>
        </w:rPr>
        <w:t>2</w:t>
      </w:r>
      <w:r>
        <w:rPr>
          <w:rFonts w:ascii="仿宋_GB2312" w:hAnsi="仿宋" w:eastAsia="仿宋_GB2312" w:cs="仿宋_GB2312"/>
          <w:sz w:val="24"/>
          <w:highlight w:val="none"/>
          <w:lang w:val="zh-CN"/>
        </w:rPr>
        <w:t>.</w:t>
      </w:r>
      <w:r>
        <w:rPr>
          <w:rFonts w:ascii="仿宋_GB2312" w:hAnsi="仿宋" w:eastAsia="仿宋_GB2312" w:cs="仿宋_GB2312"/>
          <w:sz w:val="24"/>
          <w:highlight w:val="none"/>
        </w:rPr>
        <w:t>2</w:t>
      </w:r>
      <w:r>
        <w:rPr>
          <w:rFonts w:ascii="仿宋_GB2312" w:hAnsi="仿宋" w:eastAsia="仿宋_GB2312" w:cs="仿宋_GB2312"/>
          <w:sz w:val="24"/>
          <w:highlight w:val="none"/>
          <w:lang w:val="zh-CN"/>
        </w:rPr>
        <w:t>.</w:t>
      </w:r>
      <w:r>
        <w:rPr>
          <w:rFonts w:hint="eastAsia" w:ascii="仿宋_GB2312" w:hAnsi="仿宋" w:eastAsia="仿宋_GB2312" w:cs="仿宋_GB2312"/>
          <w:sz w:val="24"/>
          <w:highlight w:val="none"/>
          <w:lang w:val="en-US" w:eastAsia="zh-CN"/>
        </w:rPr>
        <w:t>6</w:t>
      </w:r>
      <w:r>
        <w:rPr>
          <w:rFonts w:hint="eastAsia" w:ascii="仿宋_GB2312" w:hAnsi="仿宋" w:eastAsia="仿宋_GB2312" w:cs="仿宋_GB2312"/>
          <w:sz w:val="24"/>
          <w:highlight w:val="none"/>
          <w:lang w:val="zh-CN"/>
        </w:rPr>
        <w:t>政府采购供应商廉洁自律承诺书；</w:t>
      </w:r>
    </w:p>
    <w:p w14:paraId="6F22440A">
      <w:pPr>
        <w:adjustRightInd w:val="0"/>
        <w:snapToGrid w:val="0"/>
        <w:spacing w:line="400" w:lineRule="exact"/>
        <w:ind w:left="210" w:leftChars="1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w:t>
      </w:r>
      <w:r>
        <w:rPr>
          <w:rFonts w:ascii="仿宋_GB2312" w:hAnsi="仿宋" w:eastAsia="仿宋_GB2312" w:cs="仿宋_GB2312"/>
          <w:sz w:val="24"/>
          <w:highlight w:val="none"/>
          <w:lang w:val="zh-CN"/>
        </w:rPr>
        <w:t>.</w:t>
      </w:r>
      <w:r>
        <w:rPr>
          <w:rFonts w:ascii="仿宋_GB2312" w:hAnsi="仿宋" w:eastAsia="仿宋_GB2312" w:cs="仿宋_GB2312"/>
          <w:sz w:val="24"/>
          <w:highlight w:val="none"/>
        </w:rPr>
        <w:t>3报价文件</w:t>
      </w:r>
    </w:p>
    <w:p w14:paraId="16DF8114">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2.3.1开标一览表（报价表）；</w:t>
      </w:r>
    </w:p>
    <w:p w14:paraId="7979B34A">
      <w:pPr>
        <w:adjustRightInd w:val="0"/>
        <w:snapToGrid w:val="0"/>
        <w:spacing w:line="400" w:lineRule="exact"/>
        <w:ind w:left="420" w:leftChars="2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2.3.2</w:t>
      </w:r>
      <w:r>
        <w:rPr>
          <w:rFonts w:hint="eastAsia" w:ascii="仿宋_GB2312" w:hAnsi="仿宋" w:eastAsia="仿宋_GB2312" w:cs="仿宋_GB2312"/>
          <w:sz w:val="24"/>
          <w:highlight w:val="none"/>
        </w:rPr>
        <w:t>投标报价明细表。</w:t>
      </w:r>
    </w:p>
    <w:p w14:paraId="6C2FB584">
      <w:pPr>
        <w:adjustRightInd w:val="0"/>
        <w:snapToGrid w:val="0"/>
        <w:spacing w:line="400" w:lineRule="exact"/>
        <w:ind w:firstLine="420"/>
        <w:rPr>
          <w:rFonts w:ascii="仿宋_GB2312" w:hAnsi="仿宋" w:eastAsia="仿宋_GB2312" w:cs="仿宋_GB2312"/>
          <w:sz w:val="24"/>
          <w:highlight w:val="none"/>
        </w:rPr>
      </w:pPr>
      <w:r>
        <w:rPr>
          <w:rFonts w:ascii="仿宋_GB2312" w:hAnsi="仿宋" w:eastAsia="仿宋_GB2312" w:cs="仿宋_GB2312"/>
          <w:sz w:val="24"/>
          <w:highlight w:val="none"/>
        </w:rPr>
        <w:t>3、我方承诺除商务技术偏离表列出的偏离外，我方响应招标文件的全部要求。</w:t>
      </w:r>
    </w:p>
    <w:p w14:paraId="2A63987A">
      <w:pPr>
        <w:adjustRightInd w:val="0"/>
        <w:snapToGrid w:val="0"/>
        <w:spacing w:line="400" w:lineRule="exact"/>
        <w:ind w:firstLine="420"/>
        <w:rPr>
          <w:rFonts w:ascii="仿宋_GB2312" w:hAnsi="仿宋" w:eastAsia="仿宋_GB2312" w:cs="仿宋_GB2312"/>
          <w:sz w:val="24"/>
          <w:highlight w:val="none"/>
        </w:rPr>
      </w:pPr>
      <w:r>
        <w:rPr>
          <w:rFonts w:ascii="仿宋_GB2312" w:hAnsi="仿宋" w:eastAsia="仿宋_GB2312" w:cs="仿宋_GB2312"/>
          <w:sz w:val="24"/>
          <w:highlight w:val="none"/>
        </w:rPr>
        <w:t>4、如我方中标，我方承诺：</w:t>
      </w:r>
    </w:p>
    <w:p w14:paraId="2372427A">
      <w:pPr>
        <w:adjustRightInd w:val="0"/>
        <w:snapToGrid w:val="0"/>
        <w:spacing w:line="400" w:lineRule="exact"/>
        <w:ind w:left="210" w:leftChars="1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 xml:space="preserve">4.1在收到中标通知书后，在中标通知书规定的期限内与你方签订合同； </w:t>
      </w:r>
    </w:p>
    <w:p w14:paraId="750F2DB9">
      <w:pPr>
        <w:adjustRightInd w:val="0"/>
        <w:snapToGrid w:val="0"/>
        <w:spacing w:line="400" w:lineRule="exact"/>
        <w:ind w:left="210" w:leftChars="1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 xml:space="preserve">4.2在签订合同时不向你方提出附加条件； </w:t>
      </w:r>
    </w:p>
    <w:p w14:paraId="28883481">
      <w:pPr>
        <w:adjustRightInd w:val="0"/>
        <w:snapToGrid w:val="0"/>
        <w:spacing w:line="400" w:lineRule="exact"/>
        <w:ind w:left="210" w:leftChars="1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 xml:space="preserve">4.3按照招标文件要求提交履约保证金； </w:t>
      </w:r>
    </w:p>
    <w:p w14:paraId="38D12175">
      <w:pPr>
        <w:adjustRightInd w:val="0"/>
        <w:snapToGrid w:val="0"/>
        <w:spacing w:line="400" w:lineRule="exact"/>
        <w:ind w:left="210" w:leftChars="1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 xml:space="preserve">4.4在合同约定的期限内完成合同规定的全部义务。 </w:t>
      </w:r>
    </w:p>
    <w:p w14:paraId="63AC3FE8">
      <w:pPr>
        <w:adjustRightInd w:val="0"/>
        <w:snapToGrid w:val="0"/>
        <w:spacing w:line="400" w:lineRule="exact"/>
        <w:ind w:left="210" w:leftChars="100" w:firstLine="480" w:firstLineChars="200"/>
        <w:rPr>
          <w:rFonts w:ascii="仿宋_GB2312" w:hAnsi="仿宋" w:eastAsia="仿宋_GB2312" w:cs="仿宋_GB2312"/>
          <w:sz w:val="24"/>
          <w:highlight w:val="none"/>
        </w:rPr>
      </w:pPr>
      <w:r>
        <w:rPr>
          <w:rFonts w:ascii="仿宋_GB2312" w:hAnsi="仿宋" w:eastAsia="仿宋_GB2312" w:cs="仿宋_GB2312"/>
          <w:sz w:val="24"/>
          <w:highlight w:val="none"/>
        </w:rPr>
        <w:t>5、其他补充说明:</w:t>
      </w:r>
      <w:r>
        <w:rPr>
          <w:rFonts w:ascii="仿宋_GB2312" w:hAnsi="仿宋" w:eastAsia="仿宋_GB2312" w:cs="仿宋_GB2312"/>
          <w:sz w:val="24"/>
          <w:highlight w:val="none"/>
          <w:u w:val="single"/>
        </w:rPr>
        <w:t xml:space="preserve">                                        </w:t>
      </w:r>
      <w:r>
        <w:rPr>
          <w:rFonts w:hint="eastAsia" w:ascii="仿宋_GB2312" w:hAnsi="仿宋" w:eastAsia="仿宋_GB2312" w:cs="仿宋_GB2312"/>
          <w:sz w:val="24"/>
          <w:highlight w:val="none"/>
        </w:rPr>
        <w:t>。</w:t>
      </w:r>
    </w:p>
    <w:p w14:paraId="77747D92">
      <w:pPr>
        <w:adjustRightInd w:val="0"/>
        <w:snapToGrid w:val="0"/>
        <w:spacing w:line="400" w:lineRule="exact"/>
        <w:ind w:firstLine="3600" w:firstLineChars="1500"/>
        <w:rPr>
          <w:rFonts w:ascii="仿宋_GB2312" w:hAnsi="仿宋" w:eastAsia="仿宋_GB2312" w:cs="仿宋_GB2312"/>
          <w:sz w:val="24"/>
          <w:highlight w:val="none"/>
        </w:rPr>
      </w:pPr>
    </w:p>
    <w:p w14:paraId="3594638F">
      <w:pPr>
        <w:snapToGrid w:val="0"/>
        <w:spacing w:line="360" w:lineRule="auto"/>
        <w:jc w:val="center"/>
        <w:rPr>
          <w:rFonts w:ascii="仿宋" w:hAnsi="仿宋" w:eastAsia="仿宋" w:cs="仿宋"/>
          <w:kern w:val="0"/>
          <w:sz w:val="24"/>
          <w:highlight w:val="none"/>
          <w:lang w:val="zh-CN"/>
        </w:rPr>
      </w:pPr>
      <w:bookmarkStart w:id="112" w:name="_Toc6352"/>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lang w:val="zh-CN"/>
        </w:rPr>
        <w:t>投标人名称(</w:t>
      </w:r>
      <w:r>
        <w:rPr>
          <w:rFonts w:hint="eastAsia" w:ascii="仿宋" w:hAnsi="仿宋" w:eastAsia="仿宋" w:cs="仿宋"/>
          <w:sz w:val="24"/>
          <w:highlight w:val="none"/>
          <w:lang w:val="zh-CN"/>
        </w:rPr>
        <w:t>公章</w:t>
      </w:r>
      <w:r>
        <w:rPr>
          <w:rFonts w:hint="eastAsia" w:ascii="仿宋" w:hAnsi="仿宋" w:eastAsia="仿宋" w:cs="仿宋"/>
          <w:kern w:val="0"/>
          <w:sz w:val="24"/>
          <w:highlight w:val="none"/>
          <w:lang w:val="zh-CN"/>
        </w:rPr>
        <w:t>)：</w:t>
      </w:r>
    </w:p>
    <w:p w14:paraId="28E3863D">
      <w:pPr>
        <w:snapToGrid w:val="0"/>
        <w:spacing w:line="360" w:lineRule="auto"/>
        <w:ind w:firstLine="4080" w:firstLineChars="170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法定代表人或授权委托人：（签字或盖章）</w:t>
      </w:r>
    </w:p>
    <w:p w14:paraId="58867DC4">
      <w:pPr>
        <w:snapToGrid w:val="0"/>
        <w:spacing w:line="360" w:lineRule="auto"/>
        <w:rPr>
          <w:rFonts w:hint="eastAsia" w:ascii="仿宋_GB2312" w:hAnsi="仿宋" w:eastAsia="仿宋_GB2312" w:cs="仿宋_GB2312"/>
          <w:b/>
          <w:kern w:val="0"/>
          <w:sz w:val="32"/>
          <w:szCs w:val="32"/>
          <w:highlight w:val="none"/>
          <w:lang w:val="zh-CN"/>
        </w:rPr>
      </w:pPr>
      <w:r>
        <w:rPr>
          <w:rFonts w:hint="eastAsia" w:ascii="仿宋" w:hAnsi="仿宋" w:eastAsia="仿宋" w:cs="仿宋"/>
          <w:kern w:val="0"/>
          <w:sz w:val="24"/>
          <w:highlight w:val="none"/>
          <w:lang w:val="zh-CN"/>
        </w:rPr>
        <w:t xml:space="preserve">                                       </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lang w:val="zh-CN"/>
        </w:rPr>
        <w:t>日期：  年  月   日</w:t>
      </w:r>
    </w:p>
    <w:p w14:paraId="6A2CE614">
      <w:pPr>
        <w:jc w:val="center"/>
        <w:outlineLvl w:val="0"/>
        <w:rPr>
          <w:rFonts w:ascii="仿宋_GB2312" w:hAnsi="仿宋" w:eastAsia="仿宋_GB2312" w:cs="仿宋_GB2312"/>
          <w:b/>
          <w:kern w:val="0"/>
          <w:sz w:val="28"/>
          <w:szCs w:val="28"/>
          <w:highlight w:val="none"/>
          <w:lang w:val="zh-CN"/>
        </w:rPr>
      </w:pPr>
      <w:r>
        <w:rPr>
          <w:rFonts w:hint="eastAsia" w:ascii="仿宋_GB2312" w:hAnsi="仿宋" w:eastAsia="仿宋_GB2312" w:cs="仿宋_GB2312"/>
          <w:b/>
          <w:kern w:val="0"/>
          <w:sz w:val="28"/>
          <w:szCs w:val="28"/>
          <w:highlight w:val="none"/>
          <w:lang w:val="zh-CN"/>
        </w:rPr>
        <w:t>二、授权委托书或法定代表人（单位负责人、自然人本人）身份证明</w:t>
      </w:r>
      <w:bookmarkEnd w:id="112"/>
    </w:p>
    <w:p w14:paraId="34420CDB">
      <w:pPr>
        <w:snapToGrid w:val="0"/>
        <w:spacing w:line="360" w:lineRule="auto"/>
        <w:rPr>
          <w:rFonts w:ascii="仿宋_GB2312" w:hAnsi="仿宋" w:eastAsia="仿宋_GB2312" w:cs="仿宋_GB2312"/>
          <w:sz w:val="24"/>
          <w:highlight w:val="none"/>
        </w:rPr>
      </w:pPr>
    </w:p>
    <w:p w14:paraId="5A1E9E53">
      <w:pPr>
        <w:snapToGrid w:val="0"/>
        <w:spacing w:line="360" w:lineRule="auto"/>
        <w:jc w:val="center"/>
        <w:rPr>
          <w:rFonts w:ascii="仿宋" w:hAnsi="仿宋" w:eastAsia="仿宋" w:cs="仿宋"/>
          <w:sz w:val="18"/>
          <w:szCs w:val="21"/>
          <w:highlight w:val="none"/>
        </w:rPr>
      </w:pPr>
      <w:r>
        <w:rPr>
          <w:rFonts w:hint="eastAsia" w:ascii="仿宋" w:hAnsi="仿宋" w:eastAsia="仿宋" w:cs="仿宋"/>
          <w:b/>
          <w:kern w:val="0"/>
          <w:sz w:val="24"/>
          <w:szCs w:val="24"/>
          <w:highlight w:val="none"/>
          <w:lang w:val="zh-CN"/>
        </w:rPr>
        <w:t>授权委托书</w:t>
      </w:r>
    </w:p>
    <w:p w14:paraId="087DC53F">
      <w:pPr>
        <w:snapToGrid w:val="0"/>
        <w:spacing w:line="360" w:lineRule="auto"/>
        <w:rPr>
          <w:rFonts w:ascii="仿宋" w:hAnsi="仿宋" w:eastAsia="仿宋" w:cs="仿宋"/>
          <w:kern w:val="0"/>
          <w:sz w:val="24"/>
          <w:highlight w:val="none"/>
        </w:rPr>
      </w:pPr>
      <w:r>
        <w:rPr>
          <w:rFonts w:hint="eastAsia" w:ascii="仿宋" w:hAnsi="仿宋" w:eastAsia="仿宋" w:cs="仿宋"/>
          <w:sz w:val="24"/>
          <w:highlight w:val="none"/>
          <w:u w:val="single"/>
          <w:lang w:eastAsia="zh-CN"/>
        </w:rPr>
        <w:t>致</w:t>
      </w:r>
      <w:r>
        <w:rPr>
          <w:rFonts w:hint="eastAsia" w:ascii="仿宋" w:hAnsi="仿宋" w:eastAsia="仿宋" w:cs="仿宋"/>
          <w:sz w:val="24"/>
          <w:highlight w:val="none"/>
          <w:u w:val="single"/>
        </w:rPr>
        <w:t>（采购人）</w:t>
      </w:r>
      <w:r>
        <w:rPr>
          <w:rFonts w:hint="eastAsia" w:ascii="仿宋" w:hAnsi="仿宋" w:eastAsia="仿宋" w:cs="仿宋"/>
          <w:kern w:val="0"/>
          <w:sz w:val="24"/>
          <w:highlight w:val="none"/>
          <w:lang w:val="zh-CN"/>
        </w:rPr>
        <w:t>：</w:t>
      </w:r>
    </w:p>
    <w:p w14:paraId="540ED561">
      <w:pPr>
        <w:snapToGrid w:val="0"/>
        <w:spacing w:line="360" w:lineRule="auto"/>
        <w:ind w:firstLine="576"/>
        <w:rPr>
          <w:rFonts w:ascii="仿宋" w:hAnsi="仿宋" w:eastAsia="仿宋" w:cs="仿宋"/>
          <w:kern w:val="0"/>
          <w:sz w:val="24"/>
          <w:highlight w:val="none"/>
        </w:rPr>
      </w:pPr>
      <w:r>
        <w:rPr>
          <w:rFonts w:hint="eastAsia" w:ascii="仿宋" w:hAnsi="仿宋" w:eastAsia="仿宋" w:cs="仿宋"/>
          <w:kern w:val="0"/>
          <w:sz w:val="24"/>
          <w:highlight w:val="none"/>
        </w:rPr>
        <w:t>现</w:t>
      </w:r>
      <w:r>
        <w:rPr>
          <w:rFonts w:hint="eastAsia" w:ascii="仿宋" w:hAnsi="仿宋" w:eastAsia="仿宋" w:cs="仿宋"/>
          <w:kern w:val="0"/>
          <w:sz w:val="24"/>
          <w:highlight w:val="none"/>
          <w:lang w:val="zh-CN"/>
        </w:rPr>
        <w:t>委托</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（姓名）为我方代理人（身份证号码：</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，手机：</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），以我方名义处理</w:t>
      </w:r>
      <w:r>
        <w:rPr>
          <w:rFonts w:hint="eastAsia" w:ascii="仿宋" w:hAnsi="仿宋" w:eastAsia="仿宋" w:cs="仿宋"/>
          <w:kern w:val="0"/>
          <w:sz w:val="24"/>
          <w:highlight w:val="none"/>
          <w:u w:val="single"/>
        </w:rPr>
        <w:t xml:space="preserve">             </w:t>
      </w:r>
      <w:r>
        <w:rPr>
          <w:rFonts w:hint="eastAsia" w:ascii="仿宋" w:hAnsi="仿宋" w:eastAsia="仿宋" w:cs="仿宋"/>
          <w:sz w:val="24"/>
          <w:highlight w:val="none"/>
        </w:rPr>
        <w:t>（项目名称）【招标编号：（项目编号）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lang w:val="zh-CN"/>
        </w:rPr>
        <w:t>政府采购投标的一切事项，其法律后果由我方承担。</w:t>
      </w:r>
    </w:p>
    <w:p w14:paraId="088DE352">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lang w:val="zh-CN"/>
        </w:rPr>
        <w:t>委托期限</w:t>
      </w:r>
      <w:r>
        <w:rPr>
          <w:rFonts w:hint="eastAsia" w:ascii="仿宋" w:hAnsi="仿宋" w:eastAsia="仿宋" w:cs="仿宋"/>
          <w:kern w:val="0"/>
          <w:sz w:val="24"/>
          <w:highlight w:val="none"/>
        </w:rPr>
        <w:t>：</w:t>
      </w:r>
      <w:r>
        <w:rPr>
          <w:rFonts w:hint="eastAsia" w:ascii="仿宋" w:hAnsi="仿宋" w:eastAsia="仿宋" w:cs="仿宋"/>
          <w:kern w:val="0"/>
          <w:sz w:val="24"/>
          <w:highlight w:val="none"/>
          <w:lang w:val="zh-CN"/>
        </w:rPr>
        <w:t>自</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日起至</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日止。</w:t>
      </w:r>
    </w:p>
    <w:p w14:paraId="697F83E8">
      <w:pPr>
        <w:snapToGrid w:val="0"/>
        <w:spacing w:line="360" w:lineRule="auto"/>
        <w:ind w:firstLine="576"/>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本授权委托书签章即生效，被委托人无转委托权。</w:t>
      </w:r>
    </w:p>
    <w:tbl>
      <w:tblPr>
        <w:tblStyle w:val="22"/>
        <w:tblW w:w="88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3"/>
        <w:gridCol w:w="4416"/>
      </w:tblGrid>
      <w:tr w14:paraId="0E03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4463" w:type="dxa"/>
            <w:vAlign w:val="center"/>
          </w:tcPr>
          <w:p w14:paraId="14B36C97">
            <w:pPr>
              <w:pStyle w:val="53"/>
              <w:spacing w:line="360" w:lineRule="auto"/>
              <w:jc w:val="center"/>
              <w:rPr>
                <w:highlight w:val="none"/>
              </w:rPr>
            </w:pPr>
            <w:r>
              <w:rPr>
                <w:rFonts w:hint="eastAsia"/>
                <w:highlight w:val="none"/>
              </w:rPr>
              <w:t>法定代表人身份证复印件</w:t>
            </w:r>
          </w:p>
          <w:p w14:paraId="6892879C">
            <w:pPr>
              <w:pStyle w:val="53"/>
              <w:spacing w:line="360" w:lineRule="auto"/>
              <w:jc w:val="center"/>
              <w:rPr>
                <w:highlight w:val="none"/>
              </w:rPr>
            </w:pPr>
            <w:r>
              <w:rPr>
                <w:rFonts w:hint="eastAsia"/>
                <w:highlight w:val="none"/>
              </w:rPr>
              <w:t>正面</w:t>
            </w:r>
          </w:p>
          <w:p w14:paraId="66AE71D6">
            <w:pPr>
              <w:pStyle w:val="53"/>
              <w:spacing w:line="360" w:lineRule="auto"/>
              <w:jc w:val="center"/>
              <w:rPr>
                <w:highlight w:val="none"/>
              </w:rPr>
            </w:pPr>
            <w:r>
              <w:rPr>
                <w:rFonts w:hint="eastAsia"/>
                <w:highlight w:val="none"/>
              </w:rPr>
              <w:t>（身份证复印件需清晰可辨认）</w:t>
            </w:r>
          </w:p>
        </w:tc>
        <w:tc>
          <w:tcPr>
            <w:tcW w:w="4416" w:type="dxa"/>
            <w:vAlign w:val="center"/>
          </w:tcPr>
          <w:p w14:paraId="345F9B2C">
            <w:pPr>
              <w:pStyle w:val="53"/>
              <w:spacing w:line="360" w:lineRule="auto"/>
              <w:jc w:val="center"/>
              <w:rPr>
                <w:highlight w:val="none"/>
              </w:rPr>
            </w:pPr>
            <w:r>
              <w:rPr>
                <w:rFonts w:hint="eastAsia"/>
                <w:highlight w:val="none"/>
              </w:rPr>
              <w:t>被授权人身份证复印件</w:t>
            </w:r>
          </w:p>
          <w:p w14:paraId="57FA8944">
            <w:pPr>
              <w:pStyle w:val="53"/>
              <w:spacing w:line="360" w:lineRule="auto"/>
              <w:jc w:val="center"/>
              <w:rPr>
                <w:highlight w:val="none"/>
              </w:rPr>
            </w:pPr>
            <w:r>
              <w:rPr>
                <w:rFonts w:hint="eastAsia"/>
                <w:highlight w:val="none"/>
              </w:rPr>
              <w:t>正面</w:t>
            </w:r>
          </w:p>
          <w:p w14:paraId="64974ED2">
            <w:pPr>
              <w:pStyle w:val="53"/>
              <w:spacing w:line="360" w:lineRule="auto"/>
              <w:jc w:val="center"/>
              <w:rPr>
                <w:highlight w:val="none"/>
              </w:rPr>
            </w:pPr>
            <w:r>
              <w:rPr>
                <w:rFonts w:hint="eastAsia"/>
                <w:highlight w:val="none"/>
              </w:rPr>
              <w:t>（身份证复印件需清晰可辨认）</w:t>
            </w:r>
          </w:p>
        </w:tc>
      </w:tr>
      <w:tr w14:paraId="5041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4463" w:type="dxa"/>
            <w:vAlign w:val="center"/>
          </w:tcPr>
          <w:p w14:paraId="35025974">
            <w:pPr>
              <w:pStyle w:val="53"/>
              <w:spacing w:line="360" w:lineRule="auto"/>
              <w:jc w:val="center"/>
              <w:rPr>
                <w:highlight w:val="none"/>
              </w:rPr>
            </w:pPr>
            <w:r>
              <w:rPr>
                <w:rFonts w:hint="eastAsia"/>
                <w:highlight w:val="none"/>
              </w:rPr>
              <w:t>法定代表人身份证复印件</w:t>
            </w:r>
          </w:p>
          <w:p w14:paraId="7DFCD6EB">
            <w:pPr>
              <w:pStyle w:val="53"/>
              <w:spacing w:line="360" w:lineRule="auto"/>
              <w:jc w:val="center"/>
              <w:rPr>
                <w:highlight w:val="none"/>
              </w:rPr>
            </w:pPr>
            <w:r>
              <w:rPr>
                <w:rFonts w:hint="eastAsia"/>
                <w:highlight w:val="none"/>
              </w:rPr>
              <w:t>反面</w:t>
            </w:r>
          </w:p>
          <w:p w14:paraId="4EE0CFF3">
            <w:pPr>
              <w:pStyle w:val="53"/>
              <w:spacing w:line="360" w:lineRule="auto"/>
              <w:jc w:val="center"/>
              <w:rPr>
                <w:highlight w:val="none"/>
              </w:rPr>
            </w:pPr>
            <w:r>
              <w:rPr>
                <w:rFonts w:hint="eastAsia"/>
                <w:highlight w:val="none"/>
              </w:rPr>
              <w:t>（身份证复印件需清晰可辨认）</w:t>
            </w:r>
          </w:p>
        </w:tc>
        <w:tc>
          <w:tcPr>
            <w:tcW w:w="4416" w:type="dxa"/>
            <w:vAlign w:val="center"/>
          </w:tcPr>
          <w:p w14:paraId="591511D0">
            <w:pPr>
              <w:pStyle w:val="53"/>
              <w:spacing w:line="360" w:lineRule="auto"/>
              <w:jc w:val="center"/>
              <w:rPr>
                <w:highlight w:val="none"/>
              </w:rPr>
            </w:pPr>
            <w:r>
              <w:rPr>
                <w:rFonts w:hint="eastAsia"/>
                <w:highlight w:val="none"/>
              </w:rPr>
              <w:t>被授权人身份证复印件</w:t>
            </w:r>
          </w:p>
          <w:p w14:paraId="6D79812C">
            <w:pPr>
              <w:pStyle w:val="53"/>
              <w:spacing w:line="360" w:lineRule="auto"/>
              <w:jc w:val="center"/>
              <w:rPr>
                <w:highlight w:val="none"/>
              </w:rPr>
            </w:pPr>
            <w:r>
              <w:rPr>
                <w:rFonts w:hint="eastAsia"/>
                <w:highlight w:val="none"/>
              </w:rPr>
              <w:t>反面</w:t>
            </w:r>
          </w:p>
          <w:p w14:paraId="00EEEED7">
            <w:pPr>
              <w:pStyle w:val="53"/>
              <w:spacing w:line="360" w:lineRule="auto"/>
              <w:jc w:val="center"/>
              <w:rPr>
                <w:highlight w:val="none"/>
              </w:rPr>
            </w:pPr>
            <w:r>
              <w:rPr>
                <w:rFonts w:hint="eastAsia"/>
                <w:highlight w:val="none"/>
              </w:rPr>
              <w:t>（身份证复印件需清晰可辨认）</w:t>
            </w:r>
          </w:p>
        </w:tc>
      </w:tr>
    </w:tbl>
    <w:p w14:paraId="39735AFF">
      <w:pPr>
        <w:pStyle w:val="32"/>
        <w:spacing w:after="480" w:line="360" w:lineRule="auto"/>
        <w:rPr>
          <w:highlight w:val="none"/>
        </w:rPr>
      </w:pPr>
    </w:p>
    <w:p w14:paraId="41FE859A">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lang w:val="zh-CN"/>
        </w:rPr>
        <w:t>特此告知。</w:t>
      </w:r>
    </w:p>
    <w:p w14:paraId="0E547428">
      <w:pPr>
        <w:snapToGrid w:val="0"/>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                                    </w:t>
      </w: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lang w:val="zh-CN"/>
        </w:rPr>
        <w:t xml:space="preserve"> </w:t>
      </w: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lang w:val="zh-CN"/>
        </w:rPr>
        <w:t>投标人名称(</w:t>
      </w:r>
      <w:r>
        <w:rPr>
          <w:rFonts w:hint="eastAsia" w:ascii="仿宋" w:hAnsi="仿宋" w:eastAsia="仿宋" w:cs="仿宋"/>
          <w:sz w:val="24"/>
          <w:highlight w:val="none"/>
          <w:lang w:val="zh-CN"/>
        </w:rPr>
        <w:t>公章</w:t>
      </w:r>
      <w:r>
        <w:rPr>
          <w:rFonts w:hint="eastAsia" w:ascii="仿宋" w:hAnsi="仿宋" w:eastAsia="仿宋" w:cs="仿宋"/>
          <w:kern w:val="0"/>
          <w:sz w:val="24"/>
          <w:highlight w:val="none"/>
          <w:lang w:val="zh-CN"/>
        </w:rPr>
        <w:t>)：</w:t>
      </w:r>
    </w:p>
    <w:p w14:paraId="5AEDE7B8">
      <w:pPr>
        <w:snapToGrid w:val="0"/>
        <w:spacing w:line="360" w:lineRule="auto"/>
        <w:ind w:firstLine="4800" w:firstLineChars="200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法定代表人或授权委托人：（签字或盖章）</w:t>
      </w:r>
    </w:p>
    <w:p w14:paraId="004B2B98">
      <w:pPr>
        <w:snapToGrid w:val="0"/>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                                       </w:t>
      </w: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lang w:val="zh-CN"/>
        </w:rPr>
        <w:t>日期：  年  月   日</w:t>
      </w:r>
    </w:p>
    <w:p w14:paraId="5A44A29C">
      <w:pPr>
        <w:snapToGrid w:val="0"/>
        <w:spacing w:line="360" w:lineRule="auto"/>
        <w:rPr>
          <w:rFonts w:ascii="仿宋" w:hAnsi="仿宋" w:eastAsia="仿宋" w:cs="仿宋"/>
          <w:sz w:val="24"/>
          <w:highlight w:val="none"/>
        </w:rPr>
      </w:pPr>
    </w:p>
    <w:p w14:paraId="3F37620D">
      <w:pPr>
        <w:snapToGrid w:val="0"/>
        <w:spacing w:line="360" w:lineRule="auto"/>
        <w:rPr>
          <w:rFonts w:ascii="仿宋" w:hAnsi="仿宋" w:eastAsia="仿宋" w:cs="仿宋"/>
          <w:sz w:val="24"/>
          <w:highlight w:val="none"/>
        </w:rPr>
      </w:pPr>
    </w:p>
    <w:p w14:paraId="08A71224">
      <w:pPr>
        <w:spacing w:line="360" w:lineRule="auto"/>
        <w:rPr>
          <w:highlight w:val="none"/>
        </w:rPr>
      </w:pPr>
      <w:r>
        <w:rPr>
          <w:rFonts w:hint="eastAsia" w:ascii="仿宋" w:hAnsi="仿宋" w:eastAsia="仿宋" w:cs="仿宋"/>
          <w:sz w:val="24"/>
          <w:highlight w:val="none"/>
        </w:rPr>
        <w:br w:type="page"/>
      </w:r>
    </w:p>
    <w:p w14:paraId="026C18D3">
      <w:pPr>
        <w:autoSpaceDE w:val="0"/>
        <w:autoSpaceDN w:val="0"/>
        <w:spacing w:line="360" w:lineRule="auto"/>
        <w:jc w:val="center"/>
        <w:rPr>
          <w:rFonts w:ascii="仿宋_GB2312" w:hAnsi="仿宋" w:eastAsia="仿宋_GB2312" w:cs="仿宋_GB2312"/>
          <w:b/>
          <w:sz w:val="24"/>
          <w:szCs w:val="24"/>
          <w:highlight w:val="none"/>
        </w:rPr>
      </w:pPr>
      <w:r>
        <w:rPr>
          <w:rFonts w:hint="eastAsia" w:ascii="仿宋_GB2312" w:hAnsi="仿宋" w:eastAsia="仿宋_GB2312" w:cs="仿宋_GB2312"/>
          <w:b/>
          <w:kern w:val="0"/>
          <w:sz w:val="24"/>
          <w:szCs w:val="24"/>
          <w:highlight w:val="none"/>
          <w:lang w:val="zh-CN"/>
        </w:rPr>
        <w:t>法定代表人、单位负责人或自然人本人</w:t>
      </w:r>
      <w:r>
        <w:rPr>
          <w:rFonts w:hint="eastAsia" w:ascii="仿宋_GB2312" w:hAnsi="仿宋" w:eastAsia="仿宋_GB2312" w:cs="仿宋_GB2312"/>
          <w:b/>
          <w:sz w:val="24"/>
          <w:szCs w:val="24"/>
          <w:highlight w:val="none"/>
        </w:rPr>
        <w:t>的身份证明</w:t>
      </w:r>
    </w:p>
    <w:p w14:paraId="17E70099">
      <w:pPr>
        <w:pStyle w:val="42"/>
        <w:spacing w:line="360" w:lineRule="auto"/>
        <w:rPr>
          <w:rFonts w:ascii="仿宋_GB2312" w:hAnsi="仿宋" w:eastAsia="仿宋_GB2312"/>
          <w:bCs/>
          <w:sz w:val="24"/>
          <w:highlight w:val="none"/>
        </w:rPr>
      </w:pPr>
      <w:r>
        <w:rPr>
          <w:rFonts w:hint="eastAsia" w:ascii="仿宋_GB2312" w:hAnsi="仿宋" w:eastAsia="仿宋_GB2312"/>
          <w:bCs/>
          <w:sz w:val="24"/>
          <w:highlight w:val="none"/>
        </w:rPr>
        <w:t>身份证件扫描件：</w:t>
      </w:r>
    </w:p>
    <w:tbl>
      <w:tblPr>
        <w:tblStyle w:val="2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391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8791EE4">
            <w:pPr>
              <w:pStyle w:val="42"/>
              <w:adjustRightInd w:val="0"/>
              <w:spacing w:line="360" w:lineRule="auto"/>
              <w:rPr>
                <w:rFonts w:ascii="仿宋_GB2312" w:hAnsi="仿宋" w:eastAsia="仿宋_GB2312"/>
                <w:bCs/>
                <w:sz w:val="24"/>
                <w:highlight w:val="none"/>
              </w:rPr>
            </w:pPr>
            <w:r>
              <w:rPr>
                <w:rFonts w:hint="eastAsia" w:ascii="仿宋_GB2312" w:hAnsi="仿宋" w:eastAsia="仿宋_GB2312"/>
                <w:bCs/>
                <w:sz w:val="24"/>
                <w:highlight w:val="none"/>
              </w:rPr>
              <w:t>正面：</w:t>
            </w:r>
            <w:r>
              <w:rPr>
                <w:rFonts w:ascii="仿宋_GB2312" w:hAnsi="仿宋" w:eastAsia="仿宋_GB2312"/>
                <w:bCs/>
                <w:sz w:val="24"/>
                <w:highlight w:val="none"/>
              </w:rPr>
              <w:t xml:space="preserve">                                 </w:t>
            </w:r>
            <w:r>
              <w:rPr>
                <w:rFonts w:hint="eastAsia" w:ascii="仿宋_GB2312" w:hAnsi="仿宋" w:eastAsia="仿宋_GB2312"/>
                <w:bCs/>
                <w:sz w:val="24"/>
                <w:highlight w:val="none"/>
              </w:rPr>
              <w:t>反面：</w:t>
            </w:r>
          </w:p>
          <w:p w14:paraId="1E8050E3">
            <w:pPr>
              <w:pStyle w:val="42"/>
              <w:adjustRightInd w:val="0"/>
              <w:spacing w:line="360" w:lineRule="auto"/>
              <w:rPr>
                <w:rFonts w:ascii="仿宋_GB2312" w:hAnsi="仿宋" w:eastAsia="仿宋_GB2312"/>
                <w:bCs/>
                <w:sz w:val="24"/>
                <w:highlight w:val="none"/>
              </w:rPr>
            </w:pPr>
          </w:p>
        </w:tc>
      </w:tr>
    </w:tbl>
    <w:p w14:paraId="62ED836A">
      <w:pPr>
        <w:snapToGrid w:val="0"/>
        <w:spacing w:line="360" w:lineRule="auto"/>
        <w:ind w:firstLine="576"/>
        <w:jc w:val="center"/>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 xml:space="preserve">                 </w:t>
      </w:r>
    </w:p>
    <w:p w14:paraId="60FE6D32">
      <w:pPr>
        <w:snapToGrid w:val="0"/>
        <w:spacing w:line="360" w:lineRule="auto"/>
        <w:ind w:firstLine="576"/>
        <w:jc w:val="center"/>
        <w:rPr>
          <w:rFonts w:hint="eastAsia" w:ascii="仿宋_GB2312" w:hAnsi="仿宋" w:eastAsia="仿宋_GB2312" w:cs="仿宋_GB2312"/>
          <w:kern w:val="0"/>
          <w:sz w:val="24"/>
          <w:highlight w:val="none"/>
          <w:lang w:val="en-US" w:eastAsia="zh-CN"/>
        </w:rPr>
      </w:pPr>
      <w:r>
        <w:rPr>
          <w:rFonts w:ascii="仿宋_GB2312" w:hAnsi="仿宋" w:eastAsia="仿宋_GB2312" w:cs="仿宋_GB2312"/>
          <w:kern w:val="0"/>
          <w:sz w:val="24"/>
          <w:highlight w:val="none"/>
          <w:lang w:val="zh-CN"/>
        </w:rPr>
        <w:t xml:space="preserve">                  </w:t>
      </w:r>
      <w:r>
        <w:rPr>
          <w:rFonts w:hint="eastAsia" w:ascii="仿宋_GB2312" w:hAnsi="仿宋" w:eastAsia="仿宋_GB2312" w:cs="仿宋_GB2312"/>
          <w:kern w:val="0"/>
          <w:sz w:val="24"/>
          <w:highlight w:val="none"/>
          <w:lang w:val="en-US" w:eastAsia="zh-CN"/>
        </w:rPr>
        <w:t>.</w:t>
      </w:r>
    </w:p>
    <w:p w14:paraId="3252BFCA">
      <w:pPr>
        <w:snapToGrid w:val="0"/>
        <w:spacing w:line="360" w:lineRule="auto"/>
        <w:ind w:firstLine="576"/>
        <w:jc w:val="center"/>
        <w:rPr>
          <w:rFonts w:hint="eastAsia" w:ascii="仿宋_GB2312" w:hAnsi="仿宋" w:eastAsia="仿宋_GB2312" w:cs="仿宋_GB2312"/>
          <w:kern w:val="0"/>
          <w:sz w:val="24"/>
          <w:highlight w:val="none"/>
          <w:lang w:val="en-US" w:eastAsia="zh-CN"/>
        </w:rPr>
      </w:pPr>
      <w:r>
        <w:rPr>
          <w:rFonts w:hint="eastAsia" w:ascii="仿宋_GB2312" w:hAnsi="仿宋" w:eastAsia="仿宋_GB2312" w:cs="仿宋_GB2312"/>
          <w:kern w:val="0"/>
          <w:sz w:val="24"/>
          <w:highlight w:val="none"/>
          <w:lang w:val="en-US" w:eastAsia="zh-CN"/>
        </w:rPr>
        <w:t xml:space="preserve">             </w:t>
      </w:r>
    </w:p>
    <w:p w14:paraId="1C9DDB1A">
      <w:pPr>
        <w:snapToGrid w:val="0"/>
        <w:spacing w:line="360" w:lineRule="auto"/>
        <w:ind w:firstLine="576"/>
        <w:jc w:val="center"/>
        <w:rPr>
          <w:rFonts w:hint="eastAsia" w:ascii="仿宋_GB2312" w:hAnsi="仿宋" w:eastAsia="仿宋_GB2312" w:cs="仿宋_GB2312"/>
          <w:kern w:val="0"/>
          <w:sz w:val="24"/>
          <w:highlight w:val="none"/>
          <w:lang w:val="en-US" w:eastAsia="zh-CN"/>
        </w:rPr>
      </w:pPr>
    </w:p>
    <w:p w14:paraId="6DA3DABA">
      <w:pPr>
        <w:snapToGrid w:val="0"/>
        <w:spacing w:line="360" w:lineRule="auto"/>
        <w:ind w:firstLine="576"/>
        <w:jc w:val="center"/>
        <w:rPr>
          <w:rFonts w:hint="eastAsia" w:ascii="仿宋_GB2312" w:hAnsi="仿宋" w:eastAsia="仿宋_GB2312" w:cs="仿宋_GB2312"/>
          <w:kern w:val="0"/>
          <w:sz w:val="24"/>
          <w:highlight w:val="none"/>
          <w:lang w:val="en-US" w:eastAsia="zh-CN"/>
        </w:rPr>
      </w:pPr>
    </w:p>
    <w:p w14:paraId="3F91FE94">
      <w:pPr>
        <w:snapToGrid w:val="0"/>
        <w:spacing w:line="360" w:lineRule="auto"/>
        <w:ind w:firstLine="576"/>
        <w:jc w:val="center"/>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en-US" w:eastAsia="zh-CN"/>
        </w:rPr>
        <w:t xml:space="preserve">           </w:t>
      </w:r>
      <w:r>
        <w:rPr>
          <w:rFonts w:ascii="仿宋_GB2312" w:hAnsi="仿宋" w:eastAsia="仿宋_GB2312" w:cs="仿宋_GB2312"/>
          <w:kern w:val="0"/>
          <w:sz w:val="24"/>
          <w:highlight w:val="none"/>
          <w:lang w:val="zh-CN"/>
        </w:rPr>
        <w:t>投标人名称(</w:t>
      </w:r>
      <w:r>
        <w:rPr>
          <w:rFonts w:hint="eastAsia" w:ascii="仿宋_GB2312" w:hAnsi="仿宋" w:eastAsia="仿宋_GB2312" w:cs="仿宋_GB2312"/>
          <w:kern w:val="0"/>
          <w:sz w:val="24"/>
          <w:highlight w:val="none"/>
          <w:lang w:val="zh-CN"/>
        </w:rPr>
        <w:t>盖供应商公章</w:t>
      </w:r>
      <w:r>
        <w:rPr>
          <w:rFonts w:ascii="仿宋_GB2312" w:hAnsi="仿宋" w:eastAsia="仿宋_GB2312" w:cs="仿宋_GB2312"/>
          <w:kern w:val="0"/>
          <w:sz w:val="24"/>
          <w:highlight w:val="none"/>
          <w:lang w:val="zh-CN"/>
        </w:rPr>
        <w:t xml:space="preserve">)：                              </w:t>
      </w:r>
    </w:p>
    <w:p w14:paraId="230D7125">
      <w:pPr>
        <w:spacing w:line="360" w:lineRule="auto"/>
        <w:jc w:val="center"/>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 xml:space="preserve">                   日期：  年  月  日</w:t>
      </w:r>
    </w:p>
    <w:p w14:paraId="55878730">
      <w:pPr>
        <w:jc w:val="center"/>
        <w:rPr>
          <w:rFonts w:ascii="仿宋_GB2312" w:hAnsi="仿宋" w:eastAsia="仿宋_GB2312" w:cs="仿宋_GB2312"/>
          <w:b/>
          <w:kern w:val="0"/>
          <w:sz w:val="32"/>
          <w:szCs w:val="32"/>
          <w:highlight w:val="none"/>
        </w:rPr>
      </w:pPr>
    </w:p>
    <w:p w14:paraId="2253AE6F">
      <w:pPr>
        <w:jc w:val="center"/>
        <w:rPr>
          <w:rFonts w:ascii="仿宋_GB2312" w:hAnsi="仿宋" w:eastAsia="仿宋_GB2312" w:cs="仿宋_GB2312"/>
          <w:b/>
          <w:kern w:val="0"/>
          <w:sz w:val="32"/>
          <w:szCs w:val="32"/>
          <w:highlight w:val="none"/>
        </w:rPr>
      </w:pPr>
    </w:p>
    <w:p w14:paraId="57887D55">
      <w:pPr>
        <w:jc w:val="center"/>
        <w:rPr>
          <w:rFonts w:ascii="仿宋_GB2312" w:hAnsi="仿宋" w:eastAsia="仿宋_GB2312" w:cs="仿宋_GB2312"/>
          <w:b/>
          <w:kern w:val="0"/>
          <w:sz w:val="32"/>
          <w:szCs w:val="32"/>
          <w:highlight w:val="none"/>
        </w:rPr>
      </w:pPr>
    </w:p>
    <w:p w14:paraId="3D337719">
      <w:pPr>
        <w:jc w:val="center"/>
        <w:rPr>
          <w:rFonts w:ascii="仿宋_GB2312" w:hAnsi="仿宋" w:eastAsia="仿宋_GB2312" w:cs="仿宋_GB2312"/>
          <w:b/>
          <w:kern w:val="0"/>
          <w:sz w:val="32"/>
          <w:szCs w:val="32"/>
          <w:highlight w:val="none"/>
        </w:rPr>
      </w:pPr>
    </w:p>
    <w:p w14:paraId="1F70A009">
      <w:pPr>
        <w:jc w:val="center"/>
        <w:rPr>
          <w:rFonts w:ascii="仿宋_GB2312" w:hAnsi="仿宋" w:eastAsia="仿宋_GB2312" w:cs="仿宋_GB2312"/>
          <w:b/>
          <w:kern w:val="0"/>
          <w:sz w:val="32"/>
          <w:szCs w:val="32"/>
          <w:highlight w:val="none"/>
        </w:rPr>
      </w:pPr>
    </w:p>
    <w:p w14:paraId="6BDAF4BD">
      <w:pPr>
        <w:jc w:val="center"/>
        <w:rPr>
          <w:rFonts w:ascii="仿宋_GB2312" w:hAnsi="仿宋" w:eastAsia="仿宋_GB2312" w:cs="仿宋_GB2312"/>
          <w:b/>
          <w:kern w:val="0"/>
          <w:sz w:val="32"/>
          <w:szCs w:val="32"/>
          <w:highlight w:val="none"/>
        </w:rPr>
      </w:pPr>
    </w:p>
    <w:p w14:paraId="32FFC190">
      <w:pPr>
        <w:pStyle w:val="2"/>
        <w:rPr>
          <w:rFonts w:ascii="仿宋_GB2312" w:hAnsi="仿宋" w:eastAsia="仿宋_GB2312" w:cs="仿宋_GB2312"/>
          <w:b/>
          <w:kern w:val="0"/>
          <w:sz w:val="32"/>
          <w:szCs w:val="32"/>
          <w:highlight w:val="none"/>
        </w:rPr>
      </w:pPr>
    </w:p>
    <w:p w14:paraId="4A26683B">
      <w:pPr>
        <w:pStyle w:val="2"/>
        <w:rPr>
          <w:rFonts w:ascii="仿宋_GB2312" w:hAnsi="仿宋" w:eastAsia="仿宋_GB2312" w:cs="仿宋_GB2312"/>
          <w:b/>
          <w:kern w:val="0"/>
          <w:sz w:val="32"/>
          <w:szCs w:val="32"/>
          <w:highlight w:val="none"/>
        </w:rPr>
      </w:pPr>
    </w:p>
    <w:p w14:paraId="5E8FFE15">
      <w:pPr>
        <w:pStyle w:val="2"/>
        <w:rPr>
          <w:rFonts w:ascii="仿宋_GB2312" w:hAnsi="仿宋" w:eastAsia="仿宋_GB2312" w:cs="仿宋_GB2312"/>
          <w:b/>
          <w:kern w:val="0"/>
          <w:sz w:val="32"/>
          <w:szCs w:val="32"/>
          <w:highlight w:val="none"/>
        </w:rPr>
      </w:pPr>
    </w:p>
    <w:p w14:paraId="22F1A30F">
      <w:pPr>
        <w:pStyle w:val="2"/>
        <w:rPr>
          <w:rFonts w:ascii="仿宋_GB2312" w:hAnsi="仿宋" w:eastAsia="仿宋_GB2312" w:cs="仿宋_GB2312"/>
          <w:b/>
          <w:kern w:val="0"/>
          <w:sz w:val="32"/>
          <w:szCs w:val="32"/>
          <w:highlight w:val="none"/>
        </w:rPr>
      </w:pPr>
    </w:p>
    <w:p w14:paraId="3D771437">
      <w:pPr>
        <w:jc w:val="both"/>
        <w:rPr>
          <w:rFonts w:ascii="仿宋_GB2312" w:hAnsi="仿宋" w:eastAsia="仿宋_GB2312" w:cs="仿宋_GB2312"/>
          <w:b/>
          <w:kern w:val="0"/>
          <w:sz w:val="32"/>
          <w:szCs w:val="32"/>
          <w:highlight w:val="none"/>
        </w:rPr>
      </w:pPr>
      <w:r>
        <w:rPr>
          <w:rFonts w:ascii="仿宋_GB2312" w:hAnsi="仿宋" w:eastAsia="仿宋_GB2312" w:cs="仿宋_GB2312"/>
          <w:b/>
          <w:kern w:val="0"/>
          <w:sz w:val="32"/>
          <w:szCs w:val="32"/>
          <w:highlight w:val="none"/>
        </w:rPr>
        <w:t xml:space="preserve">          </w:t>
      </w:r>
    </w:p>
    <w:p w14:paraId="1EE1229D">
      <w:pPr>
        <w:jc w:val="center"/>
        <w:rPr>
          <w:rFonts w:ascii="仿宋_GB2312" w:hAnsi="仿宋" w:eastAsia="仿宋_GB2312" w:cs="仿宋_GB2312"/>
          <w:b/>
          <w:kern w:val="0"/>
          <w:sz w:val="36"/>
          <w:szCs w:val="36"/>
          <w:highlight w:val="none"/>
        </w:rPr>
      </w:pPr>
    </w:p>
    <w:p w14:paraId="64A6BB44">
      <w:pPr>
        <w:jc w:val="center"/>
        <w:outlineLvl w:val="0"/>
        <w:rPr>
          <w:sz w:val="28"/>
          <w:szCs w:val="28"/>
          <w:highlight w:val="none"/>
        </w:rPr>
      </w:pPr>
      <w:bookmarkStart w:id="113" w:name="_Toc7315"/>
      <w:r>
        <w:rPr>
          <w:rFonts w:hint="eastAsia" w:ascii="仿宋_GB2312" w:hAnsi="仿宋" w:eastAsia="仿宋_GB2312" w:cs="仿宋_GB2312"/>
          <w:b/>
          <w:kern w:val="0"/>
          <w:sz w:val="28"/>
          <w:szCs w:val="28"/>
          <w:highlight w:val="none"/>
          <w:lang w:eastAsia="zh-CN"/>
        </w:rPr>
        <w:t>三</w:t>
      </w:r>
      <w:r>
        <w:rPr>
          <w:rFonts w:hint="eastAsia" w:ascii="仿宋_GB2312" w:hAnsi="仿宋" w:eastAsia="仿宋_GB2312" w:cs="仿宋_GB2312"/>
          <w:b/>
          <w:kern w:val="0"/>
          <w:sz w:val="28"/>
          <w:szCs w:val="28"/>
          <w:highlight w:val="none"/>
        </w:rPr>
        <w:t>、评标标准相应的商务技术资料</w:t>
      </w:r>
      <w:bookmarkEnd w:id="113"/>
    </w:p>
    <w:p w14:paraId="7FD889C4">
      <w:pPr>
        <w:snapToGrid w:val="0"/>
        <w:spacing w:line="360" w:lineRule="auto"/>
        <w:jc w:val="left"/>
        <w:rPr>
          <w:rFonts w:ascii="仿宋_GB2312" w:hAnsi="仿宋" w:eastAsia="仿宋_GB2312" w:cs="仿宋_GB2312"/>
          <w:b/>
          <w:sz w:val="24"/>
          <w:highlight w:val="none"/>
        </w:rPr>
      </w:pPr>
    </w:p>
    <w:p w14:paraId="1BEFFE13">
      <w:pPr>
        <w:snapToGrid w:val="0"/>
        <w:spacing w:line="360" w:lineRule="auto"/>
        <w:jc w:val="left"/>
        <w:rPr>
          <w:rFonts w:ascii="仿宋_GB2312" w:hAnsi="仿宋" w:eastAsia="仿宋_GB2312" w:cs="仿宋_GB2312"/>
          <w:b/>
          <w:sz w:val="24"/>
          <w:highlight w:val="none"/>
        </w:rPr>
      </w:pPr>
      <w:r>
        <w:rPr>
          <w:rFonts w:hint="eastAsia" w:ascii="仿宋_GB2312" w:hAnsi="仿宋" w:eastAsia="仿宋_GB2312" w:cs="仿宋_GB2312"/>
          <w:b/>
          <w:sz w:val="24"/>
          <w:highlight w:val="none"/>
        </w:rPr>
        <w:t>（按招标文件第四部分评标办法前附表中“投标文件中评标标准相应的商务技术资料目录”提供资料）</w:t>
      </w:r>
    </w:p>
    <w:p w14:paraId="40BA0E06">
      <w:pPr>
        <w:jc w:val="center"/>
        <w:rPr>
          <w:rFonts w:ascii="仿宋_GB2312" w:hAnsi="仿宋" w:eastAsia="仿宋_GB2312" w:cs="仿宋_GB2312"/>
          <w:b/>
          <w:kern w:val="0"/>
          <w:sz w:val="32"/>
          <w:szCs w:val="32"/>
          <w:highlight w:val="none"/>
        </w:rPr>
      </w:pPr>
    </w:p>
    <w:p w14:paraId="5C7C5BFF">
      <w:pPr>
        <w:jc w:val="center"/>
        <w:rPr>
          <w:rFonts w:ascii="仿宋_GB2312" w:hAnsi="仿宋" w:eastAsia="仿宋_GB2312" w:cs="仿宋_GB2312"/>
          <w:b/>
          <w:kern w:val="0"/>
          <w:sz w:val="32"/>
          <w:szCs w:val="32"/>
          <w:highlight w:val="none"/>
        </w:rPr>
      </w:pPr>
    </w:p>
    <w:p w14:paraId="01070AE5">
      <w:pPr>
        <w:jc w:val="center"/>
        <w:rPr>
          <w:rFonts w:ascii="仿宋_GB2312" w:hAnsi="仿宋" w:eastAsia="仿宋_GB2312" w:cs="仿宋_GB2312"/>
          <w:b/>
          <w:kern w:val="0"/>
          <w:sz w:val="32"/>
          <w:szCs w:val="32"/>
          <w:highlight w:val="none"/>
        </w:rPr>
      </w:pPr>
    </w:p>
    <w:p w14:paraId="7EB53AB6">
      <w:pPr>
        <w:jc w:val="center"/>
        <w:rPr>
          <w:rFonts w:ascii="仿宋_GB2312" w:hAnsi="仿宋" w:eastAsia="仿宋_GB2312" w:cs="仿宋_GB2312"/>
          <w:b/>
          <w:kern w:val="0"/>
          <w:sz w:val="32"/>
          <w:szCs w:val="32"/>
          <w:highlight w:val="none"/>
        </w:rPr>
      </w:pPr>
    </w:p>
    <w:p w14:paraId="00219DE6">
      <w:pPr>
        <w:jc w:val="center"/>
        <w:rPr>
          <w:rFonts w:ascii="仿宋_GB2312" w:hAnsi="仿宋" w:eastAsia="仿宋_GB2312" w:cs="仿宋_GB2312"/>
          <w:b/>
          <w:kern w:val="0"/>
          <w:sz w:val="32"/>
          <w:szCs w:val="32"/>
          <w:highlight w:val="none"/>
        </w:rPr>
      </w:pPr>
    </w:p>
    <w:p w14:paraId="59E08CBD">
      <w:pPr>
        <w:jc w:val="center"/>
        <w:rPr>
          <w:rFonts w:ascii="仿宋_GB2312" w:hAnsi="仿宋" w:eastAsia="仿宋_GB2312" w:cs="仿宋_GB2312"/>
          <w:b/>
          <w:kern w:val="0"/>
          <w:sz w:val="32"/>
          <w:szCs w:val="32"/>
          <w:highlight w:val="none"/>
        </w:rPr>
      </w:pPr>
    </w:p>
    <w:p w14:paraId="45635572">
      <w:pPr>
        <w:jc w:val="center"/>
        <w:rPr>
          <w:rFonts w:ascii="仿宋_GB2312" w:hAnsi="仿宋" w:eastAsia="仿宋_GB2312" w:cs="仿宋_GB2312"/>
          <w:b/>
          <w:kern w:val="0"/>
          <w:sz w:val="32"/>
          <w:szCs w:val="32"/>
          <w:highlight w:val="none"/>
        </w:rPr>
      </w:pPr>
    </w:p>
    <w:p w14:paraId="2D927594">
      <w:pPr>
        <w:jc w:val="center"/>
        <w:rPr>
          <w:rFonts w:ascii="仿宋_GB2312" w:hAnsi="仿宋" w:eastAsia="仿宋_GB2312" w:cs="仿宋_GB2312"/>
          <w:b/>
          <w:kern w:val="0"/>
          <w:sz w:val="32"/>
          <w:szCs w:val="32"/>
          <w:highlight w:val="none"/>
        </w:rPr>
      </w:pPr>
    </w:p>
    <w:p w14:paraId="3E48ADF9">
      <w:pPr>
        <w:jc w:val="center"/>
        <w:rPr>
          <w:rFonts w:ascii="仿宋_GB2312" w:hAnsi="仿宋" w:eastAsia="仿宋_GB2312" w:cs="仿宋_GB2312"/>
          <w:b/>
          <w:kern w:val="0"/>
          <w:sz w:val="32"/>
          <w:szCs w:val="32"/>
          <w:highlight w:val="none"/>
        </w:rPr>
      </w:pPr>
    </w:p>
    <w:p w14:paraId="199F18F9">
      <w:pPr>
        <w:jc w:val="center"/>
        <w:rPr>
          <w:rFonts w:ascii="仿宋_GB2312" w:hAnsi="仿宋" w:eastAsia="仿宋_GB2312" w:cs="仿宋_GB2312"/>
          <w:b/>
          <w:kern w:val="0"/>
          <w:sz w:val="32"/>
          <w:szCs w:val="32"/>
          <w:highlight w:val="none"/>
        </w:rPr>
      </w:pPr>
    </w:p>
    <w:p w14:paraId="0B5CDD4C">
      <w:pPr>
        <w:jc w:val="center"/>
        <w:rPr>
          <w:rFonts w:ascii="仿宋_GB2312" w:hAnsi="仿宋" w:eastAsia="仿宋_GB2312" w:cs="仿宋_GB2312"/>
          <w:b/>
          <w:kern w:val="0"/>
          <w:sz w:val="32"/>
          <w:szCs w:val="32"/>
          <w:highlight w:val="none"/>
        </w:rPr>
      </w:pPr>
    </w:p>
    <w:p w14:paraId="40DFFFB3">
      <w:pPr>
        <w:jc w:val="center"/>
        <w:rPr>
          <w:rFonts w:ascii="仿宋_GB2312" w:hAnsi="仿宋" w:eastAsia="仿宋_GB2312" w:cs="仿宋_GB2312"/>
          <w:b/>
          <w:kern w:val="0"/>
          <w:sz w:val="32"/>
          <w:szCs w:val="32"/>
          <w:highlight w:val="none"/>
        </w:rPr>
      </w:pPr>
    </w:p>
    <w:p w14:paraId="713565FD">
      <w:pPr>
        <w:jc w:val="center"/>
        <w:rPr>
          <w:rFonts w:ascii="仿宋_GB2312" w:hAnsi="仿宋" w:eastAsia="仿宋_GB2312" w:cs="仿宋_GB2312"/>
          <w:b/>
          <w:kern w:val="0"/>
          <w:sz w:val="32"/>
          <w:szCs w:val="32"/>
          <w:highlight w:val="none"/>
        </w:rPr>
      </w:pPr>
    </w:p>
    <w:p w14:paraId="4C1EDB79">
      <w:pPr>
        <w:jc w:val="center"/>
        <w:rPr>
          <w:rFonts w:ascii="仿宋_GB2312" w:hAnsi="仿宋" w:eastAsia="仿宋_GB2312" w:cs="仿宋_GB2312"/>
          <w:b/>
          <w:kern w:val="0"/>
          <w:sz w:val="32"/>
          <w:szCs w:val="32"/>
          <w:highlight w:val="none"/>
        </w:rPr>
      </w:pPr>
    </w:p>
    <w:p w14:paraId="1D1140CA">
      <w:pPr>
        <w:jc w:val="center"/>
        <w:rPr>
          <w:rFonts w:ascii="仿宋_GB2312" w:hAnsi="仿宋" w:eastAsia="仿宋_GB2312" w:cs="仿宋_GB2312"/>
          <w:b/>
          <w:kern w:val="0"/>
          <w:sz w:val="32"/>
          <w:szCs w:val="32"/>
          <w:highlight w:val="none"/>
        </w:rPr>
      </w:pPr>
    </w:p>
    <w:p w14:paraId="778EF69B">
      <w:pPr>
        <w:jc w:val="center"/>
        <w:rPr>
          <w:rFonts w:ascii="仿宋_GB2312" w:hAnsi="仿宋" w:eastAsia="仿宋_GB2312" w:cs="仿宋_GB2312"/>
          <w:b/>
          <w:kern w:val="0"/>
          <w:sz w:val="32"/>
          <w:szCs w:val="32"/>
          <w:highlight w:val="none"/>
        </w:rPr>
      </w:pPr>
    </w:p>
    <w:p w14:paraId="2CB3EDFD">
      <w:pPr>
        <w:jc w:val="center"/>
        <w:rPr>
          <w:rFonts w:ascii="仿宋_GB2312" w:hAnsi="仿宋" w:eastAsia="仿宋_GB2312" w:cs="仿宋_GB2312"/>
          <w:b/>
          <w:kern w:val="0"/>
          <w:sz w:val="32"/>
          <w:szCs w:val="32"/>
          <w:highlight w:val="none"/>
        </w:rPr>
      </w:pPr>
    </w:p>
    <w:p w14:paraId="0DB0C449">
      <w:pPr>
        <w:jc w:val="center"/>
        <w:rPr>
          <w:rFonts w:ascii="仿宋_GB2312" w:hAnsi="仿宋" w:eastAsia="仿宋_GB2312" w:cs="仿宋_GB2312"/>
          <w:b/>
          <w:kern w:val="0"/>
          <w:sz w:val="32"/>
          <w:szCs w:val="32"/>
          <w:highlight w:val="none"/>
        </w:rPr>
      </w:pPr>
    </w:p>
    <w:p w14:paraId="556870AC">
      <w:pPr>
        <w:pStyle w:val="2"/>
        <w:rPr>
          <w:rFonts w:ascii="仿宋_GB2312" w:hAnsi="仿宋" w:eastAsia="仿宋_GB2312" w:cs="仿宋_GB2312"/>
          <w:b/>
          <w:kern w:val="0"/>
          <w:sz w:val="32"/>
          <w:szCs w:val="32"/>
          <w:highlight w:val="none"/>
        </w:rPr>
      </w:pPr>
    </w:p>
    <w:p w14:paraId="142BA1AD">
      <w:pPr>
        <w:pStyle w:val="2"/>
        <w:rPr>
          <w:rFonts w:ascii="仿宋_GB2312" w:hAnsi="仿宋" w:eastAsia="仿宋_GB2312" w:cs="仿宋_GB2312"/>
          <w:b/>
          <w:kern w:val="0"/>
          <w:sz w:val="32"/>
          <w:szCs w:val="32"/>
          <w:highlight w:val="none"/>
        </w:rPr>
      </w:pPr>
    </w:p>
    <w:p w14:paraId="503C7BB9">
      <w:pPr>
        <w:pStyle w:val="2"/>
        <w:rPr>
          <w:rFonts w:ascii="仿宋_GB2312" w:hAnsi="仿宋" w:eastAsia="仿宋_GB2312" w:cs="仿宋_GB2312"/>
          <w:b/>
          <w:kern w:val="0"/>
          <w:sz w:val="32"/>
          <w:szCs w:val="32"/>
          <w:highlight w:val="none"/>
        </w:rPr>
      </w:pPr>
    </w:p>
    <w:p w14:paraId="44942891">
      <w:pPr>
        <w:pStyle w:val="2"/>
        <w:rPr>
          <w:rFonts w:ascii="仿宋_GB2312" w:hAnsi="仿宋" w:eastAsia="仿宋_GB2312" w:cs="仿宋_GB2312"/>
          <w:b/>
          <w:kern w:val="0"/>
          <w:sz w:val="32"/>
          <w:szCs w:val="32"/>
          <w:highlight w:val="none"/>
        </w:rPr>
      </w:pPr>
    </w:p>
    <w:p w14:paraId="01DD91D0">
      <w:pPr>
        <w:pStyle w:val="2"/>
        <w:rPr>
          <w:rFonts w:ascii="仿宋_GB2312" w:hAnsi="仿宋" w:eastAsia="仿宋_GB2312" w:cs="仿宋_GB2312"/>
          <w:b/>
          <w:kern w:val="0"/>
          <w:sz w:val="32"/>
          <w:szCs w:val="32"/>
          <w:highlight w:val="none"/>
        </w:rPr>
      </w:pPr>
    </w:p>
    <w:p w14:paraId="00BAF637">
      <w:pPr>
        <w:pStyle w:val="2"/>
        <w:rPr>
          <w:rFonts w:ascii="仿宋_GB2312" w:hAnsi="仿宋" w:eastAsia="仿宋_GB2312" w:cs="仿宋_GB2312"/>
          <w:b/>
          <w:kern w:val="0"/>
          <w:sz w:val="32"/>
          <w:szCs w:val="32"/>
          <w:highlight w:val="none"/>
        </w:rPr>
      </w:pPr>
    </w:p>
    <w:p w14:paraId="17B2254A">
      <w:pPr>
        <w:pStyle w:val="2"/>
        <w:rPr>
          <w:rFonts w:ascii="仿宋_GB2312" w:hAnsi="仿宋" w:eastAsia="仿宋_GB2312" w:cs="仿宋_GB2312"/>
          <w:b/>
          <w:kern w:val="0"/>
          <w:sz w:val="32"/>
          <w:szCs w:val="32"/>
          <w:highlight w:val="none"/>
        </w:rPr>
      </w:pPr>
    </w:p>
    <w:p w14:paraId="7008F27A">
      <w:pPr>
        <w:jc w:val="center"/>
        <w:rPr>
          <w:rFonts w:ascii="仿宋_GB2312" w:hAnsi="仿宋" w:eastAsia="仿宋_GB2312" w:cs="仿宋_GB2312"/>
          <w:b/>
          <w:kern w:val="0"/>
          <w:sz w:val="32"/>
          <w:szCs w:val="32"/>
          <w:highlight w:val="none"/>
        </w:rPr>
      </w:pPr>
    </w:p>
    <w:p w14:paraId="5B0D6257">
      <w:pPr>
        <w:jc w:val="center"/>
        <w:rPr>
          <w:rFonts w:ascii="仿宋_GB2312" w:hAnsi="仿宋" w:eastAsia="仿宋_GB2312" w:cs="仿宋_GB2312"/>
          <w:b/>
          <w:kern w:val="0"/>
          <w:sz w:val="32"/>
          <w:szCs w:val="32"/>
          <w:highlight w:val="none"/>
        </w:rPr>
      </w:pPr>
    </w:p>
    <w:p w14:paraId="7D3AB593">
      <w:pPr>
        <w:jc w:val="center"/>
        <w:outlineLvl w:val="0"/>
        <w:rPr>
          <w:rFonts w:ascii="仿宋_GB2312" w:hAnsi="仿宋" w:eastAsia="仿宋_GB2312" w:cs="仿宋_GB2312"/>
          <w:b/>
          <w:kern w:val="0"/>
          <w:sz w:val="28"/>
          <w:szCs w:val="28"/>
          <w:highlight w:val="none"/>
        </w:rPr>
      </w:pPr>
      <w:bookmarkStart w:id="114" w:name="_Toc17318"/>
      <w:r>
        <w:rPr>
          <w:rFonts w:hint="eastAsia" w:ascii="仿宋_GB2312" w:hAnsi="仿宋" w:eastAsia="仿宋_GB2312" w:cs="仿宋_GB2312"/>
          <w:b/>
          <w:kern w:val="0"/>
          <w:sz w:val="28"/>
          <w:szCs w:val="28"/>
          <w:highlight w:val="none"/>
          <w:lang w:eastAsia="zh-CN"/>
        </w:rPr>
        <w:t>四</w:t>
      </w:r>
      <w:r>
        <w:rPr>
          <w:rFonts w:hint="eastAsia" w:ascii="仿宋_GB2312" w:hAnsi="仿宋" w:eastAsia="仿宋_GB2312" w:cs="仿宋_GB2312"/>
          <w:b/>
          <w:kern w:val="0"/>
          <w:sz w:val="28"/>
          <w:szCs w:val="28"/>
          <w:highlight w:val="none"/>
        </w:rPr>
        <w:t>、商务技术偏离表</w:t>
      </w:r>
      <w:bookmarkEnd w:id="114"/>
    </w:p>
    <w:p w14:paraId="18B08145">
      <w:pPr>
        <w:jc w:val="center"/>
        <w:rPr>
          <w:rFonts w:ascii="仿宋_GB2312" w:hAnsi="仿宋" w:eastAsia="仿宋_GB2312"/>
          <w:b/>
          <w:bCs/>
          <w:sz w:val="24"/>
          <w:highlight w:val="none"/>
        </w:rPr>
      </w:pPr>
    </w:p>
    <w:tbl>
      <w:tblPr>
        <w:tblStyle w:val="2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C55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3020DFB2">
            <w:pPr>
              <w:adjustRightInd w:val="0"/>
              <w:snapToGrid w:val="0"/>
              <w:spacing w:line="400" w:lineRule="exact"/>
              <w:jc w:val="center"/>
              <w:rPr>
                <w:rFonts w:ascii="仿宋_GB2312" w:hAnsi="仿宋" w:eastAsia="仿宋_GB2312"/>
                <w:b/>
                <w:bCs/>
                <w:sz w:val="24"/>
                <w:highlight w:val="none"/>
              </w:rPr>
            </w:pPr>
            <w:r>
              <w:rPr>
                <w:rFonts w:hint="eastAsia" w:ascii="仿宋_GB2312" w:hAnsi="仿宋" w:eastAsia="仿宋_GB2312"/>
                <w:b/>
                <w:bCs/>
                <w:sz w:val="24"/>
                <w:highlight w:val="none"/>
              </w:rPr>
              <w:t>序号</w:t>
            </w:r>
          </w:p>
        </w:tc>
        <w:tc>
          <w:tcPr>
            <w:tcW w:w="3683" w:type="dxa"/>
            <w:vAlign w:val="center"/>
          </w:tcPr>
          <w:p w14:paraId="1E8054C1">
            <w:pPr>
              <w:adjustRightInd w:val="0"/>
              <w:snapToGrid w:val="0"/>
              <w:spacing w:line="400" w:lineRule="exact"/>
              <w:jc w:val="center"/>
              <w:rPr>
                <w:rFonts w:ascii="仿宋_GB2312" w:hAnsi="仿宋" w:eastAsia="仿宋_GB2312"/>
                <w:b/>
                <w:bCs/>
                <w:sz w:val="24"/>
                <w:highlight w:val="none"/>
              </w:rPr>
            </w:pPr>
            <w:r>
              <w:rPr>
                <w:rFonts w:hint="eastAsia" w:ascii="仿宋_GB2312" w:hAnsi="仿宋" w:eastAsia="仿宋_GB2312"/>
                <w:b/>
                <w:bCs/>
                <w:sz w:val="24"/>
                <w:highlight w:val="none"/>
              </w:rPr>
              <w:t>招标文件章节及具体内容</w:t>
            </w:r>
          </w:p>
        </w:tc>
        <w:tc>
          <w:tcPr>
            <w:tcW w:w="3546" w:type="dxa"/>
            <w:vAlign w:val="center"/>
          </w:tcPr>
          <w:p w14:paraId="7EF53EC0">
            <w:pPr>
              <w:adjustRightInd w:val="0"/>
              <w:snapToGrid w:val="0"/>
              <w:spacing w:line="400" w:lineRule="exact"/>
              <w:jc w:val="center"/>
              <w:rPr>
                <w:rFonts w:ascii="仿宋_GB2312" w:hAnsi="仿宋" w:eastAsia="仿宋_GB2312"/>
                <w:b/>
                <w:bCs/>
                <w:sz w:val="24"/>
                <w:highlight w:val="none"/>
              </w:rPr>
            </w:pPr>
            <w:r>
              <w:rPr>
                <w:rFonts w:hint="eastAsia" w:ascii="仿宋_GB2312" w:hAnsi="仿宋" w:eastAsia="仿宋_GB2312"/>
                <w:b/>
                <w:bCs/>
                <w:sz w:val="24"/>
                <w:highlight w:val="none"/>
              </w:rPr>
              <w:t>投标文件章节及具体内容</w:t>
            </w:r>
          </w:p>
        </w:tc>
        <w:tc>
          <w:tcPr>
            <w:tcW w:w="1276" w:type="dxa"/>
            <w:vAlign w:val="center"/>
          </w:tcPr>
          <w:p w14:paraId="13CC665D">
            <w:pPr>
              <w:adjustRightInd w:val="0"/>
              <w:snapToGrid w:val="0"/>
              <w:spacing w:line="400" w:lineRule="exact"/>
              <w:jc w:val="center"/>
              <w:rPr>
                <w:rFonts w:ascii="仿宋_GB2312" w:hAnsi="仿宋" w:eastAsia="仿宋_GB2312"/>
                <w:b/>
                <w:bCs/>
                <w:sz w:val="24"/>
                <w:highlight w:val="none"/>
              </w:rPr>
            </w:pPr>
            <w:r>
              <w:rPr>
                <w:rFonts w:hint="eastAsia" w:ascii="仿宋_GB2312" w:hAnsi="仿宋" w:eastAsia="仿宋_GB2312"/>
                <w:b/>
                <w:bCs/>
                <w:sz w:val="24"/>
                <w:highlight w:val="none"/>
              </w:rPr>
              <w:t>偏离说明</w:t>
            </w:r>
          </w:p>
        </w:tc>
      </w:tr>
      <w:tr w14:paraId="7B50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7CD244A3">
            <w:pPr>
              <w:adjustRightInd w:val="0"/>
              <w:snapToGrid w:val="0"/>
              <w:spacing w:line="400" w:lineRule="exact"/>
              <w:jc w:val="center"/>
              <w:rPr>
                <w:rFonts w:ascii="仿宋_GB2312" w:hAnsi="仿宋" w:eastAsia="仿宋_GB2312" w:cs="仿宋_GB2312"/>
                <w:kern w:val="0"/>
                <w:sz w:val="24"/>
                <w:highlight w:val="none"/>
              </w:rPr>
            </w:pPr>
            <w:r>
              <w:rPr>
                <w:rFonts w:ascii="仿宋_GB2312" w:hAnsi="仿宋" w:eastAsia="仿宋_GB2312" w:cs="仿宋_GB2312"/>
                <w:kern w:val="0"/>
                <w:sz w:val="24"/>
                <w:highlight w:val="none"/>
              </w:rPr>
              <w:t>1</w:t>
            </w:r>
          </w:p>
        </w:tc>
        <w:tc>
          <w:tcPr>
            <w:tcW w:w="3683" w:type="dxa"/>
            <w:vAlign w:val="center"/>
          </w:tcPr>
          <w:p w14:paraId="38F8B1AE">
            <w:pPr>
              <w:adjustRightInd w:val="0"/>
              <w:snapToGrid w:val="0"/>
              <w:spacing w:line="400" w:lineRule="exact"/>
              <w:jc w:val="center"/>
              <w:rPr>
                <w:rFonts w:ascii="仿宋_GB2312" w:hAnsi="仿宋" w:eastAsia="仿宋_GB2312" w:cs="仿宋_GB2312"/>
                <w:b/>
                <w:kern w:val="0"/>
                <w:sz w:val="32"/>
                <w:szCs w:val="32"/>
                <w:highlight w:val="none"/>
              </w:rPr>
            </w:pPr>
          </w:p>
        </w:tc>
        <w:tc>
          <w:tcPr>
            <w:tcW w:w="3546" w:type="dxa"/>
            <w:vAlign w:val="center"/>
          </w:tcPr>
          <w:p w14:paraId="2673269E">
            <w:pPr>
              <w:adjustRightInd w:val="0"/>
              <w:snapToGrid w:val="0"/>
              <w:spacing w:line="400" w:lineRule="exact"/>
              <w:jc w:val="center"/>
              <w:rPr>
                <w:rFonts w:ascii="仿宋_GB2312" w:hAnsi="仿宋" w:eastAsia="仿宋_GB2312" w:cs="仿宋_GB2312"/>
                <w:b/>
                <w:kern w:val="0"/>
                <w:sz w:val="32"/>
                <w:szCs w:val="32"/>
                <w:highlight w:val="none"/>
              </w:rPr>
            </w:pPr>
          </w:p>
        </w:tc>
        <w:tc>
          <w:tcPr>
            <w:tcW w:w="1276" w:type="dxa"/>
            <w:vAlign w:val="center"/>
          </w:tcPr>
          <w:p w14:paraId="1EF88ABC">
            <w:pPr>
              <w:adjustRightInd w:val="0"/>
              <w:snapToGrid w:val="0"/>
              <w:spacing w:line="400" w:lineRule="exact"/>
              <w:jc w:val="center"/>
              <w:rPr>
                <w:rFonts w:ascii="仿宋_GB2312" w:hAnsi="仿宋" w:eastAsia="仿宋_GB2312" w:cs="仿宋_GB2312"/>
                <w:b/>
                <w:kern w:val="0"/>
                <w:sz w:val="32"/>
                <w:szCs w:val="32"/>
                <w:highlight w:val="none"/>
              </w:rPr>
            </w:pPr>
          </w:p>
        </w:tc>
      </w:tr>
      <w:tr w14:paraId="0570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547473AE">
            <w:pPr>
              <w:adjustRightInd w:val="0"/>
              <w:snapToGrid w:val="0"/>
              <w:spacing w:line="400" w:lineRule="exact"/>
              <w:jc w:val="center"/>
              <w:rPr>
                <w:rFonts w:ascii="仿宋_GB2312" w:hAnsi="仿宋" w:eastAsia="仿宋_GB2312" w:cs="仿宋_GB2312"/>
                <w:kern w:val="0"/>
                <w:sz w:val="24"/>
                <w:highlight w:val="none"/>
              </w:rPr>
            </w:pPr>
            <w:r>
              <w:rPr>
                <w:rFonts w:ascii="仿宋_GB2312" w:hAnsi="仿宋" w:eastAsia="仿宋_GB2312" w:cs="仿宋_GB2312"/>
                <w:kern w:val="0"/>
                <w:sz w:val="24"/>
                <w:highlight w:val="none"/>
              </w:rPr>
              <w:t>2</w:t>
            </w:r>
          </w:p>
        </w:tc>
        <w:tc>
          <w:tcPr>
            <w:tcW w:w="3683" w:type="dxa"/>
            <w:vAlign w:val="center"/>
          </w:tcPr>
          <w:p w14:paraId="4A79AB77">
            <w:pPr>
              <w:adjustRightInd w:val="0"/>
              <w:snapToGrid w:val="0"/>
              <w:spacing w:line="400" w:lineRule="exact"/>
              <w:jc w:val="center"/>
              <w:rPr>
                <w:rFonts w:ascii="仿宋_GB2312" w:hAnsi="仿宋" w:eastAsia="仿宋_GB2312" w:cs="仿宋_GB2312"/>
                <w:b/>
                <w:kern w:val="0"/>
                <w:sz w:val="32"/>
                <w:szCs w:val="32"/>
                <w:highlight w:val="none"/>
              </w:rPr>
            </w:pPr>
          </w:p>
        </w:tc>
        <w:tc>
          <w:tcPr>
            <w:tcW w:w="3546" w:type="dxa"/>
            <w:vAlign w:val="center"/>
          </w:tcPr>
          <w:p w14:paraId="2F4C8FC0">
            <w:pPr>
              <w:adjustRightInd w:val="0"/>
              <w:snapToGrid w:val="0"/>
              <w:spacing w:line="400" w:lineRule="exact"/>
              <w:jc w:val="center"/>
              <w:rPr>
                <w:rFonts w:ascii="仿宋_GB2312" w:hAnsi="仿宋" w:eastAsia="仿宋_GB2312" w:cs="仿宋_GB2312"/>
                <w:b/>
                <w:kern w:val="0"/>
                <w:sz w:val="32"/>
                <w:szCs w:val="32"/>
                <w:highlight w:val="none"/>
              </w:rPr>
            </w:pPr>
          </w:p>
        </w:tc>
        <w:tc>
          <w:tcPr>
            <w:tcW w:w="1276" w:type="dxa"/>
            <w:vAlign w:val="center"/>
          </w:tcPr>
          <w:p w14:paraId="76DDE0DA">
            <w:pPr>
              <w:adjustRightInd w:val="0"/>
              <w:snapToGrid w:val="0"/>
              <w:spacing w:line="400" w:lineRule="exact"/>
              <w:jc w:val="center"/>
              <w:rPr>
                <w:rFonts w:ascii="仿宋_GB2312" w:hAnsi="仿宋" w:eastAsia="仿宋_GB2312" w:cs="仿宋_GB2312"/>
                <w:b/>
                <w:kern w:val="0"/>
                <w:sz w:val="32"/>
                <w:szCs w:val="32"/>
                <w:highlight w:val="none"/>
              </w:rPr>
            </w:pPr>
          </w:p>
        </w:tc>
      </w:tr>
      <w:tr w14:paraId="0905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78E6C99A">
            <w:pPr>
              <w:adjustRightInd w:val="0"/>
              <w:snapToGrid w:val="0"/>
              <w:spacing w:line="400" w:lineRule="exact"/>
              <w:jc w:val="center"/>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w:t>
            </w:r>
          </w:p>
        </w:tc>
        <w:tc>
          <w:tcPr>
            <w:tcW w:w="3683" w:type="dxa"/>
            <w:vAlign w:val="center"/>
          </w:tcPr>
          <w:p w14:paraId="11C41497">
            <w:pPr>
              <w:adjustRightInd w:val="0"/>
              <w:snapToGrid w:val="0"/>
              <w:spacing w:line="400" w:lineRule="exact"/>
              <w:jc w:val="center"/>
              <w:rPr>
                <w:rFonts w:ascii="仿宋_GB2312" w:hAnsi="仿宋" w:eastAsia="仿宋_GB2312" w:cs="仿宋_GB2312"/>
                <w:b/>
                <w:kern w:val="0"/>
                <w:sz w:val="32"/>
                <w:szCs w:val="32"/>
                <w:highlight w:val="none"/>
              </w:rPr>
            </w:pPr>
          </w:p>
        </w:tc>
        <w:tc>
          <w:tcPr>
            <w:tcW w:w="3546" w:type="dxa"/>
            <w:vAlign w:val="center"/>
          </w:tcPr>
          <w:p w14:paraId="109A3EEE">
            <w:pPr>
              <w:adjustRightInd w:val="0"/>
              <w:snapToGrid w:val="0"/>
              <w:spacing w:line="400" w:lineRule="exact"/>
              <w:jc w:val="center"/>
              <w:rPr>
                <w:rFonts w:ascii="仿宋_GB2312" w:hAnsi="仿宋" w:eastAsia="仿宋_GB2312" w:cs="仿宋_GB2312"/>
                <w:b/>
                <w:kern w:val="0"/>
                <w:sz w:val="32"/>
                <w:szCs w:val="32"/>
                <w:highlight w:val="none"/>
              </w:rPr>
            </w:pPr>
          </w:p>
        </w:tc>
        <w:tc>
          <w:tcPr>
            <w:tcW w:w="1276" w:type="dxa"/>
            <w:vAlign w:val="center"/>
          </w:tcPr>
          <w:p w14:paraId="2BBA75E9">
            <w:pPr>
              <w:adjustRightInd w:val="0"/>
              <w:snapToGrid w:val="0"/>
              <w:spacing w:line="400" w:lineRule="exact"/>
              <w:jc w:val="center"/>
              <w:rPr>
                <w:rFonts w:ascii="仿宋_GB2312" w:hAnsi="仿宋" w:eastAsia="仿宋_GB2312" w:cs="仿宋_GB2312"/>
                <w:b/>
                <w:kern w:val="0"/>
                <w:sz w:val="32"/>
                <w:szCs w:val="32"/>
                <w:highlight w:val="none"/>
              </w:rPr>
            </w:pPr>
          </w:p>
        </w:tc>
      </w:tr>
    </w:tbl>
    <w:p w14:paraId="3F35083F">
      <w:pPr>
        <w:jc w:val="left"/>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投标人保证：除商务技术偏离表列出的偏离外，投标人响应招标文件的全部要求</w:t>
      </w:r>
    </w:p>
    <w:p w14:paraId="3D5677D5">
      <w:pPr>
        <w:jc w:val="center"/>
        <w:rPr>
          <w:rFonts w:ascii="仿宋_GB2312" w:hAnsi="仿宋" w:eastAsia="仿宋_GB2312" w:cs="仿宋_GB2312"/>
          <w:b/>
          <w:kern w:val="0"/>
          <w:sz w:val="32"/>
          <w:szCs w:val="32"/>
          <w:highlight w:val="none"/>
        </w:rPr>
      </w:pPr>
    </w:p>
    <w:p w14:paraId="1018A8CA">
      <w:pPr>
        <w:rPr>
          <w:rFonts w:hint="eastAsia" w:ascii="仿宋_GB2312" w:hAnsi="仿宋" w:eastAsia="仿宋_GB2312" w:cs="仿宋_GB2312"/>
          <w:b/>
          <w:kern w:val="0"/>
          <w:sz w:val="32"/>
          <w:szCs w:val="32"/>
          <w:highlight w:val="none"/>
          <w:lang w:eastAsia="zh-CN"/>
        </w:rPr>
      </w:pPr>
      <w:r>
        <w:rPr>
          <w:rFonts w:hint="eastAsia" w:ascii="仿宋_GB2312" w:hAnsi="仿宋" w:eastAsia="仿宋_GB2312" w:cs="仿宋_GB2312"/>
          <w:b/>
          <w:kern w:val="0"/>
          <w:sz w:val="32"/>
          <w:szCs w:val="32"/>
          <w:highlight w:val="none"/>
        </w:rPr>
        <w:br w:type="page"/>
      </w:r>
    </w:p>
    <w:p w14:paraId="050F7DE4">
      <w:pPr>
        <w:ind w:firstLine="1673" w:firstLineChars="595"/>
        <w:rPr>
          <w:rFonts w:ascii="仿宋_GB2312" w:hAnsi="仿宋" w:eastAsia="仿宋_GB2312" w:cs="仿宋_GB2312"/>
          <w:b/>
          <w:kern w:val="0"/>
          <w:sz w:val="28"/>
          <w:szCs w:val="28"/>
          <w:highlight w:val="none"/>
        </w:rPr>
      </w:pPr>
      <w:r>
        <w:rPr>
          <w:rFonts w:hint="eastAsia" w:ascii="仿宋_GB2312" w:hAnsi="仿宋" w:eastAsia="仿宋_GB2312" w:cs="仿宋_GB2312"/>
          <w:b/>
          <w:kern w:val="0"/>
          <w:sz w:val="28"/>
          <w:szCs w:val="28"/>
          <w:highlight w:val="none"/>
          <w:lang w:eastAsia="zh-CN"/>
        </w:rPr>
        <w:t>五</w:t>
      </w:r>
      <w:r>
        <w:rPr>
          <w:rFonts w:hint="eastAsia" w:ascii="仿宋_GB2312" w:hAnsi="仿宋" w:eastAsia="仿宋_GB2312" w:cs="仿宋_GB2312"/>
          <w:b/>
          <w:kern w:val="0"/>
          <w:sz w:val="28"/>
          <w:szCs w:val="28"/>
          <w:highlight w:val="none"/>
        </w:rPr>
        <w:t>、</w:t>
      </w:r>
      <w:r>
        <w:rPr>
          <w:rFonts w:hint="eastAsia" w:ascii="仿宋_GB2312" w:hAnsi="仿宋" w:eastAsia="仿宋_GB2312" w:cs="仿宋_GB2312"/>
          <w:b/>
          <w:kern w:val="0"/>
          <w:sz w:val="28"/>
          <w:szCs w:val="28"/>
          <w:highlight w:val="none"/>
          <w:lang w:val="zh-CN"/>
        </w:rPr>
        <w:t>政府采购供应商廉洁自律承诺书</w:t>
      </w:r>
    </w:p>
    <w:p w14:paraId="31DF12F5">
      <w:pPr>
        <w:snapToGrid w:val="0"/>
        <w:spacing w:line="360" w:lineRule="auto"/>
        <w:rPr>
          <w:rFonts w:ascii="仿宋_GB2312" w:hAnsi="仿宋" w:eastAsia="仿宋_GB2312" w:cs="仿宋_GB2312"/>
          <w:sz w:val="24"/>
          <w:highlight w:val="none"/>
        </w:rPr>
      </w:pPr>
    </w:p>
    <w:p w14:paraId="7ED1AE3C">
      <w:pPr>
        <w:snapToGrid w:val="0"/>
        <w:spacing w:line="360" w:lineRule="auto"/>
        <w:rPr>
          <w:rFonts w:ascii="仿宋_GB2312" w:hAnsi="仿宋" w:eastAsia="仿宋_GB2312" w:cs="仿宋_GB2312"/>
          <w:kern w:val="0"/>
          <w:sz w:val="24"/>
          <w:highlight w:val="none"/>
        </w:rPr>
      </w:pPr>
      <w:r>
        <w:rPr>
          <w:rFonts w:hint="eastAsia" w:ascii="仿宋_GB2312" w:hAnsi="仿宋" w:eastAsia="仿宋_GB2312" w:cs="仿宋_GB2312"/>
          <w:sz w:val="24"/>
          <w:highlight w:val="none"/>
          <w:u w:val="single"/>
          <w:lang w:eastAsia="zh-CN"/>
        </w:rPr>
        <w:t>致</w:t>
      </w:r>
      <w:r>
        <w:rPr>
          <w:rFonts w:hint="eastAsia" w:ascii="仿宋_GB2312" w:hAnsi="仿宋" w:eastAsia="仿宋_GB2312" w:cs="仿宋_GB2312"/>
          <w:sz w:val="24"/>
          <w:highlight w:val="none"/>
          <w:u w:val="single"/>
        </w:rPr>
        <w:t>（采购人）</w:t>
      </w:r>
      <w:r>
        <w:rPr>
          <w:rFonts w:hint="eastAsia" w:ascii="仿宋_GB2312" w:hAnsi="仿宋" w:eastAsia="仿宋_GB2312" w:cs="仿宋_GB2312"/>
          <w:kern w:val="0"/>
          <w:sz w:val="24"/>
          <w:highlight w:val="none"/>
          <w:lang w:val="zh-CN"/>
        </w:rPr>
        <w:t>：</w:t>
      </w:r>
    </w:p>
    <w:p w14:paraId="514CD4D4">
      <w:pPr>
        <w:autoSpaceDE w:val="0"/>
        <w:autoSpaceDN w:val="0"/>
        <w:spacing w:line="360" w:lineRule="auto"/>
        <w:ind w:left="2" w:leftChars="1" w:firstLine="480" w:firstLineChars="200"/>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我单位响应你</w:t>
      </w:r>
      <w:r>
        <w:rPr>
          <w:rFonts w:hint="eastAsia" w:ascii="仿宋_GB2312" w:hAnsi="仿宋_GB2312" w:eastAsia="仿宋_GB2312" w:cs="仿宋_GB2312"/>
          <w:sz w:val="24"/>
          <w:highlight w:val="none"/>
        </w:rPr>
        <w:t>单位</w:t>
      </w:r>
      <w:r>
        <w:rPr>
          <w:rFonts w:hint="eastAsia" w:ascii="仿宋_GB2312" w:hAnsi="仿宋_GB2312" w:eastAsia="仿宋_GB2312" w:cs="仿宋_GB2312"/>
          <w:kern w:val="0"/>
          <w:sz w:val="24"/>
          <w:highlight w:val="none"/>
          <w:lang w:val="zh-CN"/>
        </w:rPr>
        <w:t>项目招标要求参加投标。在这次投标过程中和中标后，我们将严格遵守国家法律法规要求，并郑重承诺：</w:t>
      </w:r>
    </w:p>
    <w:p w14:paraId="45E4A532">
      <w:pPr>
        <w:autoSpaceDE w:val="0"/>
        <w:autoSpaceDN w:val="0"/>
        <w:spacing w:line="360" w:lineRule="auto"/>
        <w:ind w:left="2" w:leftChars="1" w:firstLine="480" w:firstLineChars="200"/>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一、不向项目有关人员及部门赠送礼金礼物、有价证券、回扣以及中介费、介绍费、咨询费等好处费；</w:t>
      </w:r>
      <w:r>
        <w:rPr>
          <w:rFonts w:ascii="仿宋_GB2312" w:hAnsi="仿宋_GB2312" w:eastAsia="仿宋_GB2312" w:cs="仿宋_GB2312"/>
          <w:kern w:val="0"/>
          <w:sz w:val="24"/>
          <w:highlight w:val="none"/>
          <w:lang w:val="zh-CN"/>
        </w:rPr>
        <w:t xml:space="preserve"> </w:t>
      </w:r>
    </w:p>
    <w:p w14:paraId="70C97488">
      <w:pPr>
        <w:autoSpaceDE w:val="0"/>
        <w:autoSpaceDN w:val="0"/>
        <w:spacing w:line="360" w:lineRule="auto"/>
        <w:ind w:left="2" w:leftChars="1" w:firstLine="480" w:firstLineChars="200"/>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二、不为项目有关人员及部门报销应由你方单位或个人支付的费用；</w:t>
      </w:r>
      <w:r>
        <w:rPr>
          <w:rFonts w:ascii="仿宋_GB2312" w:hAnsi="仿宋_GB2312" w:eastAsia="仿宋_GB2312" w:cs="仿宋_GB2312"/>
          <w:kern w:val="0"/>
          <w:sz w:val="24"/>
          <w:highlight w:val="none"/>
          <w:lang w:val="zh-CN"/>
        </w:rPr>
        <w:t xml:space="preserve"> </w:t>
      </w:r>
    </w:p>
    <w:p w14:paraId="71EDB930">
      <w:pPr>
        <w:autoSpaceDE w:val="0"/>
        <w:autoSpaceDN w:val="0"/>
        <w:spacing w:line="360" w:lineRule="auto"/>
        <w:ind w:left="2" w:leftChars="1" w:firstLine="480" w:firstLineChars="200"/>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三、不向项目有关人员及部门提供有可能影响公正的宴请和健身娱乐等活动；</w:t>
      </w:r>
      <w:r>
        <w:rPr>
          <w:rFonts w:ascii="仿宋_GB2312" w:hAnsi="仿宋_GB2312" w:eastAsia="仿宋_GB2312" w:cs="仿宋_GB2312"/>
          <w:kern w:val="0"/>
          <w:sz w:val="24"/>
          <w:highlight w:val="none"/>
          <w:lang w:val="zh-CN"/>
        </w:rPr>
        <w:t xml:space="preserve"> </w:t>
      </w:r>
    </w:p>
    <w:p w14:paraId="43519D5E">
      <w:pPr>
        <w:autoSpaceDE w:val="0"/>
        <w:autoSpaceDN w:val="0"/>
        <w:spacing w:line="360" w:lineRule="auto"/>
        <w:ind w:left="2" w:leftChars="1" w:firstLine="480" w:firstLineChars="200"/>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四、不为项目有关人员及部门出国（境）、旅游等提供方便；</w:t>
      </w:r>
    </w:p>
    <w:p w14:paraId="679B6D0E">
      <w:pPr>
        <w:autoSpaceDE w:val="0"/>
        <w:autoSpaceDN w:val="0"/>
        <w:spacing w:line="360" w:lineRule="auto"/>
        <w:ind w:left="481" w:leftChars="229"/>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五、不为项目有关人员个人装修住房、婚丧嫁娶、配偶子女工作安排等提供</w:t>
      </w:r>
    </w:p>
    <w:p w14:paraId="15950E34">
      <w:pPr>
        <w:autoSpaceDE w:val="0"/>
        <w:autoSpaceDN w:val="0"/>
        <w:spacing w:line="360" w:lineRule="auto"/>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好处；</w:t>
      </w:r>
    </w:p>
    <w:p w14:paraId="0F526FE1">
      <w:pPr>
        <w:autoSpaceDE w:val="0"/>
        <w:autoSpaceDN w:val="0"/>
        <w:spacing w:line="360" w:lineRule="auto"/>
        <w:ind w:left="481" w:leftChars="229"/>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六、严格遵守《</w:t>
      </w:r>
      <w:r>
        <w:rPr>
          <w:rFonts w:hint="eastAsia" w:ascii="仿宋_GB2312" w:hAnsi="楷体" w:eastAsia="仿宋_GB2312"/>
          <w:sz w:val="24"/>
          <w:highlight w:val="none"/>
          <w:lang w:val="zh-CN"/>
        </w:rPr>
        <w:t>中华人民共和国</w:t>
      </w:r>
      <w:r>
        <w:rPr>
          <w:rFonts w:hint="eastAsia" w:ascii="仿宋_GB2312" w:hAnsi="仿宋_GB2312" w:eastAsia="仿宋_GB2312" w:cs="仿宋_GB2312"/>
          <w:kern w:val="0"/>
          <w:sz w:val="24"/>
          <w:highlight w:val="none"/>
          <w:lang w:val="zh-CN"/>
        </w:rPr>
        <w:t>政府采购法》《</w:t>
      </w:r>
      <w:r>
        <w:rPr>
          <w:rFonts w:hint="eastAsia" w:ascii="仿宋_GB2312" w:hAnsi="楷体" w:eastAsia="仿宋_GB2312"/>
          <w:sz w:val="24"/>
          <w:highlight w:val="none"/>
          <w:lang w:val="zh-CN"/>
        </w:rPr>
        <w:t>中华人民共和国</w:t>
      </w:r>
      <w:r>
        <w:rPr>
          <w:rFonts w:hint="eastAsia" w:ascii="仿宋_GB2312" w:hAnsi="仿宋_GB2312" w:eastAsia="仿宋_GB2312" w:cs="仿宋_GB2312"/>
          <w:kern w:val="0"/>
          <w:sz w:val="24"/>
          <w:highlight w:val="none"/>
          <w:lang w:val="zh-CN"/>
        </w:rPr>
        <w:t>招标投标</w:t>
      </w:r>
    </w:p>
    <w:p w14:paraId="6AECD604">
      <w:pPr>
        <w:autoSpaceDE w:val="0"/>
        <w:autoSpaceDN w:val="0"/>
        <w:spacing w:line="360" w:lineRule="auto"/>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法》</w:t>
      </w:r>
      <w:r>
        <w:rPr>
          <w:rFonts w:hint="eastAsia" w:ascii="仿宋_GB2312" w:hAnsi="楷体" w:eastAsia="仿宋_GB2312"/>
          <w:sz w:val="24"/>
          <w:highlight w:val="none"/>
          <w:lang w:val="zh-CN"/>
        </w:rPr>
        <w:t>《中华人民共和国民法典》</w:t>
      </w:r>
      <w:r>
        <w:rPr>
          <w:rFonts w:hint="eastAsia" w:ascii="仿宋_GB2312" w:hAnsi="仿宋_GB2312" w:eastAsia="仿宋_GB2312" w:cs="仿宋_GB2312"/>
          <w:kern w:val="0"/>
          <w:sz w:val="24"/>
          <w:highlight w:val="none"/>
          <w:lang w:val="zh-CN"/>
        </w:rPr>
        <w:t>等法律法规，诚实守信，合法经营，坚决抵制各种违法违纪行为。</w:t>
      </w:r>
      <w:r>
        <w:rPr>
          <w:rFonts w:ascii="仿宋_GB2312" w:hAnsi="仿宋_GB2312" w:eastAsia="仿宋_GB2312" w:cs="仿宋_GB2312"/>
          <w:kern w:val="0"/>
          <w:sz w:val="24"/>
          <w:highlight w:val="none"/>
          <w:lang w:val="zh-CN"/>
        </w:rPr>
        <w:t xml:space="preserve"> </w:t>
      </w:r>
    </w:p>
    <w:p w14:paraId="2046E113">
      <w:pPr>
        <w:pStyle w:val="12"/>
        <w:ind w:firstLine="480" w:firstLineChars="200"/>
        <w:rPr>
          <w:rFonts w:eastAsia="仿宋_GB2312"/>
          <w:highlight w:val="none"/>
          <w:lang w:val="en-US"/>
        </w:rPr>
      </w:pPr>
      <w:r>
        <w:rPr>
          <w:rFonts w:hint="eastAsia" w:ascii="仿宋_GB2312" w:hAnsi="仿宋_GB2312" w:eastAsia="仿宋_GB2312" w:cs="仿宋_GB2312"/>
          <w:sz w:val="24"/>
          <w:highlight w:val="none"/>
          <w:lang w:val="en-US"/>
        </w:rPr>
        <w:t>七、我方提供的投标文件中所有材料均真实有效，如经核实有弄虚作假行为，自愿放弃中标资格并接受相关处罚。</w:t>
      </w:r>
    </w:p>
    <w:p w14:paraId="630164C0">
      <w:pPr>
        <w:autoSpaceDE w:val="0"/>
        <w:autoSpaceDN w:val="0"/>
        <w:spacing w:line="360" w:lineRule="auto"/>
        <w:ind w:firstLine="480" w:firstLineChars="200"/>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如违反上述承诺，你</w:t>
      </w:r>
      <w:r>
        <w:rPr>
          <w:rFonts w:hint="eastAsia" w:ascii="仿宋_GB2312" w:hAnsi="仿宋_GB2312" w:eastAsia="仿宋_GB2312" w:cs="仿宋_GB2312"/>
          <w:sz w:val="24"/>
          <w:highlight w:val="none"/>
        </w:rPr>
        <w:t>单位</w:t>
      </w:r>
      <w:r>
        <w:rPr>
          <w:rFonts w:hint="eastAsia" w:ascii="仿宋_GB2312" w:hAnsi="仿宋_GB2312" w:eastAsia="仿宋_GB2312" w:cs="仿宋_GB2312"/>
          <w:kern w:val="0"/>
          <w:sz w:val="24"/>
          <w:highlight w:val="none"/>
          <w:lang w:val="zh-CN"/>
        </w:rPr>
        <w:t>有权立即取消我单位投标、中标或在建项目的建设资格，有权拒绝我单位在一定时期内进入你</w:t>
      </w:r>
      <w:r>
        <w:rPr>
          <w:rFonts w:hint="eastAsia" w:ascii="仿宋_GB2312" w:hAnsi="仿宋_GB2312" w:eastAsia="仿宋_GB2312" w:cs="仿宋_GB2312"/>
          <w:sz w:val="24"/>
          <w:highlight w:val="none"/>
        </w:rPr>
        <w:t>单位</w:t>
      </w:r>
      <w:r>
        <w:rPr>
          <w:rFonts w:hint="eastAsia" w:ascii="仿宋_GB2312" w:hAnsi="仿宋_GB2312" w:eastAsia="仿宋_GB2312" w:cs="仿宋_GB2312"/>
          <w:kern w:val="0"/>
          <w:sz w:val="24"/>
          <w:highlight w:val="none"/>
          <w:lang w:val="zh-CN"/>
        </w:rPr>
        <w:t>进行项目建设或其他经营活动，并通报市财政局。由此引起的相应损失均由我单位承担。</w:t>
      </w:r>
    </w:p>
    <w:p w14:paraId="4B11BFB0">
      <w:pPr>
        <w:autoSpaceDE w:val="0"/>
        <w:autoSpaceDN w:val="0"/>
        <w:spacing w:line="360" w:lineRule="auto"/>
        <w:ind w:left="2"/>
        <w:jc w:val="left"/>
        <w:rPr>
          <w:rFonts w:ascii="仿宋_GB2312" w:hAnsi="仿宋_GB2312" w:eastAsia="仿宋_GB2312" w:cs="仿宋_GB2312"/>
          <w:kern w:val="0"/>
          <w:sz w:val="24"/>
          <w:highlight w:val="none"/>
          <w:lang w:val="zh-CN"/>
        </w:rPr>
      </w:pPr>
    </w:p>
    <w:p w14:paraId="17621CD1">
      <w:pPr>
        <w:snapToGrid w:val="0"/>
        <w:spacing w:line="360" w:lineRule="auto"/>
        <w:ind w:firstLine="5040" w:firstLineChars="2100"/>
        <w:rPr>
          <w:rFonts w:ascii="仿宋" w:hAnsi="仿宋" w:eastAsia="仿宋" w:cs="仿宋"/>
          <w:kern w:val="0"/>
          <w:sz w:val="24"/>
          <w:highlight w:val="none"/>
          <w:lang w:val="zh-CN"/>
        </w:rPr>
      </w:pPr>
      <w:bookmarkStart w:id="115" w:name="_Toc3363"/>
      <w:bookmarkStart w:id="116" w:name="_Toc32320"/>
      <w:bookmarkStart w:id="117" w:name="_Toc5590"/>
      <w:bookmarkStart w:id="118" w:name="_Toc12628"/>
      <w:r>
        <w:rPr>
          <w:rFonts w:hint="eastAsia" w:ascii="仿宋" w:hAnsi="仿宋" w:eastAsia="仿宋" w:cs="仿宋"/>
          <w:kern w:val="0"/>
          <w:sz w:val="24"/>
          <w:highlight w:val="none"/>
          <w:lang w:val="zh-CN"/>
        </w:rPr>
        <w:t>投标人名称(</w:t>
      </w:r>
      <w:r>
        <w:rPr>
          <w:rFonts w:hint="eastAsia" w:ascii="仿宋" w:hAnsi="仿宋" w:eastAsia="仿宋" w:cs="仿宋"/>
          <w:sz w:val="24"/>
          <w:highlight w:val="none"/>
          <w:lang w:val="zh-CN"/>
        </w:rPr>
        <w:t>公章</w:t>
      </w:r>
      <w:r>
        <w:rPr>
          <w:rFonts w:hint="eastAsia" w:ascii="仿宋" w:hAnsi="仿宋" w:eastAsia="仿宋" w:cs="仿宋"/>
          <w:kern w:val="0"/>
          <w:sz w:val="24"/>
          <w:highlight w:val="none"/>
          <w:lang w:val="zh-CN"/>
        </w:rPr>
        <w:t>)：</w:t>
      </w:r>
    </w:p>
    <w:p w14:paraId="6C42418B">
      <w:pPr>
        <w:snapToGrid w:val="0"/>
        <w:spacing w:line="360" w:lineRule="auto"/>
        <w:ind w:firstLine="4800" w:firstLineChars="200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法定代表人或授权委托人：（签字或盖章）</w:t>
      </w:r>
    </w:p>
    <w:p w14:paraId="1C4341B0">
      <w:pPr>
        <w:snapToGrid w:val="0"/>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                                       </w:t>
      </w: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lang w:val="zh-CN"/>
        </w:rPr>
        <w:t>日期：  年  月   日</w:t>
      </w:r>
    </w:p>
    <w:p w14:paraId="7E6AFCD4">
      <w:pPr>
        <w:spacing w:line="360" w:lineRule="auto"/>
        <w:jc w:val="center"/>
        <w:rPr>
          <w:rFonts w:ascii="仿宋_GB2312" w:hAnsi="仿宋" w:eastAsia="仿宋_GB2312" w:cs="仿宋_GB2312"/>
          <w:b/>
          <w:kern w:val="0"/>
          <w:sz w:val="36"/>
          <w:szCs w:val="36"/>
          <w:highlight w:val="none"/>
        </w:rPr>
      </w:pPr>
    </w:p>
    <w:p w14:paraId="34CF2AF0">
      <w:pPr>
        <w:spacing w:line="360" w:lineRule="auto"/>
        <w:jc w:val="center"/>
        <w:rPr>
          <w:rFonts w:ascii="仿宋_GB2312" w:hAnsi="仿宋" w:eastAsia="仿宋_GB2312" w:cs="仿宋_GB2312"/>
          <w:b/>
          <w:kern w:val="0"/>
          <w:sz w:val="36"/>
          <w:szCs w:val="36"/>
          <w:highlight w:val="none"/>
        </w:rPr>
      </w:pPr>
    </w:p>
    <w:p w14:paraId="2797AB50">
      <w:pPr>
        <w:spacing w:line="360" w:lineRule="auto"/>
        <w:jc w:val="center"/>
        <w:rPr>
          <w:rFonts w:ascii="仿宋_GB2312" w:hAnsi="仿宋" w:eastAsia="仿宋_GB2312" w:cs="仿宋_GB2312"/>
          <w:b/>
          <w:kern w:val="0"/>
          <w:sz w:val="36"/>
          <w:szCs w:val="36"/>
          <w:highlight w:val="none"/>
        </w:rPr>
      </w:pPr>
    </w:p>
    <w:p w14:paraId="036FCA54">
      <w:pPr>
        <w:widowControl/>
        <w:jc w:val="left"/>
        <w:rPr>
          <w:rFonts w:ascii="仿宋_GB2312" w:hAnsi="仿宋" w:eastAsia="仿宋_GB2312" w:cs="仿宋_GB2312"/>
          <w:b/>
          <w:kern w:val="0"/>
          <w:sz w:val="36"/>
          <w:szCs w:val="36"/>
          <w:highlight w:val="none"/>
        </w:rPr>
      </w:pPr>
    </w:p>
    <w:bookmarkEnd w:id="115"/>
    <w:bookmarkEnd w:id="116"/>
    <w:bookmarkEnd w:id="117"/>
    <w:bookmarkEnd w:id="118"/>
    <w:p w14:paraId="2397B0C8">
      <w:pPr>
        <w:pStyle w:val="44"/>
        <w:keepNext w:val="0"/>
        <w:pageBreakBefore w:val="0"/>
        <w:tabs>
          <w:tab w:val="clear" w:pos="720"/>
        </w:tabs>
        <w:snapToGrid w:val="0"/>
        <w:spacing w:before="120" w:after="120"/>
        <w:jc w:val="center"/>
        <w:outlineLvl w:val="9"/>
        <w:rPr>
          <w:rFonts w:hint="eastAsia" w:ascii="仿宋_GB2312" w:hAnsi="仿宋" w:eastAsia="仿宋_GB2312" w:cs="仿宋_GB2312"/>
          <w:kern w:val="2"/>
          <w:sz w:val="30"/>
          <w:szCs w:val="30"/>
          <w:highlight w:val="none"/>
        </w:rPr>
      </w:pPr>
      <w:bookmarkStart w:id="119" w:name="_Toc25033"/>
      <w:bookmarkStart w:id="120" w:name="_Toc8263"/>
      <w:bookmarkStart w:id="121" w:name="_Toc13843"/>
      <w:bookmarkStart w:id="122" w:name="_Toc17397"/>
      <w:bookmarkStart w:id="123" w:name="_Toc32377"/>
      <w:bookmarkStart w:id="124" w:name="_Toc27788"/>
      <w:bookmarkStart w:id="125" w:name="_Toc8039"/>
      <w:bookmarkStart w:id="126" w:name="_Toc27185"/>
      <w:bookmarkStart w:id="127" w:name="_Toc21615"/>
      <w:r>
        <w:rPr>
          <w:rFonts w:hint="eastAsia" w:ascii="仿宋_GB2312" w:hAnsi="仿宋" w:eastAsia="仿宋_GB2312" w:cs="仿宋_GB2312"/>
          <w:b/>
          <w:kern w:val="0"/>
          <w:sz w:val="30"/>
          <w:szCs w:val="30"/>
          <w:highlight w:val="none"/>
        </w:rPr>
        <w:t>报价文件部分</w:t>
      </w:r>
    </w:p>
    <w:p w14:paraId="7327F07F">
      <w:pPr>
        <w:pStyle w:val="44"/>
        <w:keepNext w:val="0"/>
        <w:pageBreakBefore w:val="0"/>
        <w:tabs>
          <w:tab w:val="clear" w:pos="720"/>
        </w:tabs>
        <w:snapToGrid w:val="0"/>
        <w:spacing w:before="120" w:after="120"/>
        <w:jc w:val="center"/>
        <w:outlineLvl w:val="9"/>
        <w:rPr>
          <w:rFonts w:ascii="仿宋_GB2312" w:hAnsi="仿宋" w:eastAsia="仿宋_GB2312" w:cs="仿宋_GB2312"/>
          <w:kern w:val="2"/>
          <w:sz w:val="28"/>
          <w:szCs w:val="28"/>
          <w:highlight w:val="none"/>
        </w:rPr>
      </w:pPr>
      <w:r>
        <w:rPr>
          <w:rFonts w:hint="eastAsia" w:ascii="仿宋_GB2312" w:hAnsi="仿宋" w:eastAsia="仿宋_GB2312" w:cs="仿宋_GB2312"/>
          <w:kern w:val="2"/>
          <w:sz w:val="28"/>
          <w:szCs w:val="28"/>
          <w:highlight w:val="none"/>
        </w:rPr>
        <w:t>一、开标一览表（报价表）</w:t>
      </w:r>
      <w:bookmarkEnd w:id="119"/>
      <w:bookmarkEnd w:id="120"/>
      <w:bookmarkEnd w:id="121"/>
      <w:bookmarkEnd w:id="122"/>
      <w:bookmarkEnd w:id="123"/>
      <w:bookmarkEnd w:id="124"/>
      <w:bookmarkEnd w:id="125"/>
      <w:bookmarkEnd w:id="126"/>
      <w:bookmarkEnd w:id="127"/>
    </w:p>
    <w:tbl>
      <w:tblPr>
        <w:tblStyle w:val="22"/>
        <w:tblW w:w="927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08"/>
        <w:gridCol w:w="5471"/>
      </w:tblGrid>
      <w:tr w14:paraId="4EBBA9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808" w:type="dxa"/>
            <w:noWrap/>
            <w:vAlign w:val="center"/>
          </w:tcPr>
          <w:p w14:paraId="371BA2BF">
            <w:pP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投标</w:t>
            </w:r>
            <w:r>
              <w:rPr>
                <w:color w:val="000000" w:themeColor="text1"/>
                <w:sz w:val="24"/>
                <w:highlight w:val="none"/>
                <w14:textFill>
                  <w14:solidFill>
                    <w14:schemeClr w14:val="tx1"/>
                  </w14:solidFill>
                </w14:textFill>
              </w:rPr>
              <w:t>报价</w:t>
            </w:r>
            <w:r>
              <w:rPr>
                <w:rFonts w:hint="eastAsia"/>
                <w:color w:val="000000" w:themeColor="text1"/>
                <w:sz w:val="24"/>
                <w:highlight w:val="none"/>
                <w:lang w:eastAsia="zh-CN"/>
                <w14:textFill>
                  <w14:solidFill>
                    <w14:schemeClr w14:val="tx1"/>
                  </w14:solidFill>
                </w14:textFill>
              </w:rPr>
              <w:t>（元）</w:t>
            </w:r>
          </w:p>
        </w:tc>
        <w:tc>
          <w:tcPr>
            <w:tcW w:w="5471" w:type="dxa"/>
            <w:noWrap/>
            <w:vAlign w:val="center"/>
          </w:tcPr>
          <w:p w14:paraId="3DFF6D33">
            <w:pPr>
              <w:rPr>
                <w:color w:val="000000" w:themeColor="text1"/>
                <w:highlight w:val="none"/>
                <w14:textFill>
                  <w14:solidFill>
                    <w14:schemeClr w14:val="tx1"/>
                  </w14:solidFill>
                </w14:textFill>
              </w:rPr>
            </w:pPr>
          </w:p>
          <w:p w14:paraId="282706A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小写：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元 </w:t>
            </w:r>
          </w:p>
          <w:p w14:paraId="2B0241EC">
            <w:pPr>
              <w:rPr>
                <w:color w:val="000000" w:themeColor="text1"/>
                <w:highlight w:val="none"/>
                <w14:textFill>
                  <w14:solidFill>
                    <w14:schemeClr w14:val="tx1"/>
                  </w14:solidFill>
                </w14:textFill>
              </w:rPr>
            </w:pPr>
          </w:p>
          <w:p w14:paraId="76D4274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大写：</w:t>
            </w:r>
            <w:r>
              <w:rPr>
                <w:color w:val="000000" w:themeColor="text1"/>
                <w:highlight w:val="none"/>
                <w:u w:val="single"/>
                <w14:textFill>
                  <w14:solidFill>
                    <w14:schemeClr w14:val="tx1"/>
                  </w14:solidFill>
                </w14:textFill>
              </w:rPr>
              <w:t xml:space="preserve">              </w:t>
            </w:r>
          </w:p>
          <w:p w14:paraId="3E36A779">
            <w:pPr>
              <w:rPr>
                <w:color w:val="000000" w:themeColor="text1"/>
                <w:highlight w:val="none"/>
                <w14:textFill>
                  <w14:solidFill>
                    <w14:schemeClr w14:val="tx1"/>
                  </w14:solidFill>
                </w14:textFill>
              </w:rPr>
            </w:pPr>
          </w:p>
        </w:tc>
      </w:tr>
      <w:tr w14:paraId="72B80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9" w:hRule="atLeast"/>
          <w:jc w:val="center"/>
        </w:trPr>
        <w:tc>
          <w:tcPr>
            <w:tcW w:w="3808" w:type="dxa"/>
            <w:noWrap/>
            <w:vAlign w:val="center"/>
          </w:tcPr>
          <w:p w14:paraId="7A56A382">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合同履约期限</w:t>
            </w:r>
          </w:p>
        </w:tc>
        <w:tc>
          <w:tcPr>
            <w:tcW w:w="5471" w:type="dxa"/>
            <w:noWrap/>
            <w:vAlign w:val="center"/>
          </w:tcPr>
          <w:p w14:paraId="022BD1DA">
            <w:pPr>
              <w:rPr>
                <w:color w:val="000000" w:themeColor="text1"/>
                <w:highlight w:val="none"/>
                <w14:textFill>
                  <w14:solidFill>
                    <w14:schemeClr w14:val="tx1"/>
                  </w14:solidFill>
                </w14:textFill>
              </w:rPr>
            </w:pPr>
          </w:p>
        </w:tc>
      </w:tr>
      <w:tr w14:paraId="0F4901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4" w:hRule="atLeast"/>
          <w:jc w:val="center"/>
        </w:trPr>
        <w:tc>
          <w:tcPr>
            <w:tcW w:w="3808" w:type="dxa"/>
            <w:noWrap/>
            <w:vAlign w:val="center"/>
          </w:tcPr>
          <w:p w14:paraId="41F0A5D2">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备注</w:t>
            </w:r>
          </w:p>
        </w:tc>
        <w:tc>
          <w:tcPr>
            <w:tcW w:w="5471" w:type="dxa"/>
            <w:noWrap/>
            <w:vAlign w:val="center"/>
          </w:tcPr>
          <w:p w14:paraId="58A81417">
            <w:pPr>
              <w:rPr>
                <w:color w:val="000000" w:themeColor="text1"/>
                <w:highlight w:val="none"/>
                <w14:textFill>
                  <w14:solidFill>
                    <w14:schemeClr w14:val="tx1"/>
                  </w14:solidFill>
                </w14:textFill>
              </w:rPr>
            </w:pPr>
          </w:p>
        </w:tc>
      </w:tr>
    </w:tbl>
    <w:p w14:paraId="5EA1A183">
      <w:pPr>
        <w:adjustRightInd w:val="0"/>
        <w:snapToGrid w:val="0"/>
        <w:spacing w:line="312" w:lineRule="auto"/>
        <w:ind w:left="480"/>
        <w:rPr>
          <w:rFonts w:ascii="仿宋" w:hAnsi="仿宋" w:eastAsia="仿宋" w:cs="仿宋"/>
          <w:b/>
          <w:kern w:val="21"/>
          <w:szCs w:val="21"/>
          <w:highlight w:val="none"/>
          <w:lang w:val="zh-CN"/>
        </w:rPr>
      </w:pPr>
      <w:r>
        <w:rPr>
          <w:rFonts w:hint="eastAsia" w:ascii="仿宋" w:hAnsi="仿宋" w:eastAsia="仿宋" w:cs="仿宋"/>
          <w:b/>
          <w:kern w:val="21"/>
          <w:szCs w:val="21"/>
          <w:highlight w:val="none"/>
          <w:lang w:val="zh-CN"/>
        </w:rPr>
        <w:t>注：</w:t>
      </w:r>
    </w:p>
    <w:p w14:paraId="64015212">
      <w:pPr>
        <w:adjustRightInd w:val="0"/>
        <w:snapToGrid w:val="0"/>
        <w:spacing w:line="312" w:lineRule="auto"/>
        <w:ind w:left="-2" w:leftChars="-1" w:firstLine="420" w:firstLineChars="200"/>
        <w:rPr>
          <w:rFonts w:ascii="仿宋" w:hAnsi="仿宋" w:eastAsia="仿宋" w:cs="仿宋"/>
          <w:kern w:val="21"/>
          <w:szCs w:val="21"/>
          <w:highlight w:val="none"/>
          <w:lang w:val="zh-CN"/>
        </w:rPr>
      </w:pPr>
      <w:r>
        <w:rPr>
          <w:rFonts w:hint="eastAsia" w:ascii="仿宋" w:hAnsi="仿宋" w:eastAsia="仿宋" w:cs="仿宋"/>
          <w:kern w:val="21"/>
          <w:szCs w:val="21"/>
          <w:highlight w:val="none"/>
          <w:lang w:val="zh-CN"/>
        </w:rPr>
        <w:t>1、投标人需按本表格式填写，不得自行更改。</w:t>
      </w:r>
    </w:p>
    <w:p w14:paraId="694E6B89">
      <w:pPr>
        <w:adjustRightInd w:val="0"/>
        <w:snapToGrid w:val="0"/>
        <w:spacing w:line="312" w:lineRule="auto"/>
        <w:ind w:firstLine="420" w:firstLineChars="200"/>
        <w:rPr>
          <w:rFonts w:ascii="仿宋" w:hAnsi="仿宋" w:eastAsia="仿宋" w:cs="仿宋"/>
          <w:kern w:val="21"/>
          <w:szCs w:val="21"/>
          <w:highlight w:val="none"/>
          <w:lang w:val="zh-CN"/>
        </w:rPr>
      </w:pPr>
      <w:r>
        <w:rPr>
          <w:rFonts w:hint="eastAsia" w:ascii="仿宋" w:hAnsi="仿宋" w:eastAsia="仿宋" w:cs="仿宋"/>
          <w:kern w:val="21"/>
          <w:szCs w:val="21"/>
          <w:highlight w:val="none"/>
          <w:lang w:val="zh-CN"/>
        </w:rPr>
        <w:t>2、有关本项目实施所涉及的一切费用均计入报价。</w:t>
      </w:r>
      <w:r>
        <w:rPr>
          <w:rFonts w:hint="eastAsia" w:ascii="仿宋" w:hAnsi="仿宋" w:eastAsia="仿宋" w:cs="仿宋"/>
          <w:b/>
          <w:kern w:val="21"/>
          <w:szCs w:val="21"/>
          <w:highlight w:val="none"/>
          <w:lang w:val="zh-CN"/>
        </w:rPr>
        <w:t>采购人将以合同形式有偿取得货物或服务，不接受投标人给予的赠品、回扣或者与采购无关的其他商品、服务</w:t>
      </w:r>
      <w:r>
        <w:rPr>
          <w:rFonts w:hint="eastAsia" w:ascii="仿宋" w:hAnsi="仿宋" w:eastAsia="仿宋" w:cs="仿宋"/>
          <w:kern w:val="21"/>
          <w:szCs w:val="21"/>
          <w:highlight w:val="none"/>
          <w:lang w:val="zh-CN"/>
        </w:rPr>
        <w:t>，</w:t>
      </w:r>
      <w:r>
        <w:rPr>
          <w:rFonts w:hint="eastAsia" w:ascii="仿宋" w:hAnsi="仿宋" w:eastAsia="仿宋" w:cs="仿宋"/>
          <w:b/>
          <w:kern w:val="21"/>
          <w:szCs w:val="21"/>
          <w:highlight w:val="none"/>
          <w:lang w:val="zh-CN"/>
        </w:rPr>
        <w:t>不得出现“0元”“免费赠送”等形式的无偿报价，</w:t>
      </w:r>
      <w:r>
        <w:rPr>
          <w:rFonts w:hint="eastAsia" w:ascii="仿宋" w:hAnsi="仿宋" w:eastAsia="仿宋" w:cs="仿宋"/>
          <w:b/>
          <w:kern w:val="21"/>
          <w:szCs w:val="21"/>
          <w:highlight w:val="none"/>
        </w:rPr>
        <w:t>否则视为投标文件含有采购人不能接受的附加条件的，投标无效</w:t>
      </w:r>
      <w:r>
        <w:rPr>
          <w:rFonts w:hint="eastAsia" w:ascii="仿宋" w:hAnsi="仿宋" w:eastAsia="仿宋" w:cs="仿宋"/>
          <w:b/>
          <w:kern w:val="21"/>
          <w:szCs w:val="21"/>
          <w:highlight w:val="none"/>
          <w:lang w:val="zh-CN"/>
        </w:rPr>
        <w:t>。</w:t>
      </w:r>
    </w:p>
    <w:p w14:paraId="478885F1">
      <w:pPr>
        <w:adjustRightInd w:val="0"/>
        <w:snapToGrid w:val="0"/>
        <w:spacing w:line="312" w:lineRule="auto"/>
        <w:ind w:firstLine="420" w:firstLineChars="200"/>
        <w:jc w:val="left"/>
        <w:rPr>
          <w:rFonts w:ascii="仿宋" w:hAnsi="仿宋" w:eastAsia="仿宋" w:cs="仿宋"/>
          <w:kern w:val="21"/>
          <w:szCs w:val="21"/>
          <w:highlight w:val="none"/>
          <w:lang w:val="zh-CN"/>
        </w:rPr>
      </w:pPr>
      <w:r>
        <w:rPr>
          <w:rFonts w:hint="eastAsia" w:ascii="仿宋" w:hAnsi="仿宋" w:eastAsia="仿宋" w:cs="仿宋"/>
          <w:kern w:val="21"/>
          <w:szCs w:val="21"/>
          <w:highlight w:val="none"/>
          <w:lang w:val="zh-CN"/>
        </w:rPr>
        <w:t>3、特别提示：采购代理机构将对项目名称和项目编号，中标供应商名称、地址和中标金额，主要中标标的的名称、规格型号、数量、单价、服务要求等予以公示。</w:t>
      </w:r>
    </w:p>
    <w:p w14:paraId="38451E19">
      <w:pPr>
        <w:rPr>
          <w:rFonts w:ascii="仿宋" w:hAnsi="仿宋" w:eastAsia="仿宋" w:cs="仿宋"/>
          <w:highlight w:val="none"/>
        </w:rPr>
      </w:pPr>
    </w:p>
    <w:p w14:paraId="140E118D">
      <w:pPr>
        <w:rPr>
          <w:highlight w:val="none"/>
        </w:rPr>
      </w:pPr>
    </w:p>
    <w:p w14:paraId="1A52EDA5">
      <w:pPr>
        <w:pStyle w:val="44"/>
        <w:keepNext w:val="0"/>
        <w:pageBreakBefore w:val="0"/>
        <w:tabs>
          <w:tab w:val="clear" w:pos="720"/>
        </w:tabs>
        <w:snapToGrid w:val="0"/>
        <w:spacing w:before="120" w:after="120"/>
        <w:jc w:val="both"/>
        <w:outlineLvl w:val="9"/>
        <w:rPr>
          <w:rFonts w:ascii="仿宋_GB2312" w:hAnsi="仿宋" w:eastAsia="仿宋_GB2312" w:cs="仿宋_GB2312"/>
          <w:kern w:val="2"/>
          <w:sz w:val="32"/>
          <w:szCs w:val="32"/>
          <w:highlight w:val="none"/>
        </w:rPr>
      </w:pPr>
    </w:p>
    <w:p w14:paraId="14548B21">
      <w:pPr>
        <w:snapToGrid w:val="0"/>
        <w:spacing w:line="360" w:lineRule="auto"/>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lang w:val="zh-CN"/>
        </w:rPr>
        <w:t>投标人名称(</w:t>
      </w:r>
      <w:r>
        <w:rPr>
          <w:rFonts w:hint="eastAsia" w:ascii="仿宋" w:hAnsi="仿宋" w:eastAsia="仿宋" w:cs="仿宋"/>
          <w:sz w:val="24"/>
          <w:highlight w:val="none"/>
          <w:lang w:val="zh-CN"/>
        </w:rPr>
        <w:t>公章</w:t>
      </w:r>
      <w:r>
        <w:rPr>
          <w:rFonts w:hint="eastAsia" w:ascii="仿宋" w:hAnsi="仿宋" w:eastAsia="仿宋" w:cs="仿宋"/>
          <w:kern w:val="0"/>
          <w:sz w:val="24"/>
          <w:highlight w:val="none"/>
          <w:lang w:val="zh-CN"/>
        </w:rPr>
        <w:t>)：</w:t>
      </w:r>
    </w:p>
    <w:p w14:paraId="5509D1D4">
      <w:pPr>
        <w:snapToGrid w:val="0"/>
        <w:spacing w:line="360" w:lineRule="auto"/>
        <w:ind w:firstLine="4080" w:firstLineChars="170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法定代表人或授权委托人：（签字或盖章）</w:t>
      </w:r>
    </w:p>
    <w:p w14:paraId="33FC02D0">
      <w:pPr>
        <w:snapToGrid w:val="0"/>
        <w:spacing w:line="360" w:lineRule="auto"/>
        <w:rPr>
          <w:rFonts w:hint="eastAsia" w:ascii="仿宋_GB2312" w:hAnsi="仿宋" w:eastAsia="仿宋_GB2312" w:cs="仿宋_GB2312"/>
          <w:b/>
          <w:kern w:val="0"/>
          <w:sz w:val="32"/>
          <w:szCs w:val="32"/>
          <w:highlight w:val="none"/>
          <w:lang w:val="zh-CN"/>
        </w:rPr>
      </w:pPr>
      <w:r>
        <w:rPr>
          <w:rFonts w:hint="eastAsia" w:ascii="仿宋" w:hAnsi="仿宋" w:eastAsia="仿宋" w:cs="仿宋"/>
          <w:kern w:val="0"/>
          <w:sz w:val="24"/>
          <w:highlight w:val="none"/>
          <w:lang w:val="zh-CN"/>
        </w:rPr>
        <w:t xml:space="preserve">                                       </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lang w:val="zh-CN"/>
        </w:rPr>
        <w:t>日期：  年  月   日</w:t>
      </w:r>
    </w:p>
    <w:p w14:paraId="245145C0">
      <w:pPr>
        <w:rPr>
          <w:highlight w:val="none"/>
        </w:rPr>
      </w:pPr>
    </w:p>
    <w:p w14:paraId="00D76A43">
      <w:pPr>
        <w:rPr>
          <w:highlight w:val="none"/>
        </w:rPr>
      </w:pPr>
      <w:r>
        <w:rPr>
          <w:rFonts w:hint="eastAsia"/>
          <w:highlight w:val="none"/>
        </w:rPr>
        <w:br w:type="page"/>
      </w:r>
    </w:p>
    <w:p w14:paraId="6D0625B5">
      <w:pPr>
        <w:rPr>
          <w:highlight w:val="none"/>
        </w:rPr>
      </w:pPr>
      <w:r>
        <w:rPr>
          <w:rFonts w:hint="eastAsia"/>
          <w:highlight w:val="none"/>
        </w:rPr>
        <w:t xml:space="preserve"> </w:t>
      </w:r>
    </w:p>
    <w:p w14:paraId="27BA4007">
      <w:pPr>
        <w:numPr>
          <w:ilvl w:val="0"/>
          <w:numId w:val="0"/>
        </w:numPr>
        <w:spacing w:before="120" w:beforeLines="50" w:line="360" w:lineRule="auto"/>
        <w:jc w:val="center"/>
        <w:rPr>
          <w:rFonts w:hint="eastAsia" w:ascii="仿宋" w:hAnsi="仿宋" w:eastAsia="仿宋"/>
          <w:b/>
          <w:sz w:val="28"/>
          <w:szCs w:val="28"/>
          <w:highlight w:val="none"/>
        </w:rPr>
      </w:pPr>
      <w:r>
        <w:rPr>
          <w:rFonts w:hint="eastAsia" w:ascii="仿宋" w:hAnsi="仿宋" w:eastAsia="仿宋" w:cs="Times New Roman"/>
          <w:b/>
          <w:kern w:val="2"/>
          <w:sz w:val="28"/>
          <w:szCs w:val="28"/>
          <w:lang w:val="en-US" w:eastAsia="zh-CN" w:bidi="ar-SA"/>
        </w:rPr>
        <w:t>二、</w:t>
      </w:r>
      <w:r>
        <w:rPr>
          <w:rFonts w:hint="eastAsia" w:ascii="仿宋" w:hAnsi="仿宋" w:eastAsia="仿宋"/>
          <w:b/>
          <w:sz w:val="28"/>
          <w:szCs w:val="28"/>
          <w:highlight w:val="none"/>
        </w:rPr>
        <w:t>投标报价明细表</w:t>
      </w:r>
    </w:p>
    <w:p w14:paraId="3133F9A2">
      <w:pPr>
        <w:pStyle w:val="2"/>
        <w:numPr>
          <w:ilvl w:val="0"/>
          <w:numId w:val="0"/>
        </w:numPr>
        <w:ind w:leftChars="200"/>
      </w:pPr>
    </w:p>
    <w:tbl>
      <w:tblPr>
        <w:tblStyle w:val="22"/>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073"/>
        <w:gridCol w:w="1858"/>
        <w:gridCol w:w="842"/>
        <w:gridCol w:w="690"/>
        <w:gridCol w:w="660"/>
        <w:gridCol w:w="733"/>
        <w:gridCol w:w="937"/>
        <w:gridCol w:w="976"/>
        <w:gridCol w:w="816"/>
      </w:tblGrid>
      <w:tr w14:paraId="375142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14:paraId="539AC6B0">
            <w:pPr>
              <w:jc w:val="center"/>
              <w:rPr>
                <w:color w:val="000000" w:themeColor="text1"/>
                <w:highlight w:val="none"/>
                <w14:textFill>
                  <w14:solidFill>
                    <w14:schemeClr w14:val="tx1"/>
                  </w14:solidFill>
                </w14:textFill>
              </w:rPr>
            </w:pPr>
          </w:p>
          <w:p w14:paraId="693DAF17">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073" w:type="dxa"/>
            <w:noWrap/>
            <w:vAlign w:val="center"/>
          </w:tcPr>
          <w:p w14:paraId="7516DDFB">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1858" w:type="dxa"/>
            <w:tcBorders>
              <w:right w:val="single" w:color="auto" w:sz="4" w:space="0"/>
            </w:tcBorders>
            <w:noWrap/>
            <w:vAlign w:val="center"/>
          </w:tcPr>
          <w:p w14:paraId="04B89DA1">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规格型号</w:t>
            </w:r>
          </w:p>
        </w:tc>
        <w:tc>
          <w:tcPr>
            <w:tcW w:w="842" w:type="dxa"/>
            <w:tcBorders>
              <w:left w:val="single" w:color="auto" w:sz="4" w:space="0"/>
            </w:tcBorders>
            <w:noWrap/>
            <w:vAlign w:val="center"/>
          </w:tcPr>
          <w:p w14:paraId="4C586FF6">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品牌</w:t>
            </w:r>
          </w:p>
        </w:tc>
        <w:tc>
          <w:tcPr>
            <w:tcW w:w="690" w:type="dxa"/>
            <w:noWrap/>
            <w:vAlign w:val="center"/>
          </w:tcPr>
          <w:p w14:paraId="3AA0FB04">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660" w:type="dxa"/>
            <w:noWrap/>
            <w:vAlign w:val="center"/>
          </w:tcPr>
          <w:p w14:paraId="4F0F8C25">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w:t>
            </w:r>
          </w:p>
        </w:tc>
        <w:tc>
          <w:tcPr>
            <w:tcW w:w="733" w:type="dxa"/>
            <w:noWrap/>
            <w:vAlign w:val="center"/>
          </w:tcPr>
          <w:p w14:paraId="39277E1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937" w:type="dxa"/>
            <w:noWrap/>
            <w:vAlign w:val="center"/>
          </w:tcPr>
          <w:p w14:paraId="2981DF48">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单价</w:t>
            </w:r>
          </w:p>
        </w:tc>
        <w:tc>
          <w:tcPr>
            <w:tcW w:w="976" w:type="dxa"/>
            <w:noWrap/>
            <w:vAlign w:val="center"/>
          </w:tcPr>
          <w:p w14:paraId="32A6AC3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合价</w:t>
            </w:r>
          </w:p>
        </w:tc>
        <w:tc>
          <w:tcPr>
            <w:tcW w:w="816" w:type="dxa"/>
            <w:noWrap/>
            <w:vAlign w:val="center"/>
          </w:tcPr>
          <w:p w14:paraId="26B85732">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tc>
      </w:tr>
      <w:tr w14:paraId="12209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14:paraId="67DBFE0B">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073" w:type="dxa"/>
            <w:noWrap/>
            <w:vAlign w:val="center"/>
          </w:tcPr>
          <w:p w14:paraId="28AA7C07">
            <w:pPr>
              <w:rPr>
                <w:color w:val="000000" w:themeColor="text1"/>
                <w:highlight w:val="none"/>
                <w14:textFill>
                  <w14:solidFill>
                    <w14:schemeClr w14:val="tx1"/>
                  </w14:solidFill>
                </w14:textFill>
              </w:rPr>
            </w:pPr>
          </w:p>
        </w:tc>
        <w:tc>
          <w:tcPr>
            <w:tcW w:w="1858" w:type="dxa"/>
            <w:tcBorders>
              <w:right w:val="single" w:color="auto" w:sz="4" w:space="0"/>
            </w:tcBorders>
            <w:noWrap/>
            <w:vAlign w:val="center"/>
          </w:tcPr>
          <w:p w14:paraId="747ABFBE">
            <w:pPr>
              <w:rPr>
                <w:color w:val="000000" w:themeColor="text1"/>
                <w:highlight w:val="none"/>
                <w14:textFill>
                  <w14:solidFill>
                    <w14:schemeClr w14:val="tx1"/>
                  </w14:solidFill>
                </w14:textFill>
              </w:rPr>
            </w:pPr>
          </w:p>
        </w:tc>
        <w:tc>
          <w:tcPr>
            <w:tcW w:w="842" w:type="dxa"/>
            <w:tcBorders>
              <w:left w:val="single" w:color="auto" w:sz="4" w:space="0"/>
            </w:tcBorders>
            <w:noWrap/>
            <w:vAlign w:val="center"/>
          </w:tcPr>
          <w:p w14:paraId="1D451D1A">
            <w:pPr>
              <w:rPr>
                <w:color w:val="000000" w:themeColor="text1"/>
                <w:highlight w:val="none"/>
                <w14:textFill>
                  <w14:solidFill>
                    <w14:schemeClr w14:val="tx1"/>
                  </w14:solidFill>
                </w14:textFill>
              </w:rPr>
            </w:pPr>
          </w:p>
        </w:tc>
        <w:tc>
          <w:tcPr>
            <w:tcW w:w="690" w:type="dxa"/>
            <w:noWrap/>
            <w:vAlign w:val="center"/>
          </w:tcPr>
          <w:p w14:paraId="6326F284">
            <w:pPr>
              <w:rPr>
                <w:color w:val="000000" w:themeColor="text1"/>
                <w:highlight w:val="none"/>
                <w14:textFill>
                  <w14:solidFill>
                    <w14:schemeClr w14:val="tx1"/>
                  </w14:solidFill>
                </w14:textFill>
              </w:rPr>
            </w:pPr>
          </w:p>
        </w:tc>
        <w:tc>
          <w:tcPr>
            <w:tcW w:w="660" w:type="dxa"/>
            <w:noWrap/>
            <w:vAlign w:val="center"/>
          </w:tcPr>
          <w:p w14:paraId="6D35C79C">
            <w:pPr>
              <w:rPr>
                <w:color w:val="000000" w:themeColor="text1"/>
                <w:highlight w:val="none"/>
                <w14:textFill>
                  <w14:solidFill>
                    <w14:schemeClr w14:val="tx1"/>
                  </w14:solidFill>
                </w14:textFill>
              </w:rPr>
            </w:pPr>
          </w:p>
        </w:tc>
        <w:tc>
          <w:tcPr>
            <w:tcW w:w="733" w:type="dxa"/>
            <w:noWrap/>
            <w:vAlign w:val="center"/>
          </w:tcPr>
          <w:p w14:paraId="3EAE53CD">
            <w:pPr>
              <w:rPr>
                <w:color w:val="000000" w:themeColor="text1"/>
                <w:highlight w:val="none"/>
                <w14:textFill>
                  <w14:solidFill>
                    <w14:schemeClr w14:val="tx1"/>
                  </w14:solidFill>
                </w14:textFill>
              </w:rPr>
            </w:pPr>
          </w:p>
        </w:tc>
        <w:tc>
          <w:tcPr>
            <w:tcW w:w="937" w:type="dxa"/>
            <w:noWrap/>
            <w:vAlign w:val="center"/>
          </w:tcPr>
          <w:p w14:paraId="55589E4F">
            <w:pPr>
              <w:rPr>
                <w:color w:val="000000" w:themeColor="text1"/>
                <w:highlight w:val="none"/>
                <w14:textFill>
                  <w14:solidFill>
                    <w14:schemeClr w14:val="tx1"/>
                  </w14:solidFill>
                </w14:textFill>
              </w:rPr>
            </w:pPr>
          </w:p>
        </w:tc>
        <w:tc>
          <w:tcPr>
            <w:tcW w:w="976" w:type="dxa"/>
            <w:noWrap/>
            <w:vAlign w:val="center"/>
          </w:tcPr>
          <w:p w14:paraId="7058E826">
            <w:pPr>
              <w:rPr>
                <w:color w:val="000000" w:themeColor="text1"/>
                <w:highlight w:val="none"/>
                <w14:textFill>
                  <w14:solidFill>
                    <w14:schemeClr w14:val="tx1"/>
                  </w14:solidFill>
                </w14:textFill>
              </w:rPr>
            </w:pPr>
          </w:p>
        </w:tc>
        <w:tc>
          <w:tcPr>
            <w:tcW w:w="816" w:type="dxa"/>
            <w:noWrap/>
            <w:vAlign w:val="center"/>
          </w:tcPr>
          <w:p w14:paraId="3FCE5340">
            <w:pPr>
              <w:rPr>
                <w:color w:val="000000" w:themeColor="text1"/>
                <w:highlight w:val="none"/>
                <w14:textFill>
                  <w14:solidFill>
                    <w14:schemeClr w14:val="tx1"/>
                  </w14:solidFill>
                </w14:textFill>
              </w:rPr>
            </w:pPr>
          </w:p>
        </w:tc>
      </w:tr>
      <w:tr w14:paraId="5D191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14:paraId="0117F004">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073" w:type="dxa"/>
            <w:noWrap/>
            <w:vAlign w:val="center"/>
          </w:tcPr>
          <w:p w14:paraId="652E0280">
            <w:pPr>
              <w:rPr>
                <w:color w:val="000000" w:themeColor="text1"/>
                <w:highlight w:val="none"/>
                <w14:textFill>
                  <w14:solidFill>
                    <w14:schemeClr w14:val="tx1"/>
                  </w14:solidFill>
                </w14:textFill>
              </w:rPr>
            </w:pPr>
          </w:p>
        </w:tc>
        <w:tc>
          <w:tcPr>
            <w:tcW w:w="1858" w:type="dxa"/>
            <w:tcBorders>
              <w:right w:val="single" w:color="auto" w:sz="4" w:space="0"/>
            </w:tcBorders>
            <w:noWrap/>
            <w:vAlign w:val="center"/>
          </w:tcPr>
          <w:p w14:paraId="4D855600">
            <w:pPr>
              <w:rPr>
                <w:color w:val="000000" w:themeColor="text1"/>
                <w:highlight w:val="none"/>
                <w14:textFill>
                  <w14:solidFill>
                    <w14:schemeClr w14:val="tx1"/>
                  </w14:solidFill>
                </w14:textFill>
              </w:rPr>
            </w:pPr>
          </w:p>
        </w:tc>
        <w:tc>
          <w:tcPr>
            <w:tcW w:w="842" w:type="dxa"/>
            <w:tcBorders>
              <w:left w:val="single" w:color="auto" w:sz="4" w:space="0"/>
            </w:tcBorders>
            <w:noWrap/>
            <w:vAlign w:val="center"/>
          </w:tcPr>
          <w:p w14:paraId="3BA1567C">
            <w:pPr>
              <w:rPr>
                <w:color w:val="000000" w:themeColor="text1"/>
                <w:highlight w:val="none"/>
                <w14:textFill>
                  <w14:solidFill>
                    <w14:schemeClr w14:val="tx1"/>
                  </w14:solidFill>
                </w14:textFill>
              </w:rPr>
            </w:pPr>
          </w:p>
        </w:tc>
        <w:tc>
          <w:tcPr>
            <w:tcW w:w="690" w:type="dxa"/>
            <w:noWrap/>
            <w:vAlign w:val="center"/>
          </w:tcPr>
          <w:p w14:paraId="36A30CA1">
            <w:pPr>
              <w:rPr>
                <w:color w:val="000000" w:themeColor="text1"/>
                <w:highlight w:val="none"/>
                <w14:textFill>
                  <w14:solidFill>
                    <w14:schemeClr w14:val="tx1"/>
                  </w14:solidFill>
                </w14:textFill>
              </w:rPr>
            </w:pPr>
          </w:p>
        </w:tc>
        <w:tc>
          <w:tcPr>
            <w:tcW w:w="660" w:type="dxa"/>
            <w:noWrap/>
            <w:vAlign w:val="center"/>
          </w:tcPr>
          <w:p w14:paraId="07D44E44">
            <w:pPr>
              <w:rPr>
                <w:color w:val="000000" w:themeColor="text1"/>
                <w:highlight w:val="none"/>
                <w14:textFill>
                  <w14:solidFill>
                    <w14:schemeClr w14:val="tx1"/>
                  </w14:solidFill>
                </w14:textFill>
              </w:rPr>
            </w:pPr>
          </w:p>
        </w:tc>
        <w:tc>
          <w:tcPr>
            <w:tcW w:w="733" w:type="dxa"/>
            <w:noWrap/>
            <w:vAlign w:val="center"/>
          </w:tcPr>
          <w:p w14:paraId="7B92BE21">
            <w:pPr>
              <w:rPr>
                <w:color w:val="000000" w:themeColor="text1"/>
                <w:highlight w:val="none"/>
                <w14:textFill>
                  <w14:solidFill>
                    <w14:schemeClr w14:val="tx1"/>
                  </w14:solidFill>
                </w14:textFill>
              </w:rPr>
            </w:pPr>
          </w:p>
        </w:tc>
        <w:tc>
          <w:tcPr>
            <w:tcW w:w="937" w:type="dxa"/>
            <w:noWrap/>
            <w:vAlign w:val="center"/>
          </w:tcPr>
          <w:p w14:paraId="3DECB192">
            <w:pPr>
              <w:rPr>
                <w:color w:val="000000" w:themeColor="text1"/>
                <w:highlight w:val="none"/>
                <w14:textFill>
                  <w14:solidFill>
                    <w14:schemeClr w14:val="tx1"/>
                  </w14:solidFill>
                </w14:textFill>
              </w:rPr>
            </w:pPr>
          </w:p>
        </w:tc>
        <w:tc>
          <w:tcPr>
            <w:tcW w:w="976" w:type="dxa"/>
            <w:noWrap/>
            <w:vAlign w:val="center"/>
          </w:tcPr>
          <w:p w14:paraId="11846ECD">
            <w:pPr>
              <w:rPr>
                <w:color w:val="000000" w:themeColor="text1"/>
                <w:highlight w:val="none"/>
                <w14:textFill>
                  <w14:solidFill>
                    <w14:schemeClr w14:val="tx1"/>
                  </w14:solidFill>
                </w14:textFill>
              </w:rPr>
            </w:pPr>
          </w:p>
        </w:tc>
        <w:tc>
          <w:tcPr>
            <w:tcW w:w="816" w:type="dxa"/>
            <w:noWrap/>
            <w:vAlign w:val="center"/>
          </w:tcPr>
          <w:p w14:paraId="5A89988F">
            <w:pPr>
              <w:rPr>
                <w:color w:val="000000" w:themeColor="text1"/>
                <w:highlight w:val="none"/>
                <w14:textFill>
                  <w14:solidFill>
                    <w14:schemeClr w14:val="tx1"/>
                  </w14:solidFill>
                </w14:textFill>
              </w:rPr>
            </w:pPr>
          </w:p>
        </w:tc>
      </w:tr>
      <w:tr w14:paraId="17F8A5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14:paraId="38EF79D9">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073" w:type="dxa"/>
            <w:noWrap/>
            <w:vAlign w:val="center"/>
          </w:tcPr>
          <w:p w14:paraId="54CF5E99">
            <w:pPr>
              <w:rPr>
                <w:color w:val="000000" w:themeColor="text1"/>
                <w:highlight w:val="none"/>
                <w14:textFill>
                  <w14:solidFill>
                    <w14:schemeClr w14:val="tx1"/>
                  </w14:solidFill>
                </w14:textFill>
              </w:rPr>
            </w:pPr>
          </w:p>
        </w:tc>
        <w:tc>
          <w:tcPr>
            <w:tcW w:w="1858" w:type="dxa"/>
            <w:tcBorders>
              <w:right w:val="single" w:color="auto" w:sz="4" w:space="0"/>
            </w:tcBorders>
            <w:noWrap/>
            <w:vAlign w:val="center"/>
          </w:tcPr>
          <w:p w14:paraId="61AA4ED3">
            <w:pPr>
              <w:rPr>
                <w:color w:val="000000" w:themeColor="text1"/>
                <w:highlight w:val="none"/>
                <w14:textFill>
                  <w14:solidFill>
                    <w14:schemeClr w14:val="tx1"/>
                  </w14:solidFill>
                </w14:textFill>
              </w:rPr>
            </w:pPr>
          </w:p>
        </w:tc>
        <w:tc>
          <w:tcPr>
            <w:tcW w:w="842" w:type="dxa"/>
            <w:tcBorders>
              <w:left w:val="single" w:color="auto" w:sz="4" w:space="0"/>
            </w:tcBorders>
            <w:noWrap/>
            <w:vAlign w:val="center"/>
          </w:tcPr>
          <w:p w14:paraId="332E285F">
            <w:pPr>
              <w:rPr>
                <w:color w:val="000000" w:themeColor="text1"/>
                <w:highlight w:val="none"/>
                <w14:textFill>
                  <w14:solidFill>
                    <w14:schemeClr w14:val="tx1"/>
                  </w14:solidFill>
                </w14:textFill>
              </w:rPr>
            </w:pPr>
          </w:p>
        </w:tc>
        <w:tc>
          <w:tcPr>
            <w:tcW w:w="690" w:type="dxa"/>
            <w:noWrap/>
            <w:vAlign w:val="center"/>
          </w:tcPr>
          <w:p w14:paraId="01C0ED76">
            <w:pPr>
              <w:rPr>
                <w:color w:val="000000" w:themeColor="text1"/>
                <w:highlight w:val="none"/>
                <w14:textFill>
                  <w14:solidFill>
                    <w14:schemeClr w14:val="tx1"/>
                  </w14:solidFill>
                </w14:textFill>
              </w:rPr>
            </w:pPr>
          </w:p>
        </w:tc>
        <w:tc>
          <w:tcPr>
            <w:tcW w:w="660" w:type="dxa"/>
            <w:noWrap/>
            <w:vAlign w:val="center"/>
          </w:tcPr>
          <w:p w14:paraId="6F046DE5">
            <w:pPr>
              <w:rPr>
                <w:color w:val="000000" w:themeColor="text1"/>
                <w:highlight w:val="none"/>
                <w14:textFill>
                  <w14:solidFill>
                    <w14:schemeClr w14:val="tx1"/>
                  </w14:solidFill>
                </w14:textFill>
              </w:rPr>
            </w:pPr>
          </w:p>
        </w:tc>
        <w:tc>
          <w:tcPr>
            <w:tcW w:w="733" w:type="dxa"/>
            <w:noWrap/>
            <w:vAlign w:val="center"/>
          </w:tcPr>
          <w:p w14:paraId="3FE2DB50">
            <w:pPr>
              <w:rPr>
                <w:color w:val="000000" w:themeColor="text1"/>
                <w:highlight w:val="none"/>
                <w14:textFill>
                  <w14:solidFill>
                    <w14:schemeClr w14:val="tx1"/>
                  </w14:solidFill>
                </w14:textFill>
              </w:rPr>
            </w:pPr>
          </w:p>
        </w:tc>
        <w:tc>
          <w:tcPr>
            <w:tcW w:w="937" w:type="dxa"/>
            <w:noWrap/>
            <w:vAlign w:val="center"/>
          </w:tcPr>
          <w:p w14:paraId="53369D92">
            <w:pPr>
              <w:rPr>
                <w:color w:val="000000" w:themeColor="text1"/>
                <w:highlight w:val="none"/>
                <w14:textFill>
                  <w14:solidFill>
                    <w14:schemeClr w14:val="tx1"/>
                  </w14:solidFill>
                </w14:textFill>
              </w:rPr>
            </w:pPr>
          </w:p>
        </w:tc>
        <w:tc>
          <w:tcPr>
            <w:tcW w:w="976" w:type="dxa"/>
            <w:noWrap/>
            <w:vAlign w:val="center"/>
          </w:tcPr>
          <w:p w14:paraId="651F789A">
            <w:pPr>
              <w:rPr>
                <w:color w:val="000000" w:themeColor="text1"/>
                <w:highlight w:val="none"/>
                <w14:textFill>
                  <w14:solidFill>
                    <w14:schemeClr w14:val="tx1"/>
                  </w14:solidFill>
                </w14:textFill>
              </w:rPr>
            </w:pPr>
          </w:p>
        </w:tc>
        <w:tc>
          <w:tcPr>
            <w:tcW w:w="816" w:type="dxa"/>
            <w:noWrap/>
            <w:vAlign w:val="center"/>
          </w:tcPr>
          <w:p w14:paraId="54C1C39C">
            <w:pPr>
              <w:rPr>
                <w:color w:val="000000" w:themeColor="text1"/>
                <w:highlight w:val="none"/>
                <w14:textFill>
                  <w14:solidFill>
                    <w14:schemeClr w14:val="tx1"/>
                  </w14:solidFill>
                </w14:textFill>
              </w:rPr>
            </w:pPr>
          </w:p>
        </w:tc>
      </w:tr>
      <w:tr w14:paraId="50DF0F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14:paraId="30192C2B">
            <w:pPr>
              <w:rPr>
                <w:color w:val="000000" w:themeColor="text1"/>
                <w:highlight w:val="none"/>
                <w14:textFill>
                  <w14:solidFill>
                    <w14:schemeClr w14:val="tx1"/>
                  </w14:solidFill>
                </w14:textFill>
              </w:rPr>
            </w:pPr>
          </w:p>
        </w:tc>
        <w:tc>
          <w:tcPr>
            <w:tcW w:w="1073" w:type="dxa"/>
            <w:noWrap/>
            <w:vAlign w:val="center"/>
          </w:tcPr>
          <w:p w14:paraId="233679C0">
            <w:pPr>
              <w:rPr>
                <w:color w:val="000000" w:themeColor="text1"/>
                <w:highlight w:val="none"/>
                <w14:textFill>
                  <w14:solidFill>
                    <w14:schemeClr w14:val="tx1"/>
                  </w14:solidFill>
                </w14:textFill>
              </w:rPr>
            </w:pPr>
          </w:p>
        </w:tc>
        <w:tc>
          <w:tcPr>
            <w:tcW w:w="1858" w:type="dxa"/>
            <w:tcBorders>
              <w:right w:val="single" w:color="auto" w:sz="4" w:space="0"/>
            </w:tcBorders>
            <w:noWrap/>
            <w:vAlign w:val="center"/>
          </w:tcPr>
          <w:p w14:paraId="54E2984A">
            <w:pPr>
              <w:rPr>
                <w:color w:val="000000" w:themeColor="text1"/>
                <w:highlight w:val="none"/>
                <w14:textFill>
                  <w14:solidFill>
                    <w14:schemeClr w14:val="tx1"/>
                  </w14:solidFill>
                </w14:textFill>
              </w:rPr>
            </w:pPr>
          </w:p>
        </w:tc>
        <w:tc>
          <w:tcPr>
            <w:tcW w:w="842" w:type="dxa"/>
            <w:tcBorders>
              <w:left w:val="single" w:color="auto" w:sz="4" w:space="0"/>
            </w:tcBorders>
            <w:noWrap/>
            <w:vAlign w:val="center"/>
          </w:tcPr>
          <w:p w14:paraId="1216B779">
            <w:pPr>
              <w:rPr>
                <w:color w:val="000000" w:themeColor="text1"/>
                <w:highlight w:val="none"/>
                <w14:textFill>
                  <w14:solidFill>
                    <w14:schemeClr w14:val="tx1"/>
                  </w14:solidFill>
                </w14:textFill>
              </w:rPr>
            </w:pPr>
          </w:p>
        </w:tc>
        <w:tc>
          <w:tcPr>
            <w:tcW w:w="690" w:type="dxa"/>
            <w:noWrap/>
            <w:vAlign w:val="center"/>
          </w:tcPr>
          <w:p w14:paraId="14AF2627">
            <w:pPr>
              <w:rPr>
                <w:color w:val="000000" w:themeColor="text1"/>
                <w:highlight w:val="none"/>
                <w14:textFill>
                  <w14:solidFill>
                    <w14:schemeClr w14:val="tx1"/>
                  </w14:solidFill>
                </w14:textFill>
              </w:rPr>
            </w:pPr>
          </w:p>
        </w:tc>
        <w:tc>
          <w:tcPr>
            <w:tcW w:w="660" w:type="dxa"/>
            <w:noWrap/>
            <w:vAlign w:val="center"/>
          </w:tcPr>
          <w:p w14:paraId="57C12AF5">
            <w:pPr>
              <w:rPr>
                <w:color w:val="000000" w:themeColor="text1"/>
                <w:highlight w:val="none"/>
                <w14:textFill>
                  <w14:solidFill>
                    <w14:schemeClr w14:val="tx1"/>
                  </w14:solidFill>
                </w14:textFill>
              </w:rPr>
            </w:pPr>
          </w:p>
        </w:tc>
        <w:tc>
          <w:tcPr>
            <w:tcW w:w="733" w:type="dxa"/>
            <w:noWrap/>
            <w:vAlign w:val="center"/>
          </w:tcPr>
          <w:p w14:paraId="6E86FA42">
            <w:pPr>
              <w:rPr>
                <w:color w:val="000000" w:themeColor="text1"/>
                <w:highlight w:val="none"/>
                <w14:textFill>
                  <w14:solidFill>
                    <w14:schemeClr w14:val="tx1"/>
                  </w14:solidFill>
                </w14:textFill>
              </w:rPr>
            </w:pPr>
          </w:p>
        </w:tc>
        <w:tc>
          <w:tcPr>
            <w:tcW w:w="937" w:type="dxa"/>
            <w:noWrap/>
            <w:vAlign w:val="center"/>
          </w:tcPr>
          <w:p w14:paraId="2243708A">
            <w:pPr>
              <w:rPr>
                <w:color w:val="000000" w:themeColor="text1"/>
                <w:highlight w:val="none"/>
                <w14:textFill>
                  <w14:solidFill>
                    <w14:schemeClr w14:val="tx1"/>
                  </w14:solidFill>
                </w14:textFill>
              </w:rPr>
            </w:pPr>
          </w:p>
        </w:tc>
        <w:tc>
          <w:tcPr>
            <w:tcW w:w="976" w:type="dxa"/>
            <w:noWrap/>
            <w:vAlign w:val="center"/>
          </w:tcPr>
          <w:p w14:paraId="1B8E85F1">
            <w:pPr>
              <w:rPr>
                <w:color w:val="000000" w:themeColor="text1"/>
                <w:highlight w:val="none"/>
                <w14:textFill>
                  <w14:solidFill>
                    <w14:schemeClr w14:val="tx1"/>
                  </w14:solidFill>
                </w14:textFill>
              </w:rPr>
            </w:pPr>
          </w:p>
        </w:tc>
        <w:tc>
          <w:tcPr>
            <w:tcW w:w="816" w:type="dxa"/>
            <w:noWrap/>
            <w:vAlign w:val="center"/>
          </w:tcPr>
          <w:p w14:paraId="340552D8">
            <w:pPr>
              <w:rPr>
                <w:color w:val="000000" w:themeColor="text1"/>
                <w:highlight w:val="none"/>
                <w14:textFill>
                  <w14:solidFill>
                    <w14:schemeClr w14:val="tx1"/>
                  </w14:solidFill>
                </w14:textFill>
              </w:rPr>
            </w:pPr>
          </w:p>
        </w:tc>
      </w:tr>
      <w:tr w14:paraId="48B268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noWrap/>
            <w:vAlign w:val="center"/>
          </w:tcPr>
          <w:p w14:paraId="47D51F70">
            <w:pPr>
              <w:rPr>
                <w:color w:val="000000" w:themeColor="text1"/>
                <w:highlight w:val="none"/>
                <w14:textFill>
                  <w14:solidFill>
                    <w14:schemeClr w14:val="tx1"/>
                  </w14:solidFill>
                </w14:textFill>
              </w:rPr>
            </w:pPr>
          </w:p>
        </w:tc>
        <w:tc>
          <w:tcPr>
            <w:tcW w:w="8585" w:type="dxa"/>
            <w:gridSpan w:val="9"/>
            <w:noWrap/>
            <w:vAlign w:val="center"/>
          </w:tcPr>
          <w:p w14:paraId="6311181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报</w:t>
            </w:r>
            <w:r>
              <w:rPr>
                <w:color w:val="000000" w:themeColor="text1"/>
                <w:highlight w:val="none"/>
                <w14:textFill>
                  <w14:solidFill>
                    <w14:schemeClr w14:val="tx1"/>
                  </w14:solidFill>
                </w14:textFill>
              </w:rPr>
              <w:t>价：</w:t>
            </w:r>
          </w:p>
        </w:tc>
      </w:tr>
    </w:tbl>
    <w:p w14:paraId="62FC0EB2">
      <w:pPr>
        <w:rPr>
          <w:rFonts w:ascii="仿宋" w:hAnsi="仿宋" w:eastAsia="仿宋" w:cs="仿宋"/>
          <w:szCs w:val="21"/>
          <w:highlight w:val="none"/>
        </w:rPr>
      </w:pPr>
    </w:p>
    <w:p w14:paraId="4143528F">
      <w:pPr>
        <w:adjustRightInd w:val="0"/>
        <w:spacing w:line="360" w:lineRule="auto"/>
        <w:rPr>
          <w:rFonts w:ascii="仿宋" w:hAnsi="仿宋" w:eastAsia="仿宋" w:cs="仿宋"/>
          <w:szCs w:val="21"/>
          <w:highlight w:val="none"/>
        </w:rPr>
      </w:pPr>
      <w:r>
        <w:rPr>
          <w:rFonts w:hint="eastAsia" w:ascii="仿宋" w:hAnsi="仿宋" w:eastAsia="仿宋" w:cs="仿宋"/>
          <w:szCs w:val="21"/>
          <w:highlight w:val="none"/>
        </w:rPr>
        <w:t>注：以上表格中投标单位可进一步细分或添加，栏数不够可自加，应包括为完成本项目各项服务可能发生的全部费用及投标人的利润和应交纳的税金等（包括人员工资、《劳动合同法》规定的各种社会保险费、工具、办公费等其他费用）详细列出。投标人对合同内容的费用、质量、安全、文明服务等实行全面承包等所涉及的一切费用。最终汇总价应和开标一览表（报价表）中报价保持一致。</w:t>
      </w:r>
    </w:p>
    <w:p w14:paraId="515F2562">
      <w:pPr>
        <w:adjustRightInd w:val="0"/>
        <w:spacing w:line="360" w:lineRule="auto"/>
        <w:ind w:firstLine="4515" w:firstLineChars="2150"/>
        <w:rPr>
          <w:rFonts w:ascii="仿宋" w:hAnsi="仿宋" w:eastAsia="仿宋" w:cs="仿宋"/>
          <w:szCs w:val="21"/>
          <w:highlight w:val="none"/>
        </w:rPr>
      </w:pPr>
    </w:p>
    <w:p w14:paraId="6CAA9266">
      <w:pPr>
        <w:adjustRightInd w:val="0"/>
        <w:spacing w:line="360" w:lineRule="auto"/>
        <w:ind w:firstLine="4515" w:firstLineChars="2150"/>
        <w:rPr>
          <w:rFonts w:ascii="仿宋" w:hAnsi="仿宋" w:eastAsia="仿宋" w:cs="仿宋"/>
          <w:szCs w:val="21"/>
          <w:highlight w:val="none"/>
        </w:rPr>
      </w:pPr>
    </w:p>
    <w:p w14:paraId="1CA83B25">
      <w:pPr>
        <w:adjustRightInd w:val="0"/>
        <w:spacing w:line="360" w:lineRule="auto"/>
        <w:ind w:firstLine="4515" w:firstLineChars="2150"/>
        <w:rPr>
          <w:rFonts w:ascii="仿宋" w:hAnsi="仿宋" w:eastAsia="仿宋" w:cs="仿宋"/>
          <w:szCs w:val="21"/>
          <w:highlight w:val="none"/>
        </w:rPr>
      </w:pPr>
    </w:p>
    <w:p w14:paraId="0C01D591">
      <w:pPr>
        <w:adjustRightInd w:val="0"/>
        <w:spacing w:line="360" w:lineRule="auto"/>
        <w:ind w:firstLine="4515" w:firstLineChars="2150"/>
        <w:rPr>
          <w:rFonts w:ascii="仿宋" w:hAnsi="仿宋" w:eastAsia="仿宋" w:cs="仿宋"/>
          <w:szCs w:val="21"/>
          <w:highlight w:val="none"/>
        </w:rPr>
      </w:pPr>
    </w:p>
    <w:p w14:paraId="1EF12F0A">
      <w:pPr>
        <w:snapToGrid w:val="0"/>
        <w:spacing w:line="360" w:lineRule="auto"/>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lang w:val="zh-CN"/>
        </w:rPr>
        <w:t>投标人名称(</w:t>
      </w:r>
      <w:r>
        <w:rPr>
          <w:rFonts w:hint="eastAsia" w:ascii="仿宋" w:hAnsi="仿宋" w:eastAsia="仿宋" w:cs="仿宋"/>
          <w:sz w:val="24"/>
          <w:highlight w:val="none"/>
          <w:lang w:val="zh-CN"/>
        </w:rPr>
        <w:t>公章</w:t>
      </w:r>
      <w:r>
        <w:rPr>
          <w:rFonts w:hint="eastAsia" w:ascii="仿宋" w:hAnsi="仿宋" w:eastAsia="仿宋" w:cs="仿宋"/>
          <w:kern w:val="0"/>
          <w:sz w:val="24"/>
          <w:highlight w:val="none"/>
          <w:lang w:val="zh-CN"/>
        </w:rPr>
        <w:t>)：</w:t>
      </w:r>
    </w:p>
    <w:p w14:paraId="26AD6D0E">
      <w:pPr>
        <w:snapToGrid w:val="0"/>
        <w:spacing w:line="360" w:lineRule="auto"/>
        <w:ind w:firstLine="4080" w:firstLineChars="170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法定代表人或授权委托人：（签字或盖章）</w:t>
      </w:r>
    </w:p>
    <w:p w14:paraId="5F4CBB53">
      <w:pPr>
        <w:snapToGrid w:val="0"/>
        <w:spacing w:line="360" w:lineRule="auto"/>
        <w:rPr>
          <w:rFonts w:hint="eastAsia" w:ascii="仿宋_GB2312" w:hAnsi="仿宋" w:eastAsia="仿宋_GB2312" w:cs="仿宋_GB2312"/>
          <w:b/>
          <w:kern w:val="0"/>
          <w:sz w:val="32"/>
          <w:szCs w:val="32"/>
          <w:highlight w:val="none"/>
          <w:lang w:val="zh-CN"/>
        </w:rPr>
      </w:pPr>
      <w:r>
        <w:rPr>
          <w:rFonts w:hint="eastAsia" w:ascii="仿宋" w:hAnsi="仿宋" w:eastAsia="仿宋" w:cs="仿宋"/>
          <w:kern w:val="0"/>
          <w:sz w:val="24"/>
          <w:highlight w:val="none"/>
          <w:lang w:val="zh-CN"/>
        </w:rPr>
        <w:t xml:space="preserve">                                       </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lang w:val="zh-CN"/>
        </w:rPr>
        <w:t>日期：  年  月   日</w:t>
      </w:r>
    </w:p>
    <w:p w14:paraId="0ED2AC28">
      <w:pPr>
        <w:adjustRightInd w:val="0"/>
        <w:snapToGrid w:val="0"/>
        <w:spacing w:line="312" w:lineRule="auto"/>
        <w:ind w:firstLine="420" w:firstLineChars="200"/>
        <w:rPr>
          <w:rFonts w:ascii="仿宋" w:hAnsi="仿宋" w:eastAsia="仿宋" w:cs="仿宋"/>
          <w:szCs w:val="21"/>
          <w:highlight w:val="none"/>
        </w:rPr>
      </w:pPr>
    </w:p>
    <w:p w14:paraId="27CC51A7">
      <w:pPr>
        <w:rPr>
          <w:rFonts w:ascii="仿宋" w:hAnsi="仿宋" w:eastAsia="仿宋" w:cs="仿宋"/>
          <w:szCs w:val="21"/>
          <w:highlight w:val="none"/>
        </w:rPr>
      </w:pPr>
    </w:p>
    <w:p w14:paraId="2D926F0E">
      <w:pPr>
        <w:rPr>
          <w:highlight w:val="none"/>
        </w:rPr>
      </w:pPr>
      <w:r>
        <w:rPr>
          <w:rFonts w:hint="eastAsia"/>
          <w:highlight w:val="none"/>
        </w:rPr>
        <w:t xml:space="preserve"> </w:t>
      </w:r>
    </w:p>
    <w:p w14:paraId="223B843A">
      <w:pPr>
        <w:rPr>
          <w:rFonts w:ascii="仿宋" w:hAnsi="仿宋" w:eastAsia="仿宋"/>
          <w:b/>
          <w:sz w:val="28"/>
          <w:szCs w:val="28"/>
          <w:highlight w:val="none"/>
        </w:rPr>
      </w:pPr>
      <w:bookmarkStart w:id="128" w:name="_Toc13414"/>
      <w:bookmarkStart w:id="129" w:name="_Toc149300484"/>
      <w:bookmarkStart w:id="130" w:name="_Toc22303"/>
      <w:bookmarkStart w:id="131" w:name="_Toc149300708"/>
      <w:bookmarkStart w:id="132" w:name="_Toc13986"/>
      <w:bookmarkStart w:id="133" w:name="_Toc465665161"/>
      <w:bookmarkStart w:id="134" w:name="_Toc7552"/>
    </w:p>
    <w:p w14:paraId="571F6640">
      <w:pPr>
        <w:pStyle w:val="49"/>
        <w:widowControl/>
        <w:spacing w:line="500" w:lineRule="exact"/>
        <w:ind w:firstLine="0" w:firstLineChars="0"/>
        <w:jc w:val="center"/>
        <w:rPr>
          <w:rFonts w:ascii="仿宋" w:hAnsi="仿宋" w:eastAsia="仿宋"/>
          <w:b/>
          <w:sz w:val="28"/>
          <w:szCs w:val="28"/>
          <w:highlight w:val="none"/>
        </w:rPr>
      </w:pPr>
    </w:p>
    <w:p w14:paraId="652921E1">
      <w:pPr>
        <w:pStyle w:val="49"/>
        <w:widowControl/>
        <w:spacing w:line="500" w:lineRule="exact"/>
        <w:ind w:firstLine="0" w:firstLineChars="0"/>
        <w:jc w:val="center"/>
        <w:rPr>
          <w:rFonts w:ascii="仿宋" w:hAnsi="仿宋" w:eastAsia="仿宋"/>
          <w:b/>
          <w:sz w:val="28"/>
          <w:szCs w:val="28"/>
          <w:highlight w:val="none"/>
        </w:rPr>
      </w:pPr>
    </w:p>
    <w:p w14:paraId="7FDA2FFC">
      <w:pPr>
        <w:pStyle w:val="49"/>
        <w:widowControl/>
        <w:spacing w:line="500" w:lineRule="exact"/>
        <w:ind w:firstLine="0" w:firstLineChars="0"/>
        <w:jc w:val="center"/>
        <w:rPr>
          <w:rFonts w:ascii="仿宋" w:hAnsi="仿宋" w:eastAsia="仿宋"/>
          <w:b/>
          <w:sz w:val="28"/>
          <w:szCs w:val="28"/>
          <w:highlight w:val="none"/>
        </w:rPr>
      </w:pPr>
    </w:p>
    <w:p w14:paraId="391DAEE2">
      <w:pPr>
        <w:pStyle w:val="49"/>
        <w:widowControl/>
        <w:spacing w:line="500" w:lineRule="exact"/>
        <w:ind w:firstLine="0" w:firstLineChars="0"/>
        <w:jc w:val="center"/>
        <w:rPr>
          <w:rFonts w:ascii="仿宋" w:hAnsi="仿宋" w:eastAsia="仿宋"/>
          <w:b/>
          <w:sz w:val="28"/>
          <w:szCs w:val="28"/>
          <w:highlight w:val="none"/>
        </w:rPr>
      </w:pPr>
    </w:p>
    <w:p w14:paraId="48E07066">
      <w:pPr>
        <w:pStyle w:val="49"/>
        <w:widowControl/>
        <w:spacing w:line="500" w:lineRule="exact"/>
        <w:ind w:firstLine="0" w:firstLineChars="0"/>
        <w:jc w:val="center"/>
        <w:rPr>
          <w:rFonts w:ascii="仿宋" w:hAnsi="仿宋" w:eastAsia="仿宋"/>
          <w:b/>
          <w:sz w:val="28"/>
          <w:szCs w:val="28"/>
          <w:highlight w:val="none"/>
        </w:rPr>
      </w:pPr>
    </w:p>
    <w:p w14:paraId="3EF5269D">
      <w:pPr>
        <w:pStyle w:val="49"/>
        <w:widowControl/>
        <w:spacing w:line="500" w:lineRule="exact"/>
        <w:ind w:firstLine="0" w:firstLineChars="0"/>
        <w:jc w:val="center"/>
        <w:rPr>
          <w:rFonts w:ascii="仿宋" w:hAnsi="仿宋" w:eastAsia="仿宋"/>
          <w:b/>
          <w:sz w:val="28"/>
          <w:szCs w:val="28"/>
          <w:highlight w:val="none"/>
        </w:rPr>
      </w:pPr>
    </w:p>
    <w:bookmarkEnd w:id="128"/>
    <w:bookmarkEnd w:id="129"/>
    <w:bookmarkEnd w:id="130"/>
    <w:bookmarkEnd w:id="131"/>
    <w:bookmarkEnd w:id="132"/>
    <w:bookmarkEnd w:id="133"/>
    <w:bookmarkEnd w:id="134"/>
    <w:p w14:paraId="40CC8D17">
      <w:pPr>
        <w:rPr>
          <w:rFonts w:ascii="仿宋" w:hAnsi="仿宋" w:eastAsia="仿宋"/>
          <w:b/>
          <w:sz w:val="28"/>
          <w:szCs w:val="28"/>
          <w:highlight w:val="none"/>
        </w:rPr>
      </w:pPr>
      <w:r>
        <w:rPr>
          <w:rFonts w:hint="eastAsia" w:ascii="仿宋_GB2312" w:hAnsi="仿宋" w:eastAsia="仿宋_GB2312"/>
          <w:b/>
          <w:spacing w:val="6"/>
          <w:sz w:val="32"/>
          <w:szCs w:val="32"/>
          <w:highlight w:val="none"/>
        </w:rPr>
        <w:br w:type="page"/>
      </w:r>
      <w:bookmarkStart w:id="135" w:name="_Toc11347"/>
      <w:bookmarkStart w:id="136" w:name="_Toc24580"/>
    </w:p>
    <w:p w14:paraId="6C9819BE">
      <w:pPr>
        <w:pStyle w:val="49"/>
        <w:widowControl/>
        <w:spacing w:line="500" w:lineRule="exact"/>
        <w:ind w:firstLine="0" w:firstLineChars="0"/>
        <w:jc w:val="left"/>
        <w:rPr>
          <w:rFonts w:hint="eastAsia" w:ascii="仿宋" w:hAnsi="仿宋" w:eastAsia="仿宋"/>
          <w:b/>
          <w:sz w:val="30"/>
          <w:szCs w:val="30"/>
          <w:highlight w:val="none"/>
          <w:lang w:eastAsia="zh-CN"/>
        </w:rPr>
      </w:pPr>
      <w:bookmarkStart w:id="137" w:name="_Toc10176"/>
      <w:r>
        <w:rPr>
          <w:rFonts w:hint="eastAsia" w:ascii="仿宋" w:hAnsi="仿宋" w:eastAsia="仿宋"/>
          <w:b/>
          <w:sz w:val="30"/>
          <w:szCs w:val="30"/>
          <w:highlight w:val="none"/>
        </w:rPr>
        <w:t>供应商认为有必要提供的其他材料</w:t>
      </w:r>
      <w:bookmarkEnd w:id="135"/>
      <w:bookmarkEnd w:id="136"/>
      <w:bookmarkEnd w:id="137"/>
      <w:r>
        <w:rPr>
          <w:rFonts w:hint="eastAsia" w:ascii="仿宋" w:hAnsi="仿宋" w:eastAsia="仿宋"/>
          <w:b/>
          <w:sz w:val="30"/>
          <w:szCs w:val="30"/>
          <w:highlight w:val="none"/>
          <w:lang w:eastAsia="zh-CN"/>
        </w:rPr>
        <w:t>（如有）</w:t>
      </w:r>
    </w:p>
    <w:p w14:paraId="3054A5FC">
      <w:pPr>
        <w:spacing w:line="360" w:lineRule="auto"/>
        <w:jc w:val="left"/>
        <w:rPr>
          <w:rFonts w:ascii="仿宋_GB2312" w:hAnsi="仿宋" w:eastAsia="仿宋_GB2312"/>
          <w:b/>
          <w:spacing w:val="6"/>
          <w:szCs w:val="21"/>
          <w:highlight w:val="none"/>
        </w:rPr>
      </w:pPr>
    </w:p>
    <w:p w14:paraId="067CE351">
      <w:pPr>
        <w:spacing w:line="360" w:lineRule="auto"/>
        <w:jc w:val="left"/>
        <w:rPr>
          <w:rFonts w:ascii="仿宋_GB2312" w:hAnsi="仿宋" w:eastAsia="仿宋_GB2312"/>
          <w:b/>
          <w:spacing w:val="6"/>
          <w:szCs w:val="21"/>
          <w:highlight w:val="none"/>
        </w:rPr>
      </w:pPr>
    </w:p>
    <w:p w14:paraId="2F2532C3">
      <w:pPr>
        <w:spacing w:line="360" w:lineRule="auto"/>
        <w:jc w:val="left"/>
        <w:rPr>
          <w:rFonts w:ascii="仿宋_GB2312" w:hAnsi="仿宋" w:eastAsia="仿宋_GB2312"/>
          <w:b/>
          <w:spacing w:val="6"/>
          <w:szCs w:val="21"/>
          <w:highlight w:val="none"/>
        </w:rPr>
      </w:pPr>
    </w:p>
    <w:p w14:paraId="365D2BA7">
      <w:pPr>
        <w:spacing w:line="360" w:lineRule="auto"/>
        <w:jc w:val="left"/>
        <w:rPr>
          <w:rFonts w:ascii="仿宋_GB2312" w:hAnsi="仿宋" w:eastAsia="仿宋_GB2312"/>
          <w:b/>
          <w:spacing w:val="6"/>
          <w:szCs w:val="21"/>
          <w:highlight w:val="none"/>
        </w:rPr>
      </w:pPr>
    </w:p>
    <w:p w14:paraId="0CEC6D26">
      <w:pPr>
        <w:spacing w:line="360" w:lineRule="auto"/>
        <w:jc w:val="left"/>
        <w:rPr>
          <w:rFonts w:ascii="仿宋_GB2312" w:hAnsi="仿宋" w:eastAsia="仿宋_GB2312"/>
          <w:b/>
          <w:spacing w:val="6"/>
          <w:szCs w:val="21"/>
          <w:highlight w:val="none"/>
        </w:rPr>
      </w:pPr>
    </w:p>
    <w:p w14:paraId="25CFF9C6">
      <w:pPr>
        <w:spacing w:line="360" w:lineRule="auto"/>
        <w:jc w:val="left"/>
        <w:rPr>
          <w:rFonts w:ascii="仿宋_GB2312" w:hAnsi="仿宋" w:eastAsia="仿宋_GB2312"/>
          <w:b/>
          <w:spacing w:val="6"/>
          <w:szCs w:val="21"/>
          <w:highlight w:val="none"/>
        </w:rPr>
      </w:pPr>
    </w:p>
    <w:p w14:paraId="22178831">
      <w:pPr>
        <w:spacing w:line="360" w:lineRule="auto"/>
        <w:jc w:val="left"/>
        <w:rPr>
          <w:rFonts w:ascii="仿宋_GB2312" w:hAnsi="仿宋" w:eastAsia="仿宋_GB2312"/>
          <w:b/>
          <w:spacing w:val="6"/>
          <w:szCs w:val="21"/>
          <w:highlight w:val="none"/>
        </w:rPr>
      </w:pPr>
    </w:p>
    <w:p w14:paraId="476ACA6F">
      <w:pPr>
        <w:spacing w:line="360" w:lineRule="auto"/>
        <w:jc w:val="left"/>
        <w:rPr>
          <w:rFonts w:ascii="仿宋_GB2312" w:hAnsi="仿宋" w:eastAsia="仿宋_GB2312"/>
          <w:b/>
          <w:spacing w:val="6"/>
          <w:szCs w:val="21"/>
          <w:highlight w:val="none"/>
        </w:rPr>
      </w:pPr>
    </w:p>
    <w:p w14:paraId="3DC9BEDC">
      <w:pPr>
        <w:spacing w:line="360" w:lineRule="auto"/>
        <w:jc w:val="left"/>
        <w:rPr>
          <w:rFonts w:ascii="仿宋_GB2312" w:hAnsi="仿宋" w:eastAsia="仿宋_GB2312"/>
          <w:b/>
          <w:spacing w:val="6"/>
          <w:sz w:val="32"/>
          <w:szCs w:val="32"/>
          <w:highlight w:val="none"/>
        </w:rPr>
      </w:pPr>
    </w:p>
    <w:p w14:paraId="595CC3B0">
      <w:pPr>
        <w:spacing w:line="360" w:lineRule="auto"/>
        <w:jc w:val="left"/>
        <w:rPr>
          <w:rFonts w:ascii="仿宋_GB2312" w:hAnsi="仿宋" w:eastAsia="仿宋_GB2312"/>
          <w:b/>
          <w:spacing w:val="6"/>
          <w:sz w:val="32"/>
          <w:szCs w:val="32"/>
          <w:highlight w:val="none"/>
        </w:rPr>
      </w:pPr>
    </w:p>
    <w:p w14:paraId="48776890">
      <w:pPr>
        <w:spacing w:line="360" w:lineRule="auto"/>
        <w:jc w:val="left"/>
        <w:rPr>
          <w:rFonts w:ascii="仿宋_GB2312" w:hAnsi="仿宋" w:eastAsia="仿宋_GB2312"/>
          <w:b/>
          <w:spacing w:val="6"/>
          <w:sz w:val="32"/>
          <w:szCs w:val="32"/>
          <w:highlight w:val="none"/>
        </w:rPr>
      </w:pPr>
    </w:p>
    <w:p w14:paraId="17BCDF47">
      <w:pPr>
        <w:spacing w:line="360" w:lineRule="auto"/>
        <w:jc w:val="left"/>
        <w:rPr>
          <w:rFonts w:ascii="仿宋_GB2312" w:hAnsi="仿宋" w:eastAsia="仿宋_GB2312"/>
          <w:b/>
          <w:spacing w:val="6"/>
          <w:sz w:val="32"/>
          <w:szCs w:val="32"/>
          <w:highlight w:val="none"/>
        </w:rPr>
      </w:pPr>
    </w:p>
    <w:p w14:paraId="3C58C628">
      <w:pPr>
        <w:spacing w:line="360" w:lineRule="auto"/>
        <w:jc w:val="left"/>
        <w:rPr>
          <w:rFonts w:ascii="仿宋_GB2312" w:hAnsi="仿宋" w:eastAsia="仿宋_GB2312"/>
          <w:b/>
          <w:spacing w:val="6"/>
          <w:sz w:val="32"/>
          <w:szCs w:val="32"/>
          <w:highlight w:val="none"/>
        </w:rPr>
      </w:pPr>
    </w:p>
    <w:p w14:paraId="6081CE73">
      <w:pPr>
        <w:spacing w:line="360" w:lineRule="auto"/>
        <w:jc w:val="left"/>
        <w:rPr>
          <w:rFonts w:ascii="仿宋_GB2312" w:hAnsi="仿宋" w:eastAsia="仿宋_GB2312"/>
          <w:b/>
          <w:spacing w:val="6"/>
          <w:sz w:val="32"/>
          <w:szCs w:val="32"/>
          <w:highlight w:val="none"/>
        </w:rPr>
      </w:pPr>
    </w:p>
    <w:p w14:paraId="0E4CB696">
      <w:pPr>
        <w:spacing w:line="360" w:lineRule="auto"/>
        <w:jc w:val="left"/>
        <w:rPr>
          <w:rFonts w:ascii="仿宋_GB2312" w:hAnsi="仿宋" w:eastAsia="仿宋_GB2312"/>
          <w:b/>
          <w:spacing w:val="6"/>
          <w:sz w:val="32"/>
          <w:szCs w:val="32"/>
          <w:highlight w:val="none"/>
        </w:rPr>
      </w:pPr>
    </w:p>
    <w:p w14:paraId="437D34EB">
      <w:pPr>
        <w:spacing w:line="360" w:lineRule="auto"/>
        <w:jc w:val="left"/>
        <w:rPr>
          <w:rFonts w:ascii="仿宋_GB2312" w:hAnsi="仿宋" w:eastAsia="仿宋_GB2312"/>
          <w:b/>
          <w:spacing w:val="6"/>
          <w:sz w:val="32"/>
          <w:szCs w:val="32"/>
          <w:highlight w:val="none"/>
        </w:rPr>
      </w:pPr>
    </w:p>
    <w:p w14:paraId="5EAA7734">
      <w:pPr>
        <w:spacing w:line="360" w:lineRule="auto"/>
        <w:jc w:val="left"/>
        <w:rPr>
          <w:rFonts w:ascii="仿宋_GB2312" w:hAnsi="仿宋" w:eastAsia="仿宋_GB2312"/>
          <w:b/>
          <w:spacing w:val="6"/>
          <w:sz w:val="32"/>
          <w:szCs w:val="32"/>
          <w:highlight w:val="none"/>
        </w:rPr>
      </w:pPr>
    </w:p>
    <w:p w14:paraId="4F9E1C3B">
      <w:pPr>
        <w:spacing w:line="360" w:lineRule="auto"/>
        <w:jc w:val="left"/>
        <w:rPr>
          <w:rFonts w:ascii="仿宋_GB2312" w:hAnsi="仿宋" w:eastAsia="仿宋_GB2312"/>
          <w:b/>
          <w:spacing w:val="6"/>
          <w:sz w:val="32"/>
          <w:szCs w:val="32"/>
          <w:highlight w:val="none"/>
        </w:rPr>
      </w:pPr>
    </w:p>
    <w:p w14:paraId="4456F374">
      <w:pPr>
        <w:rPr>
          <w:rFonts w:hint="default" w:ascii="仿宋" w:hAnsi="仿宋" w:eastAsia="仿宋" w:cs="仿宋"/>
          <w:b/>
          <w:sz w:val="30"/>
          <w:szCs w:val="30"/>
          <w:highlight w:val="none"/>
        </w:rPr>
      </w:pPr>
    </w:p>
    <w:sectPr>
      <w:footerReference r:id="rId9" w:type="default"/>
      <w:pgSz w:w="11906" w:h="16838"/>
      <w:pgMar w:top="1247" w:right="1588" w:bottom="1089"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AA19">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90958">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1190958">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0A5BA">
    <w:pPr>
      <w:pStyle w:val="16"/>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17500" cy="1828800"/>
              <wp:effectExtent l="0" t="0" r="6350" b="5715"/>
              <wp:wrapNone/>
              <wp:docPr id="10" name="文本框 10"/>
              <wp:cNvGraphicFramePr/>
              <a:graphic xmlns:a="http://schemas.openxmlformats.org/drawingml/2006/main">
                <a:graphicData uri="http://schemas.microsoft.com/office/word/2010/wordprocessingShape">
                  <wps:wsp>
                    <wps:cNvSpPr txBox="1"/>
                    <wps:spPr>
                      <a:xfrm>
                        <a:off x="0" y="0"/>
                        <a:ext cx="317500" cy="1828800"/>
                      </a:xfrm>
                      <a:prstGeom prst="rect">
                        <a:avLst/>
                      </a:prstGeom>
                      <a:noFill/>
                      <a:ln w="15875">
                        <a:noFill/>
                      </a:ln>
                    </wps:spPr>
                    <wps:txbx>
                      <w:txbxContent>
                        <w:p w14:paraId="0499FAB9">
                          <w:pPr>
                            <w:pStyle w:val="16"/>
                            <w:rPr>
                              <w:rFonts w:eastAsia="宋体"/>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25pt;mso-position-horizontal:center;mso-position-horizontal-relative:margin;z-index:251659264;mso-width-relative:page;mso-height-relative:page;" filled="f" stroked="f" coordsize="21600,21600" o:gfxdata="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Now6ONMAAAAEAQAADwAAAAAAAAABACAAAAAiAAAAZHJz&#10;L2Rvd25yZXYueG1sUEsBAhQAFAAAAAgAh07iQOcPs17QAQAAmgMAAA4AAAAAAAAAAQAgAAAAIgEA&#10;AGRycy9lMm9Eb2MueG1sUEsFBgAAAAAGAAYAWQEAAGQFAAAAAA==&#10;">
              <v:fill on="f" focussize="0,0"/>
              <v:stroke on="f" weight="1.25pt"/>
              <v:imagedata o:title=""/>
              <o:lock v:ext="edit" aspectratio="f"/>
              <v:textbox inset="0mm,0mm,0mm,0mm" style="mso-fit-shape-to-text:t;">
                <w:txbxContent>
                  <w:p w14:paraId="0499FAB9">
                    <w:pPr>
                      <w:pStyle w:val="16"/>
                      <w:rPr>
                        <w:rFonts w:eastAsia="宋体"/>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1CBC">
    <w:pPr>
      <w:pStyle w:val="16"/>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12B5D9">
                          <w:pPr>
                            <w:pStyle w:val="16"/>
                            <w:rPr>
                              <w:rFonts w:eastAsia="宋体"/>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14:paraId="0612B5D9">
                    <w:pPr>
                      <w:pStyle w:val="16"/>
                      <w:rPr>
                        <w:rFonts w:eastAsia="宋体"/>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p w14:paraId="0C04AA1B">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6B49">
    <w:pPr>
      <w:pStyle w:val="16"/>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A6D00F">
                          <w:pPr>
                            <w:pStyle w:val="16"/>
                            <w:rPr>
                              <w:rFonts w:eastAsia="宋体"/>
                            </w:rPr>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14:paraId="1BA6D00F">
                    <w:pPr>
                      <w:pStyle w:val="16"/>
                      <w:rPr>
                        <w:rFonts w:eastAsia="宋体"/>
                      </w:rPr>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F5C2">
    <w:pPr>
      <w:pStyle w:val="17"/>
      <w:jc w:val="left"/>
      <w:rPr>
        <w:rFonts w:hint="eastAsia" w:ascii="仿宋" w:hAnsi="仿宋" w:eastAsia="仿宋" w:cs="仿宋"/>
        <w:lang w:eastAsia="zh-CN"/>
      </w:rPr>
    </w:pP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5274310"/>
          <wp:effectExtent l="0" t="0" r="2540" b="2540"/>
          <wp:wrapNone/>
          <wp:docPr id="9" name="WordPictureWatermark13001" descr="efda8043293523444450b288ce0d67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3001" descr="efda8043293523444450b288ce0d67fd"/>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rFonts w:hint="eastAsia" w:ascii="仿宋" w:hAnsi="仿宋" w:eastAsia="仿宋" w:cs="仿宋"/>
        <w:lang w:eastAsia="zh-CN"/>
      </w:rPr>
      <w:t>新疆蒙泰工程项目管理有限公司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CFFC5">
    <w:pPr>
      <w:pStyle w:val="17"/>
      <w:jc w:val="right"/>
    </w:pPr>
    <w:r>
      <w:rPr>
        <w:sz w:val="18"/>
      </w:rP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5274310" cy="5274310"/>
          <wp:effectExtent l="0" t="0" r="2540" b="2540"/>
          <wp:wrapNone/>
          <wp:docPr id="12" name="WordPictureWatermark13001" descr="efda8043293523444450b288ce0d67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13001" descr="efda8043293523444450b288ce0d67fd"/>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rFonts w:hint="eastAsia"/>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E353B">
    <w:pPr>
      <w:pStyle w:val="17"/>
      <w:jc w:val="right"/>
    </w:pPr>
    <w:r>
      <w:rPr>
        <w:sz w:val="18"/>
      </w:rP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5274310"/>
          <wp:effectExtent l="0" t="0" r="2540" b="2540"/>
          <wp:wrapNone/>
          <wp:docPr id="11" name="WordPictureWatermark13001" descr="efda8043293523444450b288ce0d67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13001" descr="efda8043293523444450b288ce0d67fd"/>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rFonts w:hint="eastAsia"/>
      </w:rPr>
      <w:t xml:space="preserve">公开招标文件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86C21"/>
    <w:multiLevelType w:val="singleLevel"/>
    <w:tmpl w:val="AE786C21"/>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0"/>
      <w:numFmt w:val="bullet"/>
      <w:pStyle w:val="74"/>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FD64E83"/>
    <w:multiLevelType w:val="singleLevel"/>
    <w:tmpl w:val="0FD64E83"/>
    <w:lvl w:ilvl="0" w:tentative="0">
      <w:start w:val="1"/>
      <w:numFmt w:val="decimal"/>
      <w:lvlText w:val="%1."/>
      <w:lvlJc w:val="left"/>
      <w:pPr>
        <w:tabs>
          <w:tab w:val="left" w:pos="312"/>
        </w:tabs>
      </w:pPr>
    </w:lvl>
  </w:abstractNum>
  <w:abstractNum w:abstractNumId="3">
    <w:nsid w:val="1277375B"/>
    <w:multiLevelType w:val="singleLevel"/>
    <w:tmpl w:val="1277375B"/>
    <w:lvl w:ilvl="0" w:tentative="0">
      <w:start w:val="2"/>
      <w:numFmt w:val="decimal"/>
      <w:suff w:val="space"/>
      <w:lvlText w:val="%1."/>
      <w:lvlJc w:val="left"/>
    </w:lvl>
  </w:abstractNum>
  <w:abstractNum w:abstractNumId="4">
    <w:nsid w:val="32519203"/>
    <w:multiLevelType w:val="singleLevel"/>
    <w:tmpl w:val="32519203"/>
    <w:lvl w:ilvl="0" w:tentative="0">
      <w:start w:val="1"/>
      <w:numFmt w:val="decimal"/>
      <w:lvlText w:val="%1."/>
      <w:lvlJc w:val="left"/>
      <w:pPr>
        <w:tabs>
          <w:tab w:val="left" w:pos="312"/>
        </w:tabs>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MDc2NjFjNTYxMDVlNTc0YzAxYTlkM2Y1YTYwYjgifQ=="/>
    <w:docVar w:name="KSO_WPS_MARK_KEY" w:val="c3ba3974-0d80-4b75-ab69-1d77d258463a"/>
  </w:docVars>
  <w:rsids>
    <w:rsidRoot w:val="DD5FC2C6"/>
    <w:rsid w:val="00012339"/>
    <w:rsid w:val="0005676A"/>
    <w:rsid w:val="001C20F4"/>
    <w:rsid w:val="001C7ACA"/>
    <w:rsid w:val="001E226F"/>
    <w:rsid w:val="0029090B"/>
    <w:rsid w:val="003927BD"/>
    <w:rsid w:val="003E79EE"/>
    <w:rsid w:val="003F38DF"/>
    <w:rsid w:val="00406807"/>
    <w:rsid w:val="00493983"/>
    <w:rsid w:val="005660F2"/>
    <w:rsid w:val="0057359F"/>
    <w:rsid w:val="00672CF6"/>
    <w:rsid w:val="006F6C3F"/>
    <w:rsid w:val="006F787D"/>
    <w:rsid w:val="0075180F"/>
    <w:rsid w:val="007E15DA"/>
    <w:rsid w:val="00886119"/>
    <w:rsid w:val="008A4F0C"/>
    <w:rsid w:val="008C7347"/>
    <w:rsid w:val="008F5988"/>
    <w:rsid w:val="008F7EEE"/>
    <w:rsid w:val="00925C16"/>
    <w:rsid w:val="00934D60"/>
    <w:rsid w:val="00993927"/>
    <w:rsid w:val="00AE7AE4"/>
    <w:rsid w:val="00B92CEE"/>
    <w:rsid w:val="00C450F8"/>
    <w:rsid w:val="00CD1788"/>
    <w:rsid w:val="00D214AF"/>
    <w:rsid w:val="00E5087C"/>
    <w:rsid w:val="00EB0745"/>
    <w:rsid w:val="00F34EA6"/>
    <w:rsid w:val="00F92020"/>
    <w:rsid w:val="010E3277"/>
    <w:rsid w:val="012F5F9F"/>
    <w:rsid w:val="01A9781D"/>
    <w:rsid w:val="01B3097E"/>
    <w:rsid w:val="01CC0CC7"/>
    <w:rsid w:val="01EB56DC"/>
    <w:rsid w:val="0228160E"/>
    <w:rsid w:val="022950E4"/>
    <w:rsid w:val="0236335D"/>
    <w:rsid w:val="024026D6"/>
    <w:rsid w:val="02867E41"/>
    <w:rsid w:val="028963E4"/>
    <w:rsid w:val="02AD7AC3"/>
    <w:rsid w:val="02C06978"/>
    <w:rsid w:val="02D94416"/>
    <w:rsid w:val="02ED6112"/>
    <w:rsid w:val="03072C48"/>
    <w:rsid w:val="0308238E"/>
    <w:rsid w:val="031C69F7"/>
    <w:rsid w:val="034321D6"/>
    <w:rsid w:val="03463A74"/>
    <w:rsid w:val="036D521A"/>
    <w:rsid w:val="03B40FFC"/>
    <w:rsid w:val="03E47515"/>
    <w:rsid w:val="03F73232"/>
    <w:rsid w:val="04CC1D57"/>
    <w:rsid w:val="04D243C4"/>
    <w:rsid w:val="05600E1D"/>
    <w:rsid w:val="058014BF"/>
    <w:rsid w:val="05871F8D"/>
    <w:rsid w:val="059E4F4D"/>
    <w:rsid w:val="05C107B6"/>
    <w:rsid w:val="05D76C05"/>
    <w:rsid w:val="05E0766C"/>
    <w:rsid w:val="05F20231"/>
    <w:rsid w:val="06840719"/>
    <w:rsid w:val="068B7FAC"/>
    <w:rsid w:val="068E3768"/>
    <w:rsid w:val="069C0424"/>
    <w:rsid w:val="06DD5496"/>
    <w:rsid w:val="06E242F1"/>
    <w:rsid w:val="06FA0DFD"/>
    <w:rsid w:val="07045051"/>
    <w:rsid w:val="072606B0"/>
    <w:rsid w:val="077566D6"/>
    <w:rsid w:val="082F4E1C"/>
    <w:rsid w:val="08381BDD"/>
    <w:rsid w:val="083D43FD"/>
    <w:rsid w:val="084C38DA"/>
    <w:rsid w:val="08950866"/>
    <w:rsid w:val="089B03BE"/>
    <w:rsid w:val="08A27865"/>
    <w:rsid w:val="08BD6586"/>
    <w:rsid w:val="08DD7AE9"/>
    <w:rsid w:val="09102101"/>
    <w:rsid w:val="09297778"/>
    <w:rsid w:val="093D3EB4"/>
    <w:rsid w:val="093F51ED"/>
    <w:rsid w:val="096B1B3E"/>
    <w:rsid w:val="0A002BCE"/>
    <w:rsid w:val="0A012FBC"/>
    <w:rsid w:val="0A3E54A5"/>
    <w:rsid w:val="0A4505E1"/>
    <w:rsid w:val="0AAB0D8C"/>
    <w:rsid w:val="0ABD461B"/>
    <w:rsid w:val="0AF50259"/>
    <w:rsid w:val="0B387B45"/>
    <w:rsid w:val="0B6439B7"/>
    <w:rsid w:val="0B7E520D"/>
    <w:rsid w:val="0BD9572F"/>
    <w:rsid w:val="0C0B13B7"/>
    <w:rsid w:val="0C6311F3"/>
    <w:rsid w:val="0C70499D"/>
    <w:rsid w:val="0CA94959"/>
    <w:rsid w:val="0CAD19C3"/>
    <w:rsid w:val="0CAE6912"/>
    <w:rsid w:val="0CD5329E"/>
    <w:rsid w:val="0CF62B4A"/>
    <w:rsid w:val="0D265228"/>
    <w:rsid w:val="0D29243C"/>
    <w:rsid w:val="0D9E77BB"/>
    <w:rsid w:val="0DA260A2"/>
    <w:rsid w:val="0DBB027F"/>
    <w:rsid w:val="0DD03E48"/>
    <w:rsid w:val="0E204FF3"/>
    <w:rsid w:val="0E236E8B"/>
    <w:rsid w:val="0E450A84"/>
    <w:rsid w:val="0E58026E"/>
    <w:rsid w:val="0E756F57"/>
    <w:rsid w:val="0E8E3E1D"/>
    <w:rsid w:val="0E8F4521"/>
    <w:rsid w:val="0ED10A99"/>
    <w:rsid w:val="0EE23471"/>
    <w:rsid w:val="0EEA79A9"/>
    <w:rsid w:val="0F060C84"/>
    <w:rsid w:val="0F074776"/>
    <w:rsid w:val="0F121E1A"/>
    <w:rsid w:val="0F2E2979"/>
    <w:rsid w:val="0F345318"/>
    <w:rsid w:val="0FB643BC"/>
    <w:rsid w:val="0FBD0C1A"/>
    <w:rsid w:val="0FC1695C"/>
    <w:rsid w:val="0FC24482"/>
    <w:rsid w:val="102E5C30"/>
    <w:rsid w:val="10565F1F"/>
    <w:rsid w:val="107F7080"/>
    <w:rsid w:val="10945E1E"/>
    <w:rsid w:val="10BC20E4"/>
    <w:rsid w:val="10CA7A92"/>
    <w:rsid w:val="1105688D"/>
    <w:rsid w:val="11065B81"/>
    <w:rsid w:val="1109680C"/>
    <w:rsid w:val="110C5272"/>
    <w:rsid w:val="113D64B6"/>
    <w:rsid w:val="113E2552"/>
    <w:rsid w:val="11463EC0"/>
    <w:rsid w:val="11763953"/>
    <w:rsid w:val="11C6690F"/>
    <w:rsid w:val="11CC55D7"/>
    <w:rsid w:val="11D21F61"/>
    <w:rsid w:val="11DA65DF"/>
    <w:rsid w:val="121D3BF2"/>
    <w:rsid w:val="12344044"/>
    <w:rsid w:val="12706417"/>
    <w:rsid w:val="12900868"/>
    <w:rsid w:val="12B04A66"/>
    <w:rsid w:val="12C86253"/>
    <w:rsid w:val="12E1396E"/>
    <w:rsid w:val="1303728B"/>
    <w:rsid w:val="1340228E"/>
    <w:rsid w:val="134807D2"/>
    <w:rsid w:val="134D47CE"/>
    <w:rsid w:val="13741F37"/>
    <w:rsid w:val="142C2085"/>
    <w:rsid w:val="143D6A32"/>
    <w:rsid w:val="144C07BE"/>
    <w:rsid w:val="14512A73"/>
    <w:rsid w:val="14C16987"/>
    <w:rsid w:val="14C37094"/>
    <w:rsid w:val="14CA605D"/>
    <w:rsid w:val="14F84D20"/>
    <w:rsid w:val="14FA7406"/>
    <w:rsid w:val="15133F8D"/>
    <w:rsid w:val="15202EE5"/>
    <w:rsid w:val="15267261"/>
    <w:rsid w:val="15A46B04"/>
    <w:rsid w:val="15C076B6"/>
    <w:rsid w:val="15D849FF"/>
    <w:rsid w:val="15F46EEA"/>
    <w:rsid w:val="16005D04"/>
    <w:rsid w:val="162A1B44"/>
    <w:rsid w:val="16442095"/>
    <w:rsid w:val="1663076D"/>
    <w:rsid w:val="169326D4"/>
    <w:rsid w:val="16AC75AF"/>
    <w:rsid w:val="16D50F3F"/>
    <w:rsid w:val="16E82A20"/>
    <w:rsid w:val="172D23CB"/>
    <w:rsid w:val="175A260B"/>
    <w:rsid w:val="177B7D38"/>
    <w:rsid w:val="18245CDA"/>
    <w:rsid w:val="185B555E"/>
    <w:rsid w:val="18673E19"/>
    <w:rsid w:val="18954315"/>
    <w:rsid w:val="18A631FB"/>
    <w:rsid w:val="18B73159"/>
    <w:rsid w:val="18C13529"/>
    <w:rsid w:val="18CD0C0C"/>
    <w:rsid w:val="191B442C"/>
    <w:rsid w:val="193006AE"/>
    <w:rsid w:val="194E3A44"/>
    <w:rsid w:val="19560314"/>
    <w:rsid w:val="19EC00DE"/>
    <w:rsid w:val="19EC5FE5"/>
    <w:rsid w:val="19EF2318"/>
    <w:rsid w:val="19FD67E3"/>
    <w:rsid w:val="1A1F4E71"/>
    <w:rsid w:val="1A344066"/>
    <w:rsid w:val="1A3F6DFB"/>
    <w:rsid w:val="1A5A1E87"/>
    <w:rsid w:val="1A731337"/>
    <w:rsid w:val="1A772A39"/>
    <w:rsid w:val="1ABD2416"/>
    <w:rsid w:val="1AC45552"/>
    <w:rsid w:val="1B004E6E"/>
    <w:rsid w:val="1B043186"/>
    <w:rsid w:val="1B114005"/>
    <w:rsid w:val="1B1D7291"/>
    <w:rsid w:val="1B3E3557"/>
    <w:rsid w:val="1B527002"/>
    <w:rsid w:val="1B593EEC"/>
    <w:rsid w:val="1B7546AC"/>
    <w:rsid w:val="1B765AC8"/>
    <w:rsid w:val="1BA30DAB"/>
    <w:rsid w:val="1BBB2019"/>
    <w:rsid w:val="1C006E22"/>
    <w:rsid w:val="1C6C6A04"/>
    <w:rsid w:val="1CC74AFB"/>
    <w:rsid w:val="1CD62473"/>
    <w:rsid w:val="1CE95744"/>
    <w:rsid w:val="1CF77971"/>
    <w:rsid w:val="1D360605"/>
    <w:rsid w:val="1D3F7112"/>
    <w:rsid w:val="1D402A24"/>
    <w:rsid w:val="1D4961E3"/>
    <w:rsid w:val="1D810D27"/>
    <w:rsid w:val="1E25455A"/>
    <w:rsid w:val="1E38756D"/>
    <w:rsid w:val="1E3D5D47"/>
    <w:rsid w:val="1EA91546"/>
    <w:rsid w:val="1EB723F0"/>
    <w:rsid w:val="1EB8717C"/>
    <w:rsid w:val="1EC06D89"/>
    <w:rsid w:val="1EC94940"/>
    <w:rsid w:val="1EFE2E7C"/>
    <w:rsid w:val="1F093E26"/>
    <w:rsid w:val="1F2F3C20"/>
    <w:rsid w:val="1F77854C"/>
    <w:rsid w:val="1F7F4E95"/>
    <w:rsid w:val="1FB16726"/>
    <w:rsid w:val="1FFE66D5"/>
    <w:rsid w:val="203C4CDF"/>
    <w:rsid w:val="20537C8D"/>
    <w:rsid w:val="20547378"/>
    <w:rsid w:val="2065375F"/>
    <w:rsid w:val="20795A12"/>
    <w:rsid w:val="20D504B9"/>
    <w:rsid w:val="20DD55C0"/>
    <w:rsid w:val="20F05529"/>
    <w:rsid w:val="210707A0"/>
    <w:rsid w:val="21134B3E"/>
    <w:rsid w:val="2123299D"/>
    <w:rsid w:val="213B02EA"/>
    <w:rsid w:val="215D04AF"/>
    <w:rsid w:val="21801F41"/>
    <w:rsid w:val="218C06B1"/>
    <w:rsid w:val="219065C7"/>
    <w:rsid w:val="219E6AFD"/>
    <w:rsid w:val="21D06ED2"/>
    <w:rsid w:val="21E85FCA"/>
    <w:rsid w:val="222B4109"/>
    <w:rsid w:val="22431AEA"/>
    <w:rsid w:val="22547B99"/>
    <w:rsid w:val="227F0518"/>
    <w:rsid w:val="22AC6FF8"/>
    <w:rsid w:val="22F24386"/>
    <w:rsid w:val="23051A6C"/>
    <w:rsid w:val="23111551"/>
    <w:rsid w:val="232402E6"/>
    <w:rsid w:val="234D4CE0"/>
    <w:rsid w:val="23517B9F"/>
    <w:rsid w:val="23663B38"/>
    <w:rsid w:val="23696C97"/>
    <w:rsid w:val="237F295E"/>
    <w:rsid w:val="23847F75"/>
    <w:rsid w:val="239172A9"/>
    <w:rsid w:val="23A70A8F"/>
    <w:rsid w:val="23CD5478"/>
    <w:rsid w:val="23E115AF"/>
    <w:rsid w:val="23E46C65"/>
    <w:rsid w:val="23E629DD"/>
    <w:rsid w:val="24172434"/>
    <w:rsid w:val="244E6320"/>
    <w:rsid w:val="248D2C40"/>
    <w:rsid w:val="248F4078"/>
    <w:rsid w:val="24B4395E"/>
    <w:rsid w:val="24BB1774"/>
    <w:rsid w:val="24C30629"/>
    <w:rsid w:val="24EF58C2"/>
    <w:rsid w:val="254A1D5B"/>
    <w:rsid w:val="25783B09"/>
    <w:rsid w:val="25B763DF"/>
    <w:rsid w:val="25E1462A"/>
    <w:rsid w:val="262A7F3E"/>
    <w:rsid w:val="262D66A1"/>
    <w:rsid w:val="26373E03"/>
    <w:rsid w:val="265035FE"/>
    <w:rsid w:val="26917CE7"/>
    <w:rsid w:val="26A326BD"/>
    <w:rsid w:val="26B96187"/>
    <w:rsid w:val="26C6077D"/>
    <w:rsid w:val="27EB215D"/>
    <w:rsid w:val="28243AD4"/>
    <w:rsid w:val="28335030"/>
    <w:rsid w:val="28424272"/>
    <w:rsid w:val="286F7854"/>
    <w:rsid w:val="287269BC"/>
    <w:rsid w:val="2878792A"/>
    <w:rsid w:val="28CE5CB7"/>
    <w:rsid w:val="28D9666D"/>
    <w:rsid w:val="28E82D54"/>
    <w:rsid w:val="28F87875"/>
    <w:rsid w:val="291B3D71"/>
    <w:rsid w:val="29317B11"/>
    <w:rsid w:val="29AC36EE"/>
    <w:rsid w:val="29D137E8"/>
    <w:rsid w:val="29D532D8"/>
    <w:rsid w:val="29E8711D"/>
    <w:rsid w:val="29F15C38"/>
    <w:rsid w:val="2A212CD7"/>
    <w:rsid w:val="2A587C8A"/>
    <w:rsid w:val="2A897F6E"/>
    <w:rsid w:val="2AB254A8"/>
    <w:rsid w:val="2AC85AC0"/>
    <w:rsid w:val="2AFF3ACB"/>
    <w:rsid w:val="2B204A27"/>
    <w:rsid w:val="2B6524F5"/>
    <w:rsid w:val="2B6E4B20"/>
    <w:rsid w:val="2B7E174D"/>
    <w:rsid w:val="2B8A00F2"/>
    <w:rsid w:val="2BA9213A"/>
    <w:rsid w:val="2BB450AC"/>
    <w:rsid w:val="2BBD2F39"/>
    <w:rsid w:val="2BD70B23"/>
    <w:rsid w:val="2C01198A"/>
    <w:rsid w:val="2C7F58A9"/>
    <w:rsid w:val="2C8B3FEE"/>
    <w:rsid w:val="2CB412D8"/>
    <w:rsid w:val="2CCF03A6"/>
    <w:rsid w:val="2CD27EE7"/>
    <w:rsid w:val="2CE40071"/>
    <w:rsid w:val="2CEA52EC"/>
    <w:rsid w:val="2D066AAD"/>
    <w:rsid w:val="2D1E6D44"/>
    <w:rsid w:val="2D4511E9"/>
    <w:rsid w:val="2D4F33A1"/>
    <w:rsid w:val="2D551744"/>
    <w:rsid w:val="2D6A1F89"/>
    <w:rsid w:val="2DA03A0E"/>
    <w:rsid w:val="2DB507FD"/>
    <w:rsid w:val="2DBB41A6"/>
    <w:rsid w:val="2DCD42C6"/>
    <w:rsid w:val="2DEE6374"/>
    <w:rsid w:val="2E400F3C"/>
    <w:rsid w:val="2E5A2B17"/>
    <w:rsid w:val="2E725599"/>
    <w:rsid w:val="2EB45BB2"/>
    <w:rsid w:val="2EBC13A0"/>
    <w:rsid w:val="2EDA313F"/>
    <w:rsid w:val="2EDB5647"/>
    <w:rsid w:val="2EE01E72"/>
    <w:rsid w:val="2EE048F0"/>
    <w:rsid w:val="2F163846"/>
    <w:rsid w:val="2F1D6AE1"/>
    <w:rsid w:val="2F3044C1"/>
    <w:rsid w:val="2F3E547B"/>
    <w:rsid w:val="2F4A686A"/>
    <w:rsid w:val="2F5F6AC7"/>
    <w:rsid w:val="2F61660B"/>
    <w:rsid w:val="2F9F17EA"/>
    <w:rsid w:val="2FB42EBF"/>
    <w:rsid w:val="2FC040E2"/>
    <w:rsid w:val="2FC362BC"/>
    <w:rsid w:val="2FC71915"/>
    <w:rsid w:val="2FD87E31"/>
    <w:rsid w:val="2FE12258"/>
    <w:rsid w:val="2FF3270A"/>
    <w:rsid w:val="2FFAABBA"/>
    <w:rsid w:val="3051423A"/>
    <w:rsid w:val="305565D6"/>
    <w:rsid w:val="305D4040"/>
    <w:rsid w:val="30640F12"/>
    <w:rsid w:val="30AC17BC"/>
    <w:rsid w:val="30C4633A"/>
    <w:rsid w:val="30F1651D"/>
    <w:rsid w:val="31060249"/>
    <w:rsid w:val="31790214"/>
    <w:rsid w:val="31806FE4"/>
    <w:rsid w:val="318C0691"/>
    <w:rsid w:val="3190453E"/>
    <w:rsid w:val="319E43E2"/>
    <w:rsid w:val="31CC0C87"/>
    <w:rsid w:val="31D13B19"/>
    <w:rsid w:val="320D55D9"/>
    <w:rsid w:val="32171485"/>
    <w:rsid w:val="32293D45"/>
    <w:rsid w:val="32364B30"/>
    <w:rsid w:val="32382656"/>
    <w:rsid w:val="323D5EBE"/>
    <w:rsid w:val="323E419A"/>
    <w:rsid w:val="32991156"/>
    <w:rsid w:val="32A55811"/>
    <w:rsid w:val="32AB107A"/>
    <w:rsid w:val="32DE3810"/>
    <w:rsid w:val="32E53E60"/>
    <w:rsid w:val="330401D6"/>
    <w:rsid w:val="33062754"/>
    <w:rsid w:val="331E1070"/>
    <w:rsid w:val="33370B5F"/>
    <w:rsid w:val="33757171"/>
    <w:rsid w:val="33AF6948"/>
    <w:rsid w:val="33C42F02"/>
    <w:rsid w:val="340D7180"/>
    <w:rsid w:val="345938A1"/>
    <w:rsid w:val="34996054"/>
    <w:rsid w:val="349F5D26"/>
    <w:rsid w:val="34A27B1B"/>
    <w:rsid w:val="34C86565"/>
    <w:rsid w:val="34D0301A"/>
    <w:rsid w:val="34E538E1"/>
    <w:rsid w:val="34FD0925"/>
    <w:rsid w:val="350269FB"/>
    <w:rsid w:val="352769B2"/>
    <w:rsid w:val="35411821"/>
    <w:rsid w:val="35656DF1"/>
    <w:rsid w:val="356904CD"/>
    <w:rsid w:val="357D605A"/>
    <w:rsid w:val="35BB72F8"/>
    <w:rsid w:val="35D06AEB"/>
    <w:rsid w:val="36213929"/>
    <w:rsid w:val="36743E79"/>
    <w:rsid w:val="368C11C2"/>
    <w:rsid w:val="368F3E1F"/>
    <w:rsid w:val="36A4281B"/>
    <w:rsid w:val="36E44884"/>
    <w:rsid w:val="36E64FE4"/>
    <w:rsid w:val="36EB73AB"/>
    <w:rsid w:val="370012B5"/>
    <w:rsid w:val="371F59E0"/>
    <w:rsid w:val="37460AB5"/>
    <w:rsid w:val="37524DA9"/>
    <w:rsid w:val="37535209"/>
    <w:rsid w:val="37633DDA"/>
    <w:rsid w:val="378400EB"/>
    <w:rsid w:val="37A12CCA"/>
    <w:rsid w:val="37C60704"/>
    <w:rsid w:val="382576CC"/>
    <w:rsid w:val="38485AC2"/>
    <w:rsid w:val="38752C9B"/>
    <w:rsid w:val="38A10829"/>
    <w:rsid w:val="38A90538"/>
    <w:rsid w:val="38C81D58"/>
    <w:rsid w:val="38FB13DF"/>
    <w:rsid w:val="39170D03"/>
    <w:rsid w:val="39691347"/>
    <w:rsid w:val="3A9F000D"/>
    <w:rsid w:val="3AD44EE6"/>
    <w:rsid w:val="3B357DA8"/>
    <w:rsid w:val="3B8003E6"/>
    <w:rsid w:val="3B853D46"/>
    <w:rsid w:val="3B8B19B1"/>
    <w:rsid w:val="3B9E12CA"/>
    <w:rsid w:val="3BB3A7D2"/>
    <w:rsid w:val="3BC41BD3"/>
    <w:rsid w:val="3C017F5D"/>
    <w:rsid w:val="3C264543"/>
    <w:rsid w:val="3C2E5CFF"/>
    <w:rsid w:val="3C485B8B"/>
    <w:rsid w:val="3C531A90"/>
    <w:rsid w:val="3C637281"/>
    <w:rsid w:val="3C8F64DF"/>
    <w:rsid w:val="3CAC1FBF"/>
    <w:rsid w:val="3CAD59EE"/>
    <w:rsid w:val="3CD36689"/>
    <w:rsid w:val="3D385C00"/>
    <w:rsid w:val="3D7B3D3F"/>
    <w:rsid w:val="3D7F0B25"/>
    <w:rsid w:val="3DA037A5"/>
    <w:rsid w:val="3DB9206B"/>
    <w:rsid w:val="3DC074E4"/>
    <w:rsid w:val="3DC72AE0"/>
    <w:rsid w:val="3DDB47E0"/>
    <w:rsid w:val="3E43485C"/>
    <w:rsid w:val="3E4405D4"/>
    <w:rsid w:val="3E6332B4"/>
    <w:rsid w:val="3E693B97"/>
    <w:rsid w:val="3E8F7AA2"/>
    <w:rsid w:val="3E9D6A57"/>
    <w:rsid w:val="3F0A1B31"/>
    <w:rsid w:val="3F261A88"/>
    <w:rsid w:val="3F485A1E"/>
    <w:rsid w:val="3F573360"/>
    <w:rsid w:val="3F7843B6"/>
    <w:rsid w:val="3FE16D38"/>
    <w:rsid w:val="3FEB0589"/>
    <w:rsid w:val="40086200"/>
    <w:rsid w:val="4012329D"/>
    <w:rsid w:val="405745EF"/>
    <w:rsid w:val="4058158C"/>
    <w:rsid w:val="405C7E57"/>
    <w:rsid w:val="407A0D74"/>
    <w:rsid w:val="407D4656"/>
    <w:rsid w:val="4084115C"/>
    <w:rsid w:val="40B05017"/>
    <w:rsid w:val="40C31C84"/>
    <w:rsid w:val="40CF62FE"/>
    <w:rsid w:val="40D73166"/>
    <w:rsid w:val="40DC2D46"/>
    <w:rsid w:val="41036525"/>
    <w:rsid w:val="411644C3"/>
    <w:rsid w:val="412A44C4"/>
    <w:rsid w:val="41605725"/>
    <w:rsid w:val="41807006"/>
    <w:rsid w:val="418238EE"/>
    <w:rsid w:val="41833E89"/>
    <w:rsid w:val="41850CE8"/>
    <w:rsid w:val="41BE62BA"/>
    <w:rsid w:val="41C061C4"/>
    <w:rsid w:val="41D61543"/>
    <w:rsid w:val="42075BA1"/>
    <w:rsid w:val="42462B6D"/>
    <w:rsid w:val="426D5421"/>
    <w:rsid w:val="42733875"/>
    <w:rsid w:val="428B4A24"/>
    <w:rsid w:val="42980EEF"/>
    <w:rsid w:val="42A11BBC"/>
    <w:rsid w:val="42A86AE5"/>
    <w:rsid w:val="42D01E51"/>
    <w:rsid w:val="42E77CBC"/>
    <w:rsid w:val="431047C3"/>
    <w:rsid w:val="432E6FA4"/>
    <w:rsid w:val="4334666A"/>
    <w:rsid w:val="433F1A9C"/>
    <w:rsid w:val="435C2999"/>
    <w:rsid w:val="43AF64F0"/>
    <w:rsid w:val="43D766D2"/>
    <w:rsid w:val="43FE7245"/>
    <w:rsid w:val="44134CD1"/>
    <w:rsid w:val="44226CC2"/>
    <w:rsid w:val="443F1622"/>
    <w:rsid w:val="445C56FA"/>
    <w:rsid w:val="449576FB"/>
    <w:rsid w:val="44A41DCD"/>
    <w:rsid w:val="45016FA8"/>
    <w:rsid w:val="452C3EAC"/>
    <w:rsid w:val="4552188B"/>
    <w:rsid w:val="462F1349"/>
    <w:rsid w:val="463E16B3"/>
    <w:rsid w:val="468A6DA0"/>
    <w:rsid w:val="46980A99"/>
    <w:rsid w:val="46BA58D8"/>
    <w:rsid w:val="46D95FDF"/>
    <w:rsid w:val="46FB15C8"/>
    <w:rsid w:val="46FD7572"/>
    <w:rsid w:val="470E1780"/>
    <w:rsid w:val="47127CD8"/>
    <w:rsid w:val="472F1E22"/>
    <w:rsid w:val="4730677D"/>
    <w:rsid w:val="47341ADF"/>
    <w:rsid w:val="473A07C7"/>
    <w:rsid w:val="473F7B8B"/>
    <w:rsid w:val="47501C33"/>
    <w:rsid w:val="475573AE"/>
    <w:rsid w:val="478657BA"/>
    <w:rsid w:val="480540FF"/>
    <w:rsid w:val="48233009"/>
    <w:rsid w:val="48695FC5"/>
    <w:rsid w:val="486F44A0"/>
    <w:rsid w:val="48A4765D"/>
    <w:rsid w:val="490B427D"/>
    <w:rsid w:val="4916491B"/>
    <w:rsid w:val="49262DB0"/>
    <w:rsid w:val="4968786D"/>
    <w:rsid w:val="4989333F"/>
    <w:rsid w:val="499C6A8D"/>
    <w:rsid w:val="49B777E8"/>
    <w:rsid w:val="49BA2B13"/>
    <w:rsid w:val="49C10D2B"/>
    <w:rsid w:val="49CD76D0"/>
    <w:rsid w:val="49E37010"/>
    <w:rsid w:val="49F52C2A"/>
    <w:rsid w:val="4A4A6F73"/>
    <w:rsid w:val="4A5E2A1E"/>
    <w:rsid w:val="4A660C71"/>
    <w:rsid w:val="4A69564B"/>
    <w:rsid w:val="4AAF6DD6"/>
    <w:rsid w:val="4AEF3676"/>
    <w:rsid w:val="4B0610C8"/>
    <w:rsid w:val="4B137364"/>
    <w:rsid w:val="4B6127C6"/>
    <w:rsid w:val="4B6F082A"/>
    <w:rsid w:val="4B9A4C5D"/>
    <w:rsid w:val="4BA92A64"/>
    <w:rsid w:val="4BAD10C3"/>
    <w:rsid w:val="4BE37819"/>
    <w:rsid w:val="4BFE7D23"/>
    <w:rsid w:val="4BFFE2BF"/>
    <w:rsid w:val="4C0D64AA"/>
    <w:rsid w:val="4C856238"/>
    <w:rsid w:val="4C8C5BE4"/>
    <w:rsid w:val="4C8E043C"/>
    <w:rsid w:val="4CC36B68"/>
    <w:rsid w:val="4CCC0113"/>
    <w:rsid w:val="4CFD207A"/>
    <w:rsid w:val="4D0D2A8D"/>
    <w:rsid w:val="4D203FBB"/>
    <w:rsid w:val="4D2363E5"/>
    <w:rsid w:val="4D350145"/>
    <w:rsid w:val="4D486196"/>
    <w:rsid w:val="4D4C4DB0"/>
    <w:rsid w:val="4D502AF2"/>
    <w:rsid w:val="4D584841"/>
    <w:rsid w:val="4D6F475B"/>
    <w:rsid w:val="4DC96400"/>
    <w:rsid w:val="4DD3102D"/>
    <w:rsid w:val="4DEE5E67"/>
    <w:rsid w:val="4E713F9F"/>
    <w:rsid w:val="4EC949FE"/>
    <w:rsid w:val="4EDDD27C"/>
    <w:rsid w:val="4F0106DC"/>
    <w:rsid w:val="4F310701"/>
    <w:rsid w:val="4F376DC8"/>
    <w:rsid w:val="4F6849B1"/>
    <w:rsid w:val="4F94365E"/>
    <w:rsid w:val="4F9C5B66"/>
    <w:rsid w:val="4FC53034"/>
    <w:rsid w:val="501716A5"/>
    <w:rsid w:val="507022D9"/>
    <w:rsid w:val="50996367"/>
    <w:rsid w:val="50B734D4"/>
    <w:rsid w:val="50C84CA6"/>
    <w:rsid w:val="50CD34F7"/>
    <w:rsid w:val="50CF01D2"/>
    <w:rsid w:val="50E0424E"/>
    <w:rsid w:val="50FB0FC7"/>
    <w:rsid w:val="511648A1"/>
    <w:rsid w:val="512E314A"/>
    <w:rsid w:val="512E4EF8"/>
    <w:rsid w:val="512F01AD"/>
    <w:rsid w:val="516C5A20"/>
    <w:rsid w:val="51764AF1"/>
    <w:rsid w:val="517B2107"/>
    <w:rsid w:val="517C6172"/>
    <w:rsid w:val="51994AC6"/>
    <w:rsid w:val="519D317B"/>
    <w:rsid w:val="51A4340C"/>
    <w:rsid w:val="51BD002A"/>
    <w:rsid w:val="51DF3A59"/>
    <w:rsid w:val="51E67581"/>
    <w:rsid w:val="51FB3076"/>
    <w:rsid w:val="52083E0C"/>
    <w:rsid w:val="520A3DA5"/>
    <w:rsid w:val="522E5EFF"/>
    <w:rsid w:val="523919CF"/>
    <w:rsid w:val="523F4EE3"/>
    <w:rsid w:val="52701540"/>
    <w:rsid w:val="527F7D60"/>
    <w:rsid w:val="529B63C8"/>
    <w:rsid w:val="5303259D"/>
    <w:rsid w:val="53200AD6"/>
    <w:rsid w:val="533B1F1B"/>
    <w:rsid w:val="534D2352"/>
    <w:rsid w:val="536522FB"/>
    <w:rsid w:val="536C4A1A"/>
    <w:rsid w:val="53740270"/>
    <w:rsid w:val="53753C3F"/>
    <w:rsid w:val="539D6365"/>
    <w:rsid w:val="53B2231C"/>
    <w:rsid w:val="53CB7A52"/>
    <w:rsid w:val="53D44AD6"/>
    <w:rsid w:val="53EB5322"/>
    <w:rsid w:val="53EE096F"/>
    <w:rsid w:val="541F6D7A"/>
    <w:rsid w:val="546E7D01"/>
    <w:rsid w:val="54880DC3"/>
    <w:rsid w:val="54A83213"/>
    <w:rsid w:val="54AF5066"/>
    <w:rsid w:val="54D758A7"/>
    <w:rsid w:val="54DC67C7"/>
    <w:rsid w:val="55001477"/>
    <w:rsid w:val="550A61A2"/>
    <w:rsid w:val="55661B8A"/>
    <w:rsid w:val="55925B9D"/>
    <w:rsid w:val="55DF56F5"/>
    <w:rsid w:val="55F53309"/>
    <w:rsid w:val="56130B60"/>
    <w:rsid w:val="562E30F7"/>
    <w:rsid w:val="562F1AFA"/>
    <w:rsid w:val="567D371C"/>
    <w:rsid w:val="56B20379"/>
    <w:rsid w:val="56C57C9C"/>
    <w:rsid w:val="56F50266"/>
    <w:rsid w:val="56FC7846"/>
    <w:rsid w:val="56FF52A9"/>
    <w:rsid w:val="57043EBC"/>
    <w:rsid w:val="57392849"/>
    <w:rsid w:val="57482A8C"/>
    <w:rsid w:val="57935094"/>
    <w:rsid w:val="57B33D08"/>
    <w:rsid w:val="57CC7EA7"/>
    <w:rsid w:val="57D566CC"/>
    <w:rsid w:val="584C2108"/>
    <w:rsid w:val="5897524F"/>
    <w:rsid w:val="58AD704A"/>
    <w:rsid w:val="58BE1257"/>
    <w:rsid w:val="58E32A6C"/>
    <w:rsid w:val="58E9547C"/>
    <w:rsid w:val="59284923"/>
    <w:rsid w:val="593B4656"/>
    <w:rsid w:val="594975BD"/>
    <w:rsid w:val="59827F33"/>
    <w:rsid w:val="5999137D"/>
    <w:rsid w:val="59BC44D1"/>
    <w:rsid w:val="59C87DC6"/>
    <w:rsid w:val="59E0653A"/>
    <w:rsid w:val="5A004F70"/>
    <w:rsid w:val="5A405C9C"/>
    <w:rsid w:val="5A5808E1"/>
    <w:rsid w:val="5A736072"/>
    <w:rsid w:val="5A933D5D"/>
    <w:rsid w:val="5A9D6F69"/>
    <w:rsid w:val="5ABA0EFA"/>
    <w:rsid w:val="5ACF2901"/>
    <w:rsid w:val="5AD7215D"/>
    <w:rsid w:val="5B4634A6"/>
    <w:rsid w:val="5B523ED9"/>
    <w:rsid w:val="5B546E9E"/>
    <w:rsid w:val="5BC55872"/>
    <w:rsid w:val="5BCD17B1"/>
    <w:rsid w:val="5BD61640"/>
    <w:rsid w:val="5BE81C6C"/>
    <w:rsid w:val="5C3010DC"/>
    <w:rsid w:val="5C427AAA"/>
    <w:rsid w:val="5C58665D"/>
    <w:rsid w:val="5C816661"/>
    <w:rsid w:val="5C8E2CEF"/>
    <w:rsid w:val="5C94477E"/>
    <w:rsid w:val="5D1F37E7"/>
    <w:rsid w:val="5D5342A8"/>
    <w:rsid w:val="5D6879E4"/>
    <w:rsid w:val="5D83481E"/>
    <w:rsid w:val="5D944335"/>
    <w:rsid w:val="5DB93D9B"/>
    <w:rsid w:val="5DE352BC"/>
    <w:rsid w:val="5DECB326"/>
    <w:rsid w:val="5DF179D9"/>
    <w:rsid w:val="5E271D56"/>
    <w:rsid w:val="5E4B7FB9"/>
    <w:rsid w:val="5E537C0E"/>
    <w:rsid w:val="5E563CE0"/>
    <w:rsid w:val="5E7D2DDF"/>
    <w:rsid w:val="5EA031AD"/>
    <w:rsid w:val="5EE60C28"/>
    <w:rsid w:val="5EEE15CE"/>
    <w:rsid w:val="5EFC79C9"/>
    <w:rsid w:val="5F074FDA"/>
    <w:rsid w:val="5F0D6A6F"/>
    <w:rsid w:val="5F692089"/>
    <w:rsid w:val="5F922AF6"/>
    <w:rsid w:val="5FA42829"/>
    <w:rsid w:val="5FAA42E4"/>
    <w:rsid w:val="5FB143B2"/>
    <w:rsid w:val="60222D5A"/>
    <w:rsid w:val="605924CC"/>
    <w:rsid w:val="606E39B0"/>
    <w:rsid w:val="608A1A1F"/>
    <w:rsid w:val="608A3A2F"/>
    <w:rsid w:val="60A071E8"/>
    <w:rsid w:val="60AC5E39"/>
    <w:rsid w:val="60BE016A"/>
    <w:rsid w:val="60C72C73"/>
    <w:rsid w:val="60F03F78"/>
    <w:rsid w:val="610417D1"/>
    <w:rsid w:val="61461DEA"/>
    <w:rsid w:val="616B35FF"/>
    <w:rsid w:val="618E3560"/>
    <w:rsid w:val="6198346F"/>
    <w:rsid w:val="61A91813"/>
    <w:rsid w:val="61C176C2"/>
    <w:rsid w:val="61DC44FC"/>
    <w:rsid w:val="61E433B1"/>
    <w:rsid w:val="61EF76FA"/>
    <w:rsid w:val="621072B0"/>
    <w:rsid w:val="625012C8"/>
    <w:rsid w:val="625C7E81"/>
    <w:rsid w:val="62837BA2"/>
    <w:rsid w:val="62D73D05"/>
    <w:rsid w:val="62F46E2D"/>
    <w:rsid w:val="63275C4B"/>
    <w:rsid w:val="635F7152"/>
    <w:rsid w:val="637B33BB"/>
    <w:rsid w:val="639332E1"/>
    <w:rsid w:val="63972DD1"/>
    <w:rsid w:val="63AC47B2"/>
    <w:rsid w:val="640146EE"/>
    <w:rsid w:val="641145DE"/>
    <w:rsid w:val="64177A6E"/>
    <w:rsid w:val="64436AB5"/>
    <w:rsid w:val="644D3559"/>
    <w:rsid w:val="6454748E"/>
    <w:rsid w:val="64857700"/>
    <w:rsid w:val="648B3FB8"/>
    <w:rsid w:val="64A509D2"/>
    <w:rsid w:val="64B259E8"/>
    <w:rsid w:val="64E74417"/>
    <w:rsid w:val="64EE470E"/>
    <w:rsid w:val="64F25A2D"/>
    <w:rsid w:val="65024CCA"/>
    <w:rsid w:val="652838B4"/>
    <w:rsid w:val="656C246A"/>
    <w:rsid w:val="6582360D"/>
    <w:rsid w:val="65A370BE"/>
    <w:rsid w:val="65BE1D3E"/>
    <w:rsid w:val="65DA02B0"/>
    <w:rsid w:val="65E1778D"/>
    <w:rsid w:val="65FD24F6"/>
    <w:rsid w:val="66076F54"/>
    <w:rsid w:val="66216982"/>
    <w:rsid w:val="666A0329"/>
    <w:rsid w:val="666B3C6E"/>
    <w:rsid w:val="66AA4BC9"/>
    <w:rsid w:val="66BE68C6"/>
    <w:rsid w:val="66DA0FBE"/>
    <w:rsid w:val="66FB71D3"/>
    <w:rsid w:val="67800D5B"/>
    <w:rsid w:val="67CC0B6F"/>
    <w:rsid w:val="67E906BB"/>
    <w:rsid w:val="67FB9621"/>
    <w:rsid w:val="68054BF4"/>
    <w:rsid w:val="681A3FD0"/>
    <w:rsid w:val="68297D70"/>
    <w:rsid w:val="68463886"/>
    <w:rsid w:val="68577724"/>
    <w:rsid w:val="68703BA2"/>
    <w:rsid w:val="68725BBA"/>
    <w:rsid w:val="68771757"/>
    <w:rsid w:val="68911A93"/>
    <w:rsid w:val="68B55078"/>
    <w:rsid w:val="69011FC3"/>
    <w:rsid w:val="69096AF0"/>
    <w:rsid w:val="69243D9C"/>
    <w:rsid w:val="69270753"/>
    <w:rsid w:val="692F4765"/>
    <w:rsid w:val="695E7EED"/>
    <w:rsid w:val="69780FAF"/>
    <w:rsid w:val="69B4486A"/>
    <w:rsid w:val="69F820EF"/>
    <w:rsid w:val="6A0108E0"/>
    <w:rsid w:val="6A010FA4"/>
    <w:rsid w:val="6A220F1A"/>
    <w:rsid w:val="6A324849"/>
    <w:rsid w:val="6A33220F"/>
    <w:rsid w:val="6A617C95"/>
    <w:rsid w:val="6A73678E"/>
    <w:rsid w:val="6AAA163C"/>
    <w:rsid w:val="6AB81C0B"/>
    <w:rsid w:val="6ACC24A7"/>
    <w:rsid w:val="6AEA5EDC"/>
    <w:rsid w:val="6AF753AB"/>
    <w:rsid w:val="6AFE7291"/>
    <w:rsid w:val="6B0074AE"/>
    <w:rsid w:val="6B086362"/>
    <w:rsid w:val="6B3328A8"/>
    <w:rsid w:val="6BA77929"/>
    <w:rsid w:val="6BAF6814"/>
    <w:rsid w:val="6BEA3CBA"/>
    <w:rsid w:val="6BF632B8"/>
    <w:rsid w:val="6C0E1756"/>
    <w:rsid w:val="6C472EBA"/>
    <w:rsid w:val="6C975BF0"/>
    <w:rsid w:val="6CD5514F"/>
    <w:rsid w:val="6D0112BB"/>
    <w:rsid w:val="6D050DAB"/>
    <w:rsid w:val="6D104B18"/>
    <w:rsid w:val="6D17014F"/>
    <w:rsid w:val="6D423A0D"/>
    <w:rsid w:val="6D54588F"/>
    <w:rsid w:val="6DD232CB"/>
    <w:rsid w:val="6E027099"/>
    <w:rsid w:val="6E076344"/>
    <w:rsid w:val="6E272FA3"/>
    <w:rsid w:val="6E6B04B6"/>
    <w:rsid w:val="6E775756"/>
    <w:rsid w:val="6EAB5831"/>
    <w:rsid w:val="6F1F3C7A"/>
    <w:rsid w:val="6F260381"/>
    <w:rsid w:val="6F282B2F"/>
    <w:rsid w:val="6F685621"/>
    <w:rsid w:val="6F79782E"/>
    <w:rsid w:val="6F7A7103"/>
    <w:rsid w:val="6FB865A9"/>
    <w:rsid w:val="6FE70C3C"/>
    <w:rsid w:val="6FF9096F"/>
    <w:rsid w:val="701373D8"/>
    <w:rsid w:val="706C6C57"/>
    <w:rsid w:val="70903082"/>
    <w:rsid w:val="70B34FC2"/>
    <w:rsid w:val="70C9114B"/>
    <w:rsid w:val="70E707C8"/>
    <w:rsid w:val="70ED2282"/>
    <w:rsid w:val="711549E4"/>
    <w:rsid w:val="711D243B"/>
    <w:rsid w:val="712F64AD"/>
    <w:rsid w:val="716F0F54"/>
    <w:rsid w:val="71BA7C8A"/>
    <w:rsid w:val="71C47F4E"/>
    <w:rsid w:val="71D05485"/>
    <w:rsid w:val="71ED0094"/>
    <w:rsid w:val="71F73FFD"/>
    <w:rsid w:val="721814EF"/>
    <w:rsid w:val="725A7BE0"/>
    <w:rsid w:val="728564EA"/>
    <w:rsid w:val="72872262"/>
    <w:rsid w:val="729F5682"/>
    <w:rsid w:val="72A07434"/>
    <w:rsid w:val="72A15D84"/>
    <w:rsid w:val="72A41D99"/>
    <w:rsid w:val="72BA2638"/>
    <w:rsid w:val="72F83160"/>
    <w:rsid w:val="73124222"/>
    <w:rsid w:val="732E60FE"/>
    <w:rsid w:val="733B76B4"/>
    <w:rsid w:val="73412411"/>
    <w:rsid w:val="735A7153"/>
    <w:rsid w:val="73602B43"/>
    <w:rsid w:val="7379604F"/>
    <w:rsid w:val="738B7B30"/>
    <w:rsid w:val="739712B0"/>
    <w:rsid w:val="73A1351B"/>
    <w:rsid w:val="73B55AB0"/>
    <w:rsid w:val="73BA21C4"/>
    <w:rsid w:val="73CA68AB"/>
    <w:rsid w:val="73EA626E"/>
    <w:rsid w:val="741A3669"/>
    <w:rsid w:val="742319F7"/>
    <w:rsid w:val="743B5E4A"/>
    <w:rsid w:val="745D74C8"/>
    <w:rsid w:val="74A4593E"/>
    <w:rsid w:val="74DB7F7F"/>
    <w:rsid w:val="75206410"/>
    <w:rsid w:val="752D5343"/>
    <w:rsid w:val="75574876"/>
    <w:rsid w:val="759E1D9D"/>
    <w:rsid w:val="75AA6D90"/>
    <w:rsid w:val="75B97051"/>
    <w:rsid w:val="75DE03EB"/>
    <w:rsid w:val="76296CE6"/>
    <w:rsid w:val="76D87530"/>
    <w:rsid w:val="76E8263D"/>
    <w:rsid w:val="77012352"/>
    <w:rsid w:val="77163C8D"/>
    <w:rsid w:val="77324E93"/>
    <w:rsid w:val="77326178"/>
    <w:rsid w:val="778C5C39"/>
    <w:rsid w:val="779A2A38"/>
    <w:rsid w:val="77A40FA3"/>
    <w:rsid w:val="77AA2EC6"/>
    <w:rsid w:val="77F74ED8"/>
    <w:rsid w:val="78246CD9"/>
    <w:rsid w:val="78386175"/>
    <w:rsid w:val="784E4822"/>
    <w:rsid w:val="78590227"/>
    <w:rsid w:val="78880AE2"/>
    <w:rsid w:val="78A75D64"/>
    <w:rsid w:val="78C74F4D"/>
    <w:rsid w:val="78D87374"/>
    <w:rsid w:val="791430B8"/>
    <w:rsid w:val="792A1B99"/>
    <w:rsid w:val="795F21F4"/>
    <w:rsid w:val="79BF6786"/>
    <w:rsid w:val="79C30024"/>
    <w:rsid w:val="79E427FF"/>
    <w:rsid w:val="79E92E18"/>
    <w:rsid w:val="7A6335B5"/>
    <w:rsid w:val="7AAA412F"/>
    <w:rsid w:val="7ADC4EE5"/>
    <w:rsid w:val="7B1D79B9"/>
    <w:rsid w:val="7B2A5E81"/>
    <w:rsid w:val="7BA479E1"/>
    <w:rsid w:val="7BA542D0"/>
    <w:rsid w:val="7BA7127F"/>
    <w:rsid w:val="7BBF5333"/>
    <w:rsid w:val="7BD227A0"/>
    <w:rsid w:val="7BF30969"/>
    <w:rsid w:val="7BF46AC7"/>
    <w:rsid w:val="7BFF34E3"/>
    <w:rsid w:val="7C1F176D"/>
    <w:rsid w:val="7C4D1E27"/>
    <w:rsid w:val="7C873AFF"/>
    <w:rsid w:val="7C8B294F"/>
    <w:rsid w:val="7CF77D5E"/>
    <w:rsid w:val="7D085AA7"/>
    <w:rsid w:val="7D1A4F7A"/>
    <w:rsid w:val="7D2A03BA"/>
    <w:rsid w:val="7D3134F6"/>
    <w:rsid w:val="7D5D42EC"/>
    <w:rsid w:val="7DE73C17"/>
    <w:rsid w:val="7E040C0B"/>
    <w:rsid w:val="7E104FA5"/>
    <w:rsid w:val="7E1A042F"/>
    <w:rsid w:val="7E3808B5"/>
    <w:rsid w:val="7E596CC0"/>
    <w:rsid w:val="7E5F222B"/>
    <w:rsid w:val="7E69563F"/>
    <w:rsid w:val="7E6E6F5C"/>
    <w:rsid w:val="7E707F74"/>
    <w:rsid w:val="7E7EA1B5"/>
    <w:rsid w:val="7EAF0B77"/>
    <w:rsid w:val="7EBC3294"/>
    <w:rsid w:val="7ECD5861"/>
    <w:rsid w:val="7ED6157A"/>
    <w:rsid w:val="7EE8052D"/>
    <w:rsid w:val="7EF649F8"/>
    <w:rsid w:val="7EF755DF"/>
    <w:rsid w:val="7F3C645F"/>
    <w:rsid w:val="7F4A24F0"/>
    <w:rsid w:val="7F6144D1"/>
    <w:rsid w:val="7F692B74"/>
    <w:rsid w:val="7F7B314F"/>
    <w:rsid w:val="7FAF7BEC"/>
    <w:rsid w:val="7FB34697"/>
    <w:rsid w:val="7FE95BA7"/>
    <w:rsid w:val="7FFA1DCD"/>
    <w:rsid w:val="9A6F9CB5"/>
    <w:rsid w:val="9F971ADA"/>
    <w:rsid w:val="A7EBB0CD"/>
    <w:rsid w:val="ABDE7646"/>
    <w:rsid w:val="B79DE42F"/>
    <w:rsid w:val="B7FFEFC8"/>
    <w:rsid w:val="BF3F1240"/>
    <w:rsid w:val="BF77C6F4"/>
    <w:rsid w:val="BF7ED45C"/>
    <w:rsid w:val="BFAEFBD1"/>
    <w:rsid w:val="BFBD0018"/>
    <w:rsid w:val="C97FBAA9"/>
    <w:rsid w:val="CF3F8C24"/>
    <w:rsid w:val="D2BDC2D1"/>
    <w:rsid w:val="D7FD2D4E"/>
    <w:rsid w:val="DB7D17E5"/>
    <w:rsid w:val="DD5FC2C6"/>
    <w:rsid w:val="DDAD00EA"/>
    <w:rsid w:val="E5FF61E5"/>
    <w:rsid w:val="F3D7F90D"/>
    <w:rsid w:val="FB9BF677"/>
    <w:rsid w:val="FE3FAA96"/>
    <w:rsid w:val="FEFF67FD"/>
    <w:rsid w:val="FF9D745C"/>
    <w:rsid w:val="FFBE7DC1"/>
    <w:rsid w:val="FFE8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6"/>
    <w:next w:val="1"/>
    <w:qFormat/>
    <w:uiPriority w:val="9"/>
    <w:pPr>
      <w:keepNext/>
      <w:keepLines/>
      <w:tabs>
        <w:tab w:val="left" w:pos="432"/>
        <w:tab w:val="left" w:pos="1200"/>
      </w:tabs>
      <w:spacing w:before="340" w:after="330" w:line="578" w:lineRule="auto"/>
      <w:ind w:left="432" w:hanging="432"/>
      <w:outlineLvl w:val="0"/>
    </w:pPr>
    <w:rPr>
      <w:kern w:val="44"/>
      <w:sz w:val="44"/>
      <w:szCs w:val="44"/>
    </w:rPr>
  </w:style>
  <w:style w:type="paragraph" w:styleId="7">
    <w:name w:val="heading 2"/>
    <w:basedOn w:val="1"/>
    <w:next w:val="1"/>
    <w:qFormat/>
    <w:uiPriority w:val="0"/>
    <w:pPr>
      <w:keepNext/>
      <w:keepLines/>
      <w:adjustRightInd w:val="0"/>
      <w:spacing w:before="260" w:after="260" w:line="415" w:lineRule="auto"/>
      <w:jc w:val="left"/>
      <w:outlineLvl w:val="1"/>
    </w:pPr>
    <w:rPr>
      <w:rFonts w:ascii="黑体" w:hAnsi="黑体" w:eastAsia="楷体"/>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adjustRightInd/>
      <w:spacing w:after="120" w:line="240" w:lineRule="auto"/>
      <w:ind w:left="420" w:leftChars="200" w:firstLine="210"/>
    </w:pPr>
    <w:rPr>
      <w:sz w:val="21"/>
    </w:rPr>
  </w:style>
  <w:style w:type="paragraph" w:styleId="3">
    <w:name w:val="Body Text Indent"/>
    <w:basedOn w:val="1"/>
    <w:next w:val="4"/>
    <w:qFormat/>
    <w:uiPriority w:val="0"/>
    <w:pPr>
      <w:adjustRightInd w:val="0"/>
      <w:spacing w:line="360" w:lineRule="auto"/>
      <w:ind w:firstLine="490"/>
      <w:jc w:val="left"/>
    </w:pPr>
    <w:rPr>
      <w:rFonts w:ascii="Century Gothic" w:hAnsi="Century Gothic" w:eastAsia="Century Gothic"/>
      <w:sz w:val="24"/>
      <w:szCs w:val="20"/>
    </w:rPr>
  </w:style>
  <w:style w:type="paragraph" w:styleId="4">
    <w:name w:val="Normal (Web)"/>
    <w:basedOn w:val="1"/>
    <w:next w:val="1"/>
    <w:qFormat/>
    <w:uiPriority w:val="99"/>
    <w:pPr>
      <w:widowControl/>
      <w:shd w:val="clear" w:color="auto" w:fill="FFFFFF"/>
      <w:spacing w:before="100" w:beforeAutospacing="1" w:after="100" w:afterAutospacing="1"/>
      <w:jc w:val="left"/>
    </w:pPr>
    <w:rPr>
      <w:rFonts w:ascii="Century Gothic" w:hAnsi="Century Gothic"/>
      <w:kern w:val="0"/>
      <w:sz w:val="18"/>
      <w:szCs w:val="18"/>
    </w:rPr>
  </w:style>
  <w:style w:type="paragraph" w:styleId="6">
    <w:name w:val="Title"/>
    <w:basedOn w:val="1"/>
    <w:next w:val="1"/>
    <w:link w:val="54"/>
    <w:qFormat/>
    <w:uiPriority w:val="0"/>
    <w:pPr>
      <w:tabs>
        <w:tab w:val="left" w:pos="1200"/>
      </w:tabs>
      <w:spacing w:afterLines="200"/>
      <w:ind w:left="1440" w:hanging="720"/>
      <w:jc w:val="center"/>
    </w:pPr>
    <w:rPr>
      <w:b/>
      <w:bCs/>
      <w:spacing w:val="60"/>
      <w:sz w:val="32"/>
    </w:rPr>
  </w:style>
  <w:style w:type="paragraph" w:styleId="9">
    <w:name w:val="Normal Indent"/>
    <w:basedOn w:val="1"/>
    <w:next w:val="1"/>
    <w:qFormat/>
    <w:uiPriority w:val="0"/>
    <w:pPr>
      <w:widowControl/>
      <w:ind w:firstLine="420"/>
      <w:jc w:val="left"/>
    </w:pPr>
    <w:rPr>
      <w:rFonts w:ascii="Arial" w:hAnsi="Arial" w:cs="Arial"/>
      <w:kern w:val="0"/>
      <w:sz w:val="20"/>
      <w:szCs w:val="20"/>
    </w:rPr>
  </w:style>
  <w:style w:type="paragraph" w:styleId="10">
    <w:name w:val="annotation text"/>
    <w:basedOn w:val="1"/>
    <w:qFormat/>
    <w:uiPriority w:val="0"/>
    <w:pPr>
      <w:jc w:val="left"/>
    </w:pPr>
  </w:style>
  <w:style w:type="paragraph" w:styleId="11">
    <w:name w:val="Body Text"/>
    <w:basedOn w:val="1"/>
    <w:next w:val="1"/>
    <w:qFormat/>
    <w:uiPriority w:val="0"/>
    <w:pPr>
      <w:spacing w:after="120"/>
    </w:pPr>
  </w:style>
  <w:style w:type="paragraph" w:styleId="12">
    <w:name w:val="index 4"/>
    <w:basedOn w:val="1"/>
    <w:next w:val="1"/>
    <w:qFormat/>
    <w:uiPriority w:val="99"/>
    <w:pPr>
      <w:autoSpaceDE w:val="0"/>
      <w:autoSpaceDN w:val="0"/>
      <w:spacing w:line="360" w:lineRule="auto"/>
      <w:ind w:firstLine="840" w:firstLineChars="400"/>
      <w:jc w:val="left"/>
    </w:pPr>
    <w:rPr>
      <w:rFonts w:ascii="宋体" w:hAnsi="宋体" w:cs="宋体"/>
      <w:kern w:val="0"/>
      <w:sz w:val="22"/>
      <w:lang w:val="zh-CN" w:bidi="zh-CN"/>
    </w:rPr>
  </w:style>
  <w:style w:type="paragraph" w:styleId="13">
    <w:name w:val="Plain Text"/>
    <w:basedOn w:val="1"/>
    <w:qFormat/>
    <w:uiPriority w:val="0"/>
    <w:rPr>
      <w:rFonts w:ascii="Century Gothic" w:hAnsi="楷体_GB2312" w:eastAsia="Century Gothic" w:cs="楷体_GB2312"/>
      <w:szCs w:val="21"/>
    </w:rPr>
  </w:style>
  <w:style w:type="paragraph" w:styleId="14">
    <w:name w:val="Date"/>
    <w:basedOn w:val="1"/>
    <w:next w:val="1"/>
    <w:qFormat/>
    <w:uiPriority w:val="0"/>
    <w:pPr>
      <w:ind w:left="100" w:leftChars="2500"/>
    </w:pPr>
  </w:style>
  <w:style w:type="paragraph" w:styleId="15">
    <w:name w:val="Balloon Text"/>
    <w:basedOn w:val="1"/>
    <w:link w:val="73"/>
    <w:qFormat/>
    <w:uiPriority w:val="0"/>
    <w:rPr>
      <w:sz w:val="18"/>
      <w:szCs w:val="18"/>
    </w:rPr>
  </w:style>
  <w:style w:type="paragraph" w:styleId="16">
    <w:name w:val="footer"/>
    <w:basedOn w:val="1"/>
    <w:qFormat/>
    <w:uiPriority w:val="0"/>
    <w:pPr>
      <w:tabs>
        <w:tab w:val="center" w:pos="4153"/>
        <w:tab w:val="right" w:pos="8306"/>
      </w:tabs>
      <w:adjustRightInd w:val="0"/>
      <w:jc w:val="left"/>
    </w:pPr>
    <w:rPr>
      <w:rFonts w:ascii="Times New Roman" w:hAnsi="Times New Roman" w:eastAsia="Century Gothic"/>
      <w:sz w:val="18"/>
      <w:szCs w:val="20"/>
    </w:rPr>
  </w:style>
  <w:style w:type="paragraph" w:styleId="17">
    <w:name w:val="header"/>
    <w:basedOn w:val="1"/>
    <w:qFormat/>
    <w:uiPriority w:val="0"/>
    <w:pPr>
      <w:pBdr>
        <w:bottom w:val="single" w:color="auto" w:sz="6" w:space="1"/>
      </w:pBdr>
      <w:tabs>
        <w:tab w:val="center" w:pos="4153"/>
        <w:tab w:val="right" w:pos="8306"/>
      </w:tabs>
      <w:adjustRightInd w:val="0"/>
      <w:jc w:val="center"/>
    </w:pPr>
    <w:rPr>
      <w:sz w:val="18"/>
      <w:szCs w:val="20"/>
    </w:rPr>
  </w:style>
  <w:style w:type="paragraph" w:styleId="18">
    <w:name w:val="toc 1"/>
    <w:basedOn w:val="1"/>
    <w:next w:val="1"/>
    <w:qFormat/>
    <w:uiPriority w:val="39"/>
    <w:pPr>
      <w:tabs>
        <w:tab w:val="right" w:leader="dot" w:pos="8720"/>
      </w:tabs>
      <w:spacing w:before="120" w:after="120"/>
      <w:jc w:val="left"/>
    </w:pPr>
    <w:rPr>
      <w:rFonts w:ascii="Century Gothic" w:hAnsi="Century Gothic"/>
      <w:bCs/>
      <w:caps/>
      <w:sz w:val="20"/>
      <w:szCs w:val="20"/>
    </w:rPr>
  </w:style>
  <w:style w:type="paragraph" w:styleId="19">
    <w:name w:val="toc 2"/>
    <w:basedOn w:val="1"/>
    <w:next w:val="1"/>
    <w:qFormat/>
    <w:uiPriority w:val="39"/>
    <w:pPr>
      <w:tabs>
        <w:tab w:val="right" w:leader="dot" w:pos="8720"/>
      </w:tabs>
      <w:adjustRightInd w:val="0"/>
      <w:snapToGrid w:val="0"/>
      <w:jc w:val="left"/>
    </w:pPr>
    <w:rPr>
      <w:smallCaps/>
      <w:sz w:val="20"/>
      <w:szCs w:val="20"/>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1">
    <w:name w:val="Body Text First Indent"/>
    <w:basedOn w:val="11"/>
    <w:qFormat/>
    <w:uiPriority w:val="0"/>
    <w:pPr>
      <w:ind w:firstLine="420"/>
    </w:pPr>
  </w:style>
  <w:style w:type="table" w:styleId="23">
    <w:name w:val="Table Grid"/>
    <w:basedOn w:val="2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qFormat/>
    <w:uiPriority w:val="0"/>
  </w:style>
  <w:style w:type="character" w:styleId="27">
    <w:name w:val="Hyperlink"/>
    <w:basedOn w:val="24"/>
    <w:qFormat/>
    <w:uiPriority w:val="0"/>
    <w:rPr>
      <w:color w:val="0000FF"/>
      <w:u w:val="single"/>
    </w:rPr>
  </w:style>
  <w:style w:type="character" w:styleId="28">
    <w:name w:val="HTML Sample"/>
    <w:basedOn w:val="24"/>
    <w:semiHidden/>
    <w:unhideWhenUsed/>
    <w:qFormat/>
    <w:uiPriority w:val="99"/>
    <w:rPr>
      <w:rFonts w:ascii="宋体" w:hAnsi="宋体" w:eastAsia="宋体" w:cs="宋体"/>
    </w:rPr>
  </w:style>
  <w:style w:type="paragraph" w:customStyle="1" w:styleId="29">
    <w:name w:val="style4"/>
    <w:basedOn w:val="1"/>
    <w:next w:val="30"/>
    <w:qFormat/>
    <w:uiPriority w:val="0"/>
    <w:pPr>
      <w:widowControl/>
      <w:spacing w:before="280" w:after="280"/>
    </w:pPr>
    <w:rPr>
      <w:rFonts w:ascii="宋体"/>
      <w:sz w:val="18"/>
    </w:rPr>
  </w:style>
  <w:style w:type="paragraph" w:customStyle="1" w:styleId="30">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31">
    <w:name w:val="图表"/>
    <w:basedOn w:val="1"/>
    <w:qFormat/>
    <w:uiPriority w:val="0"/>
    <w:pPr>
      <w:widowControl/>
      <w:jc w:val="center"/>
    </w:pPr>
    <w:rPr>
      <w:rFonts w:ascii="Times New Roman" w:hAnsi="Times New Roman"/>
    </w:rPr>
  </w:style>
  <w:style w:type="paragraph" w:customStyle="1" w:styleId="32">
    <w:name w:val="Default"/>
    <w:basedOn w:val="6"/>
    <w:next w:val="5"/>
    <w:qFormat/>
    <w:uiPriority w:val="0"/>
    <w:pPr>
      <w:autoSpaceDE w:val="0"/>
      <w:autoSpaceDN w:val="0"/>
      <w:adjustRightInd w:val="0"/>
    </w:pPr>
    <w:rPr>
      <w:rFonts w:ascii="仿宋_GB2312" w:hAnsi="Times New Roman" w:eastAsia="仿宋_GB2312" w:cs="仿宋_GB2312"/>
      <w:color w:val="000000"/>
      <w:sz w:val="24"/>
    </w:rPr>
  </w:style>
  <w:style w:type="paragraph" w:customStyle="1" w:styleId="33">
    <w:name w:val="正文文字"/>
    <w:basedOn w:val="1"/>
    <w:qFormat/>
    <w:uiPriority w:val="0"/>
    <w:pPr>
      <w:widowControl/>
      <w:spacing w:line="952" w:lineRule="atLeast"/>
      <w:ind w:firstLine="419"/>
    </w:pPr>
    <w:rPr>
      <w:b/>
      <w:color w:val="000000"/>
      <w:sz w:val="44"/>
      <w:szCs w:val="20"/>
    </w:rPr>
  </w:style>
  <w:style w:type="paragraph" w:customStyle="1" w:styleId="34">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正文2"/>
    <w:basedOn w:val="1"/>
    <w:qFormat/>
    <w:uiPriority w:val="0"/>
    <w:pPr>
      <w:spacing w:before="156" w:line="360" w:lineRule="auto"/>
      <w:ind w:firstLine="510" w:firstLineChars="200"/>
    </w:pPr>
    <w:rPr>
      <w:rFonts w:ascii="Times New Roman" w:hAnsi="Times New Roman"/>
      <w:sz w:val="24"/>
      <w:szCs w:val="20"/>
    </w:rPr>
  </w:style>
  <w:style w:type="paragraph" w:customStyle="1" w:styleId="3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
    <w:name w:val="Body text|1"/>
    <w:basedOn w:val="1"/>
    <w:qFormat/>
    <w:uiPriority w:val="0"/>
    <w:pPr>
      <w:spacing w:line="437" w:lineRule="auto"/>
      <w:ind w:firstLine="400"/>
    </w:pPr>
    <w:rPr>
      <w:rFonts w:ascii="宋体" w:hAnsi="宋体" w:cs="宋体"/>
      <w:sz w:val="20"/>
      <w:szCs w:val="20"/>
      <w:lang w:val="zh-TW" w:eastAsia="zh-TW" w:bidi="zh-TW"/>
    </w:rPr>
  </w:style>
  <w:style w:type="paragraph" w:customStyle="1" w:styleId="38">
    <w:name w:val="首行缩进"/>
    <w:basedOn w:val="1"/>
    <w:next w:val="1"/>
    <w:qFormat/>
    <w:uiPriority w:val="0"/>
    <w:pPr>
      <w:spacing w:line="360" w:lineRule="auto"/>
      <w:ind w:firstLine="480" w:firstLineChars="200"/>
    </w:pPr>
    <w:rPr>
      <w:rFonts w:ascii="宋体"/>
      <w:sz w:val="24"/>
      <w:szCs w:val="20"/>
    </w:rPr>
  </w:style>
  <w:style w:type="character" w:customStyle="1" w:styleId="39">
    <w:name w:val="font21"/>
    <w:basedOn w:val="24"/>
    <w:qFormat/>
    <w:uiPriority w:val="0"/>
    <w:rPr>
      <w:rFonts w:hint="default" w:ascii="Arial" w:hAnsi="Arial" w:cs="Arial"/>
      <w:color w:val="000000"/>
      <w:sz w:val="21"/>
      <w:szCs w:val="21"/>
      <w:u w:val="none"/>
    </w:rPr>
  </w:style>
  <w:style w:type="paragraph" w:customStyle="1" w:styleId="40">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41">
    <w:name w:val="普通(网站)_0"/>
    <w:basedOn w:val="1"/>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42">
    <w:name w:val="纯文本_0_0"/>
    <w:basedOn w:val="43"/>
    <w:qFormat/>
    <w:uiPriority w:val="0"/>
    <w:rPr>
      <w:rFonts w:ascii="宋体" w:hAnsi="Courier New"/>
      <w:szCs w:val="21"/>
    </w:rPr>
  </w:style>
  <w:style w:type="paragraph" w:customStyle="1" w:styleId="4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45">
    <w:name w:val="纯文本1"/>
    <w:basedOn w:val="46"/>
    <w:qFormat/>
    <w:uiPriority w:val="0"/>
    <w:pPr>
      <w:widowControl/>
      <w:jc w:val="left"/>
    </w:pPr>
    <w:rPr>
      <w:rFonts w:ascii="宋体" w:hAnsi="Courier New"/>
    </w:rPr>
  </w:style>
  <w:style w:type="paragraph" w:customStyle="1" w:styleId="46">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47">
    <w:name w:val="NormalCharacter"/>
    <w:qFormat/>
    <w:uiPriority w:val="0"/>
  </w:style>
  <w:style w:type="paragraph" w:customStyle="1" w:styleId="48">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49">
    <w:name w:val="List Paragraph"/>
    <w:basedOn w:val="1"/>
    <w:qFormat/>
    <w:uiPriority w:val="99"/>
    <w:pPr>
      <w:ind w:firstLine="420" w:firstLineChars="200"/>
    </w:pPr>
  </w:style>
  <w:style w:type="paragraph" w:customStyle="1" w:styleId="50">
    <w:name w:val="DAS正文"/>
    <w:basedOn w:val="1"/>
    <w:qFormat/>
    <w:uiPriority w:val="0"/>
    <w:pPr>
      <w:spacing w:line="360" w:lineRule="auto"/>
      <w:ind w:right="181" w:firstLine="480" w:firstLineChars="200"/>
    </w:pPr>
    <w:rPr>
      <w:rFonts w:ascii="Verdana" w:hAnsi="Verdana"/>
      <w:sz w:val="24"/>
      <w:szCs w:val="20"/>
    </w:rPr>
  </w:style>
  <w:style w:type="paragraph" w:customStyle="1" w:styleId="51">
    <w:name w:val="表格文字"/>
    <w:basedOn w:val="1"/>
    <w:qFormat/>
    <w:uiPriority w:val="0"/>
    <w:pPr>
      <w:spacing w:before="25" w:after="25"/>
      <w:jc w:val="left"/>
    </w:pPr>
    <w:rPr>
      <w:bCs/>
      <w:spacing w:val="10"/>
      <w:kern w:val="0"/>
      <w:sz w:val="24"/>
      <w:szCs w:val="22"/>
    </w:rPr>
  </w:style>
  <w:style w:type="character" w:customStyle="1" w:styleId="52">
    <w:name w:val="纯文本 Char1"/>
    <w:qFormat/>
    <w:locked/>
    <w:uiPriority w:val="0"/>
    <w:rPr>
      <w:rFonts w:ascii="宋体" w:hAnsi="Courier New" w:eastAsia="宋体"/>
      <w:kern w:val="2"/>
      <w:sz w:val="21"/>
      <w:lang w:val="en-US" w:eastAsia="zh-CN"/>
    </w:rPr>
  </w:style>
  <w:style w:type="paragraph" w:styleId="53">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54">
    <w:name w:val="标题 Char"/>
    <w:basedOn w:val="24"/>
    <w:link w:val="6"/>
    <w:qFormat/>
    <w:uiPriority w:val="0"/>
    <w:rPr>
      <w:b/>
      <w:bCs/>
      <w:spacing w:val="60"/>
      <w:sz w:val="32"/>
    </w:rPr>
  </w:style>
  <w:style w:type="paragraph" w:customStyle="1" w:styleId="55">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6">
    <w:name w:val="bookmark-item"/>
    <w:basedOn w:val="24"/>
    <w:qFormat/>
    <w:uiPriority w:val="0"/>
  </w:style>
  <w:style w:type="character" w:customStyle="1" w:styleId="57">
    <w:name w:val="font41"/>
    <w:basedOn w:val="24"/>
    <w:qFormat/>
    <w:uiPriority w:val="0"/>
    <w:rPr>
      <w:rFonts w:hint="eastAsia" w:ascii="宋体" w:hAnsi="宋体" w:eastAsia="宋体" w:cs="宋体"/>
      <w:b/>
      <w:bCs/>
      <w:color w:val="000000"/>
      <w:sz w:val="20"/>
      <w:szCs w:val="20"/>
      <w:u w:val="none"/>
    </w:rPr>
  </w:style>
  <w:style w:type="character" w:customStyle="1" w:styleId="58">
    <w:name w:val="font71"/>
    <w:basedOn w:val="24"/>
    <w:qFormat/>
    <w:uiPriority w:val="0"/>
    <w:rPr>
      <w:rFonts w:hint="eastAsia" w:ascii="宋体" w:hAnsi="宋体" w:eastAsia="宋体" w:cs="宋体"/>
      <w:color w:val="000000"/>
      <w:sz w:val="20"/>
      <w:szCs w:val="20"/>
      <w:u w:val="none"/>
    </w:rPr>
  </w:style>
  <w:style w:type="character" w:customStyle="1" w:styleId="59">
    <w:name w:val="font81"/>
    <w:basedOn w:val="24"/>
    <w:qFormat/>
    <w:uiPriority w:val="0"/>
    <w:rPr>
      <w:rFonts w:hint="eastAsia" w:ascii="宋体" w:hAnsi="宋体" w:eastAsia="宋体" w:cs="宋体"/>
      <w:color w:val="000000"/>
      <w:sz w:val="20"/>
      <w:szCs w:val="20"/>
      <w:u w:val="none"/>
    </w:rPr>
  </w:style>
  <w:style w:type="character" w:customStyle="1" w:styleId="60">
    <w:name w:val="font61"/>
    <w:basedOn w:val="24"/>
    <w:qFormat/>
    <w:uiPriority w:val="0"/>
    <w:rPr>
      <w:rFonts w:hint="default" w:ascii="Times New Roman" w:hAnsi="Times New Roman" w:cs="Times New Roman"/>
      <w:color w:val="000000"/>
      <w:sz w:val="20"/>
      <w:szCs w:val="20"/>
      <w:u w:val="none"/>
    </w:rPr>
  </w:style>
  <w:style w:type="character" w:customStyle="1" w:styleId="61">
    <w:name w:val="font91"/>
    <w:basedOn w:val="24"/>
    <w:qFormat/>
    <w:uiPriority w:val="0"/>
    <w:rPr>
      <w:rFonts w:hint="eastAsia" w:ascii="宋体" w:hAnsi="宋体" w:eastAsia="宋体" w:cs="宋体"/>
      <w:b/>
      <w:bCs/>
      <w:color w:val="000000"/>
      <w:sz w:val="20"/>
      <w:szCs w:val="20"/>
      <w:u w:val="none"/>
    </w:rPr>
  </w:style>
  <w:style w:type="character" w:customStyle="1" w:styleId="62">
    <w:name w:val="font121"/>
    <w:basedOn w:val="24"/>
    <w:qFormat/>
    <w:uiPriority w:val="0"/>
    <w:rPr>
      <w:rFonts w:hint="eastAsia" w:ascii="宋体" w:hAnsi="宋体" w:eastAsia="宋体" w:cs="宋体"/>
      <w:color w:val="000000"/>
      <w:sz w:val="20"/>
      <w:szCs w:val="20"/>
      <w:u w:val="none"/>
    </w:rPr>
  </w:style>
  <w:style w:type="character" w:customStyle="1" w:styleId="63">
    <w:name w:val="font101"/>
    <w:basedOn w:val="24"/>
    <w:qFormat/>
    <w:uiPriority w:val="0"/>
    <w:rPr>
      <w:rFonts w:hint="default" w:ascii="Symbol" w:hAnsi="Symbol" w:cs="Symbol"/>
      <w:color w:val="000000"/>
      <w:sz w:val="20"/>
      <w:szCs w:val="20"/>
      <w:u w:val="none"/>
    </w:rPr>
  </w:style>
  <w:style w:type="character" w:customStyle="1" w:styleId="64">
    <w:name w:val="font51"/>
    <w:basedOn w:val="24"/>
    <w:qFormat/>
    <w:uiPriority w:val="0"/>
    <w:rPr>
      <w:rFonts w:hint="eastAsia" w:ascii="微软雅黑" w:hAnsi="微软雅黑" w:eastAsia="微软雅黑" w:cs="微软雅黑"/>
      <w:color w:val="000000"/>
      <w:sz w:val="20"/>
      <w:szCs w:val="20"/>
      <w:u w:val="none"/>
    </w:rPr>
  </w:style>
  <w:style w:type="paragraph" w:customStyle="1" w:styleId="65">
    <w:name w:val="BodyText1I"/>
    <w:basedOn w:val="66"/>
    <w:next w:val="1"/>
    <w:qFormat/>
    <w:uiPriority w:val="0"/>
    <w:pPr>
      <w:spacing w:line="360" w:lineRule="auto"/>
    </w:pPr>
    <w:rPr>
      <w:rFonts w:ascii="仿宋_GB2312" w:hAnsi="Times New Roman" w:eastAsia="仿宋_GB2312"/>
      <w:sz w:val="30"/>
      <w:szCs w:val="30"/>
    </w:rPr>
  </w:style>
  <w:style w:type="paragraph" w:customStyle="1" w:styleId="66">
    <w:name w:val="BodyText"/>
    <w:basedOn w:val="1"/>
    <w:next w:val="67"/>
    <w:qFormat/>
    <w:uiPriority w:val="0"/>
    <w:pPr>
      <w:widowControl/>
      <w:spacing w:before="156"/>
      <w:ind w:firstLine="200" w:firstLineChars="200"/>
      <w:textAlignment w:val="baseline"/>
    </w:pPr>
    <w:rPr>
      <w:rFonts w:ascii="楷体_GB2312" w:hAnsi="Arial" w:eastAsia="楷体_GB2312"/>
      <w:sz w:val="28"/>
      <w:szCs w:val="28"/>
    </w:rPr>
  </w:style>
  <w:style w:type="paragraph" w:customStyle="1" w:styleId="67">
    <w:name w:val="180"/>
    <w:basedOn w:val="1"/>
    <w:next w:val="1"/>
    <w:qFormat/>
    <w:uiPriority w:val="0"/>
    <w:pPr>
      <w:spacing w:after="160" w:line="259" w:lineRule="auto"/>
      <w:textAlignment w:val="baseline"/>
    </w:pPr>
    <w:rPr>
      <w:i/>
      <w:iCs/>
      <w:color w:val="000000"/>
    </w:rPr>
  </w:style>
  <w:style w:type="paragraph" w:customStyle="1" w:styleId="68">
    <w:name w:val="彩色列表 - 着色 12"/>
    <w:basedOn w:val="1"/>
    <w:qFormat/>
    <w:uiPriority w:val="34"/>
    <w:pPr>
      <w:spacing w:line="360" w:lineRule="auto"/>
      <w:ind w:firstLine="420"/>
    </w:pPr>
    <w:rPr>
      <w:rFonts w:ascii="Times New Roman" w:hAnsi="Times New Roman"/>
      <w:sz w:val="20"/>
      <w:szCs w:val="20"/>
    </w:rPr>
  </w:style>
  <w:style w:type="paragraph" w:customStyle="1" w:styleId="69">
    <w:name w:val="p16"/>
    <w:basedOn w:val="1"/>
    <w:qFormat/>
    <w:uiPriority w:val="0"/>
    <w:pPr>
      <w:widowControl/>
      <w:ind w:firstLine="420"/>
    </w:pPr>
    <w:rPr>
      <w:rFonts w:ascii="Times New Roman" w:hAnsi="Times New Roman"/>
      <w:szCs w:val="20"/>
    </w:rPr>
  </w:style>
  <w:style w:type="paragraph" w:customStyle="1" w:styleId="70">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标书正文"/>
    <w:basedOn w:val="1"/>
    <w:autoRedefine/>
    <w:qFormat/>
    <w:uiPriority w:val="0"/>
    <w:pPr>
      <w:spacing w:line="360" w:lineRule="auto"/>
      <w:ind w:firstLine="497" w:firstLineChars="207"/>
    </w:pPr>
    <w:rPr>
      <w:sz w:val="24"/>
      <w:szCs w:val="20"/>
    </w:rPr>
  </w:style>
  <w:style w:type="paragraph" w:customStyle="1" w:styleId="72">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73">
    <w:name w:val="批注框文本 Char"/>
    <w:basedOn w:val="24"/>
    <w:link w:val="15"/>
    <w:qFormat/>
    <w:uiPriority w:val="0"/>
    <w:rPr>
      <w:rFonts w:ascii="Calibri" w:hAnsi="Calibri"/>
      <w:kern w:val="2"/>
      <w:sz w:val="18"/>
      <w:szCs w:val="18"/>
    </w:rPr>
  </w:style>
  <w:style w:type="paragraph" w:customStyle="1" w:styleId="74">
    <w:name w:val="样式1"/>
    <w:basedOn w:val="19"/>
    <w:next w:val="75"/>
    <w:qFormat/>
    <w:uiPriority w:val="0"/>
    <w:pPr>
      <w:numPr>
        <w:ilvl w:val="0"/>
        <w:numId w:val="1"/>
      </w:numPr>
      <w:tabs>
        <w:tab w:val="clear" w:pos="8720"/>
      </w:tabs>
      <w:adjustRightInd w:val="0"/>
      <w:textAlignment w:val="baseline"/>
    </w:pPr>
    <w:rPr>
      <w:rFonts w:ascii="宋体" w:hAnsi="宋体"/>
      <w:kern w:val="0"/>
      <w:szCs w:val="21"/>
    </w:rPr>
  </w:style>
  <w:style w:type="paragraph" w:customStyle="1" w:styleId="75">
    <w:name w:val="样式2"/>
    <w:basedOn w:val="1"/>
    <w:qFormat/>
    <w:uiPriority w:val="0"/>
    <w:pPr>
      <w:ind w:firstLine="200" w:firstLineChars="200"/>
    </w:pPr>
    <w:rPr>
      <w:rFonts w:eastAsia="仿宋_GB2312"/>
      <w:sz w:val="32"/>
    </w:rPr>
  </w:style>
  <w:style w:type="paragraph" w:customStyle="1" w:styleId="76">
    <w:name w:val="正文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AA13C-5C0D-411C-9034-AA720B15E21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25171</Words>
  <Characters>26846</Characters>
  <Lines>286</Lines>
  <Paragraphs>80</Paragraphs>
  <TotalTime>187</TotalTime>
  <ScaleCrop>false</ScaleCrop>
  <LinksUpToDate>false</LinksUpToDate>
  <CharactersWithSpaces>28120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2022-09-07T18:25:00Z</dcterms:created>
  <dc:creator>user</dc:creator>
  <cp:lastModifiedBy>Dove.Li</cp:lastModifiedBy>
  <cp:lastPrinted>2024-10-16T00:05:00Z</cp:lastPrinted>
  <dcterms:modified xsi:type="dcterms:W3CDTF">2026-06-03T02:44:32Z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2BC5E7F547314BFC8A32D8F2FCA1A1DB_13</vt:lpwstr>
  </property>
  <property fmtid="{D5CDD505-2E9C-101B-9397-08002B2CF9AE}" pid="4" name="KSOTemplateDocerSaveRecord">
    <vt:lpwstr>eyJoZGlkIjoiYWQwOWJiYWFmM2EzM2RkOGM1YTkxNGEzMGVkMzQ0ZDAiLCJ1c2VySWQiOiIzMjU2NzU4MDMifQ==</vt:lpwstr>
  </property>
</Properties>
</file>