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DEF62">
      <w:pPr>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金河镇大老塘村咖啡种植基地设施</w:t>
      </w:r>
    </w:p>
    <w:p w14:paraId="0EED93A3">
      <w:pPr>
        <w:jc w:val="center"/>
        <w:rPr>
          <w:rFonts w:hint="eastAsia" w:ascii="仿宋" w:hAnsi="仿宋" w:eastAsia="仿宋" w:cs="仿宋"/>
          <w:sz w:val="36"/>
          <w:szCs w:val="36"/>
        </w:rPr>
      </w:pPr>
      <w:r>
        <w:rPr>
          <w:rFonts w:hint="eastAsia" w:ascii="仿宋" w:hAnsi="仿宋" w:eastAsia="仿宋" w:cs="仿宋"/>
          <w:sz w:val="36"/>
          <w:szCs w:val="36"/>
          <w:lang w:val="en-US" w:eastAsia="zh-CN"/>
        </w:rPr>
        <w:t>清单</w:t>
      </w:r>
      <w:r>
        <w:rPr>
          <w:rFonts w:hint="eastAsia" w:ascii="仿宋" w:hAnsi="仿宋" w:eastAsia="仿宋" w:cs="仿宋"/>
          <w:sz w:val="36"/>
          <w:szCs w:val="36"/>
        </w:rPr>
        <w:t>编制说明</w:t>
      </w:r>
    </w:p>
    <w:p w14:paraId="0D6705F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一、工程概况</w:t>
      </w:r>
    </w:p>
    <w:p w14:paraId="741E2999">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1.工程名称：金河镇大老塘村咖啡种植基地设施(以下简称“本项目”)。</w:t>
      </w:r>
    </w:p>
    <w:p w14:paraId="0F5B6CF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2.建设单位：金平苗族瑶族傣族自治县农业农村和科学技术局</w:t>
      </w:r>
    </w:p>
    <w:p w14:paraId="308626F4">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3.项目建设地点：金平县金河镇大老塘村委会</w:t>
      </w:r>
    </w:p>
    <w:p w14:paraId="410408AD">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建设内容:1.新建钢架结构咖啡鲜果加工厂房500平方米;新建钢架结构咖啡仓储用房500平方米;新建砖墙瓦顶质量检测室150平方米;2.架设PE75灌溉主管2000米;架设PE63灌溉分管5000米;安装滴灌带30000米;新建蓄水池200立方米;安装水肥一体化设备1套;安装电力设施1套;3.场地硬化2500平方米;支砌混凝土挡墙500立方米;4.建设咖啡育苗场大棚5亩;在育苗场安装水肥一体化设施1套。具体详见招标工程量清单。</w:t>
      </w:r>
    </w:p>
    <w:p w14:paraId="2ACFBF5C">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二、编制依据</w:t>
      </w:r>
    </w:p>
    <w:p w14:paraId="7A88100E">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1.由建设单位提供的实施方案及相关设计图纸。</w:t>
      </w:r>
    </w:p>
    <w:p w14:paraId="5C06B828">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2.《建设工程工程量清单计价标准》(GB/T50500-2024)、《房屋建筑与装饰工程工程量计算标准》(GB/T50854-2024)、《市政工程工程量计算标准》(GB/T50857-2024)。</w:t>
      </w:r>
    </w:p>
    <w:p w14:paraId="30A617A2">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3.云南省住房和城乡建设厅关于发布《&lt;建设工程工程量清单计价标准(2024)&gt;云南省过渡期实施规定》的通知(云建科〔2025〕63号)及其附件《&lt;建设工程工程量清单计价标准(2024)&gt;云南省过渡期</w:t>
      </w:r>
      <w:r>
        <w:rPr>
          <w:rFonts w:hint="eastAsia" w:ascii="仿宋" w:hAnsi="仿宋" w:eastAsia="仿宋" w:cs="仿宋"/>
          <w:sz w:val="28"/>
          <w:szCs w:val="28"/>
        </w:rPr>
        <w:t>实施规定》。</w:t>
      </w:r>
    </w:p>
    <w:p w14:paraId="10D92EC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4.云南省住房和城乡建设厅关于发布《建设工程相关专业工程量计算标准云南省过渡期使用指南》的通知(云建科〔2025〕72号)及其附件《建设工程相关专业工程量计算标准云南省过渡期使用指南》。</w:t>
      </w:r>
    </w:p>
    <w:p w14:paraId="137DD9D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5.《云南省住房和城乡建设厅关于〈云南省建设工程造价计价标准(2020版)〉发布实施的通知》(云建科〔2021〕15号)及配套的取费文件、消耗量定额等。</w:t>
      </w:r>
    </w:p>
    <w:p w14:paraId="452AA4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6.《关于建筑业营业税改增值税后调整云南省建设工程造价依据的实施意见》(云建标〔2016〕207号)。</w:t>
      </w:r>
    </w:p>
    <w:p w14:paraId="6C0043B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7.《云南省住房和城乡建设厅关于重新调整云南省建设工程造价计价依据中税金综合税率的通知》(云建科函〔2019〕62号)。</w:t>
      </w:r>
    </w:p>
    <w:p w14:paraId="440A443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8.《云南省住房和城乡建设厅关于云南省建设工程造价计价标准调整定额人工费的通知》(云建科〔2023〕54号)</w:t>
      </w:r>
    </w:p>
    <w:p w14:paraId="31C198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9.《建设工程招标控制价编审规程》(CECAGC_6-2011)、《建设工程造价咨询规范》(GB/T510952015-2015)、《建设工程造价咨询成果文件质量标准》(CECA/GC7-2012)等。</w:t>
      </w:r>
    </w:p>
    <w:p w14:paraId="41C0053A">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三、编制范围及方式</w:t>
      </w:r>
    </w:p>
    <w:p w14:paraId="5E566582">
      <w:pPr>
        <w:ind w:firstLine="560" w:firstLineChars="200"/>
        <w:rPr>
          <w:rFonts w:hint="eastAsia" w:ascii="仿宋" w:hAnsi="仿宋" w:eastAsia="仿宋" w:cs="仿宋"/>
          <w:sz w:val="28"/>
          <w:szCs w:val="28"/>
        </w:rPr>
      </w:pPr>
      <w:r>
        <w:rPr>
          <w:rFonts w:hint="eastAsia" w:ascii="仿宋" w:hAnsi="仿宋" w:eastAsia="仿宋" w:cs="仿宋"/>
          <w:sz w:val="28"/>
          <w:szCs w:val="28"/>
        </w:rPr>
        <w:t>1.本项目</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编制范围包括</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新建钢架结构咖啡鲜果加工厂房500平方米;新建钢架结构咖啡仓储用房500平方米;新建砖墙瓦顶质量检测室150平方米;2.架设PE75灌溉主管2000米;架设PE63灌溉分管5000米;安装滴灌带30000米;新建蓄水池200立方米;安装水肥一体化设备1套;安装电力设施1套;3.场地硬化2500平方米;支砌混凝土挡墙500立方米;4.建设咖啡育苗场大棚5亩;在育苗场安装水肥一体化设施1套。具体详见招标工程量清单。</w:t>
      </w:r>
    </w:p>
    <w:p w14:paraId="7B82CC9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2.本项目采用普通清单计价模式编制。</w:t>
      </w:r>
    </w:p>
    <w:p w14:paraId="65E28CE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四、工程量清单及投标注意事项</w:t>
      </w:r>
    </w:p>
    <w:p w14:paraId="24571A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1.最高投标限价根据《建设工程工程量清单计价标准》 （GB/T50500-2024）、《&lt;建设工程工程量清单计价标准（ 2024）&gt;云南省过渡期实施规定》、《建设工程相关专业工程量计算标准云南省过渡期使用指南》（以下简称：24清单计价标准、云南省24清单过渡期实施规定及指南）及配套的现行文件进行编制。 </w:t>
      </w:r>
    </w:p>
    <w:p w14:paraId="6BFF8A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2.投标人投标时，须将工程量清单与招标文件（含合同条款、投标报价须知等），精准理解全部要求；报价时，应根据工程量清单的项目特征描述、工作内容、工程量计算规则等，并满足相关的设计文件、技术规范规程及招标人的全部要求，进行完整、准确的综合报价。 </w:t>
      </w:r>
    </w:p>
    <w:p w14:paraId="1B71CE5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3.本招标控制价中的分部分项工程量仅作为施工企业投标报价 的共同基础，不能作为最终结算与支付价款的依据，工程量变化调整以业主与承包商签订的合同约定为主，竣工结算的工程量以承包人完成合同工程应予计量的工程量确定。 </w:t>
      </w:r>
    </w:p>
    <w:p w14:paraId="48C1F77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4.投标人对工程量清单有任何疑问，应于招标文件规定的提疑 提交截止日前提出，投标人不得擅自修改工程量清单，否则视投标人不响应招标文件，作废标处理。 </w:t>
      </w:r>
    </w:p>
    <w:p w14:paraId="41D5CB6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5.清单项目特征描述不清或不全的，请书面提疑或参照图纸及选用的标准图集等进行报价。 </w:t>
      </w:r>
    </w:p>
    <w:p w14:paraId="6787CD2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6.清单工作内容及工程量计算规则执行说明 </w:t>
      </w:r>
    </w:p>
    <w:p w14:paraId="3669A2F1">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rPr>
      </w:pPr>
      <w:r>
        <w:rPr>
          <w:rFonts w:hint="eastAsia" w:ascii="仿宋" w:hAnsi="仿宋" w:eastAsia="仿宋" w:cs="仿宋"/>
          <w:sz w:val="28"/>
          <w:szCs w:val="28"/>
          <w:lang w:val="en-US" w:eastAsia="zh-CN"/>
        </w:rPr>
        <w:t>（1）项目特征优先原则 ：如清单项目特征中已明确描述了工作内容或工程量计算规则的，应以其描述为准，不再执行24清单计价标准、云南省24清单过渡期实施规定及指</w:t>
      </w:r>
      <w:r>
        <w:rPr>
          <w:rFonts w:hint="eastAsia" w:ascii="仿宋" w:hAnsi="仿宋" w:eastAsia="仿宋" w:cs="仿宋"/>
          <w:color w:val="000000"/>
          <w:kern w:val="0"/>
          <w:sz w:val="30"/>
          <w:szCs w:val="30"/>
          <w:lang w:val="en-US" w:eastAsia="zh-CN" w:bidi="ar"/>
        </w:rPr>
        <w:t xml:space="preserve">南规定的清单项对应工作内容或工程量计算规则。 </w:t>
      </w:r>
    </w:p>
    <w:p w14:paraId="3C059B8F">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（2）补充工作内容原则：如清单项目特征描述有“补充工作内容:”的，除应完全执行24清单计价标准、云南省24清单过渡期实施规定及指南规定的工作内容外，还必须包含所补充的工作内容。 </w:t>
      </w:r>
    </w:p>
    <w:p w14:paraId="042EC0E3">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（3）标准执行原则：如清单项目特征中无工作内容或工程量计算规则描述的，则该清单项的工作内容或工程量计算规则应完全依照24清单计价标准、云南省24清单过渡期实施规定及指南的规定执行。 </w:t>
      </w:r>
    </w:p>
    <w:p w14:paraId="6220EB01">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7.投标报价应综合考虑技术标准规范、施工工期、施工顺序、施工条件、地理气候等影响因素以及约定范围与幅度内的风险，完成一个单位数量工程量清单项目所需的费用。清单项目综合单价包括人工费、材料费、施工机具使用费、管理费、利润和一定范围内的风险费用，不包括增值税。 </w:t>
      </w:r>
    </w:p>
    <w:p w14:paraId="51DCAD68">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8.在中标后签订合同前，若经招标人测算后发现投标报价存在严重不平衡报价的情况，招标人有权在总价不变的基础上对投标报 价中各项单价进行调整，中标人应无条件接受。 </w:t>
      </w:r>
    </w:p>
    <w:p w14:paraId="703CCD0D">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9.主要材料单价说明 </w:t>
      </w:r>
    </w:p>
    <w:p w14:paraId="2B228118">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（1）最高投标限价主要材料价格按 2026 年5月《红河 </w:t>
      </w:r>
    </w:p>
    <w:p w14:paraId="7D10F34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州工程建设材料设备价格信息》金平县信息价计取，《红河州工程建设材料设备价格信息》中没有的参考《云南省建设工程材料及设备价格信息》2026年5月红河州除税材料价及市场询价计取。本项目所有材料均</w:t>
      </w:r>
      <w:bookmarkStart w:id="0" w:name="_GoBack"/>
      <w:bookmarkEnd w:id="0"/>
      <w:r>
        <w:rPr>
          <w:rFonts w:hint="eastAsia" w:ascii="仿宋" w:hAnsi="仿宋" w:eastAsia="仿宋" w:cs="仿宋"/>
          <w:color w:val="000000"/>
          <w:kern w:val="0"/>
          <w:sz w:val="30"/>
          <w:szCs w:val="30"/>
          <w:lang w:val="en-US" w:eastAsia="zh-CN" w:bidi="ar"/>
        </w:rPr>
        <w:t>为到达施工现场的材料价，投标人应综合考虑施工运输条件合理报价。</w:t>
      </w:r>
    </w:p>
    <w:p w14:paraId="18E1FD91">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2）投标人投标工程所用材料均应严格按照相关规范的要求、甲方的品牌和质量要求（如有）（详见清单项目特征中的标注、设计图纸及施工招标要求），由投标单位结合自身实力按现行市场价格自主报价。应注意所有材料价格均包含了到工地入库的所有价格。 </w:t>
      </w:r>
    </w:p>
    <w:p w14:paraId="5B8661A2">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rPr>
      </w:pPr>
      <w:r>
        <w:rPr>
          <w:rFonts w:hint="eastAsia" w:ascii="仿宋" w:hAnsi="仿宋" w:eastAsia="仿宋" w:cs="仿宋"/>
          <w:b/>
          <w:bCs/>
          <w:color w:val="000000"/>
          <w:kern w:val="0"/>
          <w:sz w:val="30"/>
          <w:szCs w:val="30"/>
          <w:lang w:val="en-US" w:eastAsia="zh-CN" w:bidi="ar"/>
        </w:rPr>
        <w:t xml:space="preserve">五、 其他需要说明的事项 </w:t>
      </w:r>
    </w:p>
    <w:p w14:paraId="575B3CBA">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1.本次招标控制价中所有砂浆均按现拌砂浆计价，混凝土按照现拌混凝土考虑。  </w:t>
      </w:r>
    </w:p>
    <w:p w14:paraId="2AD0052B">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2.增值税税率说明 </w:t>
      </w:r>
    </w:p>
    <w:p w14:paraId="4833C5E2">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（1）本项目最高投标限价编制按一般纳税人考虑，税率为9%，投标人应根据自身公司属性进行合理报价。  </w:t>
      </w:r>
    </w:p>
    <w:p w14:paraId="3A7FBE18">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rPr>
      </w:pPr>
      <w:r>
        <w:rPr>
          <w:rFonts w:hint="eastAsia" w:ascii="仿宋" w:hAnsi="仿宋" w:eastAsia="仿宋" w:cs="仿宋"/>
          <w:color w:val="000000"/>
          <w:kern w:val="0"/>
          <w:sz w:val="30"/>
          <w:szCs w:val="30"/>
          <w:lang w:val="en-US" w:eastAsia="zh-CN" w:bidi="ar"/>
        </w:rPr>
        <w:t xml:space="preserve">（2）竣工结算时工程所在地税务机关有不同规定的 ，应按其规定计算。 </w:t>
      </w:r>
    </w:p>
    <w:p w14:paraId="1EB391F9">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3.未尽事项详见招标文件、施工图纸及其他相关资料。</w:t>
      </w:r>
    </w:p>
    <w:p w14:paraId="70AE7679">
      <w:pPr>
        <w:keepNext w:val="0"/>
        <w:keepLines w:val="0"/>
        <w:widowControl/>
        <w:numPr>
          <w:ilvl w:val="0"/>
          <w:numId w:val="0"/>
        </w:numPr>
        <w:suppressLineNumbers w:val="0"/>
        <w:jc w:val="left"/>
        <w:rPr>
          <w:rFonts w:hint="eastAsia" w:ascii="仿宋" w:hAnsi="仿宋" w:eastAsia="仿宋" w:cs="仿宋"/>
          <w:color w:val="000000"/>
          <w:kern w:val="0"/>
          <w:sz w:val="30"/>
          <w:szCs w:val="30"/>
          <w:lang w:val="en-US" w:eastAsia="zh-CN" w:bidi="ar"/>
        </w:rPr>
      </w:pPr>
    </w:p>
    <w:p w14:paraId="566B6BF9">
      <w:pPr>
        <w:keepNext w:val="0"/>
        <w:keepLines w:val="0"/>
        <w:widowControl/>
        <w:suppressLineNumbers w:val="0"/>
        <w:wordWrap w:val="0"/>
        <w:jc w:val="both"/>
        <w:rPr>
          <w:rFonts w:hint="default" w:ascii="仿宋" w:hAnsi="仿宋" w:eastAsia="仿宋" w:cs="仿宋"/>
          <w:sz w:val="28"/>
          <w:szCs w:val="28"/>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7C394FCF-E069-43D8-96E2-AE942BA0C1F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66096"/>
    <w:rsid w:val="00D90D5C"/>
    <w:rsid w:val="020F0E73"/>
    <w:rsid w:val="046E3538"/>
    <w:rsid w:val="0A4D75B7"/>
    <w:rsid w:val="0ACF70E0"/>
    <w:rsid w:val="0C166096"/>
    <w:rsid w:val="0D6A7782"/>
    <w:rsid w:val="138D56A4"/>
    <w:rsid w:val="172B7E1E"/>
    <w:rsid w:val="1D533C1F"/>
    <w:rsid w:val="226E6690"/>
    <w:rsid w:val="26AF3C92"/>
    <w:rsid w:val="2A9D2F35"/>
    <w:rsid w:val="2AD775A5"/>
    <w:rsid w:val="2D3F74E4"/>
    <w:rsid w:val="2E5A3659"/>
    <w:rsid w:val="31DF689F"/>
    <w:rsid w:val="32B2175E"/>
    <w:rsid w:val="351D43F9"/>
    <w:rsid w:val="39813ACC"/>
    <w:rsid w:val="3A0E2B5C"/>
    <w:rsid w:val="4550649A"/>
    <w:rsid w:val="4E6A7BE3"/>
    <w:rsid w:val="52D20D73"/>
    <w:rsid w:val="53CC1B95"/>
    <w:rsid w:val="55214915"/>
    <w:rsid w:val="55D21D45"/>
    <w:rsid w:val="55E464CD"/>
    <w:rsid w:val="56E0151E"/>
    <w:rsid w:val="5FE760FB"/>
    <w:rsid w:val="69BC31D9"/>
    <w:rsid w:val="6D5D1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2424</Words>
  <Characters>2688</Characters>
  <Lines>0</Lines>
  <Paragraphs>0</Paragraphs>
  <TotalTime>3</TotalTime>
  <ScaleCrop>false</ScaleCrop>
  <LinksUpToDate>false</LinksUpToDate>
  <CharactersWithSpaces>2729</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2025-11-08T01:52:00Z</dcterms:created>
  <dc:creator>二蛋</dc:creator>
  <cp:lastModifiedBy>申同学</cp:lastModifiedBy>
  <dcterms:modified xsi:type="dcterms:W3CDTF">2026-05-29T02:20:55Z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AC38FDA3A1B34479947B2547A347B031_11</vt:lpwstr>
  </property>
  <property fmtid="{D5CDD505-2E9C-101B-9397-08002B2CF9AE}" pid="4" name="KSOTemplateDocerSaveRecord">
    <vt:lpwstr>eyJoZGlkIjoiYTA4MDJiMjQ4NDRlMDg5M2MzZDAxMmU1NDBmOGE3MzQiLCJ1c2VySWQiOiI2MTk4MDEzOTUifQ==</vt:lpwstr>
  </property>
</Properties>
</file>