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B4C5A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2C5C2220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9756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ADBC2E0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49852D4D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5FDE0E4F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6A1A03BD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74AB02FC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0C6CED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E30A71">
      <w:pPr>
        <w:pStyle w:val="2"/>
        <w:rPr>
          <w:rFonts w:hint="default" w:eastAsia="黑体"/>
          <w:color w:val="auto"/>
          <w:highlight w:val="none"/>
          <w:lang w:val="en-US" w:eastAsia="zh-CN"/>
        </w:rPr>
      </w:pPr>
      <w:bookmarkStart w:id="4" w:name="_GoBack"/>
      <w:bookmarkEnd w:id="4"/>
      <w:r>
        <w:rPr>
          <w:rFonts w:hint="eastAsia"/>
          <w:color w:val="auto"/>
          <w:highlight w:val="none"/>
          <w:lang w:val="en-US" w:eastAsia="zh-CN"/>
        </w:rPr>
        <w:t>采购需求</w:t>
      </w:r>
    </w:p>
    <w:p w14:paraId="4E144487">
      <w:pPr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</w:p>
    <w:p w14:paraId="7A95C0B6">
      <w:pPr>
        <w:ind w:firstLine="522"/>
        <w:rPr>
          <w:color w:val="auto"/>
          <w:highlight w:val="none"/>
        </w:rPr>
        <w:sectPr>
          <w:pgSz w:w="11906" w:h="16838"/>
          <w:pgMar w:top="1418" w:right="1134" w:bottom="1134" w:left="1418" w:header="935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31" w:charSpace="0"/>
        </w:sectPr>
      </w:pPr>
    </w:p>
    <w:p w14:paraId="71E2CC1F">
      <w:pPr>
        <w:pStyle w:val="3"/>
        <w:numPr>
          <w:ilvl w:val="0"/>
          <w:numId w:val="0"/>
        </w:numPr>
        <w:tabs>
          <w:tab w:val="clear" w:pos="1021"/>
        </w:tabs>
        <w:spacing w:before="0"/>
        <w:jc w:val="center"/>
        <w:rPr>
          <w:rFonts w:hint="default" w:ascii="宋体" w:hAnsi="宋体" w:eastAsia="宋体" w:cs="宋体"/>
          <w:color w:val="auto"/>
          <w:szCs w:val="28"/>
          <w:highlight w:val="none"/>
          <w:lang w:val="en-US" w:eastAsia="zh-CN"/>
        </w:rPr>
      </w:pPr>
      <w:bookmarkStart w:id="0" w:name="_Toc18086"/>
      <w:r>
        <w:rPr>
          <w:rFonts w:hint="eastAsia" w:ascii="宋体" w:hAnsi="宋体" w:eastAsia="宋体" w:cs="宋体"/>
          <w:color w:val="auto"/>
          <w:szCs w:val="28"/>
          <w:highlight w:val="none"/>
          <w:lang w:val="en-US" w:eastAsia="zh-CN"/>
        </w:rPr>
        <w:t>一、技术参数及要求</w:t>
      </w:r>
      <w:bookmarkEnd w:id="0"/>
    </w:p>
    <w:p w14:paraId="342DAE93">
      <w:pPr>
        <w:rPr>
          <w:color w:val="auto"/>
        </w:rPr>
      </w:pPr>
    </w:p>
    <w:tbl>
      <w:tblPr>
        <w:tblStyle w:val="9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5989"/>
        <w:gridCol w:w="3798"/>
        <w:gridCol w:w="1106"/>
        <w:gridCol w:w="1294"/>
        <w:gridCol w:w="1294"/>
      </w:tblGrid>
      <w:tr w14:paraId="384FF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1F1F1" w:themeFill="background1" w:themeFillShade="F2"/>
            <w:vAlign w:val="center"/>
          </w:tcPr>
          <w:p w14:paraId="0A88DA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1F1F1" w:themeFill="background1" w:themeFillShade="F2"/>
            <w:vAlign w:val="center"/>
          </w:tcPr>
          <w:p w14:paraId="54556D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标的名称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1F1F1" w:themeFill="background1" w:themeFillShade="F2"/>
            <w:vAlign w:val="center"/>
          </w:tcPr>
          <w:p w14:paraId="6DC08E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1F1F1" w:themeFill="background1" w:themeFillShade="F2"/>
            <w:vAlign w:val="center"/>
          </w:tcPr>
          <w:p w14:paraId="621A20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1F1F1" w:themeFill="background1" w:themeFillShade="F2"/>
            <w:vAlign w:val="center"/>
          </w:tcPr>
          <w:p w14:paraId="308ADBE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计量</w:t>
            </w:r>
          </w:p>
          <w:p w14:paraId="672962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1F1F1" w:themeFill="background1" w:themeFillShade="F2"/>
            <w:vAlign w:val="center"/>
          </w:tcPr>
          <w:p w14:paraId="4B046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7E3A1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6B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B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【混标】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阿奇霉素、克拉霉素、 红霉素、林可霉素盐酸盐、罗红霉素、维及霉素S1、二甲氧甲基苯氨嘧啶、盐酸克林霉素、磷酸竹桃霉素、替米考星</w:t>
            </w:r>
          </w:p>
        </w:tc>
        <w:tc>
          <w:tcPr>
            <w:tcW w:w="13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1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100μg/mL, 1mL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03F9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61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B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内标物（红霉素-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A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100μg/mL, 1mL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E47A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FFB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9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标准溶液/9种四环素类固体混标/GBT 24800.1-2009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美满霉素、土霉素、四环素、去甲基金霉素盐酸盐、金霉素、甲烯土霉素、强力霉素、4-差向脱水四环素、脱水四环素</w:t>
            </w:r>
          </w:p>
        </w:tc>
        <w:tc>
          <w:tcPr>
            <w:tcW w:w="13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B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标准值 100μg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0EC5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02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4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内标物（四环素-D6）</w:t>
            </w:r>
          </w:p>
        </w:tc>
        <w:tc>
          <w:tcPr>
            <w:tcW w:w="13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9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0.5mg,纯度≥97.7%,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C3D9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B0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BD5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标准溶液/甲醇中PFOS（全氟辛烷磺酸）(以直链计)/HJ 1333-2023/HJ 1334-2023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F7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100μg/mL, 1mL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EE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9B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71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ED5C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1E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824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标准溶液/甲醇中PFOA全氟辛酸/HJ 1333-2023/HJ 1334-2023</w:t>
            </w:r>
          </w:p>
        </w:tc>
        <w:tc>
          <w:tcPr>
            <w:tcW w:w="13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13C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100μg/mL, 1mL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D3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5E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B9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DC5A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01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A7A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标准溶液/甲醇中13C4-PFOS（全氟辛烷磺酸）和13C4-PFOA全氟辛酸混标/HJ 1333-2023/HJ 1334-2023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80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5μg/mL, 1mL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F8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B1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F8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469A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44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20A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标准溶液/甲醇/水中13C2-PFOA全氟辛酸内标（以13C2-PFOA全氟辛酸钠计）/HJ 1333-2023/HJ 1334-2023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86B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5μg/mL, 1mL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29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F8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2F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8ECD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9C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A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甲醇中9种全氟羧酸内标混标溶液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304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2μg/mL, 1mL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02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2E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79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E56A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45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975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正己烷中18种多氯联苯混标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5A2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100μg/mL, 1mL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5A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30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06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9D43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AE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3D7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正己烷中28种多环芳烃混标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933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100μg/mL, 1mL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49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38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17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3275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58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FBE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【混标】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磺胺醋酰、磺胺嘧啶、磺胺噻唑、磺胺吡啶、磺胺甲基嘧啶、磺胺间甲氧嘧啶、磺胺甲二唑、磺胺二甲嘧啶、磺胺甲氧哒嗪、磺胺氯哒嗪、磺胺甲噁唑、磺胺对甲氧嘧啶、磺胺多辛、磺胺二甲异唑、磺胺苯酰、磺胺苯吡唑、磺胺地索辛、磺胺喹噁啉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851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100mg/L，1.2mL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DE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30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A0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7184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F0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B18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内标混标(13C3⁃甲氧苄氨嘧啶、13C6⁃磺胺吡啶和 13C6⁃磺胺地索辛)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EF5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100mg/L，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32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5A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8B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082A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05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D53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【混标】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马波沙星、氟罗沙星、氧氟沙星、培氟沙星、依诺沙星、诺氟沙星、环丙沙星、恩诺沙星、达氟沙星、洛美沙星、奥比沙星、二氟沙星、沙拉沙星、加替沙星、莫西沙星、氟甲喹和那氟沙星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D0C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100mg/L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74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A4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51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C987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DD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E18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替代物-诺氟沙星-d5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EFB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100mg/L,1mL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22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7D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70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546F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3A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251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内标混标-（环丙沙星-d8和恩诺沙星-d5)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FDB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100mg/L,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29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B7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2E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2332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60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875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内标-13C3-氟甲喹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F7D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100mg/L,1mL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2D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47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10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7717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9C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4F2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校正溶液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6FC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适配赛默飞（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VanquishFLex TSQ Quantis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））主机仪器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D6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B5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ED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3C11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E0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696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分析柱：Waters *Bridge C18色谱柱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71A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3.5um，2.1*100mm（适配赛默飞（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VanquishFLex TSQ Quantis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）主机仪器）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D21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57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7E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28C4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3E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535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Acclaim™ RSLC 120 C18 色谱柱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FCF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2.2um，2.1*150mm（适配赛默飞（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VanquishFLex TSQ Quantis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）主机仪器）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26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18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AC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6CBE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76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F72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62E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A5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98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25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0B6C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C6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272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棕色密实瓶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FAD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螺口，2 mL，棕色，带书写签，经认证，100/包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14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2A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32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C2A9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E1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107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棕色样品瓶（带密封圈）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B6E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螺口，2 mL，棕色，带书写签，经认证，100/包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59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9F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8B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733D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AC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F69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聚丙烯样品瓶（带密封圈）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71F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螺口样品瓶，2 mL，PP，经认证，100/包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76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55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79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791A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87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C7A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聚丙烯螺旋盖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39D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螺口盖，9 mm，透明，薄膜 PP/硅橡胶隔垫，100/包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6D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33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A2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F585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62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730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聚四氟乙烯内衬垫的螺旋盖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CC8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蓝色聚丙烯实心螺纹口瓶盖，带 PTFE 内衬，100/包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84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53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68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9F5D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9F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B7D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过滤头(注射器滤芯)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CD1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0.22um，100个/盒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E5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64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D4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46A1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87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0D2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10微升移液枪枪头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CE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10uL，1000个/包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6E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46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2B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2ADE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A8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3CC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25微升移液枪枪头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C92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25uL，1000个/包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89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2B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68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0483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80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BB7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50微升移液枪枪头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1B6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50uL，1000个/包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79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48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80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5170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DB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867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100微升移液枪枪头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56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100uL，500个/包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E4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FF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89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1E1A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1F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491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200微升移液枪枪头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20B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200uL，500个/包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1F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FE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CB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0915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D1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5CF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1毫升移液枪枪头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390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1ml，500个/包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63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A2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D6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F7BE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89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20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5毫升移液枪枪头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B8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5ml，500个/包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A6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61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35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B15C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0B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990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10毫升移液枪枪头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5C9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10ml，100个/盒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31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1C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D1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C3D8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2A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0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5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准确度：±2.5到1.0%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量程（公制）：0.1到1μL，微量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增量：0.02μL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精密度：2.0到0.5%，需配套对应量程的枪头及枪头盒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77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72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6CDD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C2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E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F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准确度：±3.5到1.0%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量程（公制）：1到10μL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增量：0.02μL，需配套对应量程的枪头及枪头盒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0D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5D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EA4A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E5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98B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C24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准确度：±3.0到1.0%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量程（公制）：2到20μL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增量：0.02μL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精密度：2.5到0.4%，需配套对应量程的枪头及枪头盒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BF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F9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F5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8E35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F9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4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C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准确度：±3.0到0.6%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量程（公制）：5 到 50µL,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增量：0.1µL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精密度：2.5到0.3%，需配套对应量程的枪头及枪头盒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64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F3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C69D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24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D09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C5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准确度：±3.0到0.8%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量程（公制）：10-100µL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增量：0.2µL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精密度：1.0到0.2%，需配套对应量程的枪头及枪头盒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0F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63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A3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B95B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75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23C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544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准确度：±3.0到0.6%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增量：0.2µL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精密度：1.5到0.3%，需配套对应量程的枪头及枪头盒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13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A2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0B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7CFA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69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5DC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BBD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准确度：±3.0到0.8%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量程（公制）：100-1000μL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增量：1μL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精密度：0.6到0.2%，需配套对应量程的枪头及枪头盒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40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9E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DB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BAFE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F7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2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7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准确度：±2.0到0.5%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量程（公制）：0. 5-5mL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增量：0.01mL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精密度：0.6到0.2%，需配套对应量程的枪头及枪头盒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B7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94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943C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91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移液枪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E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准确度：±2.0到0.5%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量程（公制）：1到10mL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增量：0.02mL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精密度：0.8到0.2%，需配套对应量程的枪头及枪头盒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C9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56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6DA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D3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BFF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移液枪架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A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结实稳定，高密度工程塑料注塑成型，耐酸碱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-使用便捷，可旋转，平稳方便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随取随用，最多可同时放置6支移液器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6.00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8295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D6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F67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封口膜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A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1卷/盒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6.00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EED3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2A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0CE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棕色样品瓶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B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4000ml，磨口玻璃，带盖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BE7D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74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847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瓶口分液器-有机用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1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1~10 mL，标准GL45螺纹适用于试剂瓶的最常用螺纹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排液阀上的安全球阀可以防止未安装排液管时出现泄漏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可以拧下排气盖，便于组装干燥管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椭圆形分液器外壳，便于移动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PFA密封滑动活塞，防止阻塞。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A58C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7C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DDB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中速滤纸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4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11cm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B6E6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31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CFF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HLB固相萃取柱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5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6ml/500mg，30支/盒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20.00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F66F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C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4F2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WAX柱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4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150mg/6mL，30/pk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20.00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7B03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27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A43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玻璃纤维滤膜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F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0.45μm，直径47mm，100片/盒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E6B3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53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60E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玻璃棒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8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30cm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940B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27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98A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棕色进样小瓶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2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螺口，2 mL，棕色，带书写签，经认证，100/包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FAD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44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61E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分子捕集阱（氦气，除水 / 氧 / 烃）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2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过滤管,大容量通用捕集阱，氦气，1/8 英寸，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B05B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B7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AE4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色谱柱安装尺（毛细管柱安装深度指南）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7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B913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5D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69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水质氟离子电极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F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1C3B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DF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C83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乙酸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6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色谱纯，500ml/瓶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8665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39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8F7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甲醇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B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500mL/瓶、分析纯</w:t>
            </w:r>
          </w:p>
        </w:tc>
        <w:tc>
          <w:tcPr>
            <w:tcW w:w="38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5D36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5F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FC1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二氯甲烷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D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4L/瓶、农残级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B8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7B91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56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B15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乙腈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7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4L/瓶、色谱纯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47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5D49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B2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A25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乙酸乙酯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4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500mL/瓶、色谱纯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14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92CD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70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53A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正己烷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E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4L/瓶、色谱纯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D5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CEB9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11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DBD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丙酮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5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4L/瓶、色谱纯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BF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5896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42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E2D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乙醚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9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4L/瓶、色谱纯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CE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7F2A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77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F77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正己烷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D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500mL/瓶、分析纯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7C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15F9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72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28D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硼氢化钾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E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100g/瓶、优级纯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DD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12D0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DB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C84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盐酸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5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GR500ml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9D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B3F8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ED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8BD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硫酸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2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GR500ml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7E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FE8D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AC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5CD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硝酸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2F7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GR500ml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FF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74A7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38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C88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8AD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红外专用500ml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BF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3274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C9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00F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高氯酸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91E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GR500ml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79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A59A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1C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316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发烟硫酸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080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GR500ml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95D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68CA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CA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9D9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硫脲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505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500g/瓶，分析纯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6E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</w:tbl>
    <w:p w14:paraId="699FC671">
      <w:pPr>
        <w:spacing w:line="360" w:lineRule="auto"/>
        <w:rPr>
          <w:color w:val="auto"/>
        </w:rPr>
      </w:pPr>
      <w:r>
        <w:rPr>
          <w:rFonts w:hint="eastAsia" w:ascii="宋体"/>
          <w:b/>
          <w:color w:val="auto"/>
          <w:sz w:val="24"/>
        </w:rPr>
        <w:t>备注：本次招标文件所列技术要求（或参考品牌、规格、型号的技术标准）为技术上的基本要求，招标文件中技术要求涉及品牌、专利、商标、设计、厂家或原产地等含有倾向或者排斥潜在投标人的内容均不作为</w:t>
      </w:r>
      <w:r>
        <w:rPr>
          <w:rFonts w:hint="eastAsia" w:ascii="宋体"/>
          <w:b/>
          <w:color w:val="auto"/>
          <w:sz w:val="24"/>
          <w:lang w:eastAsia="zh-CN"/>
        </w:rPr>
        <w:t>必需的</w:t>
      </w:r>
      <w:r>
        <w:rPr>
          <w:rFonts w:hint="eastAsia" w:ascii="宋体"/>
          <w:b/>
          <w:color w:val="auto"/>
          <w:sz w:val="24"/>
        </w:rPr>
        <w:t>技术要求，投标人只需参照或提供相当于招标文件中的技术要求即可。</w:t>
      </w:r>
    </w:p>
    <w:p w14:paraId="6171AC67">
      <w:pPr>
        <w:spacing w:line="480" w:lineRule="exact"/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</w:pPr>
    </w:p>
    <w:p w14:paraId="212D2375">
      <w:pPr>
        <w:pStyle w:val="3"/>
        <w:numPr>
          <w:ilvl w:val="0"/>
          <w:numId w:val="0"/>
        </w:numPr>
        <w:tabs>
          <w:tab w:val="clear" w:pos="1021"/>
        </w:tabs>
        <w:spacing w:before="0"/>
        <w:jc w:val="left"/>
        <w:rPr>
          <w:rFonts w:hint="default" w:ascii="宋体" w:hAnsi="宋体" w:eastAsia="宋体" w:cs="宋体"/>
          <w:color w:val="auto"/>
          <w:szCs w:val="28"/>
          <w:highlight w:val="none"/>
          <w:lang w:val="en-US" w:eastAsia="zh-CN"/>
        </w:rPr>
      </w:pPr>
      <w:bookmarkStart w:id="1" w:name="_Toc5107"/>
      <w:r>
        <w:rPr>
          <w:rFonts w:hint="eastAsia" w:ascii="宋体" w:hAnsi="宋体" w:eastAsia="宋体" w:cs="宋体"/>
          <w:color w:val="auto"/>
          <w:szCs w:val="28"/>
          <w:highlight w:val="none"/>
          <w:lang w:val="en-US" w:eastAsia="zh-CN"/>
        </w:rPr>
        <w:t>二、交货地点及合同履行期限</w:t>
      </w:r>
      <w:bookmarkEnd w:id="1"/>
    </w:p>
    <w:p w14:paraId="165851E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firstLine="520" w:firstLineChars="200"/>
        <w:textAlignment w:val="auto"/>
        <w:rPr>
          <w:color w:val="auto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</w:t>
      </w:r>
      <w:r>
        <w:rPr>
          <w:rFonts w:hint="eastAsia"/>
          <w:color w:val="auto"/>
        </w:rPr>
        <w:t>交货地点：昆明（由采购人指定）。</w:t>
      </w:r>
    </w:p>
    <w:p w14:paraId="5B253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4"/>
        </w:rPr>
        <w:t>合同履行期限：交货期为接到甲方通知后10个日历天以内送达到指定交货地点，质保期为自合同签订之日起至少1年。</w:t>
      </w:r>
    </w:p>
    <w:p w14:paraId="4CA60C79">
      <w:pPr>
        <w:numPr>
          <w:ilvl w:val="0"/>
          <w:numId w:val="0"/>
        </w:numPr>
        <w:spacing w:line="480" w:lineRule="exact"/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</w:pPr>
    </w:p>
    <w:p w14:paraId="7DF0B73A">
      <w:pPr>
        <w:pStyle w:val="3"/>
        <w:numPr>
          <w:ilvl w:val="0"/>
          <w:numId w:val="0"/>
        </w:numPr>
        <w:tabs>
          <w:tab w:val="clear" w:pos="1021"/>
        </w:tabs>
        <w:spacing w:before="0"/>
        <w:jc w:val="left"/>
        <w:rPr>
          <w:rFonts w:hint="eastAsia" w:ascii="宋体" w:hAnsi="宋体" w:eastAsia="宋体" w:cs="宋体"/>
          <w:color w:val="auto"/>
          <w:szCs w:val="28"/>
          <w:highlight w:val="none"/>
          <w:lang w:val="en-US" w:eastAsia="zh-CN"/>
        </w:rPr>
      </w:pPr>
      <w:bookmarkStart w:id="2" w:name="_Toc4447"/>
      <w:r>
        <w:rPr>
          <w:rFonts w:hint="eastAsia" w:ascii="宋体" w:hAnsi="宋体" w:eastAsia="宋体" w:cs="宋体"/>
          <w:color w:val="auto"/>
          <w:szCs w:val="28"/>
          <w:highlight w:val="none"/>
          <w:lang w:val="en-US" w:eastAsia="zh-CN"/>
        </w:rPr>
        <w:t>三、质量要求</w:t>
      </w:r>
      <w:bookmarkEnd w:id="2"/>
    </w:p>
    <w:p w14:paraId="37539DE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firstLine="520" w:firstLineChars="200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1.所有投标实验耗材须为原厂全新正品、未开封、未过期，符合国家现行行业标准、药典标准、检验检测标准及相关法律法规要求。</w:t>
      </w:r>
    </w:p>
    <w:p w14:paraId="693F448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firstLine="520" w:firstLineChars="200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2.严禁提供翻新、分装、勾兑、假冒伪劣、三无、串货、临期不合格产品。</w:t>
      </w:r>
    </w:p>
    <w:p w14:paraId="3AF553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firstLine="520" w:firstLineChars="200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3.化学试剂、标准溶液需单独标注危险特性（如腐蚀性、易燃性），并提供安全技术说明书（MSDS）。</w:t>
      </w:r>
    </w:p>
    <w:p w14:paraId="036EA36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firstLine="520" w:firstLineChars="200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4.无菌类耗材需经环氧乙烷或高温高压灭菌，包装上标注“无菌”及灭菌方式，保质期内无变质。</w:t>
      </w:r>
    </w:p>
    <w:p w14:paraId="7823A3E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firstLine="520" w:firstLineChars="200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5.供应商必须按投标承诺的产品质量供货，不得随意替代、降级供货。</w:t>
      </w:r>
    </w:p>
    <w:p w14:paraId="40C8968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p w14:paraId="17EFC3DD">
      <w:pPr>
        <w:pStyle w:val="3"/>
        <w:numPr>
          <w:ilvl w:val="0"/>
          <w:numId w:val="0"/>
        </w:numPr>
        <w:tabs>
          <w:tab w:val="clear" w:pos="1021"/>
        </w:tabs>
        <w:spacing w:before="0"/>
        <w:jc w:val="left"/>
        <w:rPr>
          <w:rFonts w:hint="eastAsia" w:ascii="宋体" w:hAnsi="宋体" w:eastAsia="宋体" w:cs="宋体"/>
          <w:color w:val="auto"/>
          <w:szCs w:val="28"/>
          <w:highlight w:val="none"/>
          <w:lang w:val="en-US" w:eastAsia="zh-CN"/>
        </w:rPr>
      </w:pPr>
      <w:bookmarkStart w:id="3" w:name="_Toc15308"/>
      <w:r>
        <w:rPr>
          <w:rFonts w:hint="eastAsia" w:ascii="宋体" w:hAnsi="宋体" w:eastAsia="宋体" w:cs="宋体"/>
          <w:color w:val="auto"/>
          <w:szCs w:val="28"/>
          <w:highlight w:val="none"/>
          <w:lang w:val="en-US" w:eastAsia="zh-CN"/>
        </w:rPr>
        <w:t>四、售后服务要求</w:t>
      </w:r>
      <w:bookmarkEnd w:id="3"/>
    </w:p>
    <w:p w14:paraId="213DAD5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firstLine="52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1.供应商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全程提供免费送货、卸货、就位服务，送达指定使用地点，搬运及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人工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费用全部由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供应商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承担。</w:t>
      </w:r>
    </w:p>
    <w:p w14:paraId="6B471AB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firstLine="52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2.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售后服务实行7×24 小时电话响应，故障、投诉、补货随时受理。</w:t>
      </w:r>
    </w:p>
    <w:p w14:paraId="20E2FAA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firstLine="52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3.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接到采购方补货通知后，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24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小时内送达现场，紧急耗材优先加急配送。</w:t>
      </w:r>
    </w:p>
    <w:p w14:paraId="736EFA4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firstLine="52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4.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 xml:space="preserve">到货随货附带合格证、质检报告、出厂证明、规格清单等资料，免费提供入库、验收协助。 </w:t>
      </w:r>
    </w:p>
    <w:p w14:paraId="684519A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firstLine="52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5.实验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 xml:space="preserve">耗材包装完好，运输途中破损、受潮、短缺由供方无条件补发、更换，不收取任何费用。 </w:t>
      </w:r>
    </w:p>
    <w:p w14:paraId="4184408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firstLine="52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6.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所有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实验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耗材质保期不少于1年，质保期内出现质量问题、规格不符、无法正常使用，无条件免费更换、退货。</w:t>
      </w:r>
    </w:p>
    <w:p w14:paraId="2804C17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firstLine="52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7.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临期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实验耗材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严禁供货，距有效期不足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3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个月的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实验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耗材采购方有权拒收，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供应商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无条件调换。</w:t>
      </w:r>
    </w:p>
    <w:p w14:paraId="0475634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firstLine="52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8.供应商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 xml:space="preserve">免费提供耗材使用指导、配比指导、存放保管规范培训，按需上门讲解。 </w:t>
      </w:r>
    </w:p>
    <w:p w14:paraId="1EC6CC1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firstLine="52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9.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报修/投诉电话10分钟内响应，线上指导排查；无法线上解决的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24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小时内上门处理完毕。</w:t>
      </w:r>
    </w:p>
    <w:p w14:paraId="4633A8C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firstLine="52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10.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同一质量问题反复出现，采购方有权要求整批更换、终止供货并追究违约责任。</w:t>
      </w:r>
    </w:p>
    <w:p w14:paraId="18A63BB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firstLine="52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1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供应商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需常备常用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实验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 xml:space="preserve">耗材安全库存，保障采购方不间断使用，不得无故断供。 </w:t>
      </w:r>
    </w:p>
    <w:p w14:paraId="75B79A0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firstLine="52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12.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合同期内价格保持稳定，售后标准不降低、服务不缩水。</w:t>
      </w:r>
    </w:p>
    <w:p w14:paraId="746EE8D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firstLine="5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418" w:right="1418" w:bottom="1134" w:left="1134" w:header="935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31" w:charSpace="0"/>
        </w:sect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1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3.提供终身技术咨询，后续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  <w:t>实验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耗材续采享有同等售后及优先供货权。</w:t>
      </w:r>
    </w:p>
    <w:p w14:paraId="359DD6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9045880"/>
    </w:sdtPr>
    <w:sdtContent>
      <w:p w14:paraId="6A6E1239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70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3FF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02055"/>
    <w:rsid w:val="758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1021"/>
      </w:tabs>
      <w:adjustRightInd w:val="0"/>
      <w:spacing w:line="360" w:lineRule="auto"/>
      <w:jc w:val="center"/>
      <w:textAlignment w:val="baseline"/>
      <w:outlineLvl w:val="1"/>
    </w:pPr>
    <w:rPr>
      <w:rFonts w:asciiTheme="majorEastAsia" w:hAnsiTheme="majorEastAsia" w:eastAsiaTheme="majorEastAsia"/>
      <w:b/>
      <w:kern w:val="0"/>
      <w:sz w:val="28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0"/>
    <w:pPr>
      <w:jc w:val="left"/>
    </w:pPr>
    <w:rPr>
      <w:b/>
      <w:color w:val="000000" w:themeColor="text1"/>
      <w:szCs w:val="21"/>
      <w14:textFill>
        <w14:solidFill>
          <w14:schemeClr w14:val="tx1"/>
        </w14:solidFill>
      </w14:textFill>
    </w:rPr>
  </w:style>
  <w:style w:type="paragraph" w:styleId="5">
    <w:name w:val="Body Text Indent"/>
    <w:basedOn w:val="1"/>
    <w:next w:val="6"/>
    <w:unhideWhenUsed/>
    <w:qFormat/>
    <w:uiPriority w:val="99"/>
    <w:pPr>
      <w:snapToGrid w:val="0"/>
      <w:spacing w:after="165" w:line="400" w:lineRule="exact"/>
      <w:ind w:firstLine="520" w:firstLineChars="200"/>
    </w:pPr>
    <w:rPr>
      <w:rFonts w:hAnsi="宋体" w:cs="宋体"/>
      <w:spacing w:val="10"/>
      <w:sz w:val="24"/>
    </w:rPr>
  </w:style>
  <w:style w:type="paragraph" w:styleId="6">
    <w:name w:val="annotation subject"/>
    <w:basedOn w:val="4"/>
    <w:next w:val="1"/>
    <w:semiHidden/>
    <w:unhideWhenUsed/>
    <w:qFormat/>
    <w:uiPriority w:val="0"/>
    <w:rPr>
      <w:b w:val="0"/>
      <w:bCs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5"/>
    <w:unhideWhenUsed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1361</Words>
  <Characters>2127</Characters>
  <Lines>0</Lines>
  <Paragraphs>0</Paragraphs>
  <TotalTime>0</TotalTime>
  <ScaleCrop>false</ScaleCrop>
  <LinksUpToDate>false</LinksUpToDate>
  <CharactersWithSpaces>2170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2026-06-05T08:58:00Z</dcterms:created>
  <dc:creator>ZBYW1</dc:creator>
  <cp:lastModifiedBy>佚名</cp:lastModifiedBy>
  <dcterms:modified xsi:type="dcterms:W3CDTF">2026-06-05T09:19:38Z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eyJoZGlkIjoiOTgxZDBiNGQzNjlhZGVjNDEwNDFiMWEyYjkxMjAxODYiLCJ1c2VySWQiOiI1ODQ3MzgwMTIifQ==</vt:lpwstr>
  </property>
  <property fmtid="{D5CDD505-2E9C-101B-9397-08002B2CF9AE}" pid="4" name="ICV">
    <vt:lpwstr>AEE2DAC7B0D34F33BB6CC3C37A0E1BA4_12</vt:lpwstr>
  </property>
</Properties>
</file>