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E6C0A">
      <w:pPr>
        <w:spacing w:line="276" w:lineRule="auto"/>
        <w:rPr>
          <w:rFonts w:ascii="仿宋_GB2312" w:hAnsi="仿宋_GB2312" w:eastAsia="仿宋_GB2312" w:cs="仿宋_GB2312"/>
          <w:color w:val="auto"/>
          <w:highlight w:val="none"/>
        </w:rPr>
      </w:pPr>
      <w:bookmarkStart w:id="265" w:name="_GoBack"/>
    </w:p>
    <w:p w14:paraId="60B37CBE">
      <w:pPr>
        <w:spacing w:line="276" w:lineRule="auto"/>
        <w:rPr>
          <w:rFonts w:ascii="仿宋_GB2312" w:hAnsi="仿宋_GB2312" w:eastAsia="仿宋_GB2312" w:cs="仿宋_GB2312"/>
          <w:color w:val="auto"/>
          <w:highlight w:val="none"/>
        </w:rPr>
      </w:pPr>
    </w:p>
    <w:p w14:paraId="24D14C0D">
      <w:pPr>
        <w:spacing w:line="244" w:lineRule="auto"/>
        <w:rPr>
          <w:rFonts w:ascii="仿宋_GB2312" w:hAnsi="仿宋_GB2312" w:eastAsia="仿宋_GB2312" w:cs="仿宋_GB2312"/>
          <w:color w:val="auto"/>
          <w:highlight w:val="none"/>
        </w:rPr>
      </w:pPr>
    </w:p>
    <w:p w14:paraId="0C5F65B8">
      <w:pPr>
        <w:spacing w:line="480" w:lineRule="exact"/>
        <w:jc w:val="center"/>
        <w:rPr>
          <w:rFonts w:ascii="仿宋" w:hAnsi="仿宋" w:eastAsia="仿宋" w:cs="仿宋"/>
          <w:bCs/>
          <w:color w:val="auto"/>
          <w:sz w:val="48"/>
          <w:szCs w:val="48"/>
          <w:highlight w:val="none"/>
          <w:lang w:eastAsia="zh-CN"/>
        </w:rPr>
      </w:pPr>
    </w:p>
    <w:p w14:paraId="42CDF2E6">
      <w:pPr>
        <w:widowControl w:val="0"/>
        <w:kinsoku/>
        <w:autoSpaceDE/>
        <w:autoSpaceDN/>
        <w:spacing w:line="480" w:lineRule="exact"/>
        <w:jc w:val="center"/>
        <w:textAlignment w:val="auto"/>
        <w:rPr>
          <w:rFonts w:ascii="仿宋" w:hAnsi="仿宋" w:eastAsia="仿宋" w:cs="仿宋"/>
          <w:bCs/>
          <w:color w:val="auto"/>
          <w:sz w:val="48"/>
          <w:szCs w:val="48"/>
          <w:highlight w:val="none"/>
          <w:lang w:eastAsia="zh-CN"/>
        </w:rPr>
      </w:pPr>
      <w:r>
        <w:rPr>
          <w:rFonts w:hint="eastAsia" w:ascii="仿宋" w:hAnsi="仿宋" w:eastAsia="仿宋" w:cs="仿宋"/>
          <w:bCs/>
          <w:color w:val="auto"/>
          <w:sz w:val="48"/>
          <w:szCs w:val="48"/>
          <w:highlight w:val="none"/>
          <w:lang w:eastAsia="zh-CN"/>
        </w:rPr>
        <w:t>新疆维吾尔自治区吐鲁番某单位2026年度大宗生活物资采购项目-第二包（禽肉水产类）</w:t>
      </w:r>
    </w:p>
    <w:p w14:paraId="71EC3E17">
      <w:pPr>
        <w:widowControl w:val="0"/>
        <w:kinsoku/>
        <w:autoSpaceDE/>
        <w:autoSpaceDN/>
        <w:jc w:val="center"/>
        <w:textAlignment w:val="auto"/>
        <w:rPr>
          <w:rFonts w:ascii="仿宋" w:hAnsi="仿宋" w:eastAsia="仿宋" w:cs="仿宋"/>
          <w:b/>
          <w:color w:val="auto"/>
          <w:sz w:val="24"/>
          <w:szCs w:val="28"/>
          <w:highlight w:val="none"/>
        </w:rPr>
      </w:pPr>
      <w:r>
        <w:rPr>
          <w:rFonts w:hint="eastAsia" w:ascii="仿宋" w:hAnsi="仿宋" w:eastAsia="仿宋" w:cs="仿宋"/>
          <w:b/>
          <w:color w:val="auto"/>
          <w:sz w:val="48"/>
          <w:szCs w:val="48"/>
          <w:highlight w:val="none"/>
          <w:lang w:eastAsia="zh-CN"/>
        </w:rPr>
        <w:t>采 购</w:t>
      </w:r>
      <w:r>
        <w:rPr>
          <w:rFonts w:hint="eastAsia" w:ascii="仿宋" w:hAnsi="仿宋" w:eastAsia="仿宋" w:cs="仿宋"/>
          <w:b/>
          <w:color w:val="auto"/>
          <w:sz w:val="48"/>
          <w:szCs w:val="48"/>
          <w:highlight w:val="none"/>
        </w:rPr>
        <w:t xml:space="preserve"> 文 件</w:t>
      </w:r>
    </w:p>
    <w:p w14:paraId="0F16DEB6">
      <w:pPr>
        <w:ind w:left="1378" w:right="-191" w:rightChars="-91" w:hanging="1377" w:hangingChars="492"/>
        <w:jc w:val="center"/>
        <w:rPr>
          <w:rFonts w:ascii="仿宋" w:hAnsi="仿宋" w:eastAsia="仿宋" w:cs="仿宋"/>
          <w:bCs/>
          <w:color w:val="auto"/>
          <w:sz w:val="32"/>
          <w:szCs w:val="32"/>
          <w:highlight w:val="none"/>
        </w:rPr>
      </w:pPr>
      <w:r>
        <w:rPr>
          <w:rFonts w:hint="eastAsia" w:ascii="仿宋" w:hAnsi="仿宋" w:eastAsia="仿宋" w:cs="仿宋"/>
          <w:color w:val="auto"/>
          <w:sz w:val="28"/>
          <w:highlight w:val="none"/>
        </w:rPr>
        <w:drawing>
          <wp:inline distT="0" distB="0" distL="0" distR="0">
            <wp:extent cx="2221865" cy="2830830"/>
            <wp:effectExtent l="0" t="0" r="6985" b="762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pic:cNvPicPr>
                  </pic:nvPicPr>
                  <pic:blipFill>
                    <a:blip r:embed="rId23" cstate="print"/>
                    <a:srcRect/>
                    <a:stretch>
                      <a:fillRect/>
                    </a:stretch>
                  </pic:blipFill>
                  <pic:spPr>
                    <a:xfrm>
                      <a:off x="0" y="0"/>
                      <a:ext cx="2221865" cy="2830830"/>
                    </a:xfrm>
                    <a:prstGeom prst="rect">
                      <a:avLst/>
                    </a:prstGeom>
                    <a:ln>
                      <a:noFill/>
                    </a:ln>
                  </pic:spPr>
                </pic:pic>
              </a:graphicData>
            </a:graphic>
          </wp:inline>
        </w:drawing>
      </w:r>
    </w:p>
    <w:p w14:paraId="7B6AA43C">
      <w:pPr>
        <w:spacing w:line="480" w:lineRule="exact"/>
        <w:jc w:val="center"/>
        <w:rPr>
          <w:rFonts w:ascii="仿宋" w:hAnsi="仿宋" w:eastAsia="仿宋" w:cs="仿宋"/>
          <w:bCs/>
          <w:color w:val="auto"/>
          <w:sz w:val="32"/>
          <w:szCs w:val="32"/>
          <w:highlight w:val="none"/>
        </w:rPr>
      </w:pPr>
    </w:p>
    <w:p w14:paraId="452B93DF">
      <w:pPr>
        <w:pStyle w:val="14"/>
        <w:spacing w:line="360" w:lineRule="auto"/>
        <w:ind w:left="2570" w:leftChars="459" w:hanging="1606" w:hangingChars="500"/>
        <w:rPr>
          <w:rFonts w:ascii="仿宋" w:hAnsi="仿宋" w:eastAsia="仿宋" w:cs="仿宋"/>
          <w:color w:val="auto"/>
          <w:sz w:val="32"/>
          <w:szCs w:val="32"/>
          <w:highlight w:val="none"/>
          <w:u w:val="single"/>
        </w:rPr>
      </w:pPr>
      <w:r>
        <w:rPr>
          <w:rFonts w:hint="eastAsia" w:ascii="仿宋" w:hAnsi="仿宋" w:eastAsia="仿宋" w:cs="仿宋"/>
          <w:b/>
          <w:color w:val="auto"/>
          <w:sz w:val="32"/>
          <w:szCs w:val="32"/>
          <w:highlight w:val="none"/>
        </w:rPr>
        <w:t>招标项目：</w:t>
      </w:r>
      <w:r>
        <w:rPr>
          <w:rFonts w:hint="eastAsia" w:ascii="仿宋" w:hAnsi="仿宋" w:eastAsia="仿宋" w:cs="仿宋"/>
          <w:color w:val="auto"/>
          <w:sz w:val="32"/>
          <w:szCs w:val="32"/>
          <w:highlight w:val="none"/>
          <w:u w:val="single"/>
          <w:lang w:eastAsia="zh-CN"/>
        </w:rPr>
        <w:t>新疆维吾尔自治区吐鲁番某单位2026年度大宗生活物资采购项目-第二包（禽肉水产类）</w:t>
      </w:r>
      <w:r>
        <w:rPr>
          <w:rFonts w:hint="eastAsia" w:ascii="仿宋" w:hAnsi="仿宋" w:eastAsia="仿宋" w:cs="仿宋"/>
          <w:color w:val="auto"/>
          <w:sz w:val="32"/>
          <w:szCs w:val="32"/>
          <w:highlight w:val="none"/>
          <w:u w:val="single"/>
        </w:rPr>
        <w:t xml:space="preserve">              </w:t>
      </w:r>
    </w:p>
    <w:p w14:paraId="33D4B871">
      <w:pPr>
        <w:pStyle w:val="14"/>
        <w:widowControl w:val="0"/>
        <w:kinsoku/>
        <w:snapToGrid/>
        <w:spacing w:line="360" w:lineRule="auto"/>
        <w:ind w:firstLine="964" w:firstLineChars="300"/>
        <w:textAlignment w:val="auto"/>
        <w:rPr>
          <w:rFonts w:ascii="仿宋" w:hAnsi="仿宋" w:eastAsia="仿宋" w:cs="仿宋"/>
          <w:color w:val="auto"/>
          <w:sz w:val="32"/>
          <w:szCs w:val="32"/>
          <w:highlight w:val="none"/>
          <w:u w:val="single"/>
        </w:rPr>
      </w:pPr>
      <w:r>
        <w:rPr>
          <w:rFonts w:hint="eastAsia" w:ascii="仿宋" w:hAnsi="仿宋" w:eastAsia="仿宋" w:cs="仿宋"/>
          <w:b/>
          <w:color w:val="auto"/>
          <w:sz w:val="32"/>
          <w:szCs w:val="32"/>
          <w:highlight w:val="none"/>
        </w:rPr>
        <w:t>招标编号：</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eastAsia="zh-CN"/>
        </w:rPr>
        <w:t>XJHY-2026-049（01）</w:t>
      </w:r>
      <w:r>
        <w:rPr>
          <w:rFonts w:hint="eastAsia" w:ascii="仿宋" w:hAnsi="仿宋" w:eastAsia="仿宋" w:cs="仿宋"/>
          <w:color w:val="auto"/>
          <w:sz w:val="32"/>
          <w:szCs w:val="32"/>
          <w:highlight w:val="none"/>
          <w:u w:val="single"/>
        </w:rPr>
        <w:t xml:space="preserve">                    </w:t>
      </w:r>
    </w:p>
    <w:p w14:paraId="02B48625">
      <w:pPr>
        <w:pStyle w:val="14"/>
        <w:spacing w:line="360" w:lineRule="auto"/>
        <w:ind w:firstLine="964" w:firstLineChars="300"/>
        <w:jc w:val="left"/>
        <w:rPr>
          <w:rFonts w:ascii="仿宋" w:hAnsi="仿宋" w:eastAsia="仿宋" w:cs="仿宋"/>
          <w:bCs/>
          <w:color w:val="auto"/>
          <w:sz w:val="32"/>
          <w:szCs w:val="32"/>
          <w:highlight w:val="none"/>
          <w:u w:val="single"/>
        </w:rPr>
      </w:pPr>
      <w:r>
        <w:rPr>
          <w:rFonts w:hint="eastAsia" w:ascii="仿宋" w:hAnsi="仿宋" w:eastAsia="仿宋" w:cs="仿宋"/>
          <w:b/>
          <w:color w:val="auto"/>
          <w:sz w:val="32"/>
          <w:szCs w:val="32"/>
          <w:highlight w:val="none"/>
        </w:rPr>
        <w:t>招标方式：</w:t>
      </w:r>
      <w:r>
        <w:rPr>
          <w:rFonts w:hint="eastAsia" w:ascii="仿宋" w:hAnsi="仿宋" w:eastAsia="仿宋" w:cs="仿宋"/>
          <w:bCs/>
          <w:color w:val="auto"/>
          <w:sz w:val="32"/>
          <w:szCs w:val="32"/>
          <w:highlight w:val="none"/>
          <w:u w:val="single"/>
        </w:rPr>
        <w:t xml:space="preserve">         公开招标                           </w:t>
      </w:r>
    </w:p>
    <w:p w14:paraId="628AEAAB">
      <w:pPr>
        <w:pStyle w:val="14"/>
        <w:spacing w:line="360" w:lineRule="auto"/>
        <w:ind w:firstLine="964" w:firstLineChars="300"/>
        <w:jc w:val="left"/>
        <w:rPr>
          <w:rFonts w:ascii="仿宋" w:hAnsi="仿宋" w:eastAsia="仿宋" w:cs="仿宋"/>
          <w:bCs/>
          <w:color w:val="auto"/>
          <w:sz w:val="32"/>
          <w:szCs w:val="32"/>
          <w:highlight w:val="none"/>
          <w:u w:val="single"/>
        </w:rPr>
      </w:pPr>
      <w:r>
        <w:rPr>
          <w:rFonts w:hint="eastAsia" w:ascii="仿宋" w:hAnsi="仿宋" w:eastAsia="仿宋" w:cs="仿宋"/>
          <w:b/>
          <w:color w:val="auto"/>
          <w:sz w:val="32"/>
          <w:szCs w:val="32"/>
          <w:highlight w:val="none"/>
        </w:rPr>
        <w:t>采购人：</w:t>
      </w:r>
      <w:r>
        <w:rPr>
          <w:rFonts w:hint="eastAsia" w:ascii="仿宋" w:hAnsi="仿宋" w:eastAsia="仿宋" w:cs="仿宋"/>
          <w:bCs/>
          <w:color w:val="auto"/>
          <w:sz w:val="32"/>
          <w:szCs w:val="32"/>
          <w:highlight w:val="none"/>
          <w:u w:val="single"/>
          <w:lang w:eastAsia="zh-CN"/>
        </w:rPr>
        <w:t>新疆维吾尔自治区吐鲁番某单位</w:t>
      </w:r>
      <w:r>
        <w:rPr>
          <w:rFonts w:hint="eastAsia" w:ascii="仿宋" w:hAnsi="仿宋" w:eastAsia="仿宋" w:cs="仿宋"/>
          <w:bCs/>
          <w:color w:val="auto"/>
          <w:sz w:val="32"/>
          <w:szCs w:val="32"/>
          <w:highlight w:val="none"/>
          <w:u w:val="single"/>
        </w:rPr>
        <w:t xml:space="preserve">        </w:t>
      </w:r>
    </w:p>
    <w:p w14:paraId="065988EE">
      <w:pPr>
        <w:pStyle w:val="14"/>
        <w:spacing w:line="360" w:lineRule="auto"/>
        <w:ind w:firstLine="964" w:firstLineChars="300"/>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采购代理机构：</w:t>
      </w:r>
      <w:r>
        <w:rPr>
          <w:rFonts w:hint="eastAsia" w:ascii="仿宋" w:hAnsi="仿宋" w:eastAsia="仿宋" w:cs="仿宋"/>
          <w:bCs/>
          <w:color w:val="auto"/>
          <w:sz w:val="32"/>
          <w:szCs w:val="32"/>
          <w:highlight w:val="none"/>
          <w:u w:val="single"/>
        </w:rPr>
        <w:t xml:space="preserve">新疆华域建设工程项目管理咨询有限公司  </w:t>
      </w:r>
    </w:p>
    <w:p w14:paraId="33E6BEAB">
      <w:pPr>
        <w:pStyle w:val="93"/>
        <w:jc w:val="center"/>
        <w:rPr>
          <w:rFonts w:ascii="仿宋" w:hAnsi="仿宋" w:eastAsia="仿宋" w:cs="仿宋"/>
          <w:b/>
          <w:color w:val="auto"/>
          <w:kern w:val="2"/>
          <w:sz w:val="32"/>
          <w:szCs w:val="32"/>
          <w:highlight w:val="none"/>
          <w:u w:val="single"/>
          <w:lang w:eastAsia="zh-CN"/>
        </w:rPr>
      </w:pPr>
    </w:p>
    <w:p w14:paraId="362D8668">
      <w:pPr>
        <w:pStyle w:val="93"/>
        <w:jc w:val="center"/>
        <w:rPr>
          <w:rFonts w:ascii="仿宋" w:hAnsi="仿宋" w:eastAsia="仿宋" w:cs="仿宋"/>
          <w:b/>
          <w:color w:val="auto"/>
          <w:kern w:val="2"/>
          <w:sz w:val="32"/>
          <w:szCs w:val="32"/>
          <w:highlight w:val="none"/>
          <w:u w:val="single"/>
          <w:lang w:eastAsia="zh-CN"/>
        </w:rPr>
      </w:pPr>
      <w:r>
        <w:rPr>
          <w:rFonts w:hint="eastAsia" w:ascii="仿宋" w:hAnsi="仿宋" w:eastAsia="仿宋" w:cs="仿宋"/>
          <w:b/>
          <w:color w:val="auto"/>
          <w:kern w:val="2"/>
          <w:sz w:val="32"/>
          <w:szCs w:val="32"/>
          <w:highlight w:val="none"/>
          <w:u w:val="single"/>
          <w:lang w:eastAsia="zh-CN"/>
        </w:rPr>
        <w:t>2026年6月</w:t>
      </w:r>
    </w:p>
    <w:p w14:paraId="0B8A06EC">
      <w:pPr>
        <w:spacing w:line="244" w:lineRule="auto"/>
        <w:rPr>
          <w:rFonts w:ascii="仿宋_GB2312" w:hAnsi="仿宋_GB2312" w:eastAsia="仿宋_GB2312" w:cs="仿宋_GB2312"/>
          <w:color w:val="auto"/>
          <w:highlight w:val="none"/>
        </w:rPr>
      </w:pPr>
    </w:p>
    <w:sdt>
      <w:sdtPr>
        <w:rPr>
          <w:rFonts w:ascii="宋体" w:hAnsi="宋体" w:eastAsia="宋体"/>
          <w:color w:val="auto"/>
          <w:highlight w:val="none"/>
        </w:rPr>
        <w:id w:val="147473609"/>
        <w15:color w:val="DBDBDB"/>
        <w:docPartObj>
          <w:docPartGallery w:val="Table of Contents"/>
          <w:docPartUnique/>
        </w:docPartObj>
      </w:sdtPr>
      <w:sdtEndPr>
        <w:rPr>
          <w:rFonts w:ascii="仿宋_GB2312" w:hAnsi="仿宋_GB2312" w:eastAsia="仿宋_GB2312" w:cs="仿宋_GB2312"/>
          <w:color w:val="auto"/>
          <w:highlight w:val="none"/>
        </w:rPr>
      </w:sdtEndPr>
      <w:sdtContent>
        <w:p w14:paraId="4938359E">
          <w:pPr>
            <w:jc w:val="center"/>
            <w:rPr>
              <w:rFonts w:ascii="宋体" w:hAnsi="宋体" w:eastAsia="宋体"/>
              <w:color w:val="auto"/>
              <w:highlight w:val="none"/>
            </w:rPr>
          </w:pPr>
        </w:p>
        <w:p w14:paraId="0C6DDCD9">
          <w:pPr>
            <w:rPr>
              <w:rFonts w:ascii="宋体" w:hAnsi="宋体" w:eastAsia="宋体"/>
              <w:color w:val="auto"/>
              <w:highlight w:val="none"/>
            </w:rPr>
          </w:pPr>
          <w:r>
            <w:rPr>
              <w:rFonts w:ascii="宋体" w:hAnsi="宋体" w:eastAsia="宋体"/>
              <w:color w:val="auto"/>
              <w:highlight w:val="none"/>
            </w:rPr>
            <w:br w:type="page"/>
          </w:r>
        </w:p>
        <w:p w14:paraId="6DBE1A44">
          <w:pPr>
            <w:rPr>
              <w:rFonts w:ascii="宋体" w:hAnsi="宋体" w:eastAsia="宋体"/>
              <w:color w:val="auto"/>
              <w:sz w:val="40"/>
              <w:szCs w:val="40"/>
              <w:highlight w:val="none"/>
            </w:rPr>
          </w:pPr>
          <w:r>
            <w:rPr>
              <w:rFonts w:ascii="宋体" w:hAnsi="宋体" w:eastAsia="宋体"/>
              <w:color w:val="auto"/>
              <w:sz w:val="40"/>
              <w:szCs w:val="40"/>
              <w:highlight w:val="none"/>
            </w:rPr>
            <w:br w:type="page"/>
          </w:r>
        </w:p>
        <w:p w14:paraId="31028DB4">
          <w:pPr>
            <w:jc w:val="center"/>
            <w:rPr>
              <w:color w:val="auto"/>
              <w:sz w:val="40"/>
              <w:szCs w:val="40"/>
              <w:highlight w:val="none"/>
            </w:rPr>
          </w:pPr>
          <w:r>
            <w:rPr>
              <w:rFonts w:ascii="宋体" w:hAnsi="宋体" w:eastAsia="宋体"/>
              <w:color w:val="auto"/>
              <w:sz w:val="40"/>
              <w:szCs w:val="40"/>
              <w:highlight w:val="none"/>
            </w:rPr>
            <w:t>目</w:t>
          </w:r>
          <w:r>
            <w:rPr>
              <w:rFonts w:hint="eastAsia" w:ascii="宋体" w:hAnsi="宋体" w:eastAsia="宋体"/>
              <w:color w:val="auto"/>
              <w:sz w:val="40"/>
              <w:szCs w:val="40"/>
              <w:highlight w:val="none"/>
              <w:lang w:eastAsia="zh-CN"/>
            </w:rPr>
            <w:t xml:space="preserve"> </w:t>
          </w:r>
          <w:r>
            <w:rPr>
              <w:rFonts w:ascii="宋体" w:hAnsi="宋体" w:eastAsia="宋体"/>
              <w:color w:val="auto"/>
              <w:sz w:val="40"/>
              <w:szCs w:val="40"/>
              <w:highlight w:val="none"/>
            </w:rPr>
            <w:t>录</w:t>
          </w:r>
        </w:p>
        <w:p w14:paraId="4A02F48D">
          <w:pPr>
            <w:pStyle w:val="18"/>
            <w:tabs>
              <w:tab w:val="right" w:leader="dot" w:pos="9638"/>
            </w:tabs>
            <w:spacing w:line="480" w:lineRule="auto"/>
            <w:rPr>
              <w:color w:val="auto"/>
              <w:sz w:val="32"/>
              <w:szCs w:val="32"/>
              <w:highlight w:val="none"/>
            </w:rPr>
          </w:pPr>
          <w:r>
            <w:rPr>
              <w:rFonts w:ascii="仿宋_GB2312" w:hAnsi="仿宋_GB2312" w:eastAsia="仿宋_GB2312" w:cs="仿宋_GB2312"/>
              <w:color w:val="auto"/>
              <w:highlight w:val="none"/>
            </w:rPr>
            <w:fldChar w:fldCharType="begin"/>
          </w:r>
          <w:r>
            <w:rPr>
              <w:rFonts w:ascii="仿宋_GB2312" w:hAnsi="仿宋_GB2312" w:eastAsia="仿宋_GB2312" w:cs="仿宋_GB2312"/>
              <w:color w:val="auto"/>
              <w:highlight w:val="none"/>
            </w:rPr>
            <w:instrText xml:space="preserve">TOC \o "1-1" \h \u </w:instrText>
          </w:r>
          <w:r>
            <w:rPr>
              <w:rFonts w:ascii="仿宋_GB2312" w:hAnsi="仿宋_GB2312" w:eastAsia="仿宋_GB2312" w:cs="仿宋_GB2312"/>
              <w:color w:val="auto"/>
              <w:highlight w:val="none"/>
            </w:rPr>
            <w:fldChar w:fldCharType="separate"/>
          </w:r>
          <w:r>
            <w:rPr>
              <w:color w:val="auto"/>
              <w:highlight w:val="none"/>
            </w:rPr>
            <w:fldChar w:fldCharType="begin"/>
          </w:r>
          <w:r>
            <w:rPr>
              <w:color w:val="auto"/>
              <w:highlight w:val="none"/>
            </w:rPr>
            <w:instrText xml:space="preserve"> HYPERLINK \l "_Toc27382" </w:instrText>
          </w:r>
          <w:r>
            <w:rPr>
              <w:color w:val="auto"/>
              <w:highlight w:val="none"/>
            </w:rPr>
            <w:fldChar w:fldCharType="separate"/>
          </w:r>
          <w:r>
            <w:rPr>
              <w:rFonts w:hint="eastAsia"/>
              <w:bCs/>
              <w:color w:val="auto"/>
              <w:sz w:val="32"/>
              <w:szCs w:val="32"/>
              <w:highlight w:val="none"/>
            </w:rPr>
            <w:t>第一章 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_Toc27382 \h </w:instrText>
          </w:r>
          <w:r>
            <w:rPr>
              <w:color w:val="auto"/>
              <w:sz w:val="32"/>
              <w:szCs w:val="32"/>
              <w:highlight w:val="none"/>
            </w:rPr>
            <w:fldChar w:fldCharType="separate"/>
          </w:r>
          <w:r>
            <w:rPr>
              <w:color w:val="auto"/>
              <w:sz w:val="32"/>
              <w:szCs w:val="32"/>
              <w:highlight w:val="none"/>
            </w:rPr>
            <w:t>- 1 -</w:t>
          </w:r>
          <w:r>
            <w:rPr>
              <w:color w:val="auto"/>
              <w:sz w:val="32"/>
              <w:szCs w:val="32"/>
              <w:highlight w:val="none"/>
            </w:rPr>
            <w:fldChar w:fldCharType="end"/>
          </w:r>
          <w:r>
            <w:rPr>
              <w:color w:val="auto"/>
              <w:sz w:val="32"/>
              <w:szCs w:val="32"/>
              <w:highlight w:val="none"/>
            </w:rPr>
            <w:fldChar w:fldCharType="end"/>
          </w:r>
        </w:p>
        <w:p w14:paraId="6E6CADF8">
          <w:pPr>
            <w:pStyle w:val="18"/>
            <w:tabs>
              <w:tab w:val="right" w:leader="dot" w:pos="9638"/>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"_Toc8466" </w:instrText>
          </w:r>
          <w:r>
            <w:rPr>
              <w:color w:val="auto"/>
              <w:highlight w:val="none"/>
            </w:rPr>
            <w:fldChar w:fldCharType="separate"/>
          </w:r>
          <w:r>
            <w:rPr>
              <w:rFonts w:hint="eastAsia"/>
              <w:bCs/>
              <w:color w:val="auto"/>
              <w:sz w:val="32"/>
              <w:szCs w:val="32"/>
              <w:highlight w:val="none"/>
              <w:lang w:eastAsia="zh-CN"/>
            </w:rPr>
            <w:t>第二章  投标须知前附表及投标须知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_Toc8466 \h </w:instrText>
          </w:r>
          <w:r>
            <w:rPr>
              <w:color w:val="auto"/>
              <w:sz w:val="32"/>
              <w:szCs w:val="32"/>
              <w:highlight w:val="none"/>
            </w:rPr>
            <w:fldChar w:fldCharType="separate"/>
          </w:r>
          <w:r>
            <w:rPr>
              <w:color w:val="auto"/>
              <w:sz w:val="32"/>
              <w:szCs w:val="32"/>
              <w:highlight w:val="none"/>
            </w:rPr>
            <w:t>- 4 -</w:t>
          </w:r>
          <w:r>
            <w:rPr>
              <w:color w:val="auto"/>
              <w:sz w:val="32"/>
              <w:szCs w:val="32"/>
              <w:highlight w:val="none"/>
            </w:rPr>
            <w:fldChar w:fldCharType="end"/>
          </w:r>
          <w:r>
            <w:rPr>
              <w:color w:val="auto"/>
              <w:sz w:val="32"/>
              <w:szCs w:val="32"/>
              <w:highlight w:val="none"/>
            </w:rPr>
            <w:fldChar w:fldCharType="end"/>
          </w:r>
        </w:p>
        <w:p w14:paraId="5A5B00BF">
          <w:pPr>
            <w:pStyle w:val="18"/>
            <w:tabs>
              <w:tab w:val="right" w:leader="dot" w:pos="9638"/>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"_Toc5927" </w:instrText>
          </w:r>
          <w:r>
            <w:rPr>
              <w:color w:val="auto"/>
              <w:highlight w:val="none"/>
            </w:rPr>
            <w:fldChar w:fldCharType="separate"/>
          </w:r>
          <w:r>
            <w:rPr>
              <w:rFonts w:hint="eastAsia"/>
              <w:bCs/>
              <w:color w:val="auto"/>
              <w:sz w:val="32"/>
              <w:szCs w:val="32"/>
              <w:highlight w:val="none"/>
              <w:lang w:eastAsia="zh-CN"/>
            </w:rPr>
            <w:t>第三章  拟签订的合同文本</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_Toc5927 \h </w:instrText>
          </w:r>
          <w:r>
            <w:rPr>
              <w:color w:val="auto"/>
              <w:sz w:val="32"/>
              <w:szCs w:val="32"/>
              <w:highlight w:val="none"/>
            </w:rPr>
            <w:fldChar w:fldCharType="separate"/>
          </w:r>
          <w:r>
            <w:rPr>
              <w:color w:val="auto"/>
              <w:sz w:val="32"/>
              <w:szCs w:val="32"/>
              <w:highlight w:val="none"/>
            </w:rPr>
            <w:t>- 42 -</w:t>
          </w:r>
          <w:r>
            <w:rPr>
              <w:color w:val="auto"/>
              <w:sz w:val="32"/>
              <w:szCs w:val="32"/>
              <w:highlight w:val="none"/>
            </w:rPr>
            <w:fldChar w:fldCharType="end"/>
          </w:r>
          <w:r>
            <w:rPr>
              <w:color w:val="auto"/>
              <w:sz w:val="32"/>
              <w:szCs w:val="32"/>
              <w:highlight w:val="none"/>
            </w:rPr>
            <w:fldChar w:fldCharType="end"/>
          </w:r>
        </w:p>
        <w:p w14:paraId="703890C0">
          <w:pPr>
            <w:pStyle w:val="18"/>
            <w:tabs>
              <w:tab w:val="right" w:leader="dot" w:pos="9638"/>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"_Toc4376" </w:instrText>
          </w:r>
          <w:r>
            <w:rPr>
              <w:color w:val="auto"/>
              <w:highlight w:val="none"/>
            </w:rPr>
            <w:fldChar w:fldCharType="separate"/>
          </w:r>
          <w:r>
            <w:rPr>
              <w:rFonts w:hint="eastAsia"/>
              <w:bCs/>
              <w:color w:val="auto"/>
              <w:sz w:val="32"/>
              <w:szCs w:val="32"/>
              <w:highlight w:val="none"/>
              <w:lang w:eastAsia="zh-CN"/>
            </w:rPr>
            <w:t>第四章 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_Toc4376 \h </w:instrText>
          </w:r>
          <w:r>
            <w:rPr>
              <w:color w:val="auto"/>
              <w:sz w:val="32"/>
              <w:szCs w:val="32"/>
              <w:highlight w:val="none"/>
            </w:rPr>
            <w:fldChar w:fldCharType="separate"/>
          </w:r>
          <w:r>
            <w:rPr>
              <w:color w:val="auto"/>
              <w:sz w:val="32"/>
              <w:szCs w:val="32"/>
              <w:highlight w:val="none"/>
            </w:rPr>
            <w:t>- 56 -</w:t>
          </w:r>
          <w:r>
            <w:rPr>
              <w:color w:val="auto"/>
              <w:sz w:val="32"/>
              <w:szCs w:val="32"/>
              <w:highlight w:val="none"/>
            </w:rPr>
            <w:fldChar w:fldCharType="end"/>
          </w:r>
          <w:r>
            <w:rPr>
              <w:color w:val="auto"/>
              <w:sz w:val="32"/>
              <w:szCs w:val="32"/>
              <w:highlight w:val="none"/>
            </w:rPr>
            <w:fldChar w:fldCharType="end"/>
          </w:r>
        </w:p>
        <w:p w14:paraId="45160F22">
          <w:pPr>
            <w:pStyle w:val="18"/>
            <w:tabs>
              <w:tab w:val="right" w:leader="dot" w:pos="9638"/>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"_Toc24165" </w:instrText>
          </w:r>
          <w:r>
            <w:rPr>
              <w:color w:val="auto"/>
              <w:highlight w:val="none"/>
            </w:rPr>
            <w:fldChar w:fldCharType="separate"/>
          </w:r>
          <w:r>
            <w:rPr>
              <w:rFonts w:hint="eastAsia"/>
              <w:bCs/>
              <w:color w:val="auto"/>
              <w:sz w:val="32"/>
              <w:szCs w:val="32"/>
              <w:highlight w:val="none"/>
              <w:lang w:eastAsia="zh-CN"/>
            </w:rPr>
            <w:t>第五章  投标文件格式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_Toc24165 \h </w:instrText>
          </w:r>
          <w:r>
            <w:rPr>
              <w:color w:val="auto"/>
              <w:sz w:val="32"/>
              <w:szCs w:val="32"/>
              <w:highlight w:val="none"/>
            </w:rPr>
            <w:fldChar w:fldCharType="separate"/>
          </w:r>
          <w:r>
            <w:rPr>
              <w:color w:val="auto"/>
              <w:sz w:val="32"/>
              <w:szCs w:val="32"/>
              <w:highlight w:val="none"/>
            </w:rPr>
            <w:t>- 69 -</w:t>
          </w:r>
          <w:r>
            <w:rPr>
              <w:color w:val="auto"/>
              <w:sz w:val="32"/>
              <w:szCs w:val="32"/>
              <w:highlight w:val="none"/>
            </w:rPr>
            <w:fldChar w:fldCharType="end"/>
          </w:r>
          <w:r>
            <w:rPr>
              <w:color w:val="auto"/>
              <w:sz w:val="32"/>
              <w:szCs w:val="32"/>
              <w:highlight w:val="none"/>
            </w:rPr>
            <w:fldChar w:fldCharType="end"/>
          </w:r>
        </w:p>
        <w:p w14:paraId="7A4F6F14">
          <w:pPr>
            <w:pStyle w:val="18"/>
            <w:tabs>
              <w:tab w:val="right" w:leader="dot" w:pos="9638"/>
            </w:tabs>
            <w:spacing w:line="480" w:lineRule="auto"/>
            <w:rPr>
              <w:color w:val="auto"/>
              <w:highlight w:val="none"/>
            </w:rPr>
          </w:pPr>
          <w:r>
            <w:rPr>
              <w:color w:val="auto"/>
              <w:highlight w:val="none"/>
            </w:rPr>
            <w:fldChar w:fldCharType="begin"/>
          </w:r>
          <w:r>
            <w:rPr>
              <w:color w:val="auto"/>
              <w:highlight w:val="none"/>
            </w:rPr>
            <w:instrText xml:space="preserve"> HYPERLINK \l "_Toc5648" </w:instrText>
          </w:r>
          <w:r>
            <w:rPr>
              <w:color w:val="auto"/>
              <w:highlight w:val="none"/>
            </w:rPr>
            <w:fldChar w:fldCharType="separate"/>
          </w:r>
          <w:r>
            <w:rPr>
              <w:rFonts w:hint="eastAsia"/>
              <w:bCs/>
              <w:color w:val="auto"/>
              <w:sz w:val="32"/>
              <w:szCs w:val="32"/>
              <w:highlight w:val="none"/>
            </w:rPr>
            <w:t>第六章 补充条款</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_Toc5648 \h </w:instrText>
          </w:r>
          <w:r>
            <w:rPr>
              <w:color w:val="auto"/>
              <w:sz w:val="32"/>
              <w:szCs w:val="32"/>
              <w:highlight w:val="none"/>
            </w:rPr>
            <w:fldChar w:fldCharType="separate"/>
          </w:r>
          <w:r>
            <w:rPr>
              <w:color w:val="auto"/>
              <w:sz w:val="32"/>
              <w:szCs w:val="32"/>
              <w:highlight w:val="none"/>
            </w:rPr>
            <w:t>- 95 -</w:t>
          </w:r>
          <w:r>
            <w:rPr>
              <w:color w:val="auto"/>
              <w:sz w:val="32"/>
              <w:szCs w:val="32"/>
              <w:highlight w:val="none"/>
            </w:rPr>
            <w:fldChar w:fldCharType="end"/>
          </w:r>
          <w:r>
            <w:rPr>
              <w:color w:val="auto"/>
              <w:sz w:val="32"/>
              <w:szCs w:val="32"/>
              <w:highlight w:val="none"/>
            </w:rPr>
            <w:fldChar w:fldCharType="end"/>
          </w:r>
        </w:p>
        <w:p w14:paraId="54654967">
          <w:pPr>
            <w:spacing w:line="264" w:lineRule="auto"/>
            <w:rPr>
              <w:rFonts w:ascii="仿宋_GB2312" w:hAnsi="仿宋_GB2312" w:eastAsia="仿宋_GB2312" w:cs="仿宋_GB2312"/>
              <w:color w:val="auto"/>
              <w:highlight w:val="none"/>
            </w:rPr>
          </w:pPr>
          <w:r>
            <w:rPr>
              <w:rFonts w:ascii="仿宋_GB2312" w:hAnsi="仿宋_GB2312" w:eastAsia="仿宋_GB2312" w:cs="仿宋_GB2312"/>
              <w:color w:val="auto"/>
              <w:highlight w:val="none"/>
            </w:rPr>
            <w:fldChar w:fldCharType="end"/>
          </w:r>
        </w:p>
      </w:sdtContent>
    </w:sdt>
    <w:p w14:paraId="4CBDC6EA">
      <w:pPr>
        <w:spacing w:line="264" w:lineRule="auto"/>
        <w:rPr>
          <w:rFonts w:ascii="仿宋_GB2312" w:hAnsi="仿宋_GB2312" w:eastAsia="仿宋_GB2312" w:cs="仿宋_GB2312"/>
          <w:color w:val="auto"/>
          <w:highlight w:val="none"/>
        </w:rPr>
      </w:pPr>
    </w:p>
    <w:p w14:paraId="2784D853">
      <w:pPr>
        <w:spacing w:line="265" w:lineRule="auto"/>
        <w:rPr>
          <w:rFonts w:ascii="仿宋_GB2312" w:hAnsi="仿宋_GB2312" w:eastAsia="仿宋_GB2312" w:cs="仿宋_GB2312"/>
          <w:color w:val="auto"/>
          <w:highlight w:val="none"/>
        </w:rPr>
      </w:pPr>
    </w:p>
    <w:p w14:paraId="2E6BAF69">
      <w:pPr>
        <w:pStyle w:val="10"/>
        <w:numPr>
          <w:ilvl w:val="0"/>
          <w:numId w:val="1"/>
        </w:numPr>
        <w:spacing w:before="101" w:line="228" w:lineRule="auto"/>
        <w:ind w:left="3530"/>
        <w:outlineLvl w:val="0"/>
        <w:rPr>
          <w:rFonts w:ascii="仿宋_GB2312" w:hAnsi="仿宋_GB2312" w:eastAsia="仿宋_GB2312" w:cs="仿宋_GB2312"/>
          <w:b/>
          <w:bCs/>
          <w:color w:val="auto"/>
          <w:spacing w:val="-1"/>
          <w:sz w:val="31"/>
          <w:szCs w:val="31"/>
          <w:highlight w:val="none"/>
        </w:rPr>
        <w:sectPr>
          <w:headerReference r:id="rId3" w:type="default"/>
          <w:footerReference r:id="rId4" w:type="default"/>
          <w:pgSz w:w="11906" w:h="16838"/>
          <w:pgMar w:top="1134" w:right="1134" w:bottom="1134" w:left="1134" w:header="861" w:footer="1237" w:gutter="0"/>
          <w:pgNumType w:fmt="numberInDash"/>
          <w:cols w:space="720" w:num="1"/>
        </w:sectPr>
      </w:pPr>
      <w:bookmarkStart w:id="0" w:name="bookmark1"/>
      <w:bookmarkEnd w:id="0"/>
      <w:bookmarkStart w:id="1" w:name="_Toc20823"/>
    </w:p>
    <w:p w14:paraId="74351F04">
      <w:pPr>
        <w:pStyle w:val="2"/>
        <w:rPr>
          <w:rFonts w:ascii="仿宋_GB2312" w:hAnsi="仿宋_GB2312" w:eastAsia="仿宋_GB2312" w:cs="仿宋_GB2312"/>
          <w:b/>
          <w:bCs/>
          <w:color w:val="auto"/>
          <w:spacing w:val="-1"/>
          <w:szCs w:val="31"/>
          <w:highlight w:val="none"/>
          <w:lang w:eastAsia="zh-CN"/>
        </w:rPr>
      </w:pPr>
      <w:bookmarkStart w:id="2" w:name="_Toc27382"/>
      <w:r>
        <w:rPr>
          <w:rFonts w:hint="eastAsia"/>
          <w:b/>
          <w:bCs/>
          <w:color w:val="auto"/>
          <w:highlight w:val="none"/>
          <w:lang w:eastAsia="zh-CN"/>
        </w:rPr>
        <w:t>第一章 招标公告</w:t>
      </w:r>
      <w:bookmarkEnd w:id="1"/>
      <w:bookmarkEnd w:id="2"/>
    </w:p>
    <w:p w14:paraId="34F3CE6C">
      <w:pPr>
        <w:jc w:val="center"/>
        <w:rPr>
          <w:rFonts w:ascii="仿宋_GB2312" w:hAnsi="仿宋_GB2312" w:eastAsia="仿宋_GB2312" w:cs="仿宋_GB2312"/>
          <w:b/>
          <w:bCs/>
          <w:color w:val="auto"/>
          <w:sz w:val="24"/>
          <w:szCs w:val="24"/>
          <w:highlight w:val="none"/>
          <w:lang w:eastAsia="zh-CN"/>
        </w:rPr>
      </w:pPr>
      <w:bookmarkStart w:id="3" w:name="EBbcab609e0bf6445cb7952b8c7da88b0a"/>
    </w:p>
    <w:p w14:paraId="0842C35B">
      <w:pPr>
        <w:jc w:val="center"/>
        <w:rPr>
          <w:rFonts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新疆维吾尔自治区吐鲁番某单位2026年度大宗生活物资采购项目-第二包（禽肉水产类）</w:t>
      </w:r>
    </w:p>
    <w:p w14:paraId="044D1D6E">
      <w:pPr>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公开招标公告</w:t>
      </w:r>
    </w:p>
    <w:p w14:paraId="1D6EAE40">
      <w:pPr>
        <w:pStyle w:val="52"/>
        <w:spacing w:line="440" w:lineRule="exact"/>
        <w:outlineLvl w:val="1"/>
        <w:rPr>
          <w:rFonts w:ascii="仿宋_GB2312" w:hAnsi="仿宋_GB2312" w:eastAsia="仿宋_GB2312" w:cs="仿宋_GB2312"/>
          <w:b/>
          <w:bCs/>
          <w:color w:val="auto"/>
          <w:sz w:val="24"/>
          <w:szCs w:val="24"/>
          <w:highlight w:val="none"/>
        </w:rPr>
      </w:pPr>
      <w:bookmarkStart w:id="4" w:name="_Toc28868"/>
      <w:bookmarkStart w:id="5" w:name="_Toc14140"/>
      <w:r>
        <w:rPr>
          <w:rFonts w:hint="eastAsia" w:ascii="仿宋_GB2312" w:hAnsi="仿宋_GB2312" w:eastAsia="仿宋_GB2312" w:cs="仿宋_GB2312"/>
          <w:b/>
          <w:bCs/>
          <w:color w:val="auto"/>
          <w:sz w:val="24"/>
          <w:szCs w:val="24"/>
          <w:highlight w:val="none"/>
        </w:rPr>
        <w:t>一、项目基本情况</w:t>
      </w:r>
      <w:bookmarkEnd w:id="4"/>
      <w:bookmarkEnd w:id="5"/>
    </w:p>
    <w:p w14:paraId="3A1F83F3">
      <w:pPr>
        <w:pStyle w:val="52"/>
        <w:spacing w:line="44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sz w:val="24"/>
          <w:szCs w:val="24"/>
          <w:highlight w:val="none"/>
          <w:lang w:eastAsia="zh-CN"/>
        </w:rPr>
        <w:t>XJHY-2026-049（01）</w:t>
      </w:r>
    </w:p>
    <w:p w14:paraId="6615CBAE">
      <w:pPr>
        <w:pStyle w:val="52"/>
        <w:spacing w:line="440" w:lineRule="exact"/>
        <w:ind w:firstLine="480" w:firstLineChars="20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lang w:eastAsia="zh-CN"/>
        </w:rPr>
        <w:t>新疆维吾尔自治区吐鲁番某单位2026年度大宗生活物资采购项目-第二包（禽肉水产类）</w:t>
      </w:r>
    </w:p>
    <w:p w14:paraId="6D33BA35">
      <w:pPr>
        <w:pStyle w:val="52"/>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采购方式：公开招标</w:t>
      </w:r>
    </w:p>
    <w:p w14:paraId="747B87F3">
      <w:pPr>
        <w:pStyle w:val="22"/>
        <w:spacing w:before="0" w:beforeAutospacing="0" w:after="0" w:afterAutospacing="0" w:line="440" w:lineRule="exact"/>
        <w:ind w:firstLine="480" w:firstLineChars="200"/>
        <w:jc w:val="both"/>
        <w:rPr>
          <w:rFonts w:hint="default" w:ascii="仿宋_GB2312" w:hAnsi="仿宋_GB2312" w:eastAsia="仿宋_GB2312" w:cs="仿宋_GB2312"/>
          <w:color w:val="auto"/>
          <w:szCs w:val="24"/>
          <w:highlight w:val="none"/>
          <w:lang w:val="en-US"/>
        </w:rPr>
      </w:pPr>
      <w:r>
        <w:rPr>
          <w:rFonts w:hint="eastAsia" w:ascii="仿宋_GB2312" w:hAnsi="仿宋_GB2312" w:eastAsia="仿宋_GB2312" w:cs="仿宋_GB2312"/>
          <w:color w:val="auto"/>
          <w:szCs w:val="24"/>
          <w:highlight w:val="none"/>
        </w:rPr>
        <w:t>预算金额（元）：</w:t>
      </w:r>
      <w:r>
        <w:rPr>
          <w:rFonts w:hint="eastAsia" w:ascii="仿宋_GB2312" w:hAnsi="仿宋_GB2312" w:eastAsia="仿宋_GB2312" w:cs="仿宋_GB2312"/>
          <w:color w:val="auto"/>
          <w:szCs w:val="24"/>
          <w:highlight w:val="none"/>
          <w:lang w:val="en-US" w:eastAsia="zh-CN"/>
        </w:rPr>
        <w:t>1070000.00</w:t>
      </w:r>
    </w:p>
    <w:p w14:paraId="421B697E">
      <w:pPr>
        <w:pStyle w:val="22"/>
        <w:spacing w:before="0" w:beforeAutospacing="0" w:after="0" w:afterAutospacing="0" w:line="440" w:lineRule="exact"/>
        <w:ind w:firstLine="480" w:firstLineChars="200"/>
        <w:jc w:val="both"/>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color w:val="auto"/>
          <w:szCs w:val="24"/>
          <w:highlight w:val="none"/>
        </w:rPr>
        <w:t>最高限价（元）：</w:t>
      </w:r>
      <w:r>
        <w:rPr>
          <w:rFonts w:hint="eastAsia" w:ascii="仿宋_GB2312" w:hAnsi="仿宋_GB2312" w:eastAsia="仿宋_GB2312" w:cs="仿宋_GB2312"/>
          <w:color w:val="auto"/>
          <w:szCs w:val="24"/>
          <w:highlight w:val="none"/>
          <w:lang w:val="en-US" w:eastAsia="zh-CN"/>
        </w:rPr>
        <w:t>/</w:t>
      </w:r>
    </w:p>
    <w:p w14:paraId="30AAD620">
      <w:pPr>
        <w:pStyle w:val="22"/>
        <w:spacing w:before="0" w:beforeAutospacing="0" w:after="0" w:afterAutospacing="0" w:line="440" w:lineRule="exact"/>
        <w:ind w:firstLine="480" w:firstLineChars="200"/>
        <w:jc w:val="both"/>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采购需求：</w:t>
      </w:r>
    </w:p>
    <w:p w14:paraId="24E54AD1">
      <w:pPr>
        <w:spacing w:line="360" w:lineRule="auto"/>
        <w:ind w:firstLine="482" w:firstLineChars="200"/>
        <w:rPr>
          <w:rFonts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标项名称</w:t>
      </w:r>
      <w:r>
        <w:rPr>
          <w:rFonts w:hint="eastAsia" w:ascii="仿宋" w:hAnsi="仿宋" w:eastAsia="仿宋" w:cs="仿宋"/>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eastAsia="zh-CN"/>
        </w:rPr>
        <w:t>新疆维吾尔自治区吐鲁番某单位2026年度大宗生活物资采购项目-第二包（禽肉水产类）</w:t>
      </w:r>
    </w:p>
    <w:p w14:paraId="0B73E874">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数量：1批</w:t>
      </w:r>
    </w:p>
    <w:p w14:paraId="78A96A47">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预算金额（元）：1070000.00</w:t>
      </w:r>
    </w:p>
    <w:p w14:paraId="165F1238">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简要规格描述或项目基本概况介绍、用途：采购禽肉水产类食材，具体详见采购需求</w:t>
      </w:r>
    </w:p>
    <w:p w14:paraId="071F9BD4">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合同履约期限：自采购合同签订日期起，服务期限一年（365天）。</w:t>
      </w:r>
    </w:p>
    <w:p w14:paraId="62A9BF2C">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本项目（否）接受联合体投标。</w:t>
      </w:r>
    </w:p>
    <w:p w14:paraId="2517ECCD">
      <w:pPr>
        <w:pStyle w:val="52"/>
        <w:spacing w:line="440" w:lineRule="exact"/>
        <w:outlineLvl w:val="1"/>
        <w:rPr>
          <w:rFonts w:ascii="仿宋_GB2312" w:hAnsi="仿宋_GB2312" w:eastAsia="仿宋_GB2312" w:cs="仿宋_GB2312"/>
          <w:color w:val="auto"/>
          <w:sz w:val="24"/>
          <w:szCs w:val="24"/>
          <w:highlight w:val="none"/>
        </w:rPr>
      </w:pPr>
      <w:bookmarkStart w:id="6" w:name="_Toc26137"/>
      <w:bookmarkStart w:id="7" w:name="_Toc1436"/>
      <w:r>
        <w:rPr>
          <w:rFonts w:hint="eastAsia" w:ascii="仿宋_GB2312" w:hAnsi="仿宋_GB2312" w:eastAsia="仿宋_GB2312" w:cs="仿宋_GB2312"/>
          <w:b/>
          <w:bCs/>
          <w:color w:val="auto"/>
          <w:sz w:val="24"/>
          <w:szCs w:val="24"/>
          <w:highlight w:val="none"/>
        </w:rPr>
        <w:t>二、申请人的资格要求：</w:t>
      </w:r>
      <w:bookmarkEnd w:id="6"/>
      <w:bookmarkEnd w:id="7"/>
    </w:p>
    <w:p w14:paraId="21E44AF1">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1.满足《中华人民共和国政府采购法》第二十二条规定；</w:t>
      </w:r>
    </w:p>
    <w:p w14:paraId="398F83B7">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 w:hAnsi="仿宋" w:eastAsia="仿宋" w:cs="仿宋"/>
          <w:color w:val="auto"/>
          <w:sz w:val="24"/>
          <w:szCs w:val="24"/>
          <w:highlight w:val="none"/>
          <w:lang w:eastAsia="zh-CN"/>
        </w:rPr>
        <w:t>2.落实政府采购政策需满足的资格要求：</w:t>
      </w:r>
      <w:r>
        <w:rPr>
          <w:rFonts w:hint="eastAsia" w:ascii="仿宋_GB2312" w:hAnsi="仿宋_GB2312" w:eastAsia="仿宋_GB2312" w:cs="仿宋_GB2312"/>
          <w:color w:val="auto"/>
          <w:sz w:val="24"/>
          <w:szCs w:val="24"/>
          <w:highlight w:val="none"/>
          <w:lang w:eastAsia="zh-CN"/>
        </w:rPr>
        <w:t>本标项为专门面向</w:t>
      </w:r>
      <w:r>
        <w:rPr>
          <w:rFonts w:hint="eastAsia" w:ascii="仿宋_GB2312" w:hAnsi="仿宋_GB2312" w:eastAsia="仿宋_GB2312" w:cs="仿宋_GB2312"/>
          <w:color w:val="auto"/>
          <w:sz w:val="24"/>
          <w:szCs w:val="24"/>
          <w:highlight w:val="none"/>
          <w:lang w:val="en-US" w:eastAsia="zh-CN"/>
        </w:rPr>
        <w:t>中小</w:t>
      </w:r>
      <w:r>
        <w:rPr>
          <w:rFonts w:hint="eastAsia" w:ascii="仿宋_GB2312" w:hAnsi="仿宋_GB2312" w:eastAsia="仿宋_GB2312" w:cs="仿宋_GB2312"/>
          <w:color w:val="auto"/>
          <w:sz w:val="24"/>
          <w:szCs w:val="24"/>
          <w:highlight w:val="none"/>
          <w:lang w:eastAsia="zh-CN"/>
        </w:rPr>
        <w:t>企业采购份额，即：提供的货物全部由符合政策要求的</w:t>
      </w:r>
      <w:r>
        <w:rPr>
          <w:rFonts w:hint="eastAsia" w:ascii="仿宋_GB2312" w:hAnsi="仿宋_GB2312" w:eastAsia="仿宋_GB2312" w:cs="仿宋_GB2312"/>
          <w:color w:val="auto"/>
          <w:sz w:val="24"/>
          <w:szCs w:val="24"/>
          <w:highlight w:val="none"/>
          <w:lang w:val="en-US" w:eastAsia="zh-CN"/>
        </w:rPr>
        <w:t>中小</w:t>
      </w:r>
      <w:r>
        <w:rPr>
          <w:rFonts w:hint="eastAsia" w:ascii="仿宋_GB2312" w:hAnsi="仿宋_GB2312" w:eastAsia="仿宋_GB2312" w:cs="仿宋_GB2312"/>
          <w:color w:val="auto"/>
          <w:sz w:val="24"/>
          <w:szCs w:val="24"/>
          <w:highlight w:val="none"/>
          <w:lang w:eastAsia="zh-CN"/>
        </w:rPr>
        <w:t>企业制造。</w:t>
      </w:r>
    </w:p>
    <w:p w14:paraId="1B367C9C">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3.本项目的特定资格要求：具有有效的《食品经营许可证》或《食品生产许可证》。</w:t>
      </w:r>
    </w:p>
    <w:p w14:paraId="14572A0B">
      <w:pPr>
        <w:spacing w:line="360" w:lineRule="auto"/>
        <w:rPr>
          <w:rFonts w:ascii="仿宋_GB2312" w:hAnsi="仿宋_GB2312" w:eastAsia="仿宋_GB2312" w:cs="仿宋_GB2312"/>
          <w:b/>
          <w:bCs/>
          <w:snapToGrid/>
          <w:color w:val="auto"/>
          <w:kern w:val="2"/>
          <w:sz w:val="24"/>
          <w:szCs w:val="24"/>
          <w:highlight w:val="none"/>
          <w:lang w:eastAsia="zh-CN"/>
        </w:rPr>
      </w:pPr>
      <w:r>
        <w:rPr>
          <w:rFonts w:hint="eastAsia" w:ascii="仿宋_GB2312" w:hAnsi="仿宋_GB2312" w:eastAsia="仿宋_GB2312" w:cs="仿宋_GB2312"/>
          <w:b/>
          <w:bCs/>
          <w:snapToGrid/>
          <w:color w:val="auto"/>
          <w:kern w:val="2"/>
          <w:sz w:val="24"/>
          <w:szCs w:val="24"/>
          <w:highlight w:val="none"/>
          <w:lang w:eastAsia="zh-CN"/>
        </w:rPr>
        <w:t>三、获取采购文件</w:t>
      </w:r>
    </w:p>
    <w:p w14:paraId="6EF49267">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时间：2026年6月</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lang w:eastAsia="zh-CN"/>
        </w:rPr>
        <w:t>日至2026年6月</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lang w:eastAsia="zh-CN"/>
        </w:rPr>
        <w:t>日，每天上午00：00至14：00，下午14：00至23：59（北京时间，法定节假日除外）</w:t>
      </w:r>
    </w:p>
    <w:p w14:paraId="37A1724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47A9E72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zcygov.cn/在线申请获取采购文件（进入“项目采购”应用，在获取采购文件菜单中选择项目，申请获取采购文件），或者点击采购公告底部潜在供应商“获取采购文件”，页面跳转后登陆，直接获取采购文件。 </w:t>
      </w:r>
    </w:p>
    <w:p w14:paraId="5C16C44C">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售价（元）：0</w:t>
      </w:r>
    </w:p>
    <w:p w14:paraId="707589B9">
      <w:pPr>
        <w:spacing w:line="360" w:lineRule="auto"/>
        <w:rPr>
          <w:rFonts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四、投标文件提交</w:t>
      </w:r>
    </w:p>
    <w:p w14:paraId="6831708C">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提交投标文件截止时间：2026年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日11：00（北京时间）</w:t>
      </w:r>
    </w:p>
    <w:p w14:paraId="4BB78BBE">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投标地点：请登录政采云投标客户端投标</w:t>
      </w:r>
    </w:p>
    <w:p w14:paraId="5B78CC8B">
      <w:pPr>
        <w:spacing w:line="360" w:lineRule="auto"/>
        <w:rPr>
          <w:rFonts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五、投标文件开启</w:t>
      </w:r>
    </w:p>
    <w:p w14:paraId="444BC624">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开标时间：2026年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日11：00（北京时间）</w:t>
      </w:r>
    </w:p>
    <w:p w14:paraId="29FD1E2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开标地点：供应商登录政采云平台https</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//www.zcygov.cn/，进入“项目采购-开标评标-右边选择对应项目点击“进入项目”进入开标大厅。</w:t>
      </w:r>
    </w:p>
    <w:p w14:paraId="6E7ABE85">
      <w:pPr>
        <w:spacing w:line="360" w:lineRule="auto"/>
        <w:rPr>
          <w:rFonts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六、公告期限</w:t>
      </w:r>
    </w:p>
    <w:p w14:paraId="75EBD3EC">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自本公告发布之日起5个工作日。</w:t>
      </w:r>
    </w:p>
    <w:p w14:paraId="732DFC3E">
      <w:pPr>
        <w:spacing w:line="360" w:lineRule="auto"/>
        <w:rPr>
          <w:rFonts w:ascii="仿宋" w:hAnsi="仿宋" w:eastAsia="仿宋" w:cs="仿宋"/>
          <w:b/>
          <w:bCs/>
          <w:color w:val="auto"/>
          <w:sz w:val="24"/>
          <w:szCs w:val="24"/>
          <w:highlight w:val="none"/>
          <w:lang w:eastAsia="zh-CN"/>
        </w:rPr>
      </w:pPr>
      <w:r>
        <w:rPr>
          <w:rFonts w:hint="eastAsia" w:ascii="仿宋" w:hAnsi="仿宋" w:eastAsia="仿宋" w:cs="仿宋"/>
          <w:b/>
          <w:bCs/>
          <w:color w:val="auto"/>
          <w:kern w:val="2"/>
          <w:sz w:val="24"/>
          <w:szCs w:val="24"/>
          <w:highlight w:val="none"/>
          <w:lang w:eastAsia="zh-CN"/>
        </w:rPr>
        <w:t>七、</w:t>
      </w:r>
      <w:r>
        <w:rPr>
          <w:rFonts w:hint="eastAsia" w:ascii="仿宋" w:hAnsi="仿宋" w:eastAsia="仿宋" w:cs="仿宋"/>
          <w:b/>
          <w:bCs/>
          <w:color w:val="auto"/>
          <w:sz w:val="24"/>
          <w:szCs w:val="24"/>
          <w:highlight w:val="none"/>
          <w:lang w:eastAsia="zh-CN"/>
        </w:rPr>
        <w:t>其他事项</w:t>
      </w:r>
    </w:p>
    <w:p w14:paraId="25C681F1">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1.</w:t>
      </w:r>
      <w:r>
        <w:rPr>
          <w:rFonts w:hint="eastAsia" w:ascii="仿宋" w:hAnsi="仿宋" w:eastAsia="仿宋" w:cs="仿宋"/>
          <w:color w:val="auto"/>
          <w:sz w:val="24"/>
          <w:szCs w:val="24"/>
          <w:highlight w:val="none"/>
          <w:lang w:eastAsia="zh-CN"/>
        </w:rPr>
        <w:t>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政府采购网下载专区下载。</w:t>
      </w:r>
    </w:p>
    <w:p w14:paraId="4B73C687">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其他事项：（1）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政府采购网-下载专区-电子交易客户端-CA驱动和申领流程”；安装“政采云电子交易客户端”----前往“政府采购网-下载专区-电子交易客户端”进行下载并安装；③采购文件的获取：使用账号登录或者使用CA登录政采云平台；进入“项目采购”应用，在获取采购文件菜单中选择项目，获取采购文件；④投标文件的制作：在“政采云电子交易客户端”中完成“填写基本信息”、“导入投标文件”、“标书关联”、“标书检查”、“电子签章”、“生成电子标书”等操作；⑤采购人、采购代理机构将依托政采云平台完成本项目的电子交易活动，平台不接受未按上述方式获取采购文件的供应商进行投标活动； ⑥对未按上述方式获取采购文件的供应商对该文件提出的质疑，采购人或采购代理机构将不予处理；⑦不提供采购文件纸质版；⑧投标文件的传输递交：投标人在投标截止时间前将加密的投标文件上传至政府采购云平台，还可以在投标截止时间前直接提交或者以邮政快递方式递交备份投标文件1份。备份投标文件的制作、存储、密封详见采购文件“备份投标文件”；⑨投标文件的解密：投标人按照平台提示和采购文件的规定在30分钟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采购文件公告期限与招标公告的公告期限一致。</w:t>
      </w:r>
    </w:p>
    <w:p w14:paraId="339409ED">
      <w:pPr>
        <w:spacing w:line="360" w:lineRule="auto"/>
        <w:rPr>
          <w:rFonts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八、对本次采购提出询问，请按以下方式联系</w:t>
      </w:r>
    </w:p>
    <w:p w14:paraId="514D9D9E">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1.采购人信息</w:t>
      </w:r>
    </w:p>
    <w:p w14:paraId="29A48C0B">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称：新疆维吾尔自治区吐鲁番某单位</w:t>
      </w:r>
    </w:p>
    <w:p w14:paraId="289D4D13">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w:t>
      </w:r>
      <w:r>
        <w:rPr>
          <w:rFonts w:hint="eastAsia" w:ascii="仿宋_GB2312" w:hAnsi="仿宋_GB2312" w:eastAsia="仿宋_GB2312" w:cs="仿宋_GB2312"/>
          <w:color w:val="auto"/>
          <w:sz w:val="24"/>
          <w:szCs w:val="24"/>
          <w:highlight w:val="none"/>
          <w:lang w:eastAsia="zh-CN"/>
        </w:rPr>
        <w:t>吐鲁番地区</w:t>
      </w:r>
    </w:p>
    <w:p w14:paraId="35A2ABE4">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联 系 人：阿主任 </w:t>
      </w:r>
    </w:p>
    <w:p w14:paraId="3CA92970">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电话：18139315085</w:t>
      </w:r>
    </w:p>
    <w:p w14:paraId="40A77ED6">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2.采购代理机构信息</w:t>
      </w:r>
    </w:p>
    <w:p w14:paraId="74B9A6B7">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称：新疆华域建设工程项目管理咨询有限公司</w:t>
      </w:r>
    </w:p>
    <w:p w14:paraId="113DA58E">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址：乌鲁木齐市五星北路194号新地园大厦1401</w:t>
      </w:r>
    </w:p>
    <w:p w14:paraId="050501CB">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联系方式：17690170616　</w:t>
      </w:r>
    </w:p>
    <w:p w14:paraId="2C228DFB">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3.项目联系方式</w:t>
      </w:r>
    </w:p>
    <w:p w14:paraId="44ADA9BB">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项目联系人：梁雪燕、王文周、李昱骁、王慧、薛迎 </w:t>
      </w:r>
    </w:p>
    <w:p w14:paraId="555532B7">
      <w:pPr>
        <w:spacing w:line="242" w:lineRule="auto"/>
        <w:ind w:firstLine="480" w:firstLineChars="200"/>
        <w:rPr>
          <w:rFonts w:ascii="仿宋_GB2312" w:hAnsi="仿宋_GB2312" w:eastAsia="仿宋_GB2312" w:cs="仿宋_GB2312"/>
          <w:color w:val="auto"/>
          <w:sz w:val="24"/>
          <w:szCs w:val="24"/>
          <w:highlight w:val="none"/>
          <w:lang w:eastAsia="zh-CN"/>
        </w:rPr>
      </w:pPr>
      <w:r>
        <w:rPr>
          <w:rFonts w:hint="eastAsia" w:ascii="仿宋" w:hAnsi="仿宋" w:eastAsia="仿宋" w:cs="仿宋"/>
          <w:color w:val="auto"/>
          <w:sz w:val="24"/>
          <w:szCs w:val="24"/>
          <w:highlight w:val="none"/>
          <w:lang w:eastAsia="zh-CN"/>
        </w:rPr>
        <w:t>电 话：17690170616</w:t>
      </w:r>
      <w:r>
        <w:rPr>
          <w:rFonts w:hint="eastAsia" w:ascii="仿宋_GB2312" w:hAnsi="仿宋_GB2312" w:eastAsia="仿宋_GB2312" w:cs="仿宋_GB2312"/>
          <w:color w:val="auto"/>
          <w:sz w:val="24"/>
          <w:szCs w:val="24"/>
          <w:highlight w:val="none"/>
          <w:lang w:eastAsia="zh-CN"/>
        </w:rPr>
        <w:t xml:space="preserve"> </w:t>
      </w:r>
      <w:r>
        <w:rPr>
          <w:rFonts w:hint="eastAsia" w:ascii="仿宋_GB2312" w:hAnsi="仿宋_GB2312" w:eastAsia="仿宋_GB2312" w:cs="仿宋_GB2312"/>
          <w:color w:val="auto"/>
          <w:sz w:val="24"/>
          <w:szCs w:val="24"/>
          <w:highlight w:val="none"/>
          <w:lang w:eastAsia="zh-CN"/>
        </w:rPr>
        <w:br w:type="page"/>
      </w:r>
      <w:bookmarkEnd w:id="3"/>
    </w:p>
    <w:p w14:paraId="408770C5">
      <w:pPr>
        <w:pStyle w:val="2"/>
        <w:rPr>
          <w:rFonts w:ascii="仿宋_GB2312" w:hAnsi="仿宋_GB2312" w:eastAsia="仿宋_GB2312" w:cs="仿宋_GB2312"/>
          <w:color w:val="auto"/>
          <w:szCs w:val="31"/>
          <w:highlight w:val="none"/>
          <w:lang w:eastAsia="zh-CN"/>
        </w:rPr>
      </w:pPr>
      <w:bookmarkStart w:id="8" w:name="bookmark3"/>
      <w:bookmarkEnd w:id="8"/>
      <w:bookmarkStart w:id="9" w:name="_Toc22591"/>
      <w:bookmarkStart w:id="10" w:name="_Toc8466"/>
      <w:r>
        <w:rPr>
          <w:rFonts w:hint="eastAsia"/>
          <w:b/>
          <w:bCs/>
          <w:color w:val="auto"/>
          <w:highlight w:val="none"/>
          <w:lang w:eastAsia="zh-CN"/>
        </w:rPr>
        <w:t>第二章  投标须知前附表及投标须知</w:t>
      </w:r>
      <w:bookmarkEnd w:id="9"/>
      <w:bookmarkEnd w:id="10"/>
    </w:p>
    <w:p w14:paraId="26FE0AB0">
      <w:pPr>
        <w:pStyle w:val="10"/>
        <w:spacing w:before="295" w:line="206" w:lineRule="auto"/>
        <w:ind w:left="3542"/>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7"/>
          <w:sz w:val="28"/>
          <w:szCs w:val="28"/>
          <w:highlight w:val="none"/>
        </w:rPr>
        <w:t>一、投标须知前附表</w:t>
      </w:r>
    </w:p>
    <w:tbl>
      <w:tblPr>
        <w:tblStyle w:val="32"/>
        <w:tblW w:w="10068"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980"/>
        <w:gridCol w:w="7366"/>
      </w:tblGrid>
      <w:tr w14:paraId="6D5CB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top w:val="single" w:color="000000" w:sz="10" w:space="0"/>
              <w:left w:val="single" w:color="000000" w:sz="10" w:space="0"/>
            </w:tcBorders>
          </w:tcPr>
          <w:p w14:paraId="7AECC299">
            <w:pPr>
              <w:pStyle w:val="33"/>
              <w:spacing w:before="40" w:line="400" w:lineRule="exact"/>
              <w:ind w:left="11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项号</w:t>
            </w:r>
          </w:p>
        </w:tc>
        <w:tc>
          <w:tcPr>
            <w:tcW w:w="1980" w:type="dxa"/>
            <w:tcBorders>
              <w:top w:val="single" w:color="000000" w:sz="10" w:space="0"/>
            </w:tcBorders>
          </w:tcPr>
          <w:p w14:paraId="67F25E6B">
            <w:pPr>
              <w:pStyle w:val="33"/>
              <w:spacing w:before="40" w:line="400" w:lineRule="exact"/>
              <w:ind w:left="662"/>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8"/>
                <w:sz w:val="24"/>
                <w:szCs w:val="24"/>
                <w:highlight w:val="none"/>
              </w:rPr>
              <w:t>内</w:t>
            </w:r>
            <w:r>
              <w:rPr>
                <w:rFonts w:hint="eastAsia" w:ascii="仿宋_GB2312" w:hAnsi="仿宋_GB2312" w:eastAsia="仿宋_GB2312" w:cs="仿宋_GB2312"/>
                <w:color w:val="auto"/>
                <w:spacing w:val="14"/>
                <w:sz w:val="24"/>
                <w:szCs w:val="24"/>
                <w:highlight w:val="none"/>
              </w:rPr>
              <w:t xml:space="preserve">  </w:t>
            </w:r>
            <w:r>
              <w:rPr>
                <w:rFonts w:hint="eastAsia" w:ascii="仿宋_GB2312" w:hAnsi="仿宋_GB2312" w:eastAsia="仿宋_GB2312" w:cs="仿宋_GB2312"/>
                <w:color w:val="auto"/>
                <w:spacing w:val="-18"/>
                <w:sz w:val="24"/>
                <w:szCs w:val="24"/>
                <w:highlight w:val="none"/>
              </w:rPr>
              <w:t>容</w:t>
            </w:r>
          </w:p>
        </w:tc>
        <w:tc>
          <w:tcPr>
            <w:tcW w:w="7366" w:type="dxa"/>
            <w:tcBorders>
              <w:top w:val="single" w:color="000000" w:sz="10" w:space="0"/>
              <w:right w:val="single" w:color="000000" w:sz="10" w:space="0"/>
            </w:tcBorders>
          </w:tcPr>
          <w:p w14:paraId="581D0BDB">
            <w:pPr>
              <w:pStyle w:val="33"/>
              <w:spacing w:before="40" w:line="400" w:lineRule="exact"/>
              <w:ind w:left="3091"/>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rPr>
              <w:t>说明及要求</w:t>
            </w:r>
          </w:p>
        </w:tc>
      </w:tr>
      <w:tr w14:paraId="33641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restart"/>
            <w:tcBorders>
              <w:left w:val="single" w:color="000000" w:sz="10" w:space="0"/>
              <w:bottom w:val="nil"/>
            </w:tcBorders>
            <w:vAlign w:val="center"/>
          </w:tcPr>
          <w:p w14:paraId="1966212F">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980" w:type="dxa"/>
          </w:tcPr>
          <w:p w14:paraId="7E13BFBE">
            <w:pPr>
              <w:pStyle w:val="33"/>
              <w:spacing w:before="34" w:line="400" w:lineRule="exact"/>
              <w:ind w:left="514"/>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项目名称</w:t>
            </w:r>
          </w:p>
        </w:tc>
        <w:tc>
          <w:tcPr>
            <w:tcW w:w="7366" w:type="dxa"/>
            <w:tcBorders>
              <w:right w:val="single" w:color="000000" w:sz="10" w:space="0"/>
            </w:tcBorders>
          </w:tcPr>
          <w:p w14:paraId="56AFDAA7">
            <w:pPr>
              <w:pStyle w:val="33"/>
              <w:spacing w:before="35" w:line="400" w:lineRule="exact"/>
              <w:jc w:val="both"/>
              <w:rPr>
                <w:rFonts w:ascii="仿宋_GB2312" w:hAnsi="仿宋_GB2312" w:eastAsia="仿宋_GB2312" w:cs="仿宋_GB2312"/>
                <w:color w:val="auto"/>
                <w:spacing w:val="4"/>
                <w:sz w:val="24"/>
                <w:szCs w:val="24"/>
                <w:highlight w:val="none"/>
                <w:lang w:eastAsia="zh-CN"/>
              </w:rPr>
            </w:pPr>
            <w:r>
              <w:rPr>
                <w:rFonts w:hint="eastAsia" w:ascii="仿宋_GB2312" w:hAnsi="仿宋_GB2312" w:eastAsia="仿宋_GB2312" w:cs="仿宋_GB2312"/>
                <w:color w:val="auto"/>
                <w:sz w:val="24"/>
                <w:szCs w:val="24"/>
                <w:highlight w:val="none"/>
                <w:lang w:eastAsia="zh-CN"/>
              </w:rPr>
              <w:t>新疆维吾尔自治区吐鲁番某单位2026年度大宗生活物资采购项目-第二包（禽肉水产类）</w:t>
            </w:r>
          </w:p>
        </w:tc>
      </w:tr>
      <w:tr w14:paraId="3CEDF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continue"/>
            <w:tcBorders>
              <w:top w:val="nil"/>
              <w:left w:val="single" w:color="000000" w:sz="10" w:space="0"/>
              <w:bottom w:val="nil"/>
            </w:tcBorders>
          </w:tcPr>
          <w:p w14:paraId="20FE98B6">
            <w:pPr>
              <w:spacing w:line="400" w:lineRule="exact"/>
              <w:rPr>
                <w:rFonts w:ascii="仿宋_GB2312" w:hAnsi="仿宋_GB2312" w:eastAsia="仿宋_GB2312" w:cs="仿宋_GB2312"/>
                <w:color w:val="auto"/>
                <w:sz w:val="24"/>
                <w:szCs w:val="24"/>
                <w:highlight w:val="none"/>
                <w:lang w:eastAsia="zh-CN"/>
              </w:rPr>
            </w:pPr>
          </w:p>
        </w:tc>
        <w:tc>
          <w:tcPr>
            <w:tcW w:w="1980" w:type="dxa"/>
          </w:tcPr>
          <w:p w14:paraId="62354479">
            <w:pPr>
              <w:pStyle w:val="33"/>
              <w:spacing w:before="34" w:line="400" w:lineRule="exact"/>
              <w:ind w:left="514"/>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项目编号</w:t>
            </w:r>
          </w:p>
        </w:tc>
        <w:tc>
          <w:tcPr>
            <w:tcW w:w="7366" w:type="dxa"/>
            <w:tcBorders>
              <w:right w:val="single" w:color="000000" w:sz="10" w:space="0"/>
            </w:tcBorders>
          </w:tcPr>
          <w:p w14:paraId="3090C54D">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 XJHY-2026-049（01）</w:t>
            </w:r>
          </w:p>
        </w:tc>
      </w:tr>
      <w:tr w14:paraId="1DB57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continue"/>
            <w:tcBorders>
              <w:top w:val="nil"/>
              <w:left w:val="single" w:color="000000" w:sz="10" w:space="0"/>
              <w:bottom w:val="nil"/>
            </w:tcBorders>
          </w:tcPr>
          <w:p w14:paraId="0F5CE6AB">
            <w:pPr>
              <w:spacing w:line="400" w:lineRule="exact"/>
              <w:rPr>
                <w:rFonts w:ascii="仿宋_GB2312" w:hAnsi="仿宋_GB2312" w:eastAsia="仿宋_GB2312" w:cs="仿宋_GB2312"/>
                <w:color w:val="auto"/>
                <w:sz w:val="24"/>
                <w:szCs w:val="24"/>
                <w:highlight w:val="none"/>
              </w:rPr>
            </w:pPr>
          </w:p>
        </w:tc>
        <w:tc>
          <w:tcPr>
            <w:tcW w:w="1980" w:type="dxa"/>
            <w:vAlign w:val="center"/>
          </w:tcPr>
          <w:p w14:paraId="7A09F4C6">
            <w:pPr>
              <w:pStyle w:val="33"/>
              <w:spacing w:before="35" w:line="400" w:lineRule="exact"/>
              <w:ind w:left="635"/>
              <w:jc w:val="both"/>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4"/>
                <w:sz w:val="24"/>
                <w:szCs w:val="24"/>
                <w:highlight w:val="none"/>
              </w:rPr>
              <w:t>采购人</w:t>
            </w:r>
          </w:p>
        </w:tc>
        <w:tc>
          <w:tcPr>
            <w:tcW w:w="7366" w:type="dxa"/>
            <w:tcBorders>
              <w:right w:val="single" w:color="000000" w:sz="10" w:space="0"/>
            </w:tcBorders>
            <w:vAlign w:val="center"/>
          </w:tcPr>
          <w:p w14:paraId="6B005B25">
            <w:pPr>
              <w:keepNex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名 称：新疆维吾尔自治区吐鲁番某单位</w:t>
            </w:r>
          </w:p>
          <w:p w14:paraId="07B58704">
            <w:pPr>
              <w:keepNex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地 址：</w:t>
            </w:r>
            <w:r>
              <w:rPr>
                <w:rFonts w:hint="eastAsia" w:ascii="仿宋_GB2312" w:hAnsi="仿宋_GB2312" w:eastAsia="仿宋_GB2312" w:cs="仿宋_GB2312"/>
                <w:color w:val="auto"/>
                <w:sz w:val="24"/>
                <w:szCs w:val="24"/>
                <w:highlight w:val="none"/>
                <w:lang w:val="en-US" w:eastAsia="zh-CN"/>
              </w:rPr>
              <w:t>吐鲁番地区</w:t>
            </w:r>
          </w:p>
          <w:p w14:paraId="5A095F92">
            <w:pPr>
              <w:keepNex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联 系 人：阿主任 </w:t>
            </w:r>
          </w:p>
          <w:p w14:paraId="34A449F1">
            <w:pPr>
              <w:keepNex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电话：18139315085</w:t>
            </w:r>
          </w:p>
        </w:tc>
      </w:tr>
      <w:tr w14:paraId="32310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2" w:type="dxa"/>
            <w:vMerge w:val="continue"/>
            <w:tcBorders>
              <w:top w:val="nil"/>
              <w:left w:val="single" w:color="000000" w:sz="10" w:space="0"/>
              <w:bottom w:val="nil"/>
            </w:tcBorders>
          </w:tcPr>
          <w:p w14:paraId="569FD7EE">
            <w:pPr>
              <w:spacing w:line="400" w:lineRule="exact"/>
              <w:rPr>
                <w:rFonts w:ascii="仿宋_GB2312" w:hAnsi="仿宋_GB2312" w:eastAsia="仿宋_GB2312" w:cs="仿宋_GB2312"/>
                <w:color w:val="auto"/>
                <w:sz w:val="24"/>
                <w:szCs w:val="24"/>
                <w:highlight w:val="none"/>
              </w:rPr>
            </w:pPr>
          </w:p>
        </w:tc>
        <w:tc>
          <w:tcPr>
            <w:tcW w:w="1980" w:type="dxa"/>
            <w:vAlign w:val="center"/>
          </w:tcPr>
          <w:p w14:paraId="4D2BA9A4">
            <w:pPr>
              <w:pStyle w:val="33"/>
              <w:spacing w:before="35" w:line="400" w:lineRule="exact"/>
              <w:ind w:firstLine="248" w:firstLineChars="100"/>
              <w:jc w:val="both"/>
              <w:rPr>
                <w:rFonts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采购代理机构</w:t>
            </w:r>
          </w:p>
        </w:tc>
        <w:tc>
          <w:tcPr>
            <w:tcW w:w="7366" w:type="dxa"/>
            <w:tcBorders>
              <w:right w:val="single" w:color="000000" w:sz="10" w:space="0"/>
            </w:tcBorders>
            <w:vAlign w:val="center"/>
          </w:tcPr>
          <w:p w14:paraId="1F17CCCD">
            <w:pPr>
              <w:keepNex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名 称：新疆华域建设工程项目管理咨询有限公司</w:t>
            </w:r>
          </w:p>
          <w:p w14:paraId="6F188E3D">
            <w:pPr>
              <w:keepNex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地 址：乌鲁木齐市五星北路194号新地园大厦1401</w:t>
            </w:r>
          </w:p>
          <w:p w14:paraId="1C15BC17">
            <w:pPr>
              <w:keepNex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项目联系人：梁雪燕、王文周、李昱骁、王慧、薛迎</w:t>
            </w:r>
          </w:p>
          <w:p w14:paraId="08DD707C">
            <w:pPr>
              <w:keepNex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电 话：17690170616　</w:t>
            </w:r>
          </w:p>
        </w:tc>
      </w:tr>
      <w:tr w14:paraId="0E8C0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continue"/>
            <w:tcBorders>
              <w:top w:val="nil"/>
              <w:left w:val="single" w:color="000000" w:sz="10" w:space="0"/>
              <w:bottom w:val="nil"/>
            </w:tcBorders>
          </w:tcPr>
          <w:p w14:paraId="1EB4BC15">
            <w:pPr>
              <w:spacing w:line="400" w:lineRule="exact"/>
              <w:rPr>
                <w:rFonts w:ascii="仿宋_GB2312" w:hAnsi="仿宋_GB2312" w:eastAsia="仿宋_GB2312" w:cs="仿宋_GB2312"/>
                <w:color w:val="auto"/>
                <w:sz w:val="24"/>
                <w:szCs w:val="24"/>
                <w:highlight w:val="none"/>
                <w:lang w:eastAsia="zh-CN"/>
              </w:rPr>
            </w:pPr>
          </w:p>
        </w:tc>
        <w:tc>
          <w:tcPr>
            <w:tcW w:w="1980" w:type="dxa"/>
          </w:tcPr>
          <w:p w14:paraId="16A0391D">
            <w:pPr>
              <w:pStyle w:val="33"/>
              <w:spacing w:before="37" w:line="400" w:lineRule="exact"/>
              <w:ind w:left="515"/>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采购方式</w:t>
            </w:r>
          </w:p>
        </w:tc>
        <w:tc>
          <w:tcPr>
            <w:tcW w:w="7366" w:type="dxa"/>
            <w:tcBorders>
              <w:right w:val="single" w:color="000000" w:sz="10" w:space="0"/>
            </w:tcBorders>
          </w:tcPr>
          <w:p w14:paraId="1BBBCBF4">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公开招标</w:t>
            </w:r>
          </w:p>
        </w:tc>
      </w:tr>
      <w:tr w14:paraId="29480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continue"/>
            <w:tcBorders>
              <w:top w:val="nil"/>
              <w:left w:val="single" w:color="000000" w:sz="10" w:space="0"/>
              <w:bottom w:val="nil"/>
            </w:tcBorders>
          </w:tcPr>
          <w:p w14:paraId="2E23B344">
            <w:pPr>
              <w:spacing w:line="400" w:lineRule="exact"/>
              <w:rPr>
                <w:rFonts w:ascii="仿宋_GB2312" w:hAnsi="仿宋_GB2312" w:eastAsia="仿宋_GB2312" w:cs="仿宋_GB2312"/>
                <w:color w:val="auto"/>
                <w:sz w:val="24"/>
                <w:szCs w:val="24"/>
                <w:highlight w:val="none"/>
              </w:rPr>
            </w:pPr>
          </w:p>
        </w:tc>
        <w:tc>
          <w:tcPr>
            <w:tcW w:w="1980" w:type="dxa"/>
          </w:tcPr>
          <w:p w14:paraId="2AA11644">
            <w:pPr>
              <w:pStyle w:val="33"/>
              <w:spacing w:before="39" w:line="400" w:lineRule="exact"/>
              <w:ind w:left="525"/>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资金来源</w:t>
            </w:r>
          </w:p>
        </w:tc>
        <w:tc>
          <w:tcPr>
            <w:tcW w:w="7366" w:type="dxa"/>
            <w:tcBorders>
              <w:right w:val="single" w:color="000000" w:sz="10" w:space="0"/>
            </w:tcBorders>
          </w:tcPr>
          <w:p w14:paraId="00DFEB06">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财政资金</w:t>
            </w:r>
          </w:p>
        </w:tc>
      </w:tr>
      <w:tr w14:paraId="7E5AE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continue"/>
            <w:tcBorders>
              <w:top w:val="nil"/>
              <w:left w:val="single" w:color="000000" w:sz="10" w:space="0"/>
              <w:bottom w:val="nil"/>
            </w:tcBorders>
          </w:tcPr>
          <w:p w14:paraId="4A5FE817">
            <w:pPr>
              <w:spacing w:line="400" w:lineRule="exact"/>
              <w:rPr>
                <w:rFonts w:ascii="仿宋_GB2312" w:hAnsi="仿宋_GB2312" w:eastAsia="仿宋_GB2312" w:cs="仿宋_GB2312"/>
                <w:color w:val="auto"/>
                <w:sz w:val="24"/>
                <w:szCs w:val="24"/>
                <w:highlight w:val="none"/>
              </w:rPr>
            </w:pPr>
          </w:p>
        </w:tc>
        <w:tc>
          <w:tcPr>
            <w:tcW w:w="1980" w:type="dxa"/>
          </w:tcPr>
          <w:p w14:paraId="5C5799ED">
            <w:pPr>
              <w:pStyle w:val="33"/>
              <w:spacing w:before="39" w:line="400" w:lineRule="exact"/>
              <w:ind w:left="285"/>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资格审查方式</w:t>
            </w:r>
          </w:p>
        </w:tc>
        <w:tc>
          <w:tcPr>
            <w:tcW w:w="7366" w:type="dxa"/>
            <w:tcBorders>
              <w:right w:val="single" w:color="000000" w:sz="10" w:space="0"/>
            </w:tcBorders>
          </w:tcPr>
          <w:p w14:paraId="27B8F9FB">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资格后审</w:t>
            </w:r>
          </w:p>
        </w:tc>
      </w:tr>
      <w:tr w14:paraId="235D7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continue"/>
            <w:tcBorders>
              <w:top w:val="nil"/>
              <w:left w:val="single" w:color="000000" w:sz="10" w:space="0"/>
            </w:tcBorders>
          </w:tcPr>
          <w:p w14:paraId="00515D0A">
            <w:pPr>
              <w:spacing w:line="400" w:lineRule="exact"/>
              <w:rPr>
                <w:rFonts w:ascii="仿宋_GB2312" w:hAnsi="仿宋_GB2312" w:eastAsia="仿宋_GB2312" w:cs="仿宋_GB2312"/>
                <w:color w:val="auto"/>
                <w:sz w:val="24"/>
                <w:szCs w:val="24"/>
                <w:highlight w:val="none"/>
              </w:rPr>
            </w:pPr>
          </w:p>
        </w:tc>
        <w:tc>
          <w:tcPr>
            <w:tcW w:w="1980" w:type="dxa"/>
            <w:vAlign w:val="center"/>
          </w:tcPr>
          <w:p w14:paraId="4C6AED6C">
            <w:pPr>
              <w:pStyle w:val="33"/>
              <w:spacing w:before="74"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采购内容</w:t>
            </w:r>
          </w:p>
        </w:tc>
        <w:tc>
          <w:tcPr>
            <w:tcW w:w="7366" w:type="dxa"/>
            <w:tcBorders>
              <w:right w:val="single" w:color="000000" w:sz="10" w:space="0"/>
            </w:tcBorders>
          </w:tcPr>
          <w:p w14:paraId="1E18400A">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采购禽肉水产类食材，具体详见采购需求</w:t>
            </w:r>
          </w:p>
        </w:tc>
      </w:tr>
      <w:tr w14:paraId="137D6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bottom w:val="single" w:color="auto" w:sz="4" w:space="0"/>
            </w:tcBorders>
            <w:vAlign w:val="center"/>
          </w:tcPr>
          <w:p w14:paraId="549419A4">
            <w:pPr>
              <w:pStyle w:val="33"/>
              <w:spacing w:before="74"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980" w:type="dxa"/>
            <w:tcBorders>
              <w:bottom w:val="single" w:color="auto" w:sz="4" w:space="0"/>
            </w:tcBorders>
            <w:vAlign w:val="center"/>
          </w:tcPr>
          <w:p w14:paraId="50A89D51">
            <w:pPr>
              <w:pStyle w:val="33"/>
              <w:spacing w:before="75"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7"/>
                <w:sz w:val="24"/>
                <w:szCs w:val="24"/>
                <w:highlight w:val="none"/>
              </w:rPr>
              <w:t>预算</w:t>
            </w:r>
            <w:r>
              <w:rPr>
                <w:rFonts w:hint="eastAsia" w:ascii="仿宋_GB2312" w:hAnsi="仿宋_GB2312" w:eastAsia="仿宋_GB2312" w:cs="仿宋_GB2312"/>
                <w:color w:val="auto"/>
                <w:spacing w:val="7"/>
                <w:sz w:val="24"/>
                <w:szCs w:val="24"/>
                <w:highlight w:val="none"/>
                <w:lang w:eastAsia="zh-CN"/>
              </w:rPr>
              <w:t>金额</w:t>
            </w:r>
          </w:p>
        </w:tc>
        <w:tc>
          <w:tcPr>
            <w:tcW w:w="7366" w:type="dxa"/>
            <w:tcBorders>
              <w:bottom w:val="single" w:color="auto" w:sz="4" w:space="0"/>
              <w:right w:val="single" w:color="000000" w:sz="10" w:space="0"/>
            </w:tcBorders>
          </w:tcPr>
          <w:p w14:paraId="15EF2C26">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1070000.00</w:t>
            </w:r>
            <w:r>
              <w:rPr>
                <w:rFonts w:hint="eastAsia" w:ascii="仿宋_GB2312" w:hAnsi="仿宋_GB2312" w:eastAsia="仿宋_GB2312" w:cs="仿宋_GB2312"/>
                <w:color w:val="auto"/>
                <w:spacing w:val="6"/>
                <w:sz w:val="24"/>
                <w:szCs w:val="24"/>
                <w:highlight w:val="none"/>
                <w:lang w:val="en-US" w:eastAsia="zh-CN"/>
              </w:rPr>
              <w:t>元</w:t>
            </w:r>
          </w:p>
        </w:tc>
      </w:tr>
      <w:tr w14:paraId="2C79B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top w:val="single" w:color="auto" w:sz="4" w:space="0"/>
              <w:left w:val="single" w:color="000000" w:sz="10" w:space="0"/>
              <w:bottom w:val="single" w:color="000000" w:sz="10" w:space="0"/>
            </w:tcBorders>
          </w:tcPr>
          <w:p w14:paraId="4C885323">
            <w:pPr>
              <w:pStyle w:val="33"/>
              <w:spacing w:before="79" w:line="400" w:lineRule="exact"/>
              <w:ind w:left="296"/>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980" w:type="dxa"/>
            <w:tcBorders>
              <w:top w:val="single" w:color="auto" w:sz="4" w:space="0"/>
              <w:bottom w:val="single" w:color="000000" w:sz="10" w:space="0"/>
            </w:tcBorders>
          </w:tcPr>
          <w:p w14:paraId="24EA4999">
            <w:pPr>
              <w:pStyle w:val="33"/>
              <w:spacing w:before="38" w:line="400" w:lineRule="exact"/>
              <w:ind w:left="520"/>
              <w:rPr>
                <w:rFonts w:ascii="仿宋_GB2312" w:hAnsi="仿宋_GB2312" w:eastAsia="仿宋_GB2312" w:cs="仿宋_GB2312"/>
                <w:color w:val="auto"/>
                <w:spacing w:val="7"/>
                <w:sz w:val="24"/>
                <w:szCs w:val="24"/>
                <w:highlight w:val="none"/>
              </w:rPr>
            </w:pPr>
            <w:r>
              <w:rPr>
                <w:rFonts w:hint="eastAsia" w:ascii="仿宋_GB2312" w:hAnsi="仿宋_GB2312" w:eastAsia="仿宋_GB2312" w:cs="仿宋_GB2312"/>
                <w:color w:val="auto"/>
                <w:spacing w:val="4"/>
                <w:sz w:val="24"/>
                <w:szCs w:val="24"/>
                <w:highlight w:val="none"/>
              </w:rPr>
              <w:t>质量标准</w:t>
            </w:r>
          </w:p>
        </w:tc>
        <w:tc>
          <w:tcPr>
            <w:tcW w:w="7366" w:type="dxa"/>
            <w:tcBorders>
              <w:top w:val="single" w:color="auto" w:sz="4" w:space="0"/>
              <w:bottom w:val="single" w:color="000000" w:sz="10" w:space="0"/>
              <w:right w:val="single" w:color="000000" w:sz="10" w:space="0"/>
            </w:tcBorders>
          </w:tcPr>
          <w:p w14:paraId="4B162AEE">
            <w:pPr>
              <w:pStyle w:val="33"/>
              <w:spacing w:before="38" w:line="400" w:lineRule="exact"/>
              <w:rPr>
                <w:rFonts w:ascii="仿宋_GB2312" w:hAnsi="仿宋_GB2312" w:eastAsia="仿宋_GB2312" w:cs="仿宋_GB2312"/>
                <w:b/>
                <w:bCs/>
                <w:color w:val="auto"/>
                <w:spacing w:val="5"/>
                <w:sz w:val="24"/>
                <w:szCs w:val="24"/>
                <w:highlight w:val="none"/>
                <w:lang w:eastAsia="zh-CN"/>
              </w:rPr>
            </w:pPr>
            <w:r>
              <w:rPr>
                <w:rFonts w:hint="eastAsia" w:ascii="仿宋_GB2312" w:hAnsi="仿宋_GB2312" w:eastAsia="仿宋_GB2312" w:cs="仿宋_GB2312"/>
                <w:color w:val="auto"/>
                <w:spacing w:val="8"/>
                <w:sz w:val="24"/>
                <w:szCs w:val="24"/>
                <w:highlight w:val="none"/>
                <w:lang w:eastAsia="zh-CN"/>
              </w:rPr>
              <w:t>合格（通过采购人及有关部门组织</w:t>
            </w:r>
            <w:r>
              <w:rPr>
                <w:rFonts w:hint="eastAsia" w:ascii="仿宋_GB2312" w:hAnsi="仿宋_GB2312" w:eastAsia="仿宋_GB2312" w:cs="仿宋_GB2312"/>
                <w:color w:val="auto"/>
                <w:spacing w:val="7"/>
                <w:sz w:val="24"/>
                <w:szCs w:val="24"/>
                <w:highlight w:val="none"/>
                <w:lang w:eastAsia="zh-CN"/>
              </w:rPr>
              <w:t>的项目验收）</w:t>
            </w:r>
          </w:p>
        </w:tc>
      </w:tr>
      <w:tr w14:paraId="55FAD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2" w:type="dxa"/>
            <w:tcBorders>
              <w:left w:val="single" w:color="000000" w:sz="10" w:space="0"/>
            </w:tcBorders>
            <w:vAlign w:val="center"/>
          </w:tcPr>
          <w:p w14:paraId="5463648B">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980" w:type="dxa"/>
            <w:vAlign w:val="center"/>
          </w:tcPr>
          <w:p w14:paraId="04150F14">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rPr>
              <w:t>供应商资格</w:t>
            </w:r>
          </w:p>
        </w:tc>
        <w:tc>
          <w:tcPr>
            <w:tcW w:w="7366" w:type="dxa"/>
            <w:tcBorders>
              <w:right w:val="single" w:color="000000" w:sz="10" w:space="0"/>
            </w:tcBorders>
          </w:tcPr>
          <w:p w14:paraId="2C1FDAF4">
            <w:pPr>
              <w:pStyle w:val="33"/>
              <w:spacing w:before="37" w:line="40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1.满足《中华人民共和国政府采购法》第二十二条规定；</w:t>
            </w:r>
          </w:p>
          <w:p w14:paraId="6D2D69F7">
            <w:pPr>
              <w:pStyle w:val="33"/>
              <w:spacing w:before="37" w:line="400" w:lineRule="exac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2.落实政府采购政策需满足的资格要求：本标项为专门面向</w:t>
            </w:r>
            <w:r>
              <w:rPr>
                <w:rFonts w:hint="eastAsia" w:ascii="仿宋_GB2312" w:hAnsi="仿宋_GB2312" w:eastAsia="仿宋_GB2312" w:cs="仿宋_GB2312"/>
                <w:color w:val="auto"/>
                <w:sz w:val="24"/>
                <w:szCs w:val="24"/>
                <w:highlight w:val="none"/>
                <w:lang w:val="en-US" w:eastAsia="zh-CN"/>
              </w:rPr>
              <w:t>中小</w:t>
            </w:r>
            <w:r>
              <w:rPr>
                <w:rFonts w:hint="eastAsia" w:ascii="仿宋_GB2312" w:hAnsi="仿宋_GB2312" w:eastAsia="仿宋_GB2312" w:cs="仿宋_GB2312"/>
                <w:color w:val="auto"/>
                <w:sz w:val="24"/>
                <w:szCs w:val="24"/>
                <w:highlight w:val="none"/>
                <w:lang w:eastAsia="zh-CN"/>
              </w:rPr>
              <w:t>企业采购份额，即：提供的货物全部由符合政策要求的</w:t>
            </w:r>
            <w:r>
              <w:rPr>
                <w:rFonts w:hint="eastAsia" w:ascii="仿宋_GB2312" w:hAnsi="仿宋_GB2312" w:eastAsia="仿宋_GB2312" w:cs="仿宋_GB2312"/>
                <w:color w:val="auto"/>
                <w:sz w:val="24"/>
                <w:szCs w:val="24"/>
                <w:highlight w:val="none"/>
                <w:lang w:val="en-US" w:eastAsia="zh-CN"/>
              </w:rPr>
              <w:t>中小</w:t>
            </w:r>
            <w:r>
              <w:rPr>
                <w:rFonts w:hint="eastAsia" w:ascii="仿宋_GB2312" w:hAnsi="仿宋_GB2312" w:eastAsia="仿宋_GB2312" w:cs="仿宋_GB2312"/>
                <w:color w:val="auto"/>
                <w:sz w:val="24"/>
                <w:szCs w:val="24"/>
                <w:highlight w:val="none"/>
                <w:lang w:eastAsia="zh-CN"/>
              </w:rPr>
              <w:t>企业制造。</w:t>
            </w:r>
          </w:p>
          <w:p w14:paraId="13CE632B">
            <w:pPr>
              <w:pStyle w:val="33"/>
              <w:spacing w:before="37" w:line="40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3.本项目的特定资格要求：具有有效的《食品经营许可证》或《食品生产许可证》。</w:t>
            </w:r>
          </w:p>
        </w:tc>
      </w:tr>
      <w:tr w14:paraId="241CB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tcPr>
          <w:p w14:paraId="12E2B4CB">
            <w:pPr>
              <w:pStyle w:val="33"/>
              <w:spacing w:before="99" w:line="400" w:lineRule="exact"/>
              <w:ind w:left="296"/>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1980" w:type="dxa"/>
          </w:tcPr>
          <w:p w14:paraId="1E3E9CC6">
            <w:pPr>
              <w:pStyle w:val="33"/>
              <w:spacing w:before="55" w:line="400" w:lineRule="exact"/>
              <w:ind w:left="273"/>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rPr>
              <w:t>投标文件组成</w:t>
            </w:r>
          </w:p>
        </w:tc>
        <w:tc>
          <w:tcPr>
            <w:tcW w:w="7366" w:type="dxa"/>
            <w:tcBorders>
              <w:right w:val="single" w:color="000000" w:sz="10" w:space="0"/>
            </w:tcBorders>
          </w:tcPr>
          <w:p w14:paraId="63112747">
            <w:pPr>
              <w:pStyle w:val="33"/>
              <w:spacing w:before="55" w:line="40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详见本采购文件“</w:t>
            </w:r>
            <w:r>
              <w:rPr>
                <w:rFonts w:hint="eastAsia" w:ascii="仿宋_GB2312" w:hAnsi="仿宋_GB2312" w:eastAsia="仿宋_GB2312" w:cs="仿宋_GB2312"/>
                <w:color w:val="auto"/>
                <w:spacing w:val="-91"/>
                <w:sz w:val="24"/>
                <w:szCs w:val="24"/>
                <w:highlight w:val="none"/>
                <w:lang w:eastAsia="zh-CN"/>
              </w:rPr>
              <w:t xml:space="preserve"> </w:t>
            </w:r>
            <w:r>
              <w:rPr>
                <w:rFonts w:hint="eastAsia" w:ascii="仿宋_GB2312" w:hAnsi="仿宋_GB2312" w:eastAsia="仿宋_GB2312" w:cs="仿宋_GB2312"/>
                <w:color w:val="auto"/>
                <w:spacing w:val="2"/>
                <w:sz w:val="24"/>
                <w:szCs w:val="24"/>
                <w:highlight w:val="none"/>
                <w:lang w:eastAsia="zh-CN"/>
              </w:rPr>
              <w:t>二、投标须知</w:t>
            </w:r>
            <w:r>
              <w:rPr>
                <w:rFonts w:hint="eastAsia" w:ascii="仿宋_GB2312" w:hAnsi="仿宋_GB2312" w:eastAsia="仿宋_GB2312" w:cs="仿宋_GB2312"/>
                <w:color w:val="auto"/>
                <w:spacing w:val="-83"/>
                <w:sz w:val="24"/>
                <w:szCs w:val="24"/>
                <w:highlight w:val="none"/>
                <w:lang w:eastAsia="zh-CN"/>
              </w:rPr>
              <w:t xml:space="preserve"> </w:t>
            </w:r>
            <w:r>
              <w:rPr>
                <w:rFonts w:hint="eastAsia" w:ascii="仿宋_GB2312" w:hAnsi="仿宋_GB2312" w:eastAsia="仿宋_GB2312" w:cs="仿宋_GB2312"/>
                <w:color w:val="auto"/>
                <w:spacing w:val="2"/>
                <w:sz w:val="24"/>
                <w:szCs w:val="24"/>
                <w:highlight w:val="none"/>
                <w:lang w:eastAsia="zh-CN"/>
              </w:rPr>
              <w:t>”第</w:t>
            </w:r>
            <w:r>
              <w:rPr>
                <w:rFonts w:hint="eastAsia" w:ascii="仿宋_GB2312" w:hAnsi="仿宋_GB2312" w:eastAsia="仿宋_GB2312" w:cs="仿宋_GB2312"/>
                <w:color w:val="auto"/>
                <w:spacing w:val="-44"/>
                <w:sz w:val="24"/>
                <w:szCs w:val="24"/>
                <w:highlight w:val="none"/>
                <w:lang w:eastAsia="zh-CN"/>
              </w:rPr>
              <w:t xml:space="preserve"> </w:t>
            </w:r>
            <w:r>
              <w:rPr>
                <w:rFonts w:hint="eastAsia" w:ascii="仿宋_GB2312" w:hAnsi="仿宋_GB2312" w:eastAsia="仿宋_GB2312" w:cs="仿宋_GB2312"/>
                <w:color w:val="auto"/>
                <w:spacing w:val="2"/>
                <w:sz w:val="24"/>
                <w:szCs w:val="24"/>
                <w:highlight w:val="none"/>
                <w:lang w:eastAsia="zh-CN"/>
              </w:rPr>
              <w:t>21</w:t>
            </w:r>
            <w:r>
              <w:rPr>
                <w:rFonts w:hint="eastAsia" w:ascii="仿宋_GB2312" w:hAnsi="仿宋_GB2312" w:eastAsia="仿宋_GB2312" w:cs="仿宋_GB2312"/>
                <w:color w:val="auto"/>
                <w:spacing w:val="-36"/>
                <w:sz w:val="24"/>
                <w:szCs w:val="24"/>
                <w:highlight w:val="none"/>
                <w:lang w:eastAsia="zh-CN"/>
              </w:rPr>
              <w:t xml:space="preserve"> </w:t>
            </w:r>
            <w:r>
              <w:rPr>
                <w:rFonts w:hint="eastAsia" w:ascii="仿宋_GB2312" w:hAnsi="仿宋_GB2312" w:eastAsia="仿宋_GB2312" w:cs="仿宋_GB2312"/>
                <w:color w:val="auto"/>
                <w:spacing w:val="2"/>
                <w:sz w:val="24"/>
                <w:szCs w:val="24"/>
                <w:highlight w:val="none"/>
                <w:lang w:eastAsia="zh-CN"/>
              </w:rPr>
              <w:t>项要</w:t>
            </w:r>
            <w:r>
              <w:rPr>
                <w:rFonts w:hint="eastAsia" w:ascii="仿宋_GB2312" w:hAnsi="仿宋_GB2312" w:eastAsia="仿宋_GB2312" w:cs="仿宋_GB2312"/>
                <w:color w:val="auto"/>
                <w:spacing w:val="1"/>
                <w:sz w:val="24"/>
                <w:szCs w:val="24"/>
                <w:highlight w:val="none"/>
                <w:lang w:eastAsia="zh-CN"/>
              </w:rPr>
              <w:t>求。</w:t>
            </w:r>
          </w:p>
        </w:tc>
      </w:tr>
      <w:tr w14:paraId="58F0D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2" w:type="dxa"/>
            <w:tcBorders>
              <w:left w:val="single" w:color="000000" w:sz="10" w:space="0"/>
            </w:tcBorders>
          </w:tcPr>
          <w:p w14:paraId="7C8C28DA">
            <w:pPr>
              <w:pStyle w:val="33"/>
              <w:spacing w:before="252" w:line="400" w:lineRule="exact"/>
              <w:ind w:left="293"/>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1980" w:type="dxa"/>
          </w:tcPr>
          <w:p w14:paraId="28084010">
            <w:pPr>
              <w:pStyle w:val="33"/>
              <w:spacing w:before="58" w:line="400" w:lineRule="exact"/>
              <w:ind w:left="632" w:right="156" w:hanging="479"/>
              <w:jc w:val="center"/>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投标文件递交</w:t>
            </w:r>
          </w:p>
          <w:p w14:paraId="5F8E6BDE">
            <w:pPr>
              <w:pStyle w:val="33"/>
              <w:spacing w:before="58" w:line="400" w:lineRule="exact"/>
              <w:ind w:left="632" w:right="156" w:hanging="479"/>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截</w:t>
            </w:r>
            <w:r>
              <w:rPr>
                <w:rFonts w:hint="eastAsia" w:ascii="仿宋_GB2312" w:hAnsi="仿宋_GB2312" w:eastAsia="仿宋_GB2312" w:cs="仿宋_GB2312"/>
                <w:color w:val="auto"/>
                <w:spacing w:val="4"/>
                <w:sz w:val="24"/>
                <w:szCs w:val="24"/>
                <w:highlight w:val="none"/>
                <w:lang w:eastAsia="zh-CN"/>
              </w:rPr>
              <w:t>止时间</w:t>
            </w:r>
          </w:p>
        </w:tc>
        <w:tc>
          <w:tcPr>
            <w:tcW w:w="7366" w:type="dxa"/>
            <w:tcBorders>
              <w:right w:val="single" w:color="000000" w:sz="10" w:space="0"/>
            </w:tcBorders>
          </w:tcPr>
          <w:p w14:paraId="75CD1D7B">
            <w:pPr>
              <w:pStyle w:val="33"/>
              <w:spacing w:before="210" w:line="400" w:lineRule="exact"/>
              <w:ind w:left="111"/>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2026年</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月</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lang w:eastAsia="zh-CN"/>
              </w:rPr>
              <w:t>日11：00</w:t>
            </w:r>
            <w:r>
              <w:rPr>
                <w:rFonts w:hint="eastAsia" w:ascii="仿宋_GB2312" w:hAnsi="仿宋_GB2312" w:eastAsia="仿宋_GB2312" w:cs="仿宋_GB2312"/>
                <w:color w:val="auto"/>
                <w:spacing w:val="-9"/>
                <w:sz w:val="24"/>
                <w:szCs w:val="24"/>
                <w:highlight w:val="none"/>
                <w:lang w:eastAsia="zh-CN"/>
              </w:rPr>
              <w:t>时（北京时间）</w:t>
            </w:r>
          </w:p>
        </w:tc>
      </w:tr>
      <w:tr w14:paraId="5AFBB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tcPr>
          <w:p w14:paraId="2BA27C68">
            <w:pPr>
              <w:pStyle w:val="33"/>
              <w:spacing w:before="254" w:line="400" w:lineRule="exact"/>
              <w:ind w:left="297"/>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1980" w:type="dxa"/>
          </w:tcPr>
          <w:p w14:paraId="138B7D7F">
            <w:pPr>
              <w:pStyle w:val="33"/>
              <w:spacing w:before="56" w:line="400" w:lineRule="exact"/>
              <w:ind w:left="273"/>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投标有效期限</w:t>
            </w:r>
          </w:p>
          <w:p w14:paraId="695A3133">
            <w:pPr>
              <w:pStyle w:val="33"/>
              <w:spacing w:before="22" w:line="400" w:lineRule="exact"/>
              <w:ind w:left="159"/>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pacing w:val="2"/>
                <w:sz w:val="24"/>
                <w:szCs w:val="24"/>
                <w:highlight w:val="none"/>
                <w:lang w:eastAsia="zh-CN"/>
              </w:rPr>
              <w:t>（实质性条款）</w:t>
            </w:r>
          </w:p>
        </w:tc>
        <w:tc>
          <w:tcPr>
            <w:tcW w:w="7366" w:type="dxa"/>
            <w:tcBorders>
              <w:right w:val="single" w:color="000000" w:sz="10" w:space="0"/>
            </w:tcBorders>
          </w:tcPr>
          <w:p w14:paraId="441E56FB">
            <w:pPr>
              <w:pStyle w:val="33"/>
              <w:spacing w:before="209" w:line="40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9"/>
                <w:sz w:val="24"/>
                <w:szCs w:val="24"/>
                <w:highlight w:val="none"/>
                <w:lang w:eastAsia="zh-CN"/>
              </w:rPr>
              <w:t>自投标截止之日起90</w:t>
            </w:r>
            <w:r>
              <w:rPr>
                <w:rFonts w:hint="eastAsia" w:ascii="仿宋_GB2312" w:hAnsi="仿宋_GB2312" w:eastAsia="仿宋_GB2312" w:cs="仿宋_GB2312"/>
                <w:color w:val="auto"/>
                <w:spacing w:val="-42"/>
                <w:sz w:val="24"/>
                <w:szCs w:val="24"/>
                <w:highlight w:val="none"/>
                <w:lang w:eastAsia="zh-CN"/>
              </w:rPr>
              <w:t xml:space="preserve"> </w:t>
            </w:r>
            <w:r>
              <w:rPr>
                <w:rFonts w:hint="eastAsia" w:ascii="仿宋_GB2312" w:hAnsi="仿宋_GB2312" w:eastAsia="仿宋_GB2312" w:cs="仿宋_GB2312"/>
                <w:color w:val="auto"/>
                <w:spacing w:val="-9"/>
                <w:sz w:val="24"/>
                <w:szCs w:val="24"/>
                <w:highlight w:val="none"/>
                <w:lang w:eastAsia="zh-CN"/>
              </w:rPr>
              <w:t>天（日历日）</w:t>
            </w:r>
          </w:p>
        </w:tc>
      </w:tr>
      <w:tr w14:paraId="5547B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0" w:hRule="atLeast"/>
        </w:trPr>
        <w:tc>
          <w:tcPr>
            <w:tcW w:w="722" w:type="dxa"/>
            <w:tcBorders>
              <w:left w:val="single" w:color="000000" w:sz="10" w:space="0"/>
            </w:tcBorders>
            <w:vAlign w:val="center"/>
          </w:tcPr>
          <w:p w14:paraId="05063CBC">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p w14:paraId="5B54B3DD">
            <w:pPr>
              <w:spacing w:before="138"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mc:AlternateContent>
                <mc:Choice Requires="wps">
                  <w:drawing>
                    <wp:anchor distT="0" distB="0" distL="114300" distR="114300" simplePos="0" relativeHeight="251659264" behindDoc="0" locked="0" layoutInCell="1" allowOverlap="1">
                      <wp:simplePos x="0" y="0"/>
                      <wp:positionH relativeFrom="column">
                        <wp:posOffset>3002915</wp:posOffset>
                      </wp:positionH>
                      <wp:positionV relativeFrom="paragraph">
                        <wp:posOffset>26670</wp:posOffset>
                      </wp:positionV>
                      <wp:extent cx="76200" cy="1276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200" cy="127635"/>
                              </a:xfrm>
                              <a:prstGeom prst="rect">
                                <a:avLst/>
                              </a:prstGeom>
                              <a:noFill/>
                              <a:ln>
                                <a:noFill/>
                              </a:ln>
                            </wps:spPr>
                            <wps:txbx>
                              <w:txbxContent>
                                <w:p w14:paraId="7DB0402A">
                                  <w:pPr>
                                    <w:spacing w:before="19" w:line="197" w:lineRule="auto"/>
                                    <w:ind w:left="20"/>
                                    <w:rPr>
                                      <w:rFonts w:ascii="Times New Roman" w:hAnsi="Times New Roman" w:eastAsia="Times New Roman" w:cs="Times New Roman"/>
                                      <w:sz w:val="17"/>
                                      <w:szCs w:val="17"/>
                                    </w:rPr>
                                  </w:pPr>
                                </w:p>
                              </w:txbxContent>
                            </wps:txbx>
                            <wps:bodyPr lIns="0" tIns="0" rIns="0" bIns="0"/>
                          </wps:wsp>
                        </a:graphicData>
                      </a:graphic>
                    </wp:anchor>
                  </w:drawing>
                </mc:Choice>
                <mc:Fallback>
                  <w:pict>
                    <v:shape id="_x0000_s1026" o:spid="_x0000_s1026" o:spt="202" type="#_x0000_t202" style="position:absolute;left:0pt;margin-left:236.45pt;margin-top:2.1pt;height:10.05pt;width:6pt;z-index:251659264;mso-width-relative:page;mso-height-relative:page;" filled="f" stroked="f" coordsize="21600,21600" o:gfxdata="UEsDBAoAAAAAAIdO4kAAAAAAAAAAAAAAAAAEAAAAZHJzL1BLAwQUAAAACACHTuJAKINQj9cAAAAI&#10;AQAADwAAAGRycy9kb3ducmV2LnhtbE2PzU7DMBCE70h9B2srcaN2Q1TaEKdCCE5IiDQcODrxNoka&#10;r0Ps/vD2LCd629GMZr/Jtxc3iBNOofekYblQIJAab3tqNXxWr3drECEasmbwhBp+MMC2mN3kJrP+&#10;TCWedrEVXEIhMxq6GMdMytB06ExY+BGJvb2fnIksp1bayZy53A0yUWolnemJP3RmxOcOm8Pu6DQ8&#10;fVH50n+/1x/lvuyraqPobXXQ+na+VI8gIl7ifxj+8BkdCmaq/ZFsEIOG9CHZcJSPBAT76TplXWtI&#10;0nuQRS6vBxS/UEsDBBQAAAAIAIdO4kDPUXsXsgEAAGQDAAAOAAAAZHJzL2Uyb0RvYy54bWytU8GO&#10;0zAQvSPxD5bv1G0RXRQ1XWlVLUJCgLTwAa5jN5Zsj+XxNukPwB9w4sKd7+p3ME7SLiyXPezFGc+M&#10;38x7M1lf996xg05oIdR8MZtzpoOCxoZ9zb9+uX31ljPMMjTSQdA1P2rk15uXL9ZdrPQSWnCNToxA&#10;AlZdrHmbc6yEQNVqL3EGUQcKGkheZrqmvWiS7AjdO7Gcz1eig9TEBEojknc7BvmEmJ4CCMZYpbeg&#10;7r0OeURN2slMlLC1Eflm6NYYrfInY1Bn5mpOTPNwUhGyd+UUm7Ws9knG1qqpBfmUFh5x8tIGKnqB&#10;2sos2X2y/0F5qxIgmDxT4MVIZFCEWCzmj7S5a2XUAxeSGuNFdHw+WPXx8Dkx29AmcBakp4Gffnw/&#10;/fx9+vWNLYo8XcSKsu4i5eX+BvqSOvmRnIV1b5IvX+LDKE7iHi/i6j4zRc6rFU2fM0WRxfJq9fpN&#10;AREPb2PC/E6DZ8WoeaLRDYrKwwfMY+o5pZQKcGudI7+sXPjHQZjFI0rjY4PFyv2un7reQXMkMu59&#10;ICHLUpyNdDZ2k1HKlsck/tDrtChlun/fh6yHn2P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iD&#10;UI/XAAAACAEAAA8AAAAAAAAAAQAgAAAAIgAAAGRycy9kb3ducmV2LnhtbFBLAQIUABQAAAAIAIdO&#10;4kDPUXsXsgEAAGQDAAAOAAAAAAAAAAEAIAAAACYBAABkcnMvZTJvRG9jLnhtbFBLBQYAAAAABgAG&#10;AFkBAABKBQAAAAA=&#10;">
                      <v:fill on="f" focussize="0,0"/>
                      <v:stroke on="f"/>
                      <v:imagedata o:title=""/>
                      <o:lock v:ext="edit" aspectratio="f"/>
                      <v:textbox inset="0mm,0mm,0mm,0mm">
                        <w:txbxContent>
                          <w:p w14:paraId="7DB0402A">
                            <w:pPr>
                              <w:spacing w:before="19" w:line="197" w:lineRule="auto"/>
                              <w:ind w:left="20"/>
                              <w:rPr>
                                <w:rFonts w:ascii="Times New Roman" w:hAnsi="Times New Roman" w:eastAsia="Times New Roman" w:cs="Times New Roman"/>
                                <w:sz w:val="17"/>
                                <w:szCs w:val="17"/>
                              </w:rPr>
                            </w:pPr>
                          </w:p>
                        </w:txbxContent>
                      </v:textbox>
                    </v:shape>
                  </w:pict>
                </mc:Fallback>
              </mc:AlternateContent>
            </w:r>
          </w:p>
        </w:tc>
        <w:tc>
          <w:tcPr>
            <w:tcW w:w="1980" w:type="dxa"/>
            <w:vAlign w:val="center"/>
          </w:tcPr>
          <w:p w14:paraId="5B850EA2">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8"/>
                <w:sz w:val="24"/>
                <w:szCs w:val="24"/>
                <w:highlight w:val="none"/>
              </w:rPr>
              <w:t>投标文件递交地点</w:t>
            </w:r>
          </w:p>
        </w:tc>
        <w:tc>
          <w:tcPr>
            <w:tcW w:w="7366" w:type="dxa"/>
            <w:tcBorders>
              <w:right w:val="single" w:color="000000" w:sz="10" w:space="0"/>
            </w:tcBorders>
          </w:tcPr>
          <w:p w14:paraId="1A8F4587">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本项目采用不见面开标，加密的电子投标文件须在投标截止时间前通过CA在政采云平台上传。</w:t>
            </w:r>
          </w:p>
          <w:p w14:paraId="056B1C5F">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备注：供应商对不见面开评标系统的技术操作咨询，可通过</w:t>
            </w:r>
          </w:p>
          <w:p w14:paraId="792C1132">
            <w:pPr>
              <w:pStyle w:val="33"/>
              <w:spacing w:before="37" w:line="400" w:lineRule="exact"/>
              <w:rPr>
                <w:rFonts w:ascii="仿宋_GB2312" w:hAnsi="仿宋_GB2312" w:eastAsia="仿宋_GB2312" w:cs="仿宋_GB2312"/>
                <w:color w:val="auto"/>
                <w:spacing w:val="6"/>
                <w:sz w:val="24"/>
                <w:szCs w:val="24"/>
                <w:highlight w:val="none"/>
                <w:lang w:eastAsia="zh-CN"/>
              </w:rPr>
            </w:pPr>
            <w:r>
              <w:rPr>
                <w:color w:val="auto"/>
                <w:highlight w:val="none"/>
              </w:rPr>
              <w:fldChar w:fldCharType="begin"/>
            </w:r>
            <w:r>
              <w:rPr>
                <w:color w:val="auto"/>
                <w:highlight w:val="none"/>
              </w:rPr>
              <w:instrText xml:space="preserve"> HYPERLINK "https://edu.zcygov.cn/luban/xinjiang-e-biding" </w:instrText>
            </w:r>
            <w:r>
              <w:rPr>
                <w:color w:val="auto"/>
                <w:highlight w:val="none"/>
              </w:rPr>
              <w:fldChar w:fldCharType="separate"/>
            </w:r>
            <w:r>
              <w:rPr>
                <w:rFonts w:hint="eastAsia" w:ascii="仿宋_GB2312" w:hAnsi="仿宋_GB2312" w:eastAsia="仿宋_GB2312" w:cs="仿宋_GB2312"/>
                <w:color w:val="auto"/>
                <w:spacing w:val="6"/>
                <w:sz w:val="24"/>
                <w:szCs w:val="24"/>
                <w:highlight w:val="none"/>
                <w:lang w:eastAsia="zh-CN"/>
              </w:rPr>
              <w:t>https：//edu.zcygov.cn/luban/xinjiang-e-biding</w:t>
            </w:r>
            <w:r>
              <w:rPr>
                <w:rFonts w:hint="eastAsia" w:ascii="仿宋_GB2312" w:hAnsi="仿宋_GB2312" w:eastAsia="仿宋_GB2312" w:cs="仿宋_GB2312"/>
                <w:color w:val="auto"/>
                <w:spacing w:val="6"/>
                <w:sz w:val="24"/>
                <w:szCs w:val="24"/>
                <w:highlight w:val="none"/>
                <w:lang w:eastAsia="zh-CN"/>
              </w:rPr>
              <w:fldChar w:fldCharType="end"/>
            </w:r>
            <w:r>
              <w:rPr>
                <w:rFonts w:hint="eastAsia" w:ascii="仿宋_GB2312" w:hAnsi="仿宋_GB2312" w:eastAsia="仿宋_GB2312" w:cs="仿宋_GB2312"/>
                <w:color w:val="auto"/>
                <w:spacing w:val="6"/>
                <w:sz w:val="24"/>
                <w:szCs w:val="24"/>
                <w:highlight w:val="none"/>
                <w:lang w:eastAsia="zh-CN"/>
              </w:rPr>
              <w:t xml:space="preserve"> 自助查询，也可在政 采云帮助中心常见问题解答和操作流程讲解视频中自助查询，网址为：</w:t>
            </w:r>
          </w:p>
          <w:p w14:paraId="2A9C9D35">
            <w:pPr>
              <w:pStyle w:val="33"/>
              <w:spacing w:before="37" w:line="400" w:lineRule="exact"/>
              <w:rPr>
                <w:rFonts w:ascii="仿宋_GB2312" w:hAnsi="仿宋_GB2312" w:eastAsia="仿宋_GB2312" w:cs="仿宋_GB2312"/>
                <w:color w:val="auto"/>
                <w:sz w:val="24"/>
                <w:szCs w:val="24"/>
                <w:highlight w:val="none"/>
                <w:lang w:eastAsia="zh-CN"/>
              </w:rPr>
            </w:pPr>
            <w:r>
              <w:rPr>
                <w:color w:val="auto"/>
                <w:highlight w:val="none"/>
              </w:rPr>
              <w:fldChar w:fldCharType="begin"/>
            </w:r>
            <w:r>
              <w:rPr>
                <w:color w:val="auto"/>
                <w:highlight w:val="none"/>
              </w:rPr>
              <w:instrText xml:space="preserve"> HYPERLINK "https://service.zcygov.cn/#/help" </w:instrText>
            </w:r>
            <w:r>
              <w:rPr>
                <w:color w:val="auto"/>
                <w:highlight w:val="none"/>
              </w:rPr>
              <w:fldChar w:fldCharType="separate"/>
            </w:r>
            <w:r>
              <w:rPr>
                <w:rFonts w:hint="eastAsia" w:ascii="仿宋_GB2312" w:hAnsi="仿宋_GB2312" w:eastAsia="仿宋_GB2312" w:cs="仿宋_GB2312"/>
                <w:color w:val="auto"/>
                <w:spacing w:val="6"/>
                <w:sz w:val="24"/>
                <w:szCs w:val="24"/>
                <w:highlight w:val="none"/>
                <w:lang w:eastAsia="zh-CN"/>
              </w:rPr>
              <w:t>https：//service.zcygov.cn/#/help</w:t>
            </w:r>
            <w:r>
              <w:rPr>
                <w:rFonts w:hint="eastAsia" w:ascii="仿宋_GB2312" w:hAnsi="仿宋_GB2312" w:eastAsia="仿宋_GB2312" w:cs="仿宋_GB2312"/>
                <w:color w:val="auto"/>
                <w:spacing w:val="6"/>
                <w:sz w:val="24"/>
                <w:szCs w:val="24"/>
                <w:highlight w:val="none"/>
                <w:lang w:eastAsia="zh-CN"/>
              </w:rPr>
              <w:fldChar w:fldCharType="end"/>
            </w:r>
            <w:r>
              <w:rPr>
                <w:rFonts w:hint="eastAsia" w:ascii="仿宋_GB2312" w:hAnsi="仿宋_GB2312" w:eastAsia="仿宋_GB2312" w:cs="仿宋_GB2312"/>
                <w:color w:val="auto"/>
                <w:spacing w:val="6"/>
                <w:sz w:val="24"/>
                <w:szCs w:val="24"/>
                <w:highlight w:val="none"/>
                <w:lang w:eastAsia="zh-CN"/>
              </w:rPr>
              <w:t>，“项目采购”—“操作流程-电子招投标”—“政府采购项目电子交易管理操作指南-供应商”版面获取操作指南，同时对自助查询无法解决的问题可通过钉钉群及政采云在线客服获取服务支持。</w:t>
            </w:r>
          </w:p>
        </w:tc>
      </w:tr>
      <w:tr w14:paraId="21590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tcPr>
          <w:p w14:paraId="3C815258">
            <w:pPr>
              <w:spacing w:line="400" w:lineRule="exact"/>
              <w:rPr>
                <w:rFonts w:ascii="仿宋_GB2312" w:hAnsi="仿宋_GB2312" w:eastAsia="仿宋_GB2312" w:cs="仿宋_GB2312"/>
                <w:color w:val="auto"/>
                <w:sz w:val="24"/>
                <w:szCs w:val="24"/>
                <w:highlight w:val="none"/>
                <w:lang w:eastAsia="zh-CN"/>
              </w:rPr>
            </w:pPr>
          </w:p>
          <w:p w14:paraId="4840CE1D">
            <w:pPr>
              <w:spacing w:line="400" w:lineRule="exact"/>
              <w:rPr>
                <w:rFonts w:ascii="仿宋_GB2312" w:hAnsi="仿宋_GB2312" w:eastAsia="仿宋_GB2312" w:cs="仿宋_GB2312"/>
                <w:color w:val="auto"/>
                <w:sz w:val="24"/>
                <w:szCs w:val="24"/>
                <w:highlight w:val="none"/>
                <w:lang w:eastAsia="zh-CN"/>
              </w:rPr>
            </w:pPr>
          </w:p>
          <w:p w14:paraId="793007B2">
            <w:pPr>
              <w:spacing w:line="400" w:lineRule="exact"/>
              <w:rPr>
                <w:rFonts w:ascii="仿宋_GB2312" w:hAnsi="仿宋_GB2312" w:eastAsia="仿宋_GB2312" w:cs="仿宋_GB2312"/>
                <w:color w:val="auto"/>
                <w:sz w:val="24"/>
                <w:szCs w:val="24"/>
                <w:highlight w:val="none"/>
                <w:lang w:eastAsia="zh-CN"/>
              </w:rPr>
            </w:pPr>
          </w:p>
          <w:p w14:paraId="42A43DB6">
            <w:pPr>
              <w:spacing w:line="400" w:lineRule="exact"/>
              <w:rPr>
                <w:rFonts w:ascii="仿宋_GB2312" w:hAnsi="仿宋_GB2312" w:eastAsia="仿宋_GB2312" w:cs="仿宋_GB2312"/>
                <w:color w:val="auto"/>
                <w:sz w:val="24"/>
                <w:szCs w:val="24"/>
                <w:highlight w:val="none"/>
                <w:lang w:eastAsia="zh-CN"/>
              </w:rPr>
            </w:pPr>
          </w:p>
          <w:p w14:paraId="31E0474F">
            <w:pPr>
              <w:pStyle w:val="33"/>
              <w:spacing w:before="75" w:line="400" w:lineRule="exact"/>
              <w:ind w:left="292"/>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1980" w:type="dxa"/>
          </w:tcPr>
          <w:p w14:paraId="041C7386">
            <w:pPr>
              <w:spacing w:line="400" w:lineRule="exact"/>
              <w:rPr>
                <w:rFonts w:ascii="仿宋_GB2312" w:hAnsi="仿宋_GB2312" w:eastAsia="仿宋_GB2312" w:cs="仿宋_GB2312"/>
                <w:color w:val="auto"/>
                <w:sz w:val="24"/>
                <w:szCs w:val="24"/>
                <w:highlight w:val="none"/>
              </w:rPr>
            </w:pPr>
          </w:p>
          <w:p w14:paraId="52889CA4">
            <w:pPr>
              <w:spacing w:line="400" w:lineRule="exact"/>
              <w:rPr>
                <w:rFonts w:ascii="仿宋_GB2312" w:hAnsi="仿宋_GB2312" w:eastAsia="仿宋_GB2312" w:cs="仿宋_GB2312"/>
                <w:color w:val="auto"/>
                <w:sz w:val="24"/>
                <w:szCs w:val="24"/>
                <w:highlight w:val="none"/>
              </w:rPr>
            </w:pPr>
          </w:p>
          <w:p w14:paraId="5DEE2BEC">
            <w:pPr>
              <w:spacing w:line="400" w:lineRule="exact"/>
              <w:rPr>
                <w:rFonts w:ascii="仿宋_GB2312" w:hAnsi="仿宋_GB2312" w:eastAsia="仿宋_GB2312" w:cs="仿宋_GB2312"/>
                <w:color w:val="auto"/>
                <w:sz w:val="24"/>
                <w:szCs w:val="24"/>
                <w:highlight w:val="none"/>
              </w:rPr>
            </w:pPr>
          </w:p>
          <w:p w14:paraId="1517EF9A">
            <w:pPr>
              <w:pStyle w:val="33"/>
              <w:spacing w:before="74" w:line="400" w:lineRule="exact"/>
              <w:ind w:left="897" w:right="94" w:hanging="781"/>
              <w:jc w:val="center"/>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开标时间</w:t>
            </w:r>
            <w:r>
              <w:rPr>
                <w:rFonts w:hint="eastAsia" w:ascii="仿宋_GB2312" w:hAnsi="仿宋_GB2312" w:eastAsia="仿宋_GB2312" w:cs="仿宋_GB2312"/>
                <w:color w:val="auto"/>
                <w:spacing w:val="-10"/>
                <w:sz w:val="24"/>
                <w:szCs w:val="24"/>
                <w:highlight w:val="none"/>
                <w:lang w:eastAsia="zh-CN"/>
              </w:rPr>
              <w:t>及</w:t>
            </w:r>
            <w:r>
              <w:rPr>
                <w:rFonts w:hint="eastAsia" w:ascii="仿宋_GB2312" w:hAnsi="仿宋_GB2312" w:eastAsia="仿宋_GB2312" w:cs="仿宋_GB2312"/>
                <w:color w:val="auto"/>
                <w:spacing w:val="-10"/>
                <w:sz w:val="24"/>
                <w:szCs w:val="24"/>
                <w:highlight w:val="none"/>
              </w:rPr>
              <w:t>开标</w:t>
            </w:r>
          </w:p>
          <w:p w14:paraId="524FABE1">
            <w:pPr>
              <w:pStyle w:val="33"/>
              <w:spacing w:before="74" w:line="400" w:lineRule="exact"/>
              <w:ind w:left="897" w:right="94" w:hanging="781"/>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rPr>
              <w:t>地</w:t>
            </w:r>
            <w:r>
              <w:rPr>
                <w:rFonts w:hint="eastAsia" w:ascii="仿宋_GB2312" w:hAnsi="仿宋_GB2312" w:eastAsia="仿宋_GB2312" w:cs="仿宋_GB2312"/>
                <w:color w:val="auto"/>
                <w:sz w:val="24"/>
                <w:szCs w:val="24"/>
                <w:highlight w:val="none"/>
              </w:rPr>
              <w:t>点</w:t>
            </w:r>
          </w:p>
        </w:tc>
        <w:tc>
          <w:tcPr>
            <w:tcW w:w="7366" w:type="dxa"/>
            <w:tcBorders>
              <w:right w:val="single" w:color="000000" w:sz="10" w:space="0"/>
            </w:tcBorders>
          </w:tcPr>
          <w:p w14:paraId="5581B4C6">
            <w:pPr>
              <w:pStyle w:val="33"/>
              <w:spacing w:before="38"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5"/>
                <w:sz w:val="24"/>
                <w:szCs w:val="24"/>
                <w:highlight w:val="none"/>
                <w:lang w:eastAsia="zh-CN"/>
              </w:rPr>
              <w:t>开标时间：</w:t>
            </w:r>
            <w:r>
              <w:rPr>
                <w:rFonts w:hint="eastAsia" w:ascii="仿宋_GB2312" w:hAnsi="仿宋_GB2312" w:eastAsia="仿宋_GB2312" w:cs="仿宋_GB2312"/>
                <w:color w:val="auto"/>
                <w:sz w:val="24"/>
                <w:szCs w:val="24"/>
                <w:highlight w:val="none"/>
                <w:lang w:eastAsia="zh-CN"/>
              </w:rPr>
              <w:t>2026年</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月</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lang w:eastAsia="zh-CN"/>
              </w:rPr>
              <w:t>日11：00</w:t>
            </w:r>
            <w:r>
              <w:rPr>
                <w:rFonts w:hint="eastAsia" w:ascii="仿宋_GB2312" w:hAnsi="仿宋_GB2312" w:eastAsia="仿宋_GB2312" w:cs="仿宋_GB2312"/>
                <w:color w:val="auto"/>
                <w:spacing w:val="-9"/>
                <w:sz w:val="24"/>
                <w:szCs w:val="24"/>
                <w:highlight w:val="none"/>
                <w:lang w:eastAsia="zh-CN"/>
              </w:rPr>
              <w:t>时（北京时间）</w:t>
            </w:r>
          </w:p>
          <w:p w14:paraId="6C00E831">
            <w:pPr>
              <w:pStyle w:val="33"/>
              <w:spacing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8"/>
                <w:sz w:val="24"/>
                <w:szCs w:val="24"/>
                <w:highlight w:val="none"/>
                <w:lang w:eastAsia="zh-CN"/>
              </w:rPr>
              <w:t>开标地点：政采云开标大厅（</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仿宋_GB2312" w:hAnsi="仿宋_GB2312" w:eastAsia="仿宋_GB2312" w:cs="仿宋_GB2312"/>
                <w:color w:val="auto"/>
                <w:sz w:val="24"/>
                <w:szCs w:val="24"/>
                <w:highlight w:val="none"/>
                <w:u w:val="single"/>
                <w:lang w:eastAsia="zh-CN"/>
              </w:rPr>
              <w:t>https</w:t>
            </w:r>
            <w:r>
              <w:rPr>
                <w:rFonts w:hint="eastAsia" w:ascii="仿宋_GB2312" w:hAnsi="仿宋_GB2312" w:eastAsia="仿宋_GB2312" w:cs="仿宋_GB2312"/>
                <w:color w:val="auto"/>
                <w:spacing w:val="8"/>
                <w:sz w:val="24"/>
                <w:szCs w:val="24"/>
                <w:highlight w:val="none"/>
                <w:u w:val="single"/>
                <w:lang w:eastAsia="zh-CN"/>
              </w:rPr>
              <w:t>：//</w:t>
            </w:r>
            <w:r>
              <w:rPr>
                <w:rFonts w:hint="eastAsia" w:ascii="仿宋_GB2312" w:hAnsi="仿宋_GB2312" w:eastAsia="仿宋_GB2312" w:cs="仿宋_GB2312"/>
                <w:color w:val="auto"/>
                <w:sz w:val="24"/>
                <w:szCs w:val="24"/>
                <w:highlight w:val="none"/>
                <w:u w:val="single"/>
                <w:lang w:eastAsia="zh-CN"/>
              </w:rPr>
              <w:t>www</w:t>
            </w:r>
            <w:r>
              <w:rPr>
                <w:rFonts w:hint="eastAsia" w:ascii="仿宋_GB2312" w:hAnsi="仿宋_GB2312" w:eastAsia="仿宋_GB2312" w:cs="仿宋_GB2312"/>
                <w:color w:val="auto"/>
                <w:spacing w:val="8"/>
                <w:sz w:val="24"/>
                <w:szCs w:val="24"/>
                <w:highlight w:val="none"/>
                <w:u w:val="single"/>
                <w:lang w:eastAsia="zh-CN"/>
              </w:rPr>
              <w:t>.</w:t>
            </w:r>
            <w:r>
              <w:rPr>
                <w:rFonts w:hint="eastAsia" w:ascii="仿宋_GB2312" w:hAnsi="仿宋_GB2312" w:eastAsia="仿宋_GB2312" w:cs="仿宋_GB2312"/>
                <w:color w:val="auto"/>
                <w:sz w:val="24"/>
                <w:szCs w:val="24"/>
                <w:highlight w:val="none"/>
                <w:u w:val="single"/>
                <w:lang w:eastAsia="zh-CN"/>
              </w:rPr>
              <w:t>zcygov</w:t>
            </w:r>
            <w:r>
              <w:rPr>
                <w:rFonts w:hint="eastAsia" w:ascii="仿宋_GB2312" w:hAnsi="仿宋_GB2312" w:eastAsia="仿宋_GB2312" w:cs="仿宋_GB2312"/>
                <w:color w:val="auto"/>
                <w:spacing w:val="8"/>
                <w:sz w:val="24"/>
                <w:szCs w:val="24"/>
                <w:highlight w:val="none"/>
                <w:u w:val="single"/>
                <w:lang w:eastAsia="zh-CN"/>
              </w:rPr>
              <w:t>.</w:t>
            </w:r>
            <w:r>
              <w:rPr>
                <w:rFonts w:hint="eastAsia" w:ascii="仿宋_GB2312" w:hAnsi="仿宋_GB2312" w:eastAsia="仿宋_GB2312" w:cs="仿宋_GB2312"/>
                <w:color w:val="auto"/>
                <w:sz w:val="24"/>
                <w:szCs w:val="24"/>
                <w:highlight w:val="none"/>
                <w:u w:val="single"/>
                <w:lang w:eastAsia="zh-CN"/>
              </w:rPr>
              <w:t>cn</w:t>
            </w:r>
            <w:r>
              <w:rPr>
                <w:rFonts w:hint="eastAsia" w:ascii="仿宋_GB2312" w:hAnsi="仿宋_GB2312" w:eastAsia="仿宋_GB2312" w:cs="仿宋_GB2312"/>
                <w:color w:val="auto"/>
                <w:sz w:val="24"/>
                <w:szCs w:val="24"/>
                <w:highlight w:val="none"/>
                <w:u w:val="single"/>
                <w:lang w:eastAsia="zh-CN"/>
              </w:rPr>
              <w:fldChar w:fldCharType="end"/>
            </w:r>
            <w:r>
              <w:rPr>
                <w:rFonts w:hint="eastAsia" w:ascii="仿宋_GB2312" w:hAnsi="仿宋_GB2312" w:eastAsia="仿宋_GB2312" w:cs="仿宋_GB2312"/>
                <w:color w:val="auto"/>
                <w:spacing w:val="8"/>
                <w:sz w:val="24"/>
                <w:szCs w:val="24"/>
                <w:highlight w:val="none"/>
                <w:lang w:eastAsia="zh-CN"/>
              </w:rPr>
              <w:t>）</w:t>
            </w:r>
          </w:p>
          <w:p w14:paraId="79D89EF3">
            <w:pPr>
              <w:pStyle w:val="33"/>
              <w:spacing w:before="5" w:line="400" w:lineRule="exact"/>
              <w:ind w:left="116"/>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pacing w:val="4"/>
                <w:sz w:val="24"/>
                <w:szCs w:val="24"/>
                <w:highlight w:val="none"/>
                <w:lang w:eastAsia="zh-CN"/>
              </w:rPr>
              <w:t>本项目采用</w:t>
            </w:r>
            <w:r>
              <w:rPr>
                <w:rFonts w:hint="eastAsia" w:ascii="仿宋_GB2312" w:hAnsi="仿宋_GB2312" w:eastAsia="仿宋_GB2312" w:cs="仿宋_GB2312"/>
                <w:b/>
                <w:bCs/>
                <w:color w:val="auto"/>
                <w:spacing w:val="4"/>
                <w:sz w:val="24"/>
                <w:szCs w:val="24"/>
                <w:highlight w:val="none"/>
                <w:u w:val="single"/>
                <w:lang w:eastAsia="zh-CN"/>
              </w:rPr>
              <w:t>不见面开标</w:t>
            </w:r>
          </w:p>
          <w:p w14:paraId="0656D9ED">
            <w:pPr>
              <w:pStyle w:val="33"/>
              <w:spacing w:before="21" w:line="400" w:lineRule="exact"/>
              <w:ind w:left="117" w:right="187" w:firstLine="4"/>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0"/>
                <w:sz w:val="24"/>
                <w:szCs w:val="24"/>
                <w:highlight w:val="none"/>
                <w:lang w:eastAsia="zh-CN"/>
              </w:rPr>
              <w:t>注</w:t>
            </w:r>
            <w:r>
              <w:rPr>
                <w:rFonts w:hint="eastAsia" w:ascii="仿宋_GB2312" w:hAnsi="仿宋_GB2312" w:eastAsia="仿宋_GB2312" w:cs="仿宋_GB2312"/>
                <w:color w:val="auto"/>
                <w:spacing w:val="-9"/>
                <w:sz w:val="24"/>
                <w:szCs w:val="24"/>
                <w:highlight w:val="none"/>
                <w:lang w:eastAsia="zh-CN"/>
              </w:rPr>
              <w:t>：（</w:t>
            </w:r>
            <w:r>
              <w:rPr>
                <w:rFonts w:hint="eastAsia" w:ascii="仿宋_GB2312" w:hAnsi="仿宋_GB2312" w:eastAsia="仿宋_GB2312" w:cs="仿宋_GB2312"/>
                <w:color w:val="auto"/>
                <w:spacing w:val="10"/>
                <w:sz w:val="24"/>
                <w:szCs w:val="24"/>
                <w:highlight w:val="none"/>
                <w:lang w:eastAsia="zh-CN"/>
              </w:rPr>
              <w:t>1）供应商远程参与开标，并在规定的时间内</w:t>
            </w:r>
            <w:r>
              <w:rPr>
                <w:rFonts w:hint="eastAsia" w:ascii="仿宋_GB2312" w:hAnsi="仿宋_GB2312" w:eastAsia="仿宋_GB2312" w:cs="仿宋_GB2312"/>
                <w:color w:val="auto"/>
                <w:spacing w:val="9"/>
                <w:sz w:val="24"/>
                <w:szCs w:val="24"/>
                <w:highlight w:val="none"/>
                <w:lang w:eastAsia="zh-CN"/>
              </w:rPr>
              <w:t>完成对投标文件</w:t>
            </w:r>
            <w:r>
              <w:rPr>
                <w:rFonts w:hint="eastAsia" w:ascii="仿宋_GB2312" w:hAnsi="仿宋_GB2312" w:eastAsia="仿宋_GB2312" w:cs="仿宋_GB2312"/>
                <w:color w:val="auto"/>
                <w:spacing w:val="2"/>
                <w:sz w:val="24"/>
                <w:szCs w:val="24"/>
                <w:highlight w:val="none"/>
                <w:lang w:eastAsia="zh-CN"/>
              </w:rPr>
              <w:t>远程解密及报价确认，本项目供应商解密时长：30分钟，因供应商</w:t>
            </w:r>
            <w:r>
              <w:rPr>
                <w:rFonts w:hint="eastAsia" w:ascii="仿宋_GB2312" w:hAnsi="仿宋_GB2312" w:eastAsia="仿宋_GB2312" w:cs="仿宋_GB2312"/>
                <w:color w:val="auto"/>
                <w:spacing w:val="7"/>
                <w:sz w:val="24"/>
                <w:szCs w:val="24"/>
                <w:highlight w:val="none"/>
                <w:lang w:eastAsia="zh-CN"/>
              </w:rPr>
              <w:t>自身原因导致解密或报价确认失败，投标无效。</w:t>
            </w:r>
          </w:p>
          <w:p w14:paraId="4CF30023">
            <w:pPr>
              <w:pStyle w:val="33"/>
              <w:spacing w:before="25" w:line="400" w:lineRule="exact"/>
              <w:ind w:left="119" w:right="112" w:firstLine="1"/>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（2）</w:t>
            </w:r>
            <w:r>
              <w:rPr>
                <w:rFonts w:hint="eastAsia" w:ascii="仿宋_GB2312" w:hAnsi="仿宋_GB2312" w:eastAsia="仿宋_GB2312" w:cs="仿宋_GB2312"/>
                <w:color w:val="auto"/>
                <w:spacing w:val="-55"/>
                <w:sz w:val="24"/>
                <w:szCs w:val="24"/>
                <w:highlight w:val="none"/>
                <w:lang w:eastAsia="zh-CN"/>
              </w:rPr>
              <w:t xml:space="preserve"> </w:t>
            </w:r>
            <w:r>
              <w:rPr>
                <w:rFonts w:hint="eastAsia" w:ascii="仿宋_GB2312" w:hAnsi="仿宋_GB2312" w:eastAsia="仿宋_GB2312" w:cs="仿宋_GB2312"/>
                <w:color w:val="auto"/>
                <w:spacing w:val="7"/>
                <w:sz w:val="24"/>
                <w:szCs w:val="24"/>
                <w:highlight w:val="none"/>
                <w:lang w:eastAsia="zh-CN"/>
              </w:rPr>
              <w:t>因网上招标系统故障导致所有供应商均解密失败时，由采购人或采购代理机构现场请示项目主管部门处理。</w:t>
            </w:r>
          </w:p>
        </w:tc>
      </w:tr>
      <w:tr w14:paraId="04352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tcPr>
          <w:p w14:paraId="6FF64970">
            <w:pPr>
              <w:pStyle w:val="33"/>
              <w:spacing w:before="81" w:line="400" w:lineRule="exact"/>
              <w:ind w:left="24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rPr>
              <w:t>10</w:t>
            </w:r>
          </w:p>
        </w:tc>
        <w:tc>
          <w:tcPr>
            <w:tcW w:w="1980" w:type="dxa"/>
          </w:tcPr>
          <w:p w14:paraId="566C50D0">
            <w:pPr>
              <w:pStyle w:val="33"/>
              <w:spacing w:before="42" w:line="400" w:lineRule="exact"/>
              <w:ind w:left="515"/>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评标办法</w:t>
            </w:r>
          </w:p>
        </w:tc>
        <w:tc>
          <w:tcPr>
            <w:tcW w:w="7366" w:type="dxa"/>
            <w:tcBorders>
              <w:right w:val="single" w:color="000000" w:sz="10" w:space="0"/>
            </w:tcBorders>
          </w:tcPr>
          <w:p w14:paraId="14651076">
            <w:pPr>
              <w:pStyle w:val="33"/>
              <w:spacing w:before="42" w:line="400" w:lineRule="exact"/>
              <w:ind w:left="118"/>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rPr>
              <w:t>综合评分法</w:t>
            </w:r>
          </w:p>
        </w:tc>
      </w:tr>
      <w:tr w14:paraId="6D8A8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tcPr>
          <w:p w14:paraId="06B118F7">
            <w:pPr>
              <w:spacing w:line="400" w:lineRule="exact"/>
              <w:rPr>
                <w:rFonts w:ascii="仿宋_GB2312" w:hAnsi="仿宋_GB2312" w:eastAsia="仿宋_GB2312" w:cs="仿宋_GB2312"/>
                <w:color w:val="auto"/>
                <w:sz w:val="24"/>
                <w:szCs w:val="24"/>
                <w:highlight w:val="none"/>
              </w:rPr>
            </w:pPr>
          </w:p>
          <w:p w14:paraId="5317713A">
            <w:pPr>
              <w:spacing w:line="400" w:lineRule="exact"/>
              <w:rPr>
                <w:rFonts w:ascii="仿宋_GB2312" w:hAnsi="仿宋_GB2312" w:eastAsia="仿宋_GB2312" w:cs="仿宋_GB2312"/>
                <w:color w:val="auto"/>
                <w:sz w:val="24"/>
                <w:szCs w:val="24"/>
                <w:highlight w:val="none"/>
              </w:rPr>
            </w:pPr>
          </w:p>
          <w:p w14:paraId="455FB26F">
            <w:pPr>
              <w:spacing w:line="400" w:lineRule="exact"/>
              <w:rPr>
                <w:rFonts w:ascii="仿宋_GB2312" w:hAnsi="仿宋_GB2312" w:eastAsia="仿宋_GB2312" w:cs="仿宋_GB2312"/>
                <w:color w:val="auto"/>
                <w:sz w:val="24"/>
                <w:szCs w:val="24"/>
                <w:highlight w:val="none"/>
              </w:rPr>
            </w:pPr>
          </w:p>
          <w:p w14:paraId="034D298A">
            <w:pPr>
              <w:spacing w:line="400" w:lineRule="exact"/>
              <w:rPr>
                <w:rFonts w:ascii="仿宋_GB2312" w:hAnsi="仿宋_GB2312" w:eastAsia="仿宋_GB2312" w:cs="仿宋_GB2312"/>
                <w:color w:val="auto"/>
                <w:sz w:val="24"/>
                <w:szCs w:val="24"/>
                <w:highlight w:val="none"/>
              </w:rPr>
            </w:pPr>
          </w:p>
          <w:p w14:paraId="423F451C">
            <w:pPr>
              <w:spacing w:line="400" w:lineRule="exact"/>
              <w:rPr>
                <w:rFonts w:ascii="仿宋_GB2312" w:hAnsi="仿宋_GB2312" w:eastAsia="仿宋_GB2312" w:cs="仿宋_GB2312"/>
                <w:color w:val="auto"/>
                <w:sz w:val="24"/>
                <w:szCs w:val="24"/>
                <w:highlight w:val="none"/>
              </w:rPr>
            </w:pPr>
          </w:p>
          <w:p w14:paraId="104B22F0">
            <w:pPr>
              <w:spacing w:line="400" w:lineRule="exact"/>
              <w:rPr>
                <w:rFonts w:ascii="仿宋_GB2312" w:hAnsi="仿宋_GB2312" w:eastAsia="仿宋_GB2312" w:cs="仿宋_GB2312"/>
                <w:color w:val="auto"/>
                <w:sz w:val="24"/>
                <w:szCs w:val="24"/>
                <w:highlight w:val="none"/>
              </w:rPr>
            </w:pPr>
          </w:p>
          <w:p w14:paraId="2D87FA8D">
            <w:pPr>
              <w:spacing w:line="400" w:lineRule="exact"/>
              <w:rPr>
                <w:rFonts w:ascii="仿宋_GB2312" w:hAnsi="仿宋_GB2312" w:eastAsia="仿宋_GB2312" w:cs="仿宋_GB2312"/>
                <w:color w:val="auto"/>
                <w:sz w:val="24"/>
                <w:szCs w:val="24"/>
                <w:highlight w:val="none"/>
              </w:rPr>
            </w:pPr>
          </w:p>
          <w:p w14:paraId="54A3B0E3">
            <w:pPr>
              <w:spacing w:line="400" w:lineRule="exact"/>
              <w:rPr>
                <w:rFonts w:ascii="仿宋_GB2312" w:hAnsi="仿宋_GB2312" w:eastAsia="仿宋_GB2312" w:cs="仿宋_GB2312"/>
                <w:color w:val="auto"/>
                <w:sz w:val="24"/>
                <w:szCs w:val="24"/>
                <w:highlight w:val="none"/>
              </w:rPr>
            </w:pPr>
          </w:p>
          <w:p w14:paraId="26C5E11D">
            <w:pPr>
              <w:spacing w:line="400" w:lineRule="exact"/>
              <w:rPr>
                <w:rFonts w:ascii="仿宋_GB2312" w:hAnsi="仿宋_GB2312" w:eastAsia="仿宋_GB2312" w:cs="仿宋_GB2312"/>
                <w:color w:val="auto"/>
                <w:sz w:val="24"/>
                <w:szCs w:val="24"/>
                <w:highlight w:val="none"/>
              </w:rPr>
            </w:pPr>
          </w:p>
          <w:p w14:paraId="1059D78D">
            <w:pPr>
              <w:spacing w:line="400" w:lineRule="exact"/>
              <w:rPr>
                <w:rFonts w:ascii="仿宋_GB2312" w:hAnsi="仿宋_GB2312" w:eastAsia="仿宋_GB2312" w:cs="仿宋_GB2312"/>
                <w:color w:val="auto"/>
                <w:sz w:val="24"/>
                <w:szCs w:val="24"/>
                <w:highlight w:val="none"/>
              </w:rPr>
            </w:pPr>
          </w:p>
          <w:p w14:paraId="61AEF0AC">
            <w:pPr>
              <w:spacing w:line="400" w:lineRule="exact"/>
              <w:rPr>
                <w:rFonts w:ascii="仿宋_GB2312" w:hAnsi="仿宋_GB2312" w:eastAsia="仿宋_GB2312" w:cs="仿宋_GB2312"/>
                <w:color w:val="auto"/>
                <w:sz w:val="24"/>
                <w:szCs w:val="24"/>
                <w:highlight w:val="none"/>
              </w:rPr>
            </w:pPr>
          </w:p>
          <w:p w14:paraId="0F53D605">
            <w:pPr>
              <w:spacing w:line="400" w:lineRule="exact"/>
              <w:rPr>
                <w:rFonts w:ascii="仿宋_GB2312" w:hAnsi="仿宋_GB2312" w:eastAsia="仿宋_GB2312" w:cs="仿宋_GB2312"/>
                <w:color w:val="auto"/>
                <w:sz w:val="24"/>
                <w:szCs w:val="24"/>
                <w:highlight w:val="none"/>
              </w:rPr>
            </w:pPr>
          </w:p>
          <w:p w14:paraId="1E4647FF">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rPr>
              <w:t>11</w:t>
            </w:r>
          </w:p>
        </w:tc>
        <w:tc>
          <w:tcPr>
            <w:tcW w:w="1980" w:type="dxa"/>
          </w:tcPr>
          <w:p w14:paraId="0944D4BC">
            <w:pPr>
              <w:spacing w:line="400" w:lineRule="exact"/>
              <w:rPr>
                <w:rFonts w:ascii="仿宋_GB2312" w:hAnsi="仿宋_GB2312" w:eastAsia="仿宋_GB2312" w:cs="仿宋_GB2312"/>
                <w:color w:val="auto"/>
                <w:sz w:val="24"/>
                <w:szCs w:val="24"/>
                <w:highlight w:val="none"/>
              </w:rPr>
            </w:pPr>
          </w:p>
          <w:p w14:paraId="30A1F4A2">
            <w:pPr>
              <w:spacing w:line="400" w:lineRule="exact"/>
              <w:rPr>
                <w:rFonts w:ascii="仿宋_GB2312" w:hAnsi="仿宋_GB2312" w:eastAsia="仿宋_GB2312" w:cs="仿宋_GB2312"/>
                <w:color w:val="auto"/>
                <w:sz w:val="24"/>
                <w:szCs w:val="24"/>
                <w:highlight w:val="none"/>
              </w:rPr>
            </w:pPr>
          </w:p>
          <w:p w14:paraId="5032B781">
            <w:pPr>
              <w:spacing w:line="400" w:lineRule="exact"/>
              <w:rPr>
                <w:rFonts w:ascii="仿宋_GB2312" w:hAnsi="仿宋_GB2312" w:eastAsia="仿宋_GB2312" w:cs="仿宋_GB2312"/>
                <w:color w:val="auto"/>
                <w:sz w:val="24"/>
                <w:szCs w:val="24"/>
                <w:highlight w:val="none"/>
              </w:rPr>
            </w:pPr>
          </w:p>
          <w:p w14:paraId="44B6A2BC">
            <w:pPr>
              <w:spacing w:line="400" w:lineRule="exact"/>
              <w:rPr>
                <w:rFonts w:ascii="仿宋_GB2312" w:hAnsi="仿宋_GB2312" w:eastAsia="仿宋_GB2312" w:cs="仿宋_GB2312"/>
                <w:color w:val="auto"/>
                <w:sz w:val="24"/>
                <w:szCs w:val="24"/>
                <w:highlight w:val="none"/>
              </w:rPr>
            </w:pPr>
          </w:p>
          <w:p w14:paraId="2D8DDC17">
            <w:pPr>
              <w:spacing w:line="400" w:lineRule="exact"/>
              <w:rPr>
                <w:rFonts w:ascii="仿宋_GB2312" w:hAnsi="仿宋_GB2312" w:eastAsia="仿宋_GB2312" w:cs="仿宋_GB2312"/>
                <w:color w:val="auto"/>
                <w:sz w:val="24"/>
                <w:szCs w:val="24"/>
                <w:highlight w:val="none"/>
              </w:rPr>
            </w:pPr>
          </w:p>
          <w:p w14:paraId="3641375F">
            <w:pPr>
              <w:spacing w:line="400" w:lineRule="exact"/>
              <w:rPr>
                <w:rFonts w:ascii="仿宋_GB2312" w:hAnsi="仿宋_GB2312" w:eastAsia="仿宋_GB2312" w:cs="仿宋_GB2312"/>
                <w:color w:val="auto"/>
                <w:sz w:val="24"/>
                <w:szCs w:val="24"/>
                <w:highlight w:val="none"/>
              </w:rPr>
            </w:pPr>
          </w:p>
          <w:p w14:paraId="7EF60941">
            <w:pPr>
              <w:spacing w:line="400" w:lineRule="exact"/>
              <w:rPr>
                <w:rFonts w:ascii="仿宋_GB2312" w:hAnsi="仿宋_GB2312" w:eastAsia="仿宋_GB2312" w:cs="仿宋_GB2312"/>
                <w:color w:val="auto"/>
                <w:sz w:val="24"/>
                <w:szCs w:val="24"/>
                <w:highlight w:val="none"/>
              </w:rPr>
            </w:pPr>
          </w:p>
          <w:p w14:paraId="3FCE0956">
            <w:pPr>
              <w:spacing w:line="400" w:lineRule="exact"/>
              <w:rPr>
                <w:rFonts w:ascii="仿宋_GB2312" w:hAnsi="仿宋_GB2312" w:eastAsia="仿宋_GB2312" w:cs="仿宋_GB2312"/>
                <w:color w:val="auto"/>
                <w:sz w:val="24"/>
                <w:szCs w:val="24"/>
                <w:highlight w:val="none"/>
              </w:rPr>
            </w:pPr>
          </w:p>
          <w:p w14:paraId="5E48F258">
            <w:pPr>
              <w:spacing w:line="400" w:lineRule="exact"/>
              <w:rPr>
                <w:rFonts w:ascii="仿宋_GB2312" w:hAnsi="仿宋_GB2312" w:eastAsia="仿宋_GB2312" w:cs="仿宋_GB2312"/>
                <w:color w:val="auto"/>
                <w:sz w:val="24"/>
                <w:szCs w:val="24"/>
                <w:highlight w:val="none"/>
              </w:rPr>
            </w:pPr>
          </w:p>
          <w:p w14:paraId="2F860C76">
            <w:pPr>
              <w:spacing w:line="400" w:lineRule="exact"/>
              <w:rPr>
                <w:rFonts w:ascii="仿宋_GB2312" w:hAnsi="仿宋_GB2312" w:eastAsia="仿宋_GB2312" w:cs="仿宋_GB2312"/>
                <w:color w:val="auto"/>
                <w:sz w:val="24"/>
                <w:szCs w:val="24"/>
                <w:highlight w:val="none"/>
              </w:rPr>
            </w:pPr>
          </w:p>
          <w:p w14:paraId="4498D353">
            <w:pPr>
              <w:spacing w:line="400" w:lineRule="exact"/>
              <w:rPr>
                <w:rFonts w:ascii="仿宋_GB2312" w:hAnsi="仿宋_GB2312" w:eastAsia="仿宋_GB2312" w:cs="仿宋_GB2312"/>
                <w:color w:val="auto"/>
                <w:sz w:val="24"/>
                <w:szCs w:val="24"/>
                <w:highlight w:val="none"/>
              </w:rPr>
            </w:pPr>
          </w:p>
          <w:p w14:paraId="35EFE36E">
            <w:pPr>
              <w:spacing w:line="400" w:lineRule="exact"/>
              <w:rPr>
                <w:rFonts w:ascii="仿宋_GB2312" w:hAnsi="仿宋_GB2312" w:eastAsia="仿宋_GB2312" w:cs="仿宋_GB2312"/>
                <w:color w:val="auto"/>
                <w:sz w:val="24"/>
                <w:szCs w:val="24"/>
                <w:highlight w:val="none"/>
              </w:rPr>
            </w:pPr>
          </w:p>
          <w:p w14:paraId="4EF4C95A">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rPr>
              <w:t>投标保证金</w:t>
            </w:r>
          </w:p>
        </w:tc>
        <w:tc>
          <w:tcPr>
            <w:tcW w:w="7366" w:type="dxa"/>
            <w:tcBorders>
              <w:right w:val="single" w:color="000000" w:sz="10" w:space="0"/>
            </w:tcBorders>
          </w:tcPr>
          <w:p w14:paraId="1FDD6C19">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投标保证金：</w:t>
            </w:r>
          </w:p>
          <w:p w14:paraId="0C88ABDD">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val="en-US" w:eastAsia="zh-CN"/>
              </w:rPr>
              <w:t>金额：</w:t>
            </w:r>
            <w:r>
              <w:rPr>
                <w:rFonts w:hint="eastAsia" w:ascii="仿宋_GB2312" w:hAnsi="仿宋_GB2312" w:eastAsia="仿宋_GB2312" w:cs="仿宋_GB2312"/>
                <w:color w:val="auto"/>
                <w:spacing w:val="2"/>
                <w:sz w:val="24"/>
                <w:szCs w:val="24"/>
                <w:highlight w:val="none"/>
                <w:lang w:eastAsia="zh-CN"/>
              </w:rPr>
              <w:t>21005.00元</w:t>
            </w:r>
          </w:p>
          <w:p w14:paraId="7A5A152A">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接受保证金的银行及账号：</w:t>
            </w:r>
          </w:p>
          <w:p w14:paraId="6CEAF107">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开户名称：新疆华域建设工程项目管理咨询有限公司</w:t>
            </w:r>
          </w:p>
          <w:p w14:paraId="0C2D94A7">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开户银行：中国银行乌鲁木齐南湖东路支行</w:t>
            </w:r>
          </w:p>
          <w:p w14:paraId="4BAC8EED">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 xml:space="preserve">开户行行号：104881006151 </w:t>
            </w:r>
          </w:p>
          <w:p w14:paraId="35F40625">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账   号： 107083025521</w:t>
            </w:r>
          </w:p>
          <w:p w14:paraId="6D9C906E">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注：汇款单上需注明项目编号或项目名称。（如有字符限制可自行简写）</w:t>
            </w:r>
          </w:p>
          <w:p w14:paraId="2A5DC7BE">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保证金缴纳形式：保证金于投标截止时间之前缴纳，保证金应当以支票、汇票、本票、银行电汇、电子汇兑或者金融机构、担保机构出具的保函等非现金形式提交（选择其中一种方式缴纳）。供应商未按照文件要求提交投标保证金的，投标无效，将被拒绝评审，供应商提交投标保证金应充分考虑资金在途时间。</w:t>
            </w:r>
          </w:p>
          <w:p w14:paraId="6AC4A08F">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投标文件中需提供开户行许可证，以备后续退保证金使用。</w:t>
            </w:r>
          </w:p>
          <w:p w14:paraId="1450744E">
            <w:pPr>
              <w:pStyle w:val="33"/>
              <w:spacing w:before="21" w:line="400" w:lineRule="exact"/>
              <w:ind w:left="117" w:right="187" w:firstLine="4"/>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pacing w:val="2"/>
                <w:sz w:val="24"/>
                <w:szCs w:val="24"/>
                <w:highlight w:val="none"/>
                <w:lang w:eastAsia="zh-CN"/>
              </w:rPr>
              <w:t>注：汇款单上需备注项目名称、包号（可简写）</w:t>
            </w:r>
          </w:p>
        </w:tc>
      </w:tr>
      <w:tr w14:paraId="4808E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bottom w:val="single" w:color="000000" w:sz="10" w:space="0"/>
            </w:tcBorders>
          </w:tcPr>
          <w:p w14:paraId="773B4037">
            <w:pPr>
              <w:pStyle w:val="33"/>
              <w:spacing w:before="114" w:line="400" w:lineRule="exact"/>
              <w:ind w:left="24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rPr>
              <w:t>12</w:t>
            </w:r>
          </w:p>
        </w:tc>
        <w:tc>
          <w:tcPr>
            <w:tcW w:w="1980" w:type="dxa"/>
            <w:tcBorders>
              <w:bottom w:val="single" w:color="000000" w:sz="10" w:space="0"/>
            </w:tcBorders>
          </w:tcPr>
          <w:p w14:paraId="371B6469">
            <w:pPr>
              <w:pStyle w:val="33"/>
              <w:spacing w:before="74" w:line="400" w:lineRule="exact"/>
              <w:ind w:left="273"/>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lang w:eastAsia="zh-CN"/>
              </w:rPr>
              <w:t>采购文件</w:t>
            </w:r>
            <w:r>
              <w:rPr>
                <w:rFonts w:hint="eastAsia" w:ascii="仿宋_GB2312" w:hAnsi="仿宋_GB2312" w:eastAsia="仿宋_GB2312" w:cs="仿宋_GB2312"/>
                <w:color w:val="auto"/>
                <w:spacing w:val="7"/>
                <w:sz w:val="24"/>
                <w:szCs w:val="24"/>
                <w:highlight w:val="none"/>
              </w:rPr>
              <w:t>售价</w:t>
            </w:r>
          </w:p>
        </w:tc>
        <w:tc>
          <w:tcPr>
            <w:tcW w:w="7366" w:type="dxa"/>
            <w:tcBorders>
              <w:bottom w:val="single" w:color="000000" w:sz="10" w:space="0"/>
              <w:right w:val="single" w:color="000000" w:sz="10" w:space="0"/>
            </w:tcBorders>
          </w:tcPr>
          <w:p w14:paraId="30E7CF4F">
            <w:pPr>
              <w:pStyle w:val="33"/>
              <w:spacing w:before="74" w:line="400" w:lineRule="exact"/>
              <w:ind w:left="116"/>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rPr>
              <w:t>政采云平台免费下载</w:t>
            </w:r>
          </w:p>
        </w:tc>
      </w:tr>
      <w:tr w14:paraId="49E5D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18C30EA9">
            <w:pPr>
              <w:pStyle w:val="33"/>
              <w:spacing w:before="75"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0"/>
                <w:sz w:val="24"/>
                <w:szCs w:val="24"/>
                <w:highlight w:val="none"/>
              </w:rPr>
              <w:t>1</w:t>
            </w:r>
            <w:r>
              <w:rPr>
                <w:rFonts w:hint="eastAsia" w:ascii="仿宋_GB2312" w:hAnsi="仿宋_GB2312" w:eastAsia="仿宋_GB2312" w:cs="仿宋_GB2312"/>
                <w:color w:val="auto"/>
                <w:spacing w:val="-10"/>
                <w:sz w:val="24"/>
                <w:szCs w:val="24"/>
                <w:highlight w:val="none"/>
                <w:lang w:eastAsia="zh-CN"/>
              </w:rPr>
              <w:t>3</w:t>
            </w:r>
          </w:p>
        </w:tc>
        <w:tc>
          <w:tcPr>
            <w:tcW w:w="1980" w:type="dxa"/>
            <w:vAlign w:val="center"/>
          </w:tcPr>
          <w:p w14:paraId="0E162557">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履约保证金</w:t>
            </w:r>
          </w:p>
        </w:tc>
        <w:tc>
          <w:tcPr>
            <w:tcW w:w="7366" w:type="dxa"/>
            <w:tcBorders>
              <w:right w:val="single" w:color="000000" w:sz="10" w:space="0"/>
            </w:tcBorders>
          </w:tcPr>
          <w:p w14:paraId="02A33A13">
            <w:pPr>
              <w:pStyle w:val="33"/>
              <w:spacing w:before="21" w:line="400" w:lineRule="exact"/>
              <w:ind w:left="116"/>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w:t>
            </w:r>
            <w:r>
              <w:rPr>
                <w:rFonts w:hint="eastAsia" w:ascii="仿宋_GB2312" w:hAnsi="仿宋_GB2312" w:eastAsia="仿宋_GB2312" w:cs="仿宋_GB2312"/>
                <w:color w:val="auto"/>
                <w:sz w:val="24"/>
                <w:szCs w:val="24"/>
                <w:highlight w:val="none"/>
                <w:lang w:eastAsia="zh-CN"/>
              </w:rPr>
              <w:t>、履约保证金：中标金额*10%。</w:t>
            </w:r>
          </w:p>
          <w:p w14:paraId="4AF7989C">
            <w:pPr>
              <w:pStyle w:val="33"/>
              <w:spacing w:before="21" w:line="400" w:lineRule="exact"/>
              <w:ind w:left="116"/>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2、中标通知书发出7日内，</w:t>
            </w:r>
            <w:r>
              <w:rPr>
                <w:rFonts w:hint="eastAsia" w:ascii="仿宋_GB2312" w:hAnsi="仿宋_GB2312" w:eastAsia="仿宋_GB2312" w:cs="仿宋_GB2312"/>
                <w:color w:val="auto"/>
                <w:sz w:val="24"/>
                <w:szCs w:val="24"/>
                <w:highlight w:val="none"/>
                <w:lang w:val="en-US" w:eastAsia="zh-CN"/>
              </w:rPr>
              <w:t>中标供应商</w:t>
            </w:r>
            <w:r>
              <w:rPr>
                <w:rFonts w:hint="eastAsia" w:ascii="仿宋_GB2312" w:hAnsi="仿宋_GB2312" w:eastAsia="仿宋_GB2312" w:cs="仿宋_GB2312"/>
                <w:color w:val="auto"/>
                <w:sz w:val="24"/>
                <w:szCs w:val="24"/>
                <w:highlight w:val="none"/>
                <w:lang w:eastAsia="zh-CN"/>
              </w:rPr>
              <w:t>需按标项向</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缴纳履约保证金，服务期间</w:t>
            </w:r>
            <w:r>
              <w:rPr>
                <w:rFonts w:hint="eastAsia" w:ascii="仿宋_GB2312" w:hAnsi="仿宋_GB2312" w:eastAsia="仿宋_GB2312" w:cs="仿宋_GB2312"/>
                <w:color w:val="auto"/>
                <w:sz w:val="24"/>
                <w:szCs w:val="24"/>
                <w:highlight w:val="none"/>
                <w:lang w:val="en-US" w:eastAsia="zh-CN"/>
              </w:rPr>
              <w:t>中标供应商</w:t>
            </w:r>
            <w:r>
              <w:rPr>
                <w:rFonts w:hint="eastAsia" w:ascii="仿宋_GB2312" w:hAnsi="仿宋_GB2312" w:eastAsia="仿宋_GB2312" w:cs="仿宋_GB2312"/>
                <w:color w:val="auto"/>
                <w:sz w:val="24"/>
                <w:szCs w:val="24"/>
                <w:highlight w:val="none"/>
                <w:lang w:eastAsia="zh-CN"/>
              </w:rPr>
              <w:t>必须按照行业标准和合同约定进行供货服务，如若出现违反相关合同条款规定的情况发生，</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有权扣除</w:t>
            </w:r>
            <w:r>
              <w:rPr>
                <w:rFonts w:hint="eastAsia" w:ascii="仿宋_GB2312" w:hAnsi="仿宋_GB2312" w:eastAsia="仿宋_GB2312" w:cs="仿宋_GB2312"/>
                <w:color w:val="auto"/>
                <w:sz w:val="24"/>
                <w:szCs w:val="24"/>
                <w:highlight w:val="none"/>
                <w:lang w:val="en-US" w:eastAsia="zh-CN"/>
              </w:rPr>
              <w:t>中标供应商</w:t>
            </w:r>
            <w:r>
              <w:rPr>
                <w:rFonts w:hint="eastAsia" w:ascii="仿宋_GB2312" w:hAnsi="仿宋_GB2312" w:eastAsia="仿宋_GB2312" w:cs="仿宋_GB2312"/>
                <w:color w:val="auto"/>
                <w:sz w:val="24"/>
                <w:szCs w:val="24"/>
                <w:highlight w:val="none"/>
                <w:lang w:eastAsia="zh-CN"/>
              </w:rPr>
              <w:t>履约保证金。若未发生问题，待服务期满后1个月内</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将无息退还全部履约保证金。</w:t>
            </w:r>
          </w:p>
          <w:p w14:paraId="17A66AE0">
            <w:pPr>
              <w:pStyle w:val="33"/>
              <w:spacing w:before="21" w:line="400" w:lineRule="exact"/>
              <w:ind w:left="116"/>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3、如未收到履约保证金，</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可视为</w:t>
            </w:r>
            <w:r>
              <w:rPr>
                <w:rFonts w:hint="eastAsia" w:ascii="仿宋_GB2312" w:hAnsi="仿宋_GB2312" w:eastAsia="仿宋_GB2312" w:cs="仿宋_GB2312"/>
                <w:color w:val="auto"/>
                <w:sz w:val="24"/>
                <w:szCs w:val="24"/>
                <w:highlight w:val="none"/>
                <w:lang w:val="en-US" w:eastAsia="zh-CN"/>
              </w:rPr>
              <w:t>中标供应商</w:t>
            </w:r>
            <w:r>
              <w:rPr>
                <w:rFonts w:hint="eastAsia" w:ascii="仿宋_GB2312" w:hAnsi="仿宋_GB2312" w:eastAsia="仿宋_GB2312" w:cs="仿宋_GB2312"/>
                <w:color w:val="auto"/>
                <w:sz w:val="24"/>
                <w:szCs w:val="24"/>
                <w:highlight w:val="none"/>
                <w:lang w:eastAsia="zh-CN"/>
              </w:rPr>
              <w:t>自行放弃中标结果。如</w:t>
            </w:r>
            <w:r>
              <w:rPr>
                <w:rFonts w:hint="eastAsia" w:ascii="仿宋_GB2312" w:hAnsi="仿宋_GB2312" w:eastAsia="仿宋_GB2312" w:cs="仿宋_GB2312"/>
                <w:color w:val="auto"/>
                <w:sz w:val="24"/>
                <w:szCs w:val="24"/>
                <w:highlight w:val="none"/>
                <w:lang w:val="en-US" w:eastAsia="zh-CN"/>
              </w:rPr>
              <w:t>中标供应商</w:t>
            </w:r>
            <w:r>
              <w:rPr>
                <w:rFonts w:hint="eastAsia" w:ascii="仿宋_GB2312" w:hAnsi="仿宋_GB2312" w:eastAsia="仿宋_GB2312" w:cs="仿宋_GB2312"/>
                <w:color w:val="auto"/>
                <w:sz w:val="24"/>
                <w:szCs w:val="24"/>
                <w:highlight w:val="none"/>
                <w:lang w:eastAsia="zh-CN"/>
              </w:rPr>
              <w:t>无故不履行合同或存在履行瑕疵，履约保证金的受益人为</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，将不予退还。</w:t>
            </w:r>
          </w:p>
          <w:p w14:paraId="665EC174">
            <w:pPr>
              <w:pStyle w:val="33"/>
              <w:spacing w:before="21" w:line="400" w:lineRule="exact"/>
              <w:ind w:left="116"/>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4、收取履约保证金形式：转账支票或电汇或履约保函（见索即付型保函）等非现金形式。 </w:t>
            </w:r>
          </w:p>
          <w:p w14:paraId="5C30742D">
            <w:pPr>
              <w:pStyle w:val="33"/>
              <w:spacing w:before="21" w:line="400" w:lineRule="exact"/>
              <w:ind w:left="116"/>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5、履约担保期限：合同履行期限内。 </w:t>
            </w:r>
          </w:p>
        </w:tc>
      </w:tr>
      <w:tr w14:paraId="16118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restart"/>
            <w:tcBorders>
              <w:left w:val="single" w:color="000000" w:sz="10" w:space="0"/>
            </w:tcBorders>
            <w:vAlign w:val="center"/>
          </w:tcPr>
          <w:p w14:paraId="1198DF43">
            <w:pPr>
              <w:pStyle w:val="33"/>
              <w:spacing w:before="74"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0"/>
                <w:sz w:val="24"/>
                <w:szCs w:val="24"/>
                <w:highlight w:val="none"/>
              </w:rPr>
              <w:t>1</w:t>
            </w:r>
            <w:r>
              <w:rPr>
                <w:rFonts w:hint="eastAsia" w:ascii="仿宋_GB2312" w:hAnsi="仿宋_GB2312" w:eastAsia="仿宋_GB2312" w:cs="仿宋_GB2312"/>
                <w:color w:val="auto"/>
                <w:spacing w:val="-10"/>
                <w:sz w:val="24"/>
                <w:szCs w:val="24"/>
                <w:highlight w:val="none"/>
                <w:lang w:eastAsia="zh-CN"/>
              </w:rPr>
              <w:t>4</w:t>
            </w:r>
          </w:p>
        </w:tc>
        <w:tc>
          <w:tcPr>
            <w:tcW w:w="1980" w:type="dxa"/>
          </w:tcPr>
          <w:p w14:paraId="30B9CA1C">
            <w:pPr>
              <w:pStyle w:val="33"/>
              <w:spacing w:before="21"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供货期</w:t>
            </w:r>
            <w:r>
              <w:rPr>
                <w:rFonts w:hint="eastAsia" w:ascii="仿宋_GB2312" w:hAnsi="仿宋_GB2312" w:eastAsia="仿宋_GB2312" w:cs="仿宋_GB2312"/>
                <w:b/>
                <w:bCs/>
                <w:color w:val="auto"/>
                <w:spacing w:val="2"/>
                <w:sz w:val="24"/>
                <w:szCs w:val="24"/>
                <w:highlight w:val="none"/>
                <w:lang w:eastAsia="zh-CN"/>
              </w:rPr>
              <w:t>（实质性条款）</w:t>
            </w:r>
          </w:p>
        </w:tc>
        <w:tc>
          <w:tcPr>
            <w:tcW w:w="7366" w:type="dxa"/>
            <w:tcBorders>
              <w:right w:val="single" w:color="000000" w:sz="10" w:space="0"/>
            </w:tcBorders>
            <w:vAlign w:val="center"/>
          </w:tcPr>
          <w:p w14:paraId="628B538F">
            <w:pPr>
              <w:pStyle w:val="33"/>
              <w:spacing w:before="39" w:line="400" w:lineRule="exact"/>
              <w:ind w:left="120" w:right="97"/>
              <w:rPr>
                <w:rFonts w:ascii="仿宋_GB2312" w:hAnsi="仿宋_GB2312" w:eastAsia="仿宋_GB2312" w:cs="仿宋_GB2312"/>
                <w:color w:val="auto"/>
                <w:spacing w:val="10"/>
                <w:sz w:val="24"/>
                <w:szCs w:val="24"/>
                <w:highlight w:val="none"/>
                <w:lang w:eastAsia="zh-CN"/>
              </w:rPr>
            </w:pPr>
            <w:r>
              <w:rPr>
                <w:rFonts w:hint="eastAsia" w:ascii="仿宋_GB2312" w:hAnsi="仿宋_GB2312" w:eastAsia="仿宋_GB2312" w:cs="仿宋_GB2312"/>
                <w:b/>
                <w:bCs/>
                <w:color w:val="auto"/>
                <w:spacing w:val="10"/>
                <w:sz w:val="24"/>
                <w:szCs w:val="24"/>
                <w:highlight w:val="none"/>
                <w:lang w:eastAsia="zh-CN"/>
              </w:rPr>
              <w:t>自采购合同签订日期起，服务期限一年（365天）。</w:t>
            </w:r>
          </w:p>
        </w:tc>
      </w:tr>
      <w:tr w14:paraId="3142B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22" w:type="dxa"/>
            <w:vMerge w:val="continue"/>
            <w:tcBorders>
              <w:left w:val="single" w:color="000000" w:sz="10" w:space="0"/>
            </w:tcBorders>
          </w:tcPr>
          <w:p w14:paraId="39AB20D3">
            <w:pPr>
              <w:spacing w:line="400" w:lineRule="exact"/>
              <w:rPr>
                <w:rFonts w:ascii="仿宋_GB2312" w:hAnsi="仿宋_GB2312" w:eastAsia="仿宋_GB2312" w:cs="仿宋_GB2312"/>
                <w:color w:val="auto"/>
                <w:sz w:val="24"/>
                <w:szCs w:val="24"/>
                <w:highlight w:val="none"/>
                <w:lang w:eastAsia="zh-CN"/>
              </w:rPr>
            </w:pPr>
          </w:p>
        </w:tc>
        <w:tc>
          <w:tcPr>
            <w:tcW w:w="1980" w:type="dxa"/>
          </w:tcPr>
          <w:p w14:paraId="75172214">
            <w:pPr>
              <w:pStyle w:val="33"/>
              <w:spacing w:before="46"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4"/>
                <w:sz w:val="24"/>
                <w:szCs w:val="24"/>
                <w:highlight w:val="none"/>
                <w:lang w:eastAsia="zh-CN"/>
              </w:rPr>
              <w:t xml:space="preserve">交货地点        </w:t>
            </w:r>
            <w:r>
              <w:rPr>
                <w:rFonts w:hint="eastAsia" w:ascii="仿宋_GB2312" w:hAnsi="仿宋_GB2312" w:eastAsia="仿宋_GB2312" w:cs="仿宋_GB2312"/>
                <w:b/>
                <w:bCs/>
                <w:color w:val="auto"/>
                <w:spacing w:val="2"/>
                <w:sz w:val="24"/>
                <w:szCs w:val="24"/>
                <w:highlight w:val="none"/>
                <w:lang w:eastAsia="zh-CN"/>
              </w:rPr>
              <w:t>（实质性条款）</w:t>
            </w:r>
          </w:p>
        </w:tc>
        <w:tc>
          <w:tcPr>
            <w:tcW w:w="7366" w:type="dxa"/>
            <w:tcBorders>
              <w:right w:val="single" w:color="000000" w:sz="10" w:space="0"/>
            </w:tcBorders>
          </w:tcPr>
          <w:p w14:paraId="13835AE5">
            <w:pPr>
              <w:pStyle w:val="33"/>
              <w:spacing w:before="39" w:line="400" w:lineRule="exact"/>
              <w:ind w:left="120" w:right="97"/>
              <w:rPr>
                <w:rFonts w:ascii="仿宋_GB2312" w:hAnsi="仿宋_GB2312" w:eastAsia="仿宋_GB2312" w:cs="仿宋_GB2312"/>
                <w:color w:val="auto"/>
                <w:spacing w:val="10"/>
                <w:sz w:val="24"/>
                <w:szCs w:val="24"/>
                <w:highlight w:val="none"/>
                <w:lang w:eastAsia="zh-CN"/>
              </w:rPr>
            </w:pPr>
            <w:r>
              <w:rPr>
                <w:rFonts w:hint="eastAsia" w:ascii="仿宋_GB2312" w:hAnsi="仿宋_GB2312" w:eastAsia="仿宋_GB2312" w:cs="仿宋_GB2312"/>
                <w:color w:val="auto"/>
                <w:spacing w:val="10"/>
                <w:sz w:val="24"/>
                <w:szCs w:val="24"/>
                <w:highlight w:val="none"/>
                <w:lang w:val="en-US" w:eastAsia="zh-CN"/>
              </w:rPr>
              <w:t>采购人</w:t>
            </w:r>
            <w:r>
              <w:rPr>
                <w:rFonts w:hint="eastAsia" w:ascii="仿宋_GB2312" w:hAnsi="仿宋_GB2312" w:eastAsia="仿宋_GB2312" w:cs="仿宋_GB2312"/>
                <w:color w:val="auto"/>
                <w:spacing w:val="10"/>
                <w:sz w:val="24"/>
                <w:szCs w:val="24"/>
                <w:highlight w:val="none"/>
                <w:lang w:eastAsia="zh-CN"/>
              </w:rPr>
              <w:t>指定地点。</w:t>
            </w:r>
          </w:p>
        </w:tc>
      </w:tr>
      <w:tr w14:paraId="05D87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68C54003">
            <w:pPr>
              <w:pStyle w:val="33"/>
              <w:spacing w:before="242"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0"/>
                <w:sz w:val="24"/>
                <w:szCs w:val="24"/>
                <w:highlight w:val="none"/>
              </w:rPr>
              <w:t>1</w:t>
            </w:r>
            <w:r>
              <w:rPr>
                <w:rFonts w:hint="eastAsia" w:ascii="仿宋_GB2312" w:hAnsi="仿宋_GB2312" w:eastAsia="仿宋_GB2312" w:cs="仿宋_GB2312"/>
                <w:color w:val="auto"/>
                <w:spacing w:val="-10"/>
                <w:sz w:val="24"/>
                <w:szCs w:val="24"/>
                <w:highlight w:val="none"/>
                <w:lang w:eastAsia="zh-CN"/>
              </w:rPr>
              <w:t>5</w:t>
            </w:r>
          </w:p>
        </w:tc>
        <w:tc>
          <w:tcPr>
            <w:tcW w:w="1980" w:type="dxa"/>
            <w:vAlign w:val="center"/>
          </w:tcPr>
          <w:p w14:paraId="7235AECB">
            <w:pPr>
              <w:pStyle w:val="33"/>
              <w:spacing w:before="4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rPr>
              <w:t>付款方式</w:t>
            </w:r>
          </w:p>
        </w:tc>
        <w:tc>
          <w:tcPr>
            <w:tcW w:w="7366" w:type="dxa"/>
            <w:tcBorders>
              <w:right w:val="single" w:color="000000" w:sz="10" w:space="0"/>
            </w:tcBorders>
          </w:tcPr>
          <w:p w14:paraId="107F9DAE">
            <w:pPr>
              <w:pStyle w:val="33"/>
              <w:spacing w:before="27"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1.结算方式：实行按月结算，每月甲乙双方核对确认上月验收合格供货明细清单，核对无误后由乙方开具合法合规、足额有效的增值税普通发票。</w:t>
            </w:r>
          </w:p>
          <w:p w14:paraId="0AD0E053">
            <w:pPr>
              <w:pStyle w:val="33"/>
              <w:spacing w:before="27"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付款期限：甲方收齐乙方合规发票及完整结算资料后，30个自然日内以对公转账方式支付对应货款。因乙方逾期、错漏开具发票导致付款延后的，甲方付款期限相应顺延，不视为甲方逾期付款、不构成甲方违约。乙方收款账户以合同落款签章处登记信息为准，账户信息发生变更，乙方须提前 3 日向甲方出具正式书面变更通知，未提前书面告知的，甲方按原账户信息完成付款即视为履约完毕。</w:t>
            </w:r>
          </w:p>
          <w:p w14:paraId="0A3A87E7">
            <w:pPr>
              <w:pStyle w:val="33"/>
              <w:spacing w:before="27"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3.付款前置条件：食材全数现场验收合格、供货及验收资料完整齐备、发票开具规范无误，且双方无食材质量争议、乙方无任何合同违约行为，满足全部条件后方予办理付款。</w:t>
            </w:r>
          </w:p>
          <w:p w14:paraId="027C61CB">
            <w:pPr>
              <w:pStyle w:val="33"/>
              <w:spacing w:before="27"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4.食品安全责任：若因乙方供应食材本身质量不合格、食材安全不达标引发食品安全问题及安全事故，全部民事赔偿、行政处罚、刑事法律责任均由乙方独立全额承担，同时乙方须赔偿甲方由此产生的一切直接损失与间接损失。</w:t>
            </w:r>
          </w:p>
          <w:p w14:paraId="78C0570C">
            <w:pPr>
              <w:pStyle w:val="33"/>
              <w:spacing w:before="27"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5.结算币种：合同项下所有货款、违约金、赔偿金及相关往来款项，统一以人民币进行计价、结算与支付。</w:t>
            </w:r>
          </w:p>
        </w:tc>
      </w:tr>
      <w:tr w14:paraId="03DD5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2" w:type="dxa"/>
            <w:tcBorders>
              <w:left w:val="single" w:color="000000" w:sz="10" w:space="0"/>
            </w:tcBorders>
            <w:vAlign w:val="center"/>
          </w:tcPr>
          <w:p w14:paraId="5B7F972C">
            <w:pPr>
              <w:pStyle w:val="33"/>
              <w:spacing w:before="74"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0"/>
                <w:sz w:val="24"/>
                <w:szCs w:val="24"/>
                <w:highlight w:val="none"/>
              </w:rPr>
              <w:t>1</w:t>
            </w:r>
            <w:r>
              <w:rPr>
                <w:rFonts w:hint="eastAsia" w:ascii="仿宋_GB2312" w:hAnsi="仿宋_GB2312" w:eastAsia="仿宋_GB2312" w:cs="仿宋_GB2312"/>
                <w:color w:val="auto"/>
                <w:spacing w:val="-10"/>
                <w:sz w:val="24"/>
                <w:szCs w:val="24"/>
                <w:highlight w:val="none"/>
                <w:lang w:eastAsia="zh-CN"/>
              </w:rPr>
              <w:t>6</w:t>
            </w:r>
          </w:p>
        </w:tc>
        <w:tc>
          <w:tcPr>
            <w:tcW w:w="1980" w:type="dxa"/>
          </w:tcPr>
          <w:p w14:paraId="48D76B05">
            <w:pPr>
              <w:pStyle w:val="33"/>
              <w:spacing w:before="204"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 xml:space="preserve">质保期            </w:t>
            </w:r>
            <w:r>
              <w:rPr>
                <w:rFonts w:hint="eastAsia" w:ascii="仿宋_GB2312" w:hAnsi="仿宋_GB2312" w:eastAsia="仿宋_GB2312" w:cs="仿宋_GB2312"/>
                <w:b/>
                <w:bCs/>
                <w:color w:val="auto"/>
                <w:spacing w:val="2"/>
                <w:sz w:val="24"/>
                <w:szCs w:val="24"/>
                <w:highlight w:val="none"/>
                <w:lang w:eastAsia="zh-CN"/>
              </w:rPr>
              <w:t>（实质性条款）</w:t>
            </w:r>
          </w:p>
        </w:tc>
        <w:tc>
          <w:tcPr>
            <w:tcW w:w="7366" w:type="dxa"/>
            <w:tcBorders>
              <w:right w:val="single" w:color="000000" w:sz="10" w:space="0"/>
            </w:tcBorders>
            <w:vAlign w:val="center"/>
          </w:tcPr>
          <w:p w14:paraId="0B317836">
            <w:pPr>
              <w:pStyle w:val="33"/>
              <w:spacing w:before="48" w:line="400" w:lineRule="exact"/>
              <w:ind w:left="115" w:right="186"/>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供应商保证所供货物质量新鲜，有保质期约定的货品，配送的货品质保期应在80%以上，否则采购人有权按照不符合合同约定要求退换货物。（例：如质保期为10个月的，供货时剩余的质保期应当大于或等于8个月）。</w:t>
            </w:r>
          </w:p>
        </w:tc>
      </w:tr>
      <w:tr w14:paraId="6A840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2" w:type="dxa"/>
            <w:tcBorders>
              <w:left w:val="single" w:color="000000" w:sz="10" w:space="0"/>
            </w:tcBorders>
          </w:tcPr>
          <w:p w14:paraId="5D71D56F">
            <w:pPr>
              <w:spacing w:line="400" w:lineRule="exact"/>
              <w:rPr>
                <w:rFonts w:ascii="仿宋_GB2312" w:hAnsi="仿宋_GB2312" w:eastAsia="仿宋_GB2312" w:cs="仿宋_GB2312"/>
                <w:color w:val="auto"/>
                <w:sz w:val="24"/>
                <w:szCs w:val="24"/>
                <w:highlight w:val="none"/>
                <w:lang w:eastAsia="zh-CN"/>
              </w:rPr>
            </w:pPr>
          </w:p>
          <w:p w14:paraId="7315F5A9">
            <w:pPr>
              <w:spacing w:line="400" w:lineRule="exact"/>
              <w:rPr>
                <w:rFonts w:ascii="仿宋_GB2312" w:hAnsi="仿宋_GB2312" w:eastAsia="仿宋_GB2312" w:cs="仿宋_GB2312"/>
                <w:color w:val="auto"/>
                <w:sz w:val="24"/>
                <w:szCs w:val="24"/>
                <w:highlight w:val="none"/>
                <w:lang w:eastAsia="zh-CN"/>
              </w:rPr>
            </w:pPr>
          </w:p>
          <w:p w14:paraId="2C7E5BA4">
            <w:pPr>
              <w:spacing w:line="400" w:lineRule="exact"/>
              <w:rPr>
                <w:rFonts w:ascii="仿宋_GB2312" w:hAnsi="仿宋_GB2312" w:eastAsia="仿宋_GB2312" w:cs="仿宋_GB2312"/>
                <w:color w:val="auto"/>
                <w:sz w:val="24"/>
                <w:szCs w:val="24"/>
                <w:highlight w:val="none"/>
                <w:lang w:eastAsia="zh-CN"/>
              </w:rPr>
            </w:pPr>
          </w:p>
          <w:p w14:paraId="068E772D">
            <w:pPr>
              <w:spacing w:line="400" w:lineRule="exact"/>
              <w:rPr>
                <w:rFonts w:ascii="仿宋_GB2312" w:hAnsi="仿宋_GB2312" w:eastAsia="仿宋_GB2312" w:cs="仿宋_GB2312"/>
                <w:color w:val="auto"/>
                <w:sz w:val="24"/>
                <w:szCs w:val="24"/>
                <w:highlight w:val="none"/>
                <w:lang w:eastAsia="zh-CN"/>
              </w:rPr>
            </w:pPr>
          </w:p>
          <w:p w14:paraId="227EAF99">
            <w:pPr>
              <w:spacing w:line="400" w:lineRule="exact"/>
              <w:rPr>
                <w:rFonts w:ascii="仿宋_GB2312" w:hAnsi="仿宋_GB2312" w:eastAsia="仿宋_GB2312" w:cs="仿宋_GB2312"/>
                <w:color w:val="auto"/>
                <w:sz w:val="24"/>
                <w:szCs w:val="24"/>
                <w:highlight w:val="none"/>
                <w:lang w:eastAsia="zh-CN"/>
              </w:rPr>
            </w:pPr>
          </w:p>
          <w:p w14:paraId="71234789">
            <w:pPr>
              <w:spacing w:line="400" w:lineRule="exact"/>
              <w:rPr>
                <w:rFonts w:ascii="仿宋_GB2312" w:hAnsi="仿宋_GB2312" w:eastAsia="仿宋_GB2312" w:cs="仿宋_GB2312"/>
                <w:color w:val="auto"/>
                <w:sz w:val="24"/>
                <w:szCs w:val="24"/>
                <w:highlight w:val="none"/>
                <w:lang w:eastAsia="zh-CN"/>
              </w:rPr>
            </w:pPr>
          </w:p>
          <w:p w14:paraId="717C537E">
            <w:pPr>
              <w:spacing w:line="400" w:lineRule="exact"/>
              <w:rPr>
                <w:rFonts w:ascii="仿宋_GB2312" w:hAnsi="仿宋_GB2312" w:eastAsia="仿宋_GB2312" w:cs="仿宋_GB2312"/>
                <w:color w:val="auto"/>
                <w:sz w:val="24"/>
                <w:szCs w:val="24"/>
                <w:highlight w:val="none"/>
                <w:lang w:eastAsia="zh-CN"/>
              </w:rPr>
            </w:pPr>
          </w:p>
          <w:p w14:paraId="499C0B39">
            <w:pPr>
              <w:spacing w:line="400" w:lineRule="exact"/>
              <w:rPr>
                <w:rFonts w:ascii="仿宋_GB2312" w:hAnsi="仿宋_GB2312" w:eastAsia="仿宋_GB2312" w:cs="仿宋_GB2312"/>
                <w:color w:val="auto"/>
                <w:sz w:val="24"/>
                <w:szCs w:val="24"/>
                <w:highlight w:val="none"/>
                <w:lang w:eastAsia="zh-CN"/>
              </w:rPr>
            </w:pPr>
          </w:p>
          <w:p w14:paraId="02676CB1">
            <w:pPr>
              <w:spacing w:line="400" w:lineRule="exact"/>
              <w:rPr>
                <w:rFonts w:ascii="仿宋_GB2312" w:hAnsi="仿宋_GB2312" w:eastAsia="仿宋_GB2312" w:cs="仿宋_GB2312"/>
                <w:color w:val="auto"/>
                <w:sz w:val="24"/>
                <w:szCs w:val="24"/>
                <w:highlight w:val="none"/>
                <w:lang w:eastAsia="zh-CN"/>
              </w:rPr>
            </w:pPr>
          </w:p>
          <w:p w14:paraId="54C173C1">
            <w:pPr>
              <w:spacing w:line="400" w:lineRule="exact"/>
              <w:rPr>
                <w:rFonts w:ascii="仿宋_GB2312" w:hAnsi="仿宋_GB2312" w:eastAsia="仿宋_GB2312" w:cs="仿宋_GB2312"/>
                <w:color w:val="auto"/>
                <w:sz w:val="24"/>
                <w:szCs w:val="24"/>
                <w:highlight w:val="none"/>
                <w:lang w:eastAsia="zh-CN"/>
              </w:rPr>
            </w:pPr>
          </w:p>
          <w:p w14:paraId="1C828876">
            <w:pPr>
              <w:pStyle w:val="33"/>
              <w:spacing w:before="74" w:line="400" w:lineRule="exact"/>
              <w:ind w:left="249"/>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0"/>
                <w:sz w:val="24"/>
                <w:szCs w:val="24"/>
                <w:highlight w:val="none"/>
              </w:rPr>
              <w:t>1</w:t>
            </w:r>
            <w:r>
              <w:rPr>
                <w:rFonts w:hint="eastAsia" w:ascii="仿宋_GB2312" w:hAnsi="仿宋_GB2312" w:eastAsia="仿宋_GB2312" w:cs="仿宋_GB2312"/>
                <w:color w:val="auto"/>
                <w:spacing w:val="-10"/>
                <w:sz w:val="24"/>
                <w:szCs w:val="24"/>
                <w:highlight w:val="none"/>
                <w:lang w:eastAsia="zh-CN"/>
              </w:rPr>
              <w:t>7</w:t>
            </w:r>
          </w:p>
        </w:tc>
        <w:tc>
          <w:tcPr>
            <w:tcW w:w="1980" w:type="dxa"/>
          </w:tcPr>
          <w:p w14:paraId="56B9DD13">
            <w:pPr>
              <w:spacing w:line="400" w:lineRule="exact"/>
              <w:rPr>
                <w:rFonts w:ascii="仿宋_GB2312" w:hAnsi="仿宋_GB2312" w:eastAsia="仿宋_GB2312" w:cs="仿宋_GB2312"/>
                <w:color w:val="auto"/>
                <w:sz w:val="24"/>
                <w:szCs w:val="24"/>
                <w:highlight w:val="none"/>
              </w:rPr>
            </w:pPr>
          </w:p>
          <w:p w14:paraId="3363034F">
            <w:pPr>
              <w:spacing w:line="400" w:lineRule="exact"/>
              <w:rPr>
                <w:rFonts w:ascii="仿宋_GB2312" w:hAnsi="仿宋_GB2312" w:eastAsia="仿宋_GB2312" w:cs="仿宋_GB2312"/>
                <w:color w:val="auto"/>
                <w:sz w:val="24"/>
                <w:szCs w:val="24"/>
                <w:highlight w:val="none"/>
              </w:rPr>
            </w:pPr>
          </w:p>
          <w:p w14:paraId="7882CCA1">
            <w:pPr>
              <w:spacing w:line="400" w:lineRule="exact"/>
              <w:rPr>
                <w:rFonts w:ascii="仿宋_GB2312" w:hAnsi="仿宋_GB2312" w:eastAsia="仿宋_GB2312" w:cs="仿宋_GB2312"/>
                <w:color w:val="auto"/>
                <w:sz w:val="24"/>
                <w:szCs w:val="24"/>
                <w:highlight w:val="none"/>
              </w:rPr>
            </w:pPr>
          </w:p>
          <w:p w14:paraId="4CF14203">
            <w:pPr>
              <w:spacing w:line="400" w:lineRule="exact"/>
              <w:rPr>
                <w:rFonts w:ascii="仿宋_GB2312" w:hAnsi="仿宋_GB2312" w:eastAsia="仿宋_GB2312" w:cs="仿宋_GB2312"/>
                <w:color w:val="auto"/>
                <w:sz w:val="24"/>
                <w:szCs w:val="24"/>
                <w:highlight w:val="none"/>
              </w:rPr>
            </w:pPr>
          </w:p>
          <w:p w14:paraId="5E7E3ACA">
            <w:pPr>
              <w:spacing w:line="400" w:lineRule="exact"/>
              <w:rPr>
                <w:rFonts w:ascii="仿宋_GB2312" w:hAnsi="仿宋_GB2312" w:eastAsia="仿宋_GB2312" w:cs="仿宋_GB2312"/>
                <w:color w:val="auto"/>
                <w:sz w:val="24"/>
                <w:szCs w:val="24"/>
                <w:highlight w:val="none"/>
              </w:rPr>
            </w:pPr>
          </w:p>
          <w:p w14:paraId="2BA23F16">
            <w:pPr>
              <w:spacing w:line="400" w:lineRule="exact"/>
              <w:rPr>
                <w:rFonts w:ascii="仿宋_GB2312" w:hAnsi="仿宋_GB2312" w:eastAsia="仿宋_GB2312" w:cs="仿宋_GB2312"/>
                <w:color w:val="auto"/>
                <w:sz w:val="24"/>
                <w:szCs w:val="24"/>
                <w:highlight w:val="none"/>
              </w:rPr>
            </w:pPr>
          </w:p>
          <w:p w14:paraId="0A5AF175">
            <w:pPr>
              <w:spacing w:line="400" w:lineRule="exact"/>
              <w:rPr>
                <w:rFonts w:ascii="仿宋_GB2312" w:hAnsi="仿宋_GB2312" w:eastAsia="仿宋_GB2312" w:cs="仿宋_GB2312"/>
                <w:color w:val="auto"/>
                <w:sz w:val="24"/>
                <w:szCs w:val="24"/>
                <w:highlight w:val="none"/>
              </w:rPr>
            </w:pPr>
          </w:p>
          <w:p w14:paraId="5DEDCD66">
            <w:pPr>
              <w:spacing w:line="400" w:lineRule="exact"/>
              <w:rPr>
                <w:rFonts w:ascii="仿宋_GB2312" w:hAnsi="仿宋_GB2312" w:eastAsia="仿宋_GB2312" w:cs="仿宋_GB2312"/>
                <w:color w:val="auto"/>
                <w:sz w:val="24"/>
                <w:szCs w:val="24"/>
                <w:highlight w:val="none"/>
              </w:rPr>
            </w:pPr>
          </w:p>
          <w:p w14:paraId="06EDAF3B">
            <w:pPr>
              <w:spacing w:line="400" w:lineRule="exact"/>
              <w:rPr>
                <w:rFonts w:ascii="仿宋_GB2312" w:hAnsi="仿宋_GB2312" w:eastAsia="仿宋_GB2312" w:cs="仿宋_GB2312"/>
                <w:color w:val="auto"/>
                <w:sz w:val="24"/>
                <w:szCs w:val="24"/>
                <w:highlight w:val="none"/>
              </w:rPr>
            </w:pPr>
          </w:p>
          <w:p w14:paraId="6768107F">
            <w:pPr>
              <w:spacing w:line="400" w:lineRule="exact"/>
              <w:rPr>
                <w:rFonts w:ascii="仿宋_GB2312" w:hAnsi="仿宋_GB2312" w:eastAsia="仿宋_GB2312" w:cs="仿宋_GB2312"/>
                <w:color w:val="auto"/>
                <w:sz w:val="24"/>
                <w:szCs w:val="24"/>
                <w:highlight w:val="none"/>
              </w:rPr>
            </w:pPr>
          </w:p>
          <w:p w14:paraId="1E4DBC78">
            <w:pPr>
              <w:pStyle w:val="33"/>
              <w:spacing w:before="75" w:line="400" w:lineRule="exact"/>
              <w:ind w:left="275"/>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rPr>
              <w:t>政府采购政策</w:t>
            </w:r>
          </w:p>
        </w:tc>
        <w:tc>
          <w:tcPr>
            <w:tcW w:w="7366" w:type="dxa"/>
            <w:tcBorders>
              <w:right w:val="single" w:color="000000" w:sz="10" w:space="0"/>
            </w:tcBorders>
          </w:tcPr>
          <w:p w14:paraId="46FFEC89">
            <w:pPr>
              <w:pStyle w:val="33"/>
              <w:spacing w:before="27" w:line="400" w:lineRule="exact"/>
              <w:ind w:left="115"/>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本标项为专门面向</w:t>
            </w:r>
            <w:r>
              <w:rPr>
                <w:rFonts w:hint="eastAsia" w:ascii="仿宋_GB2312" w:hAnsi="仿宋_GB2312" w:eastAsia="仿宋_GB2312" w:cs="仿宋_GB2312"/>
                <w:b/>
                <w:bCs/>
                <w:color w:val="auto"/>
                <w:sz w:val="24"/>
                <w:szCs w:val="24"/>
                <w:highlight w:val="none"/>
                <w:lang w:val="en-US" w:eastAsia="zh-CN"/>
              </w:rPr>
              <w:t>中小</w:t>
            </w:r>
            <w:r>
              <w:rPr>
                <w:rFonts w:hint="eastAsia" w:ascii="仿宋_GB2312" w:hAnsi="仿宋_GB2312" w:eastAsia="仿宋_GB2312" w:cs="仿宋_GB2312"/>
                <w:b/>
                <w:bCs/>
                <w:color w:val="auto"/>
                <w:sz w:val="24"/>
                <w:szCs w:val="24"/>
                <w:highlight w:val="none"/>
                <w:lang w:eastAsia="zh-CN"/>
              </w:rPr>
              <w:t>企业采购份额，即：提供的货物全部由符合政策要求的</w:t>
            </w:r>
            <w:r>
              <w:rPr>
                <w:rFonts w:hint="eastAsia" w:ascii="仿宋_GB2312" w:hAnsi="仿宋_GB2312" w:eastAsia="仿宋_GB2312" w:cs="仿宋_GB2312"/>
                <w:b/>
                <w:bCs/>
                <w:color w:val="auto"/>
                <w:sz w:val="24"/>
                <w:szCs w:val="24"/>
                <w:highlight w:val="none"/>
                <w:lang w:val="en-US" w:eastAsia="zh-CN"/>
              </w:rPr>
              <w:t>中小</w:t>
            </w:r>
            <w:r>
              <w:rPr>
                <w:rFonts w:hint="eastAsia" w:ascii="仿宋_GB2312" w:hAnsi="仿宋_GB2312" w:eastAsia="仿宋_GB2312" w:cs="仿宋_GB2312"/>
                <w:b/>
                <w:bCs/>
                <w:color w:val="auto"/>
                <w:sz w:val="24"/>
                <w:szCs w:val="24"/>
                <w:highlight w:val="none"/>
                <w:lang w:eastAsia="zh-CN"/>
              </w:rPr>
              <w:t>企业制造。</w:t>
            </w:r>
          </w:p>
          <w:p w14:paraId="7742C4DA">
            <w:pPr>
              <w:pStyle w:val="33"/>
              <w:spacing w:before="27" w:line="400" w:lineRule="exact"/>
              <w:ind w:left="115"/>
              <w:rPr>
                <w:rFonts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一）本标项为专门面向中小企业采购，不再执行价格评审优惠的扶持政策，参加投标的供应商须出具《中小企业声明函》（如是监狱企业的应当提供《监狱企业声明函》，如是残疾人福利性单位的应当提供《残疾人福利性单位声明函》）；对不提供《中小企业声明函》或提供的《中小企业声明函》未按照采购文件格式填写，未按照工信部联企业（2011）300 号文件规定如实填写的，视为投标无效。</w:t>
            </w:r>
          </w:p>
          <w:p w14:paraId="5786E1DE">
            <w:pPr>
              <w:pStyle w:val="33"/>
              <w:spacing w:before="29" w:line="400" w:lineRule="exact"/>
              <w:ind w:left="115" w:right="87" w:firstLine="10"/>
              <w:rPr>
                <w:rFonts w:ascii="仿宋_GB2312" w:hAnsi="仿宋_GB2312" w:eastAsia="仿宋_GB2312" w:cs="仿宋_GB2312"/>
                <w:b/>
                <w:bCs/>
                <w:color w:val="auto"/>
                <w:spacing w:val="11"/>
                <w:sz w:val="24"/>
                <w:szCs w:val="24"/>
                <w:highlight w:val="none"/>
                <w:lang w:eastAsia="zh-CN"/>
              </w:rPr>
            </w:pPr>
            <w:r>
              <w:rPr>
                <w:rFonts w:hint="eastAsia" w:ascii="仿宋_GB2312" w:hAnsi="仿宋_GB2312" w:eastAsia="仿宋_GB2312" w:cs="仿宋_GB2312"/>
                <w:color w:val="auto"/>
                <w:spacing w:val="14"/>
                <w:sz w:val="24"/>
                <w:szCs w:val="24"/>
                <w:highlight w:val="none"/>
                <w:lang w:eastAsia="zh-CN"/>
              </w:rPr>
              <w:t>（二）根据工信部等部委发布的《关于印发中小企业划型标准规</w:t>
            </w:r>
            <w:r>
              <w:rPr>
                <w:rFonts w:hint="eastAsia" w:ascii="仿宋_GB2312" w:hAnsi="仿宋_GB2312" w:eastAsia="仿宋_GB2312" w:cs="仿宋_GB2312"/>
                <w:color w:val="auto"/>
                <w:sz w:val="24"/>
                <w:szCs w:val="24"/>
                <w:highlight w:val="none"/>
                <w:lang w:eastAsia="zh-CN"/>
              </w:rPr>
              <w:t xml:space="preserve"> </w:t>
            </w:r>
            <w:r>
              <w:rPr>
                <w:rFonts w:hint="eastAsia" w:ascii="仿宋_GB2312" w:hAnsi="仿宋_GB2312" w:eastAsia="仿宋_GB2312" w:cs="仿宋_GB2312"/>
                <w:color w:val="auto"/>
                <w:spacing w:val="8"/>
                <w:sz w:val="24"/>
                <w:szCs w:val="24"/>
                <w:highlight w:val="none"/>
                <w:lang w:eastAsia="zh-CN"/>
              </w:rPr>
              <w:t>定的通知》（工信部联企业〔2011〕300</w:t>
            </w:r>
            <w:r>
              <w:rPr>
                <w:rFonts w:hint="eastAsia" w:ascii="仿宋_GB2312" w:hAnsi="仿宋_GB2312" w:eastAsia="仿宋_GB2312" w:cs="仿宋_GB2312"/>
                <w:color w:val="auto"/>
                <w:spacing w:val="-27"/>
                <w:sz w:val="24"/>
                <w:szCs w:val="24"/>
                <w:highlight w:val="none"/>
                <w:lang w:eastAsia="zh-CN"/>
              </w:rPr>
              <w:t xml:space="preserve"> </w:t>
            </w:r>
            <w:r>
              <w:rPr>
                <w:rFonts w:hint="eastAsia" w:ascii="仿宋_GB2312" w:hAnsi="仿宋_GB2312" w:eastAsia="仿宋_GB2312" w:cs="仿宋_GB2312"/>
                <w:color w:val="auto"/>
                <w:spacing w:val="8"/>
                <w:sz w:val="24"/>
                <w:szCs w:val="24"/>
                <w:highlight w:val="none"/>
                <w:lang w:eastAsia="zh-CN"/>
              </w:rPr>
              <w:t>号）、财政部、工业和信息</w:t>
            </w:r>
            <w:r>
              <w:rPr>
                <w:rFonts w:hint="eastAsia" w:ascii="仿宋_GB2312" w:hAnsi="仿宋_GB2312" w:eastAsia="仿宋_GB2312" w:cs="仿宋_GB2312"/>
                <w:color w:val="auto"/>
                <w:spacing w:val="15"/>
                <w:sz w:val="24"/>
                <w:szCs w:val="24"/>
                <w:highlight w:val="none"/>
                <w:lang w:eastAsia="zh-CN"/>
              </w:rPr>
              <w:t>化部《政府采购促进中小企业发展管理办法 》（财库[2</w:t>
            </w:r>
            <w:r>
              <w:rPr>
                <w:rFonts w:hint="eastAsia" w:ascii="仿宋_GB2312" w:hAnsi="仿宋_GB2312" w:eastAsia="仿宋_GB2312" w:cs="仿宋_GB2312"/>
                <w:color w:val="auto"/>
                <w:spacing w:val="14"/>
                <w:sz w:val="24"/>
                <w:szCs w:val="24"/>
                <w:highlight w:val="none"/>
                <w:lang w:eastAsia="zh-CN"/>
              </w:rPr>
              <w:t>020]46</w:t>
            </w:r>
            <w:r>
              <w:rPr>
                <w:rFonts w:hint="eastAsia" w:ascii="仿宋_GB2312" w:hAnsi="仿宋_GB2312" w:eastAsia="仿宋_GB2312" w:cs="仿宋_GB2312"/>
                <w:color w:val="auto"/>
                <w:spacing w:val="-21"/>
                <w:sz w:val="24"/>
                <w:szCs w:val="24"/>
                <w:highlight w:val="none"/>
                <w:lang w:eastAsia="zh-CN"/>
              </w:rPr>
              <w:t xml:space="preserve"> </w:t>
            </w:r>
            <w:r>
              <w:rPr>
                <w:rFonts w:hint="eastAsia" w:ascii="仿宋_GB2312" w:hAnsi="仿宋_GB2312" w:eastAsia="仿宋_GB2312" w:cs="仿宋_GB2312"/>
                <w:color w:val="auto"/>
                <w:spacing w:val="14"/>
                <w:sz w:val="24"/>
                <w:szCs w:val="24"/>
                <w:highlight w:val="none"/>
                <w:lang w:eastAsia="zh-CN"/>
              </w:rPr>
              <w:t>号</w:t>
            </w:r>
            <w:r>
              <w:rPr>
                <w:rFonts w:hint="eastAsia" w:ascii="仿宋_GB2312" w:hAnsi="仿宋_GB2312" w:eastAsia="仿宋_GB2312" w:cs="仿宋_GB2312"/>
                <w:color w:val="auto"/>
                <w:spacing w:val="16"/>
                <w:sz w:val="24"/>
                <w:szCs w:val="24"/>
                <w:highlight w:val="none"/>
                <w:lang w:eastAsia="zh-CN"/>
              </w:rPr>
              <w:t>文）规定、财政部《关于进一步加大政府采购支持中小企业力度的</w:t>
            </w:r>
            <w:r>
              <w:rPr>
                <w:rFonts w:hint="eastAsia" w:ascii="仿宋_GB2312" w:hAnsi="仿宋_GB2312" w:eastAsia="仿宋_GB2312" w:cs="仿宋_GB2312"/>
                <w:color w:val="auto"/>
                <w:spacing w:val="10"/>
                <w:sz w:val="24"/>
                <w:szCs w:val="24"/>
                <w:highlight w:val="none"/>
                <w:lang w:eastAsia="zh-CN"/>
              </w:rPr>
              <w:t>通知》（财库〔2022〕19</w:t>
            </w:r>
            <w:r>
              <w:rPr>
                <w:rFonts w:hint="eastAsia" w:ascii="仿宋_GB2312" w:hAnsi="仿宋_GB2312" w:eastAsia="仿宋_GB2312" w:cs="仿宋_GB2312"/>
                <w:color w:val="auto"/>
                <w:spacing w:val="-26"/>
                <w:sz w:val="24"/>
                <w:szCs w:val="24"/>
                <w:highlight w:val="none"/>
                <w:lang w:eastAsia="zh-CN"/>
              </w:rPr>
              <w:t xml:space="preserve"> </w:t>
            </w:r>
            <w:r>
              <w:rPr>
                <w:rFonts w:hint="eastAsia" w:ascii="仿宋_GB2312" w:hAnsi="仿宋_GB2312" w:eastAsia="仿宋_GB2312" w:cs="仿宋_GB2312"/>
                <w:color w:val="auto"/>
                <w:spacing w:val="10"/>
                <w:sz w:val="24"/>
                <w:szCs w:val="24"/>
                <w:highlight w:val="none"/>
                <w:lang w:eastAsia="zh-CN"/>
              </w:rPr>
              <w:t>号）、新疆维吾尔自治区财政厅、新疆生</w:t>
            </w:r>
            <w:r>
              <w:rPr>
                <w:rFonts w:hint="eastAsia" w:ascii="仿宋_GB2312" w:hAnsi="仿宋_GB2312" w:eastAsia="仿宋_GB2312" w:cs="仿宋_GB2312"/>
                <w:color w:val="auto"/>
                <w:spacing w:val="25"/>
                <w:sz w:val="24"/>
                <w:szCs w:val="24"/>
                <w:highlight w:val="none"/>
                <w:lang w:eastAsia="zh-CN"/>
              </w:rPr>
              <w:t>产建设兵团财政局《关于落实好政府采购支持中小企业发</w:t>
            </w:r>
            <w:r>
              <w:rPr>
                <w:rFonts w:hint="eastAsia" w:ascii="仿宋_GB2312" w:hAnsi="仿宋_GB2312" w:eastAsia="仿宋_GB2312" w:cs="仿宋_GB2312"/>
                <w:color w:val="auto"/>
                <w:spacing w:val="24"/>
                <w:sz w:val="24"/>
                <w:szCs w:val="24"/>
                <w:highlight w:val="none"/>
                <w:lang w:eastAsia="zh-CN"/>
              </w:rPr>
              <w:t>展的通</w:t>
            </w:r>
            <w:r>
              <w:rPr>
                <w:rFonts w:hint="eastAsia" w:ascii="仿宋_GB2312" w:hAnsi="仿宋_GB2312" w:eastAsia="仿宋_GB2312" w:cs="仿宋_GB2312"/>
                <w:color w:val="auto"/>
                <w:sz w:val="24"/>
                <w:szCs w:val="24"/>
                <w:highlight w:val="none"/>
                <w:lang w:eastAsia="zh-CN"/>
              </w:rPr>
              <w:t xml:space="preserve"> </w:t>
            </w:r>
            <w:r>
              <w:rPr>
                <w:rFonts w:hint="eastAsia" w:ascii="仿宋_GB2312" w:hAnsi="仿宋_GB2312" w:eastAsia="仿宋_GB2312" w:cs="仿宋_GB2312"/>
                <w:color w:val="auto"/>
                <w:spacing w:val="11"/>
                <w:sz w:val="24"/>
                <w:szCs w:val="24"/>
                <w:highlight w:val="none"/>
                <w:lang w:eastAsia="zh-CN"/>
              </w:rPr>
              <w:t>知》（新财购〔2022〕22</w:t>
            </w:r>
            <w:r>
              <w:rPr>
                <w:rFonts w:hint="eastAsia" w:ascii="仿宋_GB2312" w:hAnsi="仿宋_GB2312" w:eastAsia="仿宋_GB2312" w:cs="仿宋_GB2312"/>
                <w:color w:val="auto"/>
                <w:spacing w:val="-19"/>
                <w:sz w:val="24"/>
                <w:szCs w:val="24"/>
                <w:highlight w:val="none"/>
                <w:lang w:eastAsia="zh-CN"/>
              </w:rPr>
              <w:t xml:space="preserve"> </w:t>
            </w:r>
            <w:r>
              <w:rPr>
                <w:rFonts w:hint="eastAsia" w:ascii="仿宋_GB2312" w:hAnsi="仿宋_GB2312" w:eastAsia="仿宋_GB2312" w:cs="仿宋_GB2312"/>
                <w:color w:val="auto"/>
                <w:spacing w:val="11"/>
                <w:sz w:val="24"/>
                <w:szCs w:val="24"/>
                <w:highlight w:val="none"/>
                <w:lang w:eastAsia="zh-CN"/>
              </w:rPr>
              <w:t>号文）规定，本次采购标的所属行业为</w:t>
            </w:r>
            <w:r>
              <w:rPr>
                <w:rFonts w:hint="eastAsia" w:ascii="仿宋_GB2312" w:hAnsi="仿宋_GB2312" w:eastAsia="仿宋_GB2312" w:cs="仿宋_GB2312"/>
                <w:b/>
                <w:bCs/>
                <w:color w:val="auto"/>
                <w:spacing w:val="11"/>
                <w:sz w:val="24"/>
                <w:szCs w:val="24"/>
                <w:highlight w:val="none"/>
                <w:u w:val="single"/>
                <w:lang w:eastAsia="zh-CN"/>
              </w:rPr>
              <w:t>工业</w:t>
            </w:r>
            <w:r>
              <w:rPr>
                <w:rFonts w:hint="eastAsia" w:ascii="仿宋_GB2312" w:hAnsi="仿宋_GB2312" w:eastAsia="仿宋_GB2312" w:cs="仿宋_GB2312"/>
                <w:b/>
                <w:bCs/>
                <w:color w:val="auto"/>
                <w:spacing w:val="11"/>
                <w:sz w:val="24"/>
                <w:szCs w:val="24"/>
                <w:highlight w:val="none"/>
                <w:lang w:eastAsia="zh-CN"/>
              </w:rPr>
              <w:t>。</w:t>
            </w:r>
          </w:p>
          <w:p w14:paraId="6C93F975">
            <w:pPr>
              <w:pStyle w:val="33"/>
              <w:spacing w:before="11" w:line="400" w:lineRule="exact"/>
              <w:ind w:left="115" w:right="97" w:firstLine="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1）本文件所称中小企业，是指在中华人民共和国境内依法设立，依据国务院批准的中小企业划分标准确定的中型企业、小型企业和微型企业，但与大型企业的负责人为同一人，或者与大型企业存在直接控股、管理关系的除外。符合中小企业划分标准的个体工商户，在政府采购活动中视同中小企业。</w:t>
            </w:r>
          </w:p>
          <w:p w14:paraId="03D5E85B">
            <w:pPr>
              <w:pStyle w:val="33"/>
              <w:spacing w:before="11" w:line="400" w:lineRule="exact"/>
              <w:ind w:left="115" w:right="97" w:firstLine="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14:paraId="403F9F49">
            <w:pPr>
              <w:pStyle w:val="33"/>
              <w:spacing w:before="11" w:line="400" w:lineRule="exact"/>
              <w:ind w:left="115" w:right="97" w:firstLine="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（3）依据本办法规定享受扶持政策获得政府采购合同的，小微企业不得将合同分包给大中型企业，中型企业不得将合同分包给大型企业。</w:t>
            </w:r>
          </w:p>
          <w:p w14:paraId="63CE7E25">
            <w:pPr>
              <w:pStyle w:val="33"/>
              <w:spacing w:before="11" w:line="400" w:lineRule="exact"/>
              <w:ind w:left="115" w:right="97" w:firstLine="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（4）提供由省级以上监狱管理局、戒毒管理局（含新疆生产建设兵团）出具的属于监狱企业证明文件（扫描件）的，视同为小型和微型企业。</w:t>
            </w:r>
          </w:p>
          <w:p w14:paraId="03CA4E5A">
            <w:pPr>
              <w:pStyle w:val="33"/>
              <w:spacing w:before="11" w:line="400" w:lineRule="exact"/>
              <w:ind w:left="115" w:right="97" w:firstLine="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（5）符合享受政府采购支持政策的残疾人福利性单位条件且提供《残疾人福利性单位声明函》的，视同为小型和微型企业。</w:t>
            </w:r>
          </w:p>
          <w:p w14:paraId="032C7E4F">
            <w:pPr>
              <w:pStyle w:val="33"/>
              <w:spacing w:before="75" w:line="400" w:lineRule="exact"/>
              <w:ind w:left="126"/>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4"/>
                <w:sz w:val="24"/>
                <w:szCs w:val="24"/>
                <w:highlight w:val="none"/>
                <w:lang w:eastAsia="zh-CN"/>
              </w:rPr>
              <w:t>（三）节能、环境标志产品评审优惠内容及加分幅度（如有）：</w:t>
            </w:r>
          </w:p>
          <w:p w14:paraId="5CF6453C">
            <w:pPr>
              <w:pStyle w:val="33"/>
              <w:spacing w:before="25" w:line="400" w:lineRule="exact"/>
              <w:ind w:left="117"/>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0"/>
                <w:sz w:val="24"/>
                <w:szCs w:val="24"/>
                <w:highlight w:val="none"/>
                <w:lang w:eastAsia="zh-CN"/>
              </w:rPr>
              <w:t>严格执行《财政部发展改革委生态环境部市场监管总局关于调整</w:t>
            </w:r>
          </w:p>
          <w:p w14:paraId="6ECAF2E7">
            <w:pPr>
              <w:pStyle w:val="33"/>
              <w:spacing w:before="27" w:line="400" w:lineRule="exact"/>
              <w:ind w:left="140" w:right="97" w:hanging="2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5"/>
                <w:sz w:val="24"/>
                <w:szCs w:val="24"/>
                <w:highlight w:val="none"/>
                <w:lang w:eastAsia="zh-CN"/>
              </w:rPr>
              <w:t>优化节能产品、环境标志产品政府采购执行机制的通知》</w:t>
            </w:r>
            <w:r>
              <w:rPr>
                <w:rFonts w:hint="eastAsia" w:ascii="仿宋_GB2312" w:hAnsi="仿宋_GB2312" w:eastAsia="仿宋_GB2312" w:cs="仿宋_GB2312"/>
                <w:color w:val="auto"/>
                <w:spacing w:val="24"/>
                <w:sz w:val="24"/>
                <w:szCs w:val="24"/>
                <w:highlight w:val="none"/>
                <w:lang w:eastAsia="zh-CN"/>
              </w:rPr>
              <w:t>（财库</w:t>
            </w:r>
            <w:r>
              <w:rPr>
                <w:rFonts w:hint="eastAsia" w:ascii="仿宋_GB2312" w:hAnsi="仿宋_GB2312" w:eastAsia="仿宋_GB2312" w:cs="仿宋_GB2312"/>
                <w:color w:val="auto"/>
                <w:spacing w:val="-2"/>
                <w:sz w:val="24"/>
                <w:szCs w:val="24"/>
                <w:highlight w:val="none"/>
                <w:lang w:eastAsia="zh-CN"/>
              </w:rPr>
              <w:t>〔2019〕9号）。</w:t>
            </w:r>
          </w:p>
          <w:p w14:paraId="7AD56C2B">
            <w:pPr>
              <w:pStyle w:val="33"/>
              <w:spacing w:before="22" w:line="400" w:lineRule="exact"/>
              <w:ind w:left="115" w:right="97" w:firstLine="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（1）本次采购产品属于政府强制采购产品类别的，须按照要求提供</w:t>
            </w:r>
            <w:r>
              <w:rPr>
                <w:rFonts w:hint="eastAsia" w:ascii="仿宋_GB2312" w:hAnsi="仿宋_GB2312" w:eastAsia="仿宋_GB2312" w:cs="仿宋_GB2312"/>
                <w:color w:val="auto"/>
                <w:spacing w:val="17"/>
                <w:sz w:val="24"/>
                <w:szCs w:val="24"/>
                <w:highlight w:val="none"/>
                <w:lang w:eastAsia="zh-CN"/>
              </w:rPr>
              <w:t xml:space="preserve"> </w:t>
            </w:r>
            <w:r>
              <w:rPr>
                <w:rFonts w:hint="eastAsia" w:ascii="仿宋_GB2312" w:hAnsi="仿宋_GB2312" w:eastAsia="仿宋_GB2312" w:cs="仿宋_GB2312"/>
                <w:color w:val="auto"/>
                <w:spacing w:val="16"/>
                <w:sz w:val="24"/>
                <w:szCs w:val="24"/>
                <w:highlight w:val="none"/>
                <w:lang w:eastAsia="zh-CN"/>
              </w:rPr>
              <w:t>依据国家确定的认证机构出具的、处于有效期之内的节能产品认证</w:t>
            </w:r>
            <w:r>
              <w:rPr>
                <w:rFonts w:hint="eastAsia" w:ascii="仿宋_GB2312" w:hAnsi="仿宋_GB2312" w:eastAsia="仿宋_GB2312" w:cs="仿宋_GB2312"/>
                <w:color w:val="auto"/>
                <w:spacing w:val="6"/>
                <w:sz w:val="24"/>
                <w:szCs w:val="24"/>
                <w:highlight w:val="none"/>
                <w:lang w:eastAsia="zh-CN"/>
              </w:rPr>
              <w:t>证书，否则投标无效。</w:t>
            </w:r>
          </w:p>
          <w:p w14:paraId="68A3AF2C">
            <w:pPr>
              <w:pStyle w:val="33"/>
              <w:spacing w:before="24" w:line="400" w:lineRule="exact"/>
              <w:ind w:left="115" w:right="97" w:firstLine="5"/>
              <w:rPr>
                <w:rFonts w:ascii="仿宋_GB2312" w:hAnsi="仿宋_GB2312" w:eastAsia="仿宋_GB2312" w:cs="仿宋_GB2312"/>
                <w:color w:val="auto"/>
                <w:spacing w:val="5"/>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（2）属于政府优先采购产品类别的，须按照要求提供依据国家确定</w:t>
            </w:r>
            <w:r>
              <w:rPr>
                <w:rFonts w:hint="eastAsia" w:ascii="仿宋_GB2312" w:hAnsi="仿宋_GB2312" w:eastAsia="仿宋_GB2312" w:cs="仿宋_GB2312"/>
                <w:color w:val="auto"/>
                <w:spacing w:val="17"/>
                <w:sz w:val="24"/>
                <w:szCs w:val="24"/>
                <w:highlight w:val="none"/>
                <w:lang w:eastAsia="zh-CN"/>
              </w:rPr>
              <w:t xml:space="preserve"> </w:t>
            </w:r>
            <w:r>
              <w:rPr>
                <w:rFonts w:hint="eastAsia" w:ascii="仿宋_GB2312" w:hAnsi="仿宋_GB2312" w:eastAsia="仿宋_GB2312" w:cs="仿宋_GB2312"/>
                <w:color w:val="auto"/>
                <w:spacing w:val="16"/>
                <w:sz w:val="24"/>
                <w:szCs w:val="24"/>
                <w:highlight w:val="none"/>
                <w:lang w:eastAsia="zh-CN"/>
              </w:rPr>
              <w:t>的认证机构出具的、处于有效期之内的节能产品或环境标志产品认</w:t>
            </w:r>
            <w:r>
              <w:rPr>
                <w:rFonts w:hint="eastAsia" w:ascii="仿宋_GB2312" w:hAnsi="仿宋_GB2312" w:eastAsia="仿宋_GB2312" w:cs="仿宋_GB2312"/>
                <w:color w:val="auto"/>
                <w:spacing w:val="4"/>
                <w:sz w:val="24"/>
                <w:szCs w:val="24"/>
                <w:highlight w:val="none"/>
                <w:lang w:eastAsia="zh-CN"/>
              </w:rPr>
              <w:t xml:space="preserve"> </w:t>
            </w:r>
            <w:r>
              <w:rPr>
                <w:rFonts w:hint="eastAsia" w:ascii="仿宋_GB2312" w:hAnsi="仿宋_GB2312" w:eastAsia="仿宋_GB2312" w:cs="仿宋_GB2312"/>
                <w:color w:val="auto"/>
                <w:spacing w:val="5"/>
                <w:sz w:val="24"/>
                <w:szCs w:val="24"/>
                <w:highlight w:val="none"/>
                <w:lang w:eastAsia="zh-CN"/>
              </w:rPr>
              <w:t>证证书，否则不予认定。</w:t>
            </w:r>
          </w:p>
        </w:tc>
      </w:tr>
      <w:tr w14:paraId="43853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66102071">
            <w:pPr>
              <w:pStyle w:val="33"/>
              <w:spacing w:before="75" w:line="400" w:lineRule="exact"/>
              <w:ind w:left="234"/>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18</w:t>
            </w:r>
          </w:p>
        </w:tc>
        <w:tc>
          <w:tcPr>
            <w:tcW w:w="1980" w:type="dxa"/>
            <w:vAlign w:val="center"/>
          </w:tcPr>
          <w:p w14:paraId="13B98644">
            <w:pPr>
              <w:pStyle w:val="33"/>
              <w:spacing w:before="74" w:line="400" w:lineRule="exact"/>
              <w:ind w:left="266"/>
              <w:jc w:val="both"/>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7"/>
                <w:sz w:val="24"/>
                <w:szCs w:val="24"/>
                <w:highlight w:val="none"/>
              </w:rPr>
              <w:t>招标代理服务费</w:t>
            </w:r>
          </w:p>
        </w:tc>
        <w:tc>
          <w:tcPr>
            <w:tcW w:w="7366" w:type="dxa"/>
            <w:tcBorders>
              <w:right w:val="single" w:color="000000" w:sz="10" w:space="0"/>
            </w:tcBorders>
          </w:tcPr>
          <w:p w14:paraId="4F6091CE">
            <w:pPr>
              <w:pStyle w:val="33"/>
              <w:spacing w:before="50" w:line="400" w:lineRule="exact"/>
              <w:ind w:left="121"/>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交纳时间：中标单位在《中标通知书》核发前一次性交纳。</w:t>
            </w:r>
          </w:p>
          <w:p w14:paraId="46C66108">
            <w:pPr>
              <w:pStyle w:val="33"/>
              <w:spacing w:before="50" w:line="400" w:lineRule="exact"/>
              <w:ind w:left="121"/>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交纳金额：以预算金额为基数，参考国家计委《招标代理服务收费管理暂行办法》的通知（计价格【2002】1980号）规定及国家发展改革委办公厅发改办价格［2003］857号规定，下浮30%计取代理服务费。</w:t>
            </w:r>
          </w:p>
        </w:tc>
      </w:tr>
      <w:tr w14:paraId="1C24E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68B0757C">
            <w:pPr>
              <w:pStyle w:val="33"/>
              <w:spacing w:before="75" w:line="400" w:lineRule="exact"/>
              <w:ind w:left="234"/>
              <w:jc w:val="center"/>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19</w:t>
            </w:r>
          </w:p>
        </w:tc>
        <w:tc>
          <w:tcPr>
            <w:tcW w:w="1980" w:type="dxa"/>
            <w:vAlign w:val="center"/>
          </w:tcPr>
          <w:p w14:paraId="5497F368">
            <w:pPr>
              <w:pStyle w:val="33"/>
              <w:spacing w:before="74" w:line="400" w:lineRule="exact"/>
              <w:ind w:left="266"/>
              <w:jc w:val="both"/>
              <w:rPr>
                <w:rFonts w:ascii="仿宋_GB2312" w:hAnsi="仿宋_GB2312" w:eastAsia="仿宋_GB2312" w:cs="仿宋_GB2312"/>
                <w:color w:val="auto"/>
                <w:spacing w:val="-17"/>
                <w:sz w:val="24"/>
                <w:szCs w:val="24"/>
                <w:highlight w:val="none"/>
                <w:lang w:eastAsia="zh-CN"/>
              </w:rPr>
            </w:pPr>
            <w:r>
              <w:rPr>
                <w:rFonts w:hint="eastAsia" w:ascii="仿宋_GB2312" w:hAnsi="仿宋_GB2312" w:eastAsia="仿宋_GB2312" w:cs="仿宋_GB2312"/>
                <w:color w:val="auto"/>
                <w:spacing w:val="-17"/>
                <w:sz w:val="24"/>
                <w:szCs w:val="24"/>
                <w:highlight w:val="none"/>
                <w:lang w:eastAsia="zh-CN"/>
              </w:rPr>
              <w:t>关于推动解决政府采购异常低价问题</w:t>
            </w:r>
          </w:p>
        </w:tc>
        <w:tc>
          <w:tcPr>
            <w:tcW w:w="7366" w:type="dxa"/>
            <w:tcBorders>
              <w:right w:val="single" w:color="000000" w:sz="10" w:space="0"/>
            </w:tcBorders>
            <w:vAlign w:val="center"/>
          </w:tcPr>
          <w:p w14:paraId="6461C30E">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一、政府采购评审中出现下列情形之一的，评审委员会应当启动异常低价投标审查程序：</w:t>
            </w:r>
          </w:p>
          <w:p w14:paraId="1584EDF8">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1.投标报价低于全部通过符合性审查供应商投标报价平均值50%的，即投标报价&lt;全部通过符合性审查供应商投标报价平均值×50%；</w:t>
            </w:r>
          </w:p>
          <w:p w14:paraId="27A9FC91">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2.投标报价低于通过符合性审查的次低报价供应商投标报价50%的，即投标报价&lt;通过符合性审查的次低报价供应商投标报价×50%；</w:t>
            </w:r>
          </w:p>
          <w:p w14:paraId="3F4B065D">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3.投标报价低于采购项目最高限价45%的，即投标报价&lt;采购项目最高限价×45%；</w:t>
            </w:r>
          </w:p>
          <w:p w14:paraId="3C4006C3">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4.评审委员会基于专业判断，认为供应商报价过低，有可能影响产品质量或者不能诚信履约的其他情形。</w:t>
            </w:r>
          </w:p>
          <w:p w14:paraId="7F502CAB">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采购人可以结合具体项目实际情况，提高上述第1项至第3项中启动异常低价投标审查的数值标准，但是最高不得超过65%。 </w:t>
            </w:r>
          </w:p>
          <w:p w14:paraId="41CEA76A">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相关法律法规对供应商报价有规定的，从其规定。 </w:t>
            </w:r>
          </w:p>
          <w:p w14:paraId="2FF95AC3">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二、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0C1BA8BC">
            <w:pPr>
              <w:pStyle w:val="33"/>
              <w:spacing w:before="50" w:line="400" w:lineRule="exact"/>
              <w:ind w:left="121"/>
              <w:rPr>
                <w:rFonts w:ascii="仿宋_GB2312" w:hAnsi="仿宋_GB2312" w:eastAsia="仿宋_GB2312" w:cs="仿宋_GB2312"/>
                <w:color w:val="auto"/>
                <w:spacing w:val="-1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tc>
      </w:tr>
      <w:tr w14:paraId="6B80A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4F102646">
            <w:pPr>
              <w:pStyle w:val="33"/>
              <w:spacing w:before="75" w:line="400" w:lineRule="exact"/>
              <w:ind w:left="234"/>
              <w:jc w:val="center"/>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20</w:t>
            </w:r>
          </w:p>
        </w:tc>
        <w:tc>
          <w:tcPr>
            <w:tcW w:w="1980" w:type="dxa"/>
            <w:vAlign w:val="center"/>
          </w:tcPr>
          <w:p w14:paraId="3999275E">
            <w:pPr>
              <w:pStyle w:val="33"/>
              <w:spacing w:before="74" w:line="400" w:lineRule="exact"/>
              <w:ind w:left="266"/>
              <w:jc w:val="both"/>
              <w:rPr>
                <w:rFonts w:ascii="仿宋_GB2312" w:hAnsi="仿宋_GB2312" w:eastAsia="仿宋_GB2312" w:cs="仿宋_GB2312"/>
                <w:color w:val="auto"/>
                <w:spacing w:val="-17"/>
                <w:sz w:val="24"/>
                <w:szCs w:val="24"/>
                <w:highlight w:val="none"/>
              </w:rPr>
            </w:pPr>
            <w:r>
              <w:rPr>
                <w:rFonts w:hint="eastAsia" w:ascii="仿宋_GB2312" w:hAnsi="仿宋_GB2312" w:eastAsia="仿宋_GB2312" w:cs="仿宋_GB2312"/>
                <w:color w:val="auto"/>
                <w:spacing w:val="-17"/>
                <w:sz w:val="24"/>
                <w:szCs w:val="24"/>
                <w:highlight w:val="none"/>
              </w:rPr>
              <w:t>政府采购政策支持</w:t>
            </w:r>
          </w:p>
        </w:tc>
        <w:tc>
          <w:tcPr>
            <w:tcW w:w="7366" w:type="dxa"/>
            <w:tcBorders>
              <w:right w:val="single" w:color="000000" w:sz="10" w:space="0"/>
            </w:tcBorders>
          </w:tcPr>
          <w:p w14:paraId="4388161E">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1、本项目专门面向中小企业采购。</w:t>
            </w:r>
          </w:p>
          <w:p w14:paraId="56C555FD">
            <w:pPr>
              <w:pStyle w:val="33"/>
              <w:spacing w:before="50" w:line="400" w:lineRule="exact"/>
              <w:ind w:left="121"/>
              <w:rPr>
                <w:rFonts w:ascii="仿宋_GB2312" w:hAnsi="仿宋_GB2312" w:eastAsia="仿宋_GB2312" w:cs="仿宋_GB2312"/>
                <w:color w:val="auto"/>
                <w:spacing w:val="-17"/>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节能环保产品：根据财政部、发展改革委、生态环境部等部门发布的“节能产品政府采购品目清单”、“环境标志产品政府采购品目清单”，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14:paraId="71641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41120D5D">
            <w:pPr>
              <w:pStyle w:val="33"/>
              <w:spacing w:before="75" w:line="400" w:lineRule="exact"/>
              <w:ind w:left="234"/>
              <w:jc w:val="center"/>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21</w:t>
            </w:r>
          </w:p>
        </w:tc>
        <w:tc>
          <w:tcPr>
            <w:tcW w:w="1980" w:type="dxa"/>
            <w:vAlign w:val="center"/>
          </w:tcPr>
          <w:p w14:paraId="6C977356">
            <w:pPr>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支持本国产品</w:t>
            </w:r>
          </w:p>
        </w:tc>
        <w:tc>
          <w:tcPr>
            <w:tcW w:w="7366" w:type="dxa"/>
            <w:tcBorders>
              <w:right w:val="single" w:color="000000" w:sz="10" w:space="0"/>
            </w:tcBorders>
          </w:tcPr>
          <w:p w14:paraId="0930A02F">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1、本国产品标准的适用范围：</w:t>
            </w:r>
          </w:p>
          <w:p w14:paraId="297DDACE">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ascii="仿宋_GB2312" w:hAnsi="仿宋_GB2312" w:eastAsia="仿宋_GB2312" w:cs="仿宋_GB2312"/>
                <w:color w:val="auto"/>
                <w:spacing w:val="16"/>
                <w:sz w:val="24"/>
                <w:szCs w:val="24"/>
                <w:highlight w:val="none"/>
                <w:lang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C3FDF5C">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2、本采购项目：</w:t>
            </w:r>
          </w:p>
          <w:p w14:paraId="1968B40D">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fldChar w:fldCharType="begin"/>
            </w:r>
            <w:r>
              <w:rPr>
                <w:rFonts w:hint="eastAsia" w:ascii="仿宋_GB2312" w:hAnsi="仿宋_GB2312" w:eastAsia="仿宋_GB2312" w:cs="仿宋_GB2312"/>
                <w:color w:val="auto"/>
                <w:spacing w:val="16"/>
                <w:sz w:val="24"/>
                <w:szCs w:val="24"/>
                <w:highlight w:val="none"/>
                <w:lang w:eastAsia="zh-CN"/>
              </w:rPr>
              <w:instrText xml:space="preserve"> eq \o\ac(□,</w:instrText>
            </w:r>
            <w:r>
              <w:rPr>
                <w:rFonts w:hint="eastAsia" w:ascii="仿宋_GB2312" w:hAnsi="仿宋_GB2312" w:eastAsia="仿宋_GB2312" w:cs="仿宋_GB2312"/>
                <w:color w:val="auto"/>
                <w:spacing w:val="16"/>
                <w:position w:val="2"/>
                <w:sz w:val="16"/>
                <w:szCs w:val="24"/>
                <w:highlight w:val="none"/>
                <w:lang w:eastAsia="zh-CN"/>
              </w:rPr>
              <w:instrText xml:space="preserve">√</w:instrText>
            </w:r>
            <w:r>
              <w:rPr>
                <w:rFonts w:hint="eastAsia" w:ascii="仿宋_GB2312" w:hAnsi="仿宋_GB2312" w:eastAsia="仿宋_GB2312" w:cs="仿宋_GB2312"/>
                <w:color w:val="auto"/>
                <w:spacing w:val="16"/>
                <w:sz w:val="24"/>
                <w:szCs w:val="24"/>
                <w:highlight w:val="none"/>
                <w:lang w:eastAsia="zh-CN"/>
              </w:rPr>
              <w:instrText xml:space="preserve">)</w:instrText>
            </w:r>
            <w:r>
              <w:rPr>
                <w:rFonts w:hint="eastAsia" w:ascii="仿宋_GB2312" w:hAnsi="仿宋_GB2312" w:eastAsia="仿宋_GB2312" w:cs="仿宋_GB2312"/>
                <w:color w:val="auto"/>
                <w:spacing w:val="16"/>
                <w:sz w:val="24"/>
                <w:szCs w:val="24"/>
                <w:highlight w:val="none"/>
                <w:lang w:eastAsia="zh-CN"/>
              </w:rPr>
              <w:fldChar w:fldCharType="end"/>
            </w:r>
            <w:r>
              <w:rPr>
                <w:rFonts w:hint="eastAsia" w:ascii="仿宋_GB2312" w:hAnsi="仿宋_GB2312" w:eastAsia="仿宋_GB2312" w:cs="仿宋_GB2312"/>
                <w:color w:val="auto"/>
                <w:spacing w:val="16"/>
                <w:sz w:val="24"/>
                <w:szCs w:val="24"/>
                <w:highlight w:val="none"/>
                <w:lang w:eastAsia="zh-CN"/>
              </w:rPr>
              <w:t>不适用本国产品标准及相关政策。</w:t>
            </w:r>
          </w:p>
          <w:p w14:paraId="60D01237">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fldChar w:fldCharType="begin"/>
            </w:r>
            <w:r>
              <w:rPr>
                <w:rFonts w:hint="eastAsia" w:ascii="仿宋_GB2312" w:hAnsi="仿宋_GB2312" w:eastAsia="仿宋_GB2312" w:cs="仿宋_GB2312"/>
                <w:color w:val="auto"/>
                <w:spacing w:val="16"/>
                <w:sz w:val="24"/>
                <w:szCs w:val="24"/>
                <w:highlight w:val="none"/>
                <w:lang w:eastAsia="zh-CN"/>
              </w:rPr>
              <w:instrText xml:space="preserve"> eq \o\ac(□)</w:instrText>
            </w:r>
            <w:r>
              <w:rPr>
                <w:rFonts w:hint="eastAsia" w:ascii="仿宋_GB2312" w:hAnsi="仿宋_GB2312" w:eastAsia="仿宋_GB2312" w:cs="仿宋_GB2312"/>
                <w:color w:val="auto"/>
                <w:spacing w:val="16"/>
                <w:sz w:val="24"/>
                <w:szCs w:val="24"/>
                <w:highlight w:val="none"/>
                <w:lang w:eastAsia="zh-CN"/>
              </w:rPr>
              <w:fldChar w:fldCharType="end"/>
            </w:r>
            <w:r>
              <w:rPr>
                <w:rFonts w:hint="eastAsia" w:ascii="仿宋_GB2312" w:hAnsi="仿宋_GB2312" w:eastAsia="仿宋_GB2312" w:cs="仿宋_GB2312"/>
                <w:color w:val="auto"/>
                <w:spacing w:val="16"/>
                <w:sz w:val="24"/>
                <w:szCs w:val="24"/>
                <w:highlight w:val="none"/>
                <w:lang w:eastAsia="zh-CN"/>
              </w:rPr>
              <w:t>适用本国产品标准及相关政策。</w:t>
            </w:r>
          </w:p>
          <w:p w14:paraId="2957AA5D">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3、本国产品标准：</w:t>
            </w:r>
          </w:p>
          <w:p w14:paraId="232F7838">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（1）产品在中国境内生产；</w:t>
            </w:r>
          </w:p>
          <w:p w14:paraId="6F23CC4A">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（2）产品在中国境内生产的组件成本占比达到规定比例：尚未施</w:t>
            </w:r>
          </w:p>
          <w:p w14:paraId="4B612BD1">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（3）产品关键组件符合相关要求：尚未实施</w:t>
            </w:r>
          </w:p>
          <w:p w14:paraId="69DAD135">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（4）产品关键工序符合相关要求：尚未实施</w:t>
            </w:r>
          </w:p>
          <w:p w14:paraId="0A98C7C2">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4、出具符合要求的《关于符合本国产品标准的声明函》（格式见第六章）或财政部会同有关部门规定的有关证明文件的，该产品视为本国产品。</w:t>
            </w:r>
          </w:p>
          <w:p w14:paraId="2234075D">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5、对本国产品的支持政策：</w:t>
            </w:r>
          </w:p>
          <w:p w14:paraId="410B42DE">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（1）政府采购活动中既有本国产品又有非本国产品参与竞争的，依法对本国产品给予价格评审优惠，对本国产品的报价给予20%的价格扣除，用扣除后的价格参与评审。</w:t>
            </w:r>
          </w:p>
          <w:p w14:paraId="68110E72">
            <w:pPr>
              <w:pStyle w:val="33"/>
              <w:spacing w:before="50" w:line="400" w:lineRule="exact"/>
              <w:ind w:left="121"/>
              <w:rPr>
                <w:color w:val="auto"/>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当采购项目或者采购包中含有多种产品时，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tc>
      </w:tr>
      <w:tr w14:paraId="6446E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27BCA2AC">
            <w:pPr>
              <w:spacing w:line="400" w:lineRule="exact"/>
              <w:jc w:val="center"/>
              <w:rPr>
                <w:rFonts w:ascii="仿宋_GB2312" w:hAnsi="仿宋_GB2312" w:eastAsia="仿宋_GB2312" w:cs="仿宋_GB2312"/>
                <w:color w:val="auto"/>
                <w:sz w:val="24"/>
                <w:szCs w:val="24"/>
                <w:highlight w:val="none"/>
                <w:lang w:eastAsia="zh-CN"/>
              </w:rPr>
            </w:pPr>
          </w:p>
          <w:p w14:paraId="0AB962F3">
            <w:pPr>
              <w:spacing w:line="400" w:lineRule="exact"/>
              <w:jc w:val="center"/>
              <w:rPr>
                <w:rFonts w:ascii="仿宋_GB2312" w:hAnsi="仿宋_GB2312" w:eastAsia="仿宋_GB2312" w:cs="仿宋_GB2312"/>
                <w:color w:val="auto"/>
                <w:sz w:val="24"/>
                <w:szCs w:val="24"/>
                <w:highlight w:val="none"/>
                <w:lang w:eastAsia="zh-CN"/>
              </w:rPr>
            </w:pPr>
          </w:p>
          <w:p w14:paraId="0515BC2E">
            <w:pPr>
              <w:pStyle w:val="33"/>
              <w:spacing w:before="75" w:line="400" w:lineRule="exact"/>
              <w:ind w:left="234"/>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22</w:t>
            </w:r>
          </w:p>
        </w:tc>
        <w:tc>
          <w:tcPr>
            <w:tcW w:w="1980" w:type="dxa"/>
            <w:vAlign w:val="center"/>
          </w:tcPr>
          <w:p w14:paraId="2DE0D128">
            <w:pPr>
              <w:spacing w:line="400" w:lineRule="exact"/>
              <w:jc w:val="center"/>
              <w:rPr>
                <w:rFonts w:ascii="仿宋_GB2312" w:hAnsi="仿宋_GB2312" w:eastAsia="仿宋_GB2312" w:cs="仿宋_GB2312"/>
                <w:color w:val="auto"/>
                <w:sz w:val="24"/>
                <w:szCs w:val="24"/>
                <w:highlight w:val="none"/>
              </w:rPr>
            </w:pPr>
          </w:p>
          <w:p w14:paraId="24C4B7F6">
            <w:pPr>
              <w:pStyle w:val="33"/>
              <w:spacing w:before="75" w:line="400" w:lineRule="exact"/>
              <w:ind w:firstLine="500" w:firstLineChars="200"/>
              <w:jc w:val="both"/>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其他说明</w:t>
            </w:r>
          </w:p>
        </w:tc>
        <w:tc>
          <w:tcPr>
            <w:tcW w:w="7366" w:type="dxa"/>
            <w:tcBorders>
              <w:right w:val="single" w:color="000000" w:sz="10" w:space="0"/>
            </w:tcBorders>
          </w:tcPr>
          <w:p w14:paraId="29D21656">
            <w:pPr>
              <w:pStyle w:val="33"/>
              <w:spacing w:before="60" w:line="400" w:lineRule="exact"/>
              <w:ind w:left="115" w:right="97" w:firstLine="2"/>
              <w:jc w:val="both"/>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（1）</w:t>
            </w:r>
            <w:r>
              <w:rPr>
                <w:rFonts w:hint="eastAsia" w:ascii="仿宋_GB2312" w:hAnsi="仿宋_GB2312" w:eastAsia="仿宋_GB2312" w:cs="仿宋_GB2312"/>
                <w:color w:val="auto"/>
                <w:spacing w:val="16"/>
                <w:sz w:val="24"/>
                <w:szCs w:val="24"/>
                <w:highlight w:val="none"/>
                <w:lang w:eastAsia="zh-CN"/>
              </w:rPr>
              <w:t>在评标过程直至签订合同前的任何时间，如经证实发现供应商提供</w:t>
            </w:r>
            <w:r>
              <w:rPr>
                <w:rFonts w:hint="eastAsia" w:ascii="仿宋_GB2312" w:hAnsi="仿宋_GB2312" w:eastAsia="仿宋_GB2312" w:cs="仿宋_GB2312"/>
                <w:color w:val="auto"/>
                <w:spacing w:val="15"/>
                <w:sz w:val="24"/>
                <w:szCs w:val="24"/>
                <w:highlight w:val="none"/>
                <w:lang w:eastAsia="zh-CN"/>
              </w:rPr>
              <w:t>虚假投标资料（包括技术支持资料）或信息骗取中标的，或者未按本</w:t>
            </w:r>
            <w:r>
              <w:rPr>
                <w:rFonts w:hint="eastAsia" w:ascii="仿宋_GB2312" w:hAnsi="仿宋_GB2312" w:eastAsia="仿宋_GB2312" w:cs="仿宋_GB2312"/>
                <w:color w:val="auto"/>
                <w:spacing w:val="23"/>
                <w:sz w:val="24"/>
                <w:szCs w:val="24"/>
                <w:highlight w:val="none"/>
                <w:lang w:eastAsia="zh-CN"/>
              </w:rPr>
              <w:t>采购文件要求提交履约保证金的（如有要求</w:t>
            </w:r>
            <w:r>
              <w:rPr>
                <w:rFonts w:hint="eastAsia" w:ascii="仿宋_GB2312" w:hAnsi="仿宋_GB2312" w:eastAsia="仿宋_GB2312" w:cs="仿宋_GB2312"/>
                <w:color w:val="auto"/>
                <w:spacing w:val="13"/>
                <w:sz w:val="24"/>
                <w:szCs w:val="24"/>
                <w:highlight w:val="none"/>
                <w:lang w:eastAsia="zh-CN"/>
              </w:rPr>
              <w:t>），</w:t>
            </w:r>
            <w:r>
              <w:rPr>
                <w:rFonts w:hint="eastAsia" w:ascii="仿宋_GB2312" w:hAnsi="仿宋_GB2312" w:eastAsia="仿宋_GB2312" w:cs="仿宋_GB2312"/>
                <w:color w:val="auto"/>
                <w:spacing w:val="23"/>
                <w:sz w:val="24"/>
                <w:szCs w:val="24"/>
                <w:highlight w:val="none"/>
                <w:lang w:eastAsia="zh-CN"/>
              </w:rPr>
              <w:t>将取消其中标资</w:t>
            </w:r>
            <w:r>
              <w:rPr>
                <w:rFonts w:hint="eastAsia" w:ascii="仿宋_GB2312" w:hAnsi="仿宋_GB2312" w:eastAsia="仿宋_GB2312" w:cs="仿宋_GB2312"/>
                <w:color w:val="auto"/>
                <w:spacing w:val="7"/>
                <w:sz w:val="24"/>
                <w:szCs w:val="24"/>
                <w:highlight w:val="none"/>
                <w:lang w:eastAsia="zh-CN"/>
              </w:rPr>
              <w:t>格，没收其投标保证金，并报主管部门备案。</w:t>
            </w:r>
          </w:p>
          <w:p w14:paraId="7BAF9D08">
            <w:pPr>
              <w:pStyle w:val="33"/>
              <w:spacing w:before="60" w:line="400" w:lineRule="exact"/>
              <w:ind w:left="115" w:right="97" w:firstLine="2"/>
              <w:jc w:val="both"/>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（2）合同价：按照中标单位的中标价作为执行合同的价格。</w:t>
            </w:r>
          </w:p>
          <w:p w14:paraId="1B283A2A">
            <w:pPr>
              <w:pStyle w:val="33"/>
              <w:spacing w:before="60" w:line="400" w:lineRule="exact"/>
              <w:ind w:left="115" w:right="97" w:firstLine="2"/>
              <w:jc w:val="both"/>
              <w:rPr>
                <w:rFonts w:ascii="仿宋_GB2312" w:hAnsi="仿宋_GB2312" w:eastAsia="仿宋_GB2312" w:cs="仿宋_GB2312"/>
                <w:color w:val="auto"/>
                <w:spacing w:val="7"/>
                <w:sz w:val="24"/>
                <w:szCs w:val="24"/>
                <w:highlight w:val="none"/>
              </w:rPr>
            </w:pPr>
            <w:r>
              <w:rPr>
                <w:rFonts w:hint="eastAsia" w:ascii="仿宋_GB2312" w:hAnsi="仿宋_GB2312" w:eastAsia="仿宋_GB2312" w:cs="仿宋_GB2312"/>
                <w:color w:val="auto"/>
                <w:spacing w:val="7"/>
                <w:sz w:val="24"/>
                <w:szCs w:val="24"/>
                <w:highlight w:val="none"/>
              </w:rPr>
              <w:t>（</w:t>
            </w:r>
            <w:r>
              <w:rPr>
                <w:rFonts w:hint="eastAsia" w:ascii="仿宋_GB2312" w:hAnsi="仿宋_GB2312" w:eastAsia="仿宋_GB2312" w:cs="仿宋_GB2312"/>
                <w:color w:val="auto"/>
                <w:spacing w:val="7"/>
                <w:sz w:val="24"/>
                <w:szCs w:val="24"/>
                <w:highlight w:val="none"/>
                <w:lang w:eastAsia="zh-CN"/>
              </w:rPr>
              <w:t>3</w:t>
            </w:r>
            <w:r>
              <w:rPr>
                <w:rFonts w:hint="eastAsia" w:ascii="仿宋_GB2312" w:hAnsi="仿宋_GB2312" w:eastAsia="仿宋_GB2312" w:cs="仿宋_GB2312"/>
                <w:color w:val="auto"/>
                <w:spacing w:val="7"/>
                <w:sz w:val="24"/>
                <w:szCs w:val="24"/>
                <w:highlight w:val="none"/>
              </w:rPr>
              <w:t>）本项目采用不见面开标，投标人的法定代表人或其委托代理人无需到达开标现场，仅需在任意地点通过政采云平台（https</w:t>
            </w:r>
            <w:r>
              <w:rPr>
                <w:rFonts w:hint="eastAsia" w:ascii="仿宋_GB2312" w:hAnsi="仿宋_GB2312" w:eastAsia="仿宋_GB2312" w:cs="仿宋_GB2312"/>
                <w:color w:val="auto"/>
                <w:spacing w:val="7"/>
                <w:sz w:val="24"/>
                <w:szCs w:val="24"/>
                <w:highlight w:val="none"/>
                <w:lang w:eastAsia="zh-CN"/>
              </w:rPr>
              <w:t>：</w:t>
            </w:r>
            <w:r>
              <w:rPr>
                <w:rFonts w:hint="eastAsia" w:ascii="仿宋_GB2312" w:hAnsi="仿宋_GB2312" w:eastAsia="仿宋_GB2312" w:cs="仿宋_GB2312"/>
                <w:color w:val="auto"/>
                <w:spacing w:val="7"/>
                <w:sz w:val="24"/>
                <w:szCs w:val="24"/>
                <w:highlight w:val="none"/>
              </w:rPr>
              <w:t>//www.zcygov.cn/），使用CA密钥完成远程解密、提疑澄清、开标唱标、结果公布等交互环节。</w:t>
            </w:r>
          </w:p>
          <w:p w14:paraId="714C1347">
            <w:pPr>
              <w:pStyle w:val="33"/>
              <w:spacing w:before="60" w:line="400" w:lineRule="exact"/>
              <w:ind w:left="115" w:right="97" w:firstLine="2"/>
              <w:jc w:val="both"/>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4）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0E8C8993">
            <w:pPr>
              <w:pStyle w:val="33"/>
              <w:spacing w:before="60" w:line="400" w:lineRule="exact"/>
              <w:ind w:left="115" w:right="97" w:firstLine="2"/>
              <w:jc w:val="both"/>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（5）确定中标人：采购人按评审报告中推荐的中标候选人排序确定中标人。</w:t>
            </w:r>
          </w:p>
          <w:p w14:paraId="79756386">
            <w:pPr>
              <w:pStyle w:val="33"/>
              <w:spacing w:before="60" w:line="400" w:lineRule="exact"/>
              <w:ind w:left="115" w:right="97" w:firstLine="2"/>
              <w:jc w:val="both"/>
              <w:rPr>
                <w:rFonts w:hint="eastAsia"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（6）</w:t>
            </w:r>
            <w:r>
              <w:rPr>
                <w:rFonts w:hint="eastAsia" w:ascii="仿宋_GB2312" w:hAnsi="仿宋_GB2312" w:eastAsia="仿宋_GB2312" w:cs="仿宋_GB2312"/>
                <w:b/>
                <w:bCs/>
                <w:color w:val="auto"/>
                <w:spacing w:val="9"/>
                <w:sz w:val="24"/>
                <w:szCs w:val="24"/>
                <w:highlight w:val="none"/>
                <w:lang w:eastAsia="zh-CN"/>
              </w:rPr>
              <w:t>本项目为多品类综合食材配送，采购品类多、月度采购量及金额占比动态浮动，本项目不设定核心产品，不适用相同品牌按一家投标人计算规则。</w:t>
            </w:r>
          </w:p>
          <w:p w14:paraId="2AAA2D84">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w:t>
            </w:r>
            <w:r>
              <w:rPr>
                <w:rFonts w:hint="eastAsia" w:ascii="仿宋_GB2312" w:hAnsi="仿宋_GB2312" w:eastAsia="仿宋_GB2312" w:cs="仿宋_GB2312"/>
                <w:b/>
                <w:bCs/>
                <w:color w:val="auto"/>
                <w:spacing w:val="7"/>
                <w:sz w:val="24"/>
                <w:szCs w:val="24"/>
                <w:highlight w:val="none"/>
                <w:lang w:val="en-US" w:eastAsia="zh-CN"/>
              </w:rPr>
              <w:t>7</w:t>
            </w:r>
            <w:r>
              <w:rPr>
                <w:rFonts w:hint="eastAsia" w:ascii="仿宋_GB2312" w:hAnsi="仿宋_GB2312" w:eastAsia="仿宋_GB2312" w:cs="仿宋_GB2312"/>
                <w:b/>
                <w:bCs/>
                <w:color w:val="auto"/>
                <w:spacing w:val="7"/>
                <w:sz w:val="24"/>
                <w:szCs w:val="24"/>
                <w:highlight w:val="none"/>
                <w:lang w:eastAsia="zh-CN"/>
              </w:rPr>
              <w:t>）新疆维吾尔自治区吐鲁番某单位2026年度大宗生活物资采购项目共</w:t>
            </w:r>
            <w:r>
              <w:rPr>
                <w:rFonts w:hint="eastAsia" w:ascii="仿宋_GB2312" w:hAnsi="仿宋_GB2312" w:eastAsia="仿宋_GB2312" w:cs="仿宋_GB2312"/>
                <w:b/>
                <w:bCs/>
                <w:color w:val="auto"/>
                <w:spacing w:val="7"/>
                <w:sz w:val="24"/>
                <w:szCs w:val="24"/>
                <w:highlight w:val="none"/>
                <w:lang w:val="en-US" w:eastAsia="zh-CN"/>
              </w:rPr>
              <w:t>七</w:t>
            </w:r>
            <w:r>
              <w:rPr>
                <w:rFonts w:hint="eastAsia" w:ascii="仿宋_GB2312" w:hAnsi="仿宋_GB2312" w:eastAsia="仿宋_GB2312" w:cs="仿宋_GB2312"/>
                <w:b/>
                <w:bCs/>
                <w:color w:val="auto"/>
                <w:spacing w:val="7"/>
                <w:sz w:val="24"/>
                <w:szCs w:val="24"/>
                <w:highlight w:val="none"/>
                <w:lang w:eastAsia="zh-CN"/>
              </w:rPr>
              <w:t>个标项，</w:t>
            </w:r>
            <w:r>
              <w:rPr>
                <w:rFonts w:hint="eastAsia" w:ascii="仿宋_GB2312" w:hAnsi="仿宋_GB2312" w:eastAsia="仿宋_GB2312" w:cs="仿宋_GB2312"/>
                <w:b/>
                <w:bCs/>
                <w:color w:val="auto"/>
                <w:spacing w:val="7"/>
                <w:sz w:val="24"/>
                <w:szCs w:val="24"/>
                <w:highlight w:val="none"/>
                <w:lang w:val="en-US" w:eastAsia="zh-CN"/>
              </w:rPr>
              <w:t>七</w:t>
            </w:r>
            <w:r>
              <w:rPr>
                <w:rFonts w:hint="eastAsia" w:ascii="仿宋_GB2312" w:hAnsi="仿宋_GB2312" w:eastAsia="仿宋_GB2312" w:cs="仿宋_GB2312"/>
                <w:b/>
                <w:bCs/>
                <w:color w:val="auto"/>
                <w:spacing w:val="7"/>
                <w:sz w:val="24"/>
                <w:szCs w:val="24"/>
                <w:highlight w:val="none"/>
                <w:lang w:eastAsia="zh-CN"/>
              </w:rPr>
              <w:t>个标项供应商可兼投但不兼中，即本项目</w:t>
            </w:r>
            <w:r>
              <w:rPr>
                <w:rFonts w:hint="eastAsia" w:ascii="仿宋_GB2312" w:hAnsi="仿宋_GB2312" w:eastAsia="仿宋_GB2312" w:cs="仿宋_GB2312"/>
                <w:b/>
                <w:bCs/>
                <w:color w:val="auto"/>
                <w:spacing w:val="7"/>
                <w:sz w:val="24"/>
                <w:szCs w:val="24"/>
                <w:highlight w:val="none"/>
                <w:lang w:val="en-US" w:eastAsia="zh-CN"/>
              </w:rPr>
              <w:t>七</w:t>
            </w:r>
            <w:r>
              <w:rPr>
                <w:rFonts w:hint="eastAsia" w:ascii="仿宋_GB2312" w:hAnsi="仿宋_GB2312" w:eastAsia="仿宋_GB2312" w:cs="仿宋_GB2312"/>
                <w:b/>
                <w:bCs/>
                <w:color w:val="auto"/>
                <w:spacing w:val="7"/>
                <w:sz w:val="24"/>
                <w:szCs w:val="24"/>
                <w:highlight w:val="none"/>
                <w:lang w:eastAsia="zh-CN"/>
              </w:rPr>
              <w:t>个标项供应商均可参与投标，但同一供应商只允许中标一个标项，已确定为第一中标候选人的供应商，‌其投标文件仍参与后面标项的评审，‌但不作为中标候选人进行排序。</w:t>
            </w:r>
          </w:p>
          <w:p w14:paraId="1100CF37">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新疆维吾尔自治区吐鲁番某单位2026年度大宗生活物资采购项目七个标项分别为：</w:t>
            </w:r>
          </w:p>
          <w:p w14:paraId="2A08E4CD">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标项一：新疆维吾尔自治区吐鲁番某单位2026年度大宗生活物资采购项目-第一包（面粉大米清油类）（项目编号：JTZB-2026-ZC028）；</w:t>
            </w:r>
          </w:p>
          <w:p w14:paraId="2428AE6B">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标项二：新疆维吾尔自治区吐鲁番某单位2026年度大宗生活物资采购项目-第二包（禽肉水产类）（项目编号：XJHY-2026-049（</w:t>
            </w:r>
            <w:r>
              <w:rPr>
                <w:rFonts w:hint="eastAsia" w:ascii="仿宋_GB2312" w:hAnsi="仿宋_GB2312" w:eastAsia="仿宋_GB2312" w:cs="仿宋_GB2312"/>
                <w:b/>
                <w:bCs/>
                <w:color w:val="auto"/>
                <w:spacing w:val="7"/>
                <w:sz w:val="24"/>
                <w:szCs w:val="24"/>
                <w:highlight w:val="none"/>
                <w:lang w:val="en-US" w:eastAsia="zh-CN"/>
              </w:rPr>
              <w:t>01</w:t>
            </w:r>
            <w:r>
              <w:rPr>
                <w:rFonts w:hint="eastAsia" w:ascii="仿宋_GB2312" w:hAnsi="仿宋_GB2312" w:eastAsia="仿宋_GB2312" w:cs="仿宋_GB2312"/>
                <w:b/>
                <w:bCs/>
                <w:color w:val="auto"/>
                <w:spacing w:val="7"/>
                <w:sz w:val="24"/>
                <w:szCs w:val="24"/>
                <w:highlight w:val="none"/>
                <w:lang w:eastAsia="zh-CN"/>
              </w:rPr>
              <w:t>））；</w:t>
            </w:r>
          </w:p>
          <w:p w14:paraId="43170E84">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标项三:新疆维吾尔自治区吐鲁番某单位2026年度大宗生活物资采购项目-第三包（牛羊肉类）（项目编号：JTZB-2026-ZC029）；</w:t>
            </w:r>
          </w:p>
          <w:p w14:paraId="0914F07F">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标项四：新疆维吾尔自治区吐鲁番某单位2026年度大宗生活物资采购项目-第四包（蔬菜类）（项目编号：SJX-2026-514）；</w:t>
            </w:r>
          </w:p>
          <w:p w14:paraId="354A8E38">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标项五：新疆维吾尔自治区吐鲁番某单位2026年度大宗生活物资采购项目-第五包（副食品类含豆类榨菜）（项目编号：XJHY-2026-049（</w:t>
            </w:r>
            <w:r>
              <w:rPr>
                <w:rFonts w:hint="eastAsia" w:ascii="仿宋_GB2312" w:hAnsi="仿宋_GB2312" w:eastAsia="仿宋_GB2312" w:cs="仿宋_GB2312"/>
                <w:b/>
                <w:bCs/>
                <w:color w:val="auto"/>
                <w:spacing w:val="7"/>
                <w:sz w:val="24"/>
                <w:szCs w:val="24"/>
                <w:highlight w:val="none"/>
                <w:lang w:val="en-US" w:eastAsia="zh-CN"/>
              </w:rPr>
              <w:t>02</w:t>
            </w:r>
            <w:r>
              <w:rPr>
                <w:rFonts w:hint="eastAsia" w:ascii="仿宋_GB2312" w:hAnsi="仿宋_GB2312" w:eastAsia="仿宋_GB2312" w:cs="仿宋_GB2312"/>
                <w:b/>
                <w:bCs/>
                <w:color w:val="auto"/>
                <w:spacing w:val="7"/>
                <w:sz w:val="24"/>
                <w:szCs w:val="24"/>
                <w:highlight w:val="none"/>
                <w:lang w:eastAsia="zh-CN"/>
              </w:rPr>
              <w:t>））；</w:t>
            </w:r>
          </w:p>
          <w:p w14:paraId="241EA4C6">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标项六：新疆维吾尔自治区吐鲁番某单位2026年度大宗生活物资采购项目-第六包（牛奶酸奶、鸡蛋类）（项目编号：SJX-2026-515）；</w:t>
            </w:r>
          </w:p>
          <w:p w14:paraId="02EB0494">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标项七：新疆维吾尔自治区吐鲁番某单位2026年度大宗生活物资采购项目-第七包（水果类）（项目编号：XJHY-2026-049（</w:t>
            </w:r>
            <w:r>
              <w:rPr>
                <w:rFonts w:hint="eastAsia" w:ascii="仿宋_GB2312" w:hAnsi="仿宋_GB2312" w:eastAsia="仿宋_GB2312" w:cs="仿宋_GB2312"/>
                <w:b/>
                <w:bCs/>
                <w:color w:val="auto"/>
                <w:spacing w:val="7"/>
                <w:sz w:val="24"/>
                <w:szCs w:val="24"/>
                <w:highlight w:val="none"/>
                <w:lang w:val="en-US" w:eastAsia="zh-CN"/>
              </w:rPr>
              <w:t>03</w:t>
            </w:r>
            <w:r>
              <w:rPr>
                <w:rFonts w:hint="eastAsia" w:ascii="仿宋_GB2312" w:hAnsi="仿宋_GB2312" w:eastAsia="仿宋_GB2312" w:cs="仿宋_GB2312"/>
                <w:b/>
                <w:bCs/>
                <w:color w:val="auto"/>
                <w:spacing w:val="7"/>
                <w:sz w:val="24"/>
                <w:szCs w:val="24"/>
                <w:highlight w:val="none"/>
                <w:lang w:eastAsia="zh-CN"/>
              </w:rPr>
              <w:t>））；</w:t>
            </w:r>
          </w:p>
          <w:p w14:paraId="3A0D8416">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新疆维吾尔自治区吐鲁番某单位2026年度大宗生活物资采购项目七个标项的评审先后顺序为：标项一，标项三，标项四，标项六，标项二，标项五，标项七；</w:t>
            </w:r>
          </w:p>
          <w:p w14:paraId="21E726B9">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如供应商标项一中标，则不得中标标项三，标项四，标项六，标项二，标项五，标项七，以此类推。</w:t>
            </w:r>
          </w:p>
          <w:p w14:paraId="04D3162C">
            <w:pPr>
              <w:pStyle w:val="33"/>
              <w:spacing w:before="60" w:line="400" w:lineRule="exact"/>
              <w:ind w:left="115" w:right="97" w:firstLine="2"/>
              <w:jc w:val="both"/>
              <w:rPr>
                <w:rFonts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w:t>
            </w:r>
            <w:r>
              <w:rPr>
                <w:rFonts w:hint="eastAsia" w:ascii="仿宋_GB2312" w:hAnsi="仿宋_GB2312" w:eastAsia="仿宋_GB2312" w:cs="仿宋_GB2312"/>
                <w:b/>
                <w:bCs/>
                <w:color w:val="auto"/>
                <w:spacing w:val="7"/>
                <w:sz w:val="24"/>
                <w:szCs w:val="24"/>
                <w:highlight w:val="none"/>
                <w:lang w:val="en-US" w:eastAsia="zh-CN"/>
              </w:rPr>
              <w:t>8</w:t>
            </w:r>
            <w:r>
              <w:rPr>
                <w:rFonts w:hint="eastAsia" w:ascii="仿宋_GB2312" w:hAnsi="仿宋_GB2312" w:eastAsia="仿宋_GB2312" w:cs="仿宋_GB2312"/>
                <w:b/>
                <w:bCs/>
                <w:color w:val="auto"/>
                <w:spacing w:val="7"/>
                <w:sz w:val="24"/>
                <w:szCs w:val="24"/>
                <w:highlight w:val="none"/>
                <w:lang w:eastAsia="zh-CN"/>
              </w:rPr>
              <w:t>）报价方式：折扣报价。</w:t>
            </w:r>
          </w:p>
          <w:p w14:paraId="310636BB">
            <w:pPr>
              <w:pStyle w:val="33"/>
              <w:spacing w:before="60" w:line="400" w:lineRule="exact"/>
              <w:ind w:left="115" w:right="97" w:firstLine="2"/>
              <w:jc w:val="both"/>
              <w:rPr>
                <w:rFonts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折扣不得高于100%（不得在折扣前填写“±”）、（投标报价须为正整数）。投标产品须统一填报一个唯一折扣。如投标报价“九五折”，投标报价一览表中填写为“95%”）</w:t>
            </w:r>
          </w:p>
          <w:p w14:paraId="566E65DF">
            <w:pPr>
              <w:pStyle w:val="33"/>
              <w:spacing w:before="60" w:line="400" w:lineRule="exact"/>
              <w:ind w:left="115" w:right="97" w:firstLine="2"/>
              <w:jc w:val="both"/>
              <w:rPr>
                <w:rFonts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供应商结算单价为：最高限价×折扣</w:t>
            </w:r>
          </w:p>
        </w:tc>
      </w:tr>
      <w:tr w14:paraId="68803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106C8837">
            <w:pPr>
              <w:pStyle w:val="33"/>
              <w:spacing w:before="75" w:line="400" w:lineRule="exact"/>
              <w:ind w:left="234"/>
              <w:jc w:val="center"/>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23</w:t>
            </w:r>
          </w:p>
        </w:tc>
        <w:tc>
          <w:tcPr>
            <w:tcW w:w="1980" w:type="dxa"/>
            <w:vAlign w:val="center"/>
          </w:tcPr>
          <w:p w14:paraId="2EB26FC9">
            <w:pPr>
              <w:jc w:val="center"/>
              <w:rPr>
                <w:rFonts w:ascii="仿宋" w:hAnsi="仿宋" w:eastAsia="仿宋" w:cs="仿宋"/>
                <w:color w:val="auto"/>
                <w:sz w:val="24"/>
                <w:szCs w:val="24"/>
                <w:highlight w:val="none"/>
              </w:rPr>
            </w:pPr>
          </w:p>
          <w:p w14:paraId="0E7748A4">
            <w:pPr>
              <w:jc w:val="center"/>
              <w:rPr>
                <w:rFonts w:ascii="仿宋" w:hAnsi="仿宋" w:eastAsia="仿宋" w:cs="仿宋"/>
                <w:color w:val="auto"/>
                <w:sz w:val="24"/>
                <w:szCs w:val="24"/>
                <w:highlight w:val="none"/>
              </w:rPr>
            </w:pPr>
          </w:p>
          <w:p w14:paraId="112A6E28">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投标文件编制注意1</w:t>
            </w:r>
          </w:p>
          <w:p w14:paraId="23D0BF50">
            <w:pPr>
              <w:ind w:left="420" w:leftChars="200"/>
              <w:jc w:val="center"/>
              <w:rPr>
                <w:rFonts w:ascii="仿宋" w:hAnsi="仿宋" w:eastAsia="仿宋" w:cs="仿宋"/>
                <w:color w:val="auto"/>
                <w:sz w:val="24"/>
                <w:szCs w:val="24"/>
                <w:highlight w:val="none"/>
              </w:rPr>
            </w:pPr>
          </w:p>
        </w:tc>
        <w:tc>
          <w:tcPr>
            <w:tcW w:w="7366" w:type="dxa"/>
            <w:tcBorders>
              <w:right w:val="single" w:color="000000" w:sz="10" w:space="0"/>
            </w:tcBorders>
            <w:vAlign w:val="center"/>
          </w:tcPr>
          <w:p w14:paraId="1A481E2E">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1、在采购文件领取截止时间前，使用办理的CA数字证书，通过政采云平台（https：//www.zcygov.cn/）窗口下载所投项目的采购文件。</w:t>
            </w:r>
          </w:p>
          <w:p w14:paraId="5BBA9470">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供应商需在新疆政府采购网（http：//www.ccgp——xinjiang.gov.cn/）下载专区自行下载政采云电子投标客户端。在电子投标客户端内制作对应的投标文件。投标文件制作完成后在投标截止时间前上传至政采云平台对应项目即可。</w:t>
            </w:r>
          </w:p>
          <w:p w14:paraId="1FDD82B4">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3、采购文件规定：不接受投标文件中出现的可选择或可调整的投标方案和报价，任何有选择的或可调整的投标方案和报价将被视为不响应采购文件，其投标将被拒绝。</w:t>
            </w:r>
          </w:p>
          <w:p w14:paraId="0FEBEA17">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特别声明：供应商在制作投标文件时，不得弄虚作假，不得使用各种手段伪造、变造本不属于供应商本身的响应材料。（如假证书、假业绩、假合同、假授权、故意隐瞒不良行为记录、夸大荣誉、使用非供应商在职员工的相关证件及其他不符合《中华人民共和国政府采购法》等规定的条款）；如在采购过程中发现有供应商出现此类问题，将按照《中华人民共和国政府采购法》等相关规定进行处理，并将其列入政府采购黑名单库。</w:t>
            </w:r>
          </w:p>
        </w:tc>
      </w:tr>
      <w:tr w14:paraId="6A42E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Pr>
          <w:p w14:paraId="1AF4807B">
            <w:pPr>
              <w:pStyle w:val="33"/>
              <w:spacing w:before="75" w:line="400" w:lineRule="exact"/>
              <w:ind w:left="234"/>
              <w:jc w:val="center"/>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24</w:t>
            </w:r>
          </w:p>
        </w:tc>
        <w:tc>
          <w:tcPr>
            <w:tcW w:w="1980" w:type="dxa"/>
            <w:vAlign w:val="center"/>
          </w:tcPr>
          <w:p w14:paraId="30F1A6A8">
            <w:pPr>
              <w:jc w:val="center"/>
              <w:rPr>
                <w:rFonts w:ascii="仿宋" w:hAnsi="仿宋" w:eastAsia="仿宋" w:cs="仿宋"/>
                <w:color w:val="auto"/>
                <w:sz w:val="24"/>
                <w:szCs w:val="24"/>
                <w:highlight w:val="none"/>
              </w:rPr>
            </w:pPr>
          </w:p>
          <w:p w14:paraId="419348CF">
            <w:pPr>
              <w:jc w:val="center"/>
              <w:rPr>
                <w:rFonts w:ascii="仿宋" w:hAnsi="仿宋" w:eastAsia="仿宋" w:cs="仿宋"/>
                <w:color w:val="auto"/>
                <w:sz w:val="24"/>
                <w:szCs w:val="24"/>
                <w:highlight w:val="none"/>
              </w:rPr>
            </w:pPr>
          </w:p>
          <w:p w14:paraId="4A5CF581">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投标文件编制注意2</w:t>
            </w:r>
          </w:p>
          <w:p w14:paraId="6B433A91">
            <w:pPr>
              <w:ind w:left="420" w:leftChars="200"/>
              <w:jc w:val="center"/>
              <w:rPr>
                <w:rFonts w:ascii="仿宋" w:hAnsi="仿宋" w:eastAsia="仿宋" w:cs="仿宋"/>
                <w:color w:val="auto"/>
                <w:sz w:val="24"/>
                <w:szCs w:val="24"/>
                <w:highlight w:val="none"/>
              </w:rPr>
            </w:pPr>
          </w:p>
        </w:tc>
        <w:tc>
          <w:tcPr>
            <w:tcW w:w="7366" w:type="dxa"/>
            <w:vAlign w:val="center"/>
          </w:tcPr>
          <w:p w14:paraId="0D2AAB50">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1、各供应商必须针对每包项目分别制作投标文件并报价，每包的投标文件均必须满足采购文件份数与制作等要求，否则将导致投标被拒绝。</w:t>
            </w:r>
          </w:p>
          <w:p w14:paraId="38FADF6C">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2、当出现下列情形之一，投标文件将予以退回：</w:t>
            </w:r>
          </w:p>
          <w:p w14:paraId="0B5A1764">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（1）供应商在投标文件递交截止时间前未成功上传加密电子投标文件；</w:t>
            </w:r>
          </w:p>
          <w:p w14:paraId="1A40130C">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（2）供应商使用解密的CA数字证书与上传加密投标文件使用的CA数字证书不一致；</w:t>
            </w:r>
          </w:p>
          <w:p w14:paraId="27278449">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（3）供应商解密时CA数字证书已过期，导致无法正常解密；</w:t>
            </w:r>
          </w:p>
          <w:p w14:paraId="320A9E97">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（4）加密投标文件时，CA数字证书未过期，解密时，显示CA数字证书已过期，导致无法正常解密；</w:t>
            </w:r>
          </w:p>
          <w:p w14:paraId="5C72D7ED">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（5）未在规定的投标文件解密时间内进行解密的；</w:t>
            </w:r>
          </w:p>
          <w:p w14:paraId="3CD28D78">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 xml:space="preserve">（6）供应商个人原因导致无法解密的其他情形。 </w:t>
            </w:r>
          </w:p>
          <w:p w14:paraId="7489FD6C">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3、供应商应在投标截止时间前将投标时使用的计算机安装相关的浏览器（推荐使用谷歌浏览器）、CA驱动等软件，方便投标文件解密时能够正常解密。</w:t>
            </w:r>
          </w:p>
          <w:p w14:paraId="6CCC075A">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4、供应商需在投标文件递交截止时间前自行测试开标时使用的计算机，如因供应商自身原因导致投标文件解密失败的，由供应商自行承担相应后果。</w:t>
            </w:r>
          </w:p>
        </w:tc>
      </w:tr>
      <w:tr w14:paraId="50DD6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Pr>
          <w:p w14:paraId="24FAFDB0">
            <w:pPr>
              <w:pStyle w:val="33"/>
              <w:spacing w:before="75" w:line="400" w:lineRule="exact"/>
              <w:ind w:left="234"/>
              <w:jc w:val="center"/>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25</w:t>
            </w:r>
          </w:p>
        </w:tc>
        <w:tc>
          <w:tcPr>
            <w:tcW w:w="1980" w:type="dxa"/>
            <w:vAlign w:val="center"/>
          </w:tcPr>
          <w:p w14:paraId="4BE31151">
            <w:pPr>
              <w:jc w:val="center"/>
              <w:rPr>
                <w:rFonts w:ascii="仿宋" w:hAnsi="仿宋" w:eastAsia="仿宋" w:cs="仿宋"/>
                <w:color w:val="auto"/>
                <w:sz w:val="24"/>
                <w:szCs w:val="24"/>
                <w:highlight w:val="none"/>
              </w:rPr>
            </w:pPr>
          </w:p>
          <w:p w14:paraId="611C3C19">
            <w:pPr>
              <w:jc w:val="center"/>
              <w:rPr>
                <w:rFonts w:ascii="仿宋" w:hAnsi="仿宋" w:eastAsia="仿宋" w:cs="仿宋"/>
                <w:color w:val="auto"/>
                <w:sz w:val="24"/>
                <w:szCs w:val="24"/>
                <w:highlight w:val="none"/>
              </w:rPr>
            </w:pPr>
          </w:p>
          <w:p w14:paraId="133A6599">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投标文件编制注意3</w:t>
            </w:r>
          </w:p>
          <w:p w14:paraId="4258623E">
            <w:pPr>
              <w:ind w:left="420" w:leftChars="200"/>
              <w:jc w:val="center"/>
              <w:rPr>
                <w:rFonts w:ascii="仿宋" w:hAnsi="仿宋" w:eastAsia="仿宋" w:cs="仿宋"/>
                <w:color w:val="auto"/>
                <w:sz w:val="24"/>
                <w:szCs w:val="24"/>
                <w:highlight w:val="none"/>
              </w:rPr>
            </w:pPr>
          </w:p>
        </w:tc>
        <w:tc>
          <w:tcPr>
            <w:tcW w:w="7366" w:type="dxa"/>
            <w:vAlign w:val="center"/>
          </w:tcPr>
          <w:p w14:paraId="53BDBF30">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1、无论何种原因，在投标文件中未提供相应材料的，将视同其未提供。</w:t>
            </w:r>
          </w:p>
          <w:p w14:paraId="315C6609">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2、各供应商应在开标前应确保成为新疆政府采购网正式注册入库供应商，并完成CA数字证书（符合国密标准）申领。如需咨询，请联系新疆CA服务热线0991—2819290；</w:t>
            </w:r>
          </w:p>
          <w:p w14:paraId="40C339B1">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w:t>
            </w:r>
          </w:p>
          <w:p w14:paraId="1C890DA6">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4、供应商首次参加政府采购活动的，可前往新疆政府采购网（ http：//www.ccgp——xinjiang.gov.cn/）下载操作指南。（步骤：进入新疆政府采购网（</w:t>
            </w:r>
            <w:r>
              <w:rPr>
                <w:color w:val="auto"/>
                <w:highlight w:val="none"/>
              </w:rPr>
              <w:fldChar w:fldCharType="begin"/>
            </w:r>
            <w:r>
              <w:rPr>
                <w:color w:val="auto"/>
                <w:highlight w:val="none"/>
              </w:rPr>
              <w:instrText xml:space="preserve"> HYPERLINK "http://www.ccgp-xinjiang.gov.cn/" </w:instrText>
            </w:r>
            <w:r>
              <w:rPr>
                <w:color w:val="auto"/>
                <w:highlight w:val="none"/>
              </w:rPr>
              <w:fldChar w:fldCharType="separate"/>
            </w:r>
            <w:r>
              <w:rPr>
                <w:rFonts w:hint="eastAsia" w:ascii="仿宋_GB2312" w:hAnsi="仿宋_GB2312" w:eastAsia="仿宋_GB2312" w:cs="仿宋_GB2312"/>
                <w:color w:val="auto"/>
                <w:spacing w:val="16"/>
                <w:sz w:val="24"/>
                <w:szCs w:val="24"/>
                <w:highlight w:val="none"/>
                <w:lang w:eastAsia="zh-CN"/>
              </w:rPr>
              <w:t>http：//www.ccgp——xinjiang.gov.cn/</w:t>
            </w:r>
            <w:r>
              <w:rPr>
                <w:rFonts w:hint="eastAsia" w:ascii="仿宋_GB2312" w:hAnsi="仿宋_GB2312" w:eastAsia="仿宋_GB2312" w:cs="仿宋_GB2312"/>
                <w:color w:val="auto"/>
                <w:spacing w:val="16"/>
                <w:sz w:val="24"/>
                <w:szCs w:val="24"/>
                <w:highlight w:val="none"/>
                <w:lang w:eastAsia="zh-CN"/>
              </w:rPr>
              <w:fldChar w:fldCharType="end"/>
            </w:r>
            <w:r>
              <w:rPr>
                <w:rFonts w:hint="eastAsia" w:ascii="仿宋_GB2312" w:hAnsi="仿宋_GB2312" w:eastAsia="仿宋_GB2312" w:cs="仿宋_GB2312"/>
                <w:color w:val="auto"/>
                <w:spacing w:val="16"/>
                <w:sz w:val="24"/>
                <w:szCs w:val="24"/>
                <w:highlight w:val="none"/>
                <w:lang w:eastAsia="zh-CN"/>
              </w:rPr>
              <w:t>）点击主页面的办事指南—选择并下载供应商政采云平台操作指南。）</w:t>
            </w:r>
          </w:p>
        </w:tc>
      </w:tr>
      <w:tr w14:paraId="5B115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Pr>
          <w:p w14:paraId="586C5D12">
            <w:pPr>
              <w:pStyle w:val="33"/>
              <w:spacing w:before="75" w:line="400" w:lineRule="exact"/>
              <w:ind w:left="234"/>
              <w:jc w:val="center"/>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26</w:t>
            </w:r>
          </w:p>
        </w:tc>
        <w:tc>
          <w:tcPr>
            <w:tcW w:w="1980" w:type="dxa"/>
            <w:vAlign w:val="center"/>
          </w:tcPr>
          <w:p w14:paraId="503B7107">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w:t>
            </w:r>
          </w:p>
        </w:tc>
        <w:tc>
          <w:tcPr>
            <w:tcW w:w="7366" w:type="dxa"/>
            <w:vAlign w:val="center"/>
          </w:tcPr>
          <w:p w14:paraId="136BEC31">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 xml:space="preserve">1.供应商认为采购文件、采购过程、中标或者中标结果使自己的权益受到损害的，可以在知道或者应知其权益受到损害之日起 7个工作日内，以书面形式向采购人、采购代理机构提出质疑。 </w:t>
            </w:r>
          </w:p>
          <w:p w14:paraId="2E50D4B1">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 xml:space="preserve">2.供应商应在法定质疑期内一次性提出针对同一采购程序环节的质疑，本项目不接受供应商多次/反复质疑。 </w:t>
            </w:r>
          </w:p>
          <w:p w14:paraId="6DFC4950">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 xml:space="preserve">3.质疑供应商应按照财政部制定的《政府采购质疑函范本》格式10（可从财政部官方网站下载）和《政府采购质疑和投诉办法》（财政部令第94号）的要求，在法定质疑期内以书面形式提出质疑。 </w:t>
            </w:r>
          </w:p>
          <w:p w14:paraId="0295790D">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4.超出法定质疑期、重复或分次提出的、内容或形式不符合《政府采购质疑和投诉办法》规定的质疑将被拒绝。</w:t>
            </w:r>
          </w:p>
          <w:p w14:paraId="3B51AC48">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5.依据：《中华人民共和国政府采购法》第五十二条、《中华人民共和国政府采购法实施条例》第五十三条规定的供应商应知其权益受到损害之日，是指：（一）对可以质疑的采购文件提出质疑的，为收到采购文件之日或者采购文件公告期限届满之日；（二）对采购过程提出质疑的，为各采购程序环节结束之日；（三）对中标或者中标结果提出质疑的，为中标或者中标结果公告期限届满之日。</w:t>
            </w:r>
          </w:p>
          <w:p w14:paraId="474B27B7">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6.采购代理机构质疑函接收信息</w:t>
            </w:r>
          </w:p>
          <w:p w14:paraId="293F74FE">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接收部门：新疆华域建设工程项目管理咨询有限公司　</w:t>
            </w:r>
          </w:p>
          <w:p w14:paraId="02780221">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联系人：梁雪燕</w:t>
            </w:r>
            <w:r>
              <w:rPr>
                <w:rFonts w:hint="eastAsia" w:ascii="仿宋_GB2312" w:hAnsi="仿宋_GB2312" w:eastAsia="仿宋_GB2312" w:cs="仿宋_GB2312"/>
                <w:color w:val="auto"/>
                <w:spacing w:val="16"/>
                <w:sz w:val="24"/>
                <w:szCs w:val="24"/>
                <w:highlight w:val="none"/>
                <w:lang w:eastAsia="zh-CN"/>
              </w:rPr>
              <w:br w:type="textWrapping"/>
            </w:r>
            <w:r>
              <w:rPr>
                <w:rFonts w:hint="eastAsia" w:ascii="仿宋_GB2312" w:hAnsi="仿宋_GB2312" w:eastAsia="仿宋_GB2312" w:cs="仿宋_GB2312"/>
                <w:color w:val="auto"/>
                <w:spacing w:val="16"/>
                <w:sz w:val="24"/>
                <w:szCs w:val="24"/>
                <w:highlight w:val="none"/>
                <w:lang w:eastAsia="zh-CN"/>
              </w:rPr>
              <w:t>联系电话：17690710616</w:t>
            </w:r>
          </w:p>
          <w:p w14:paraId="50F654E6">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 xml:space="preserve">地址：乌鲁木齐市水磨沟区五星北路194号新地园大厦1401室 </w:t>
            </w:r>
          </w:p>
          <w:p w14:paraId="1523DC24">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提交方式：提交盖章的纸质版原件，在法定质疑期内一次性提出针对同一采购程序环节的质疑。逾期未提出的，视同理解和接受。</w:t>
            </w:r>
          </w:p>
          <w:p w14:paraId="1BC120BB">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7.澄清、修改文件发出后（若有），供应商必须使用最新的澄清文件制作电子投标文件。</w:t>
            </w:r>
          </w:p>
        </w:tc>
      </w:tr>
      <w:tr w14:paraId="01A2F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10068" w:type="dxa"/>
            <w:gridSpan w:val="3"/>
          </w:tcPr>
          <w:p w14:paraId="441B7D41">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1、采购文件中部分加粗、标★、加下划线、废标、无效标、投标被拒绝字样的条款，为招标的重要条款，着重提醒各投标人注意，并认真查看采购文件中的每一个条款及要求，因误读采购文件而造成的后果，招标人概不负责。</w:t>
            </w:r>
          </w:p>
          <w:p w14:paraId="6DA10E9C">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2、投标文件中有弄虚作假的内容，其投标文件作废。（如假证书、假业绩、隐瞒不良行为记录、夸大荣誉、使用非本单位在职员工的相关证件及不符合采购文件规定的条款等）；在签订合同之前，投标人如发现投标文件有弄虚作假内容，招标人可拒绝与其签订合同。并将其列入政府采购黑名单库。</w:t>
            </w:r>
          </w:p>
          <w:p w14:paraId="56BA7B5E">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3、★投标人应保证在本项目使用的任何产品和服务（包括部分使用）时，不会产生因第三方提出侵犯其专利权、商标权或其他知识产权而引起的法律和经济纠纷。如因专利权、商标权或其他知识产权而引起法律和经济纠纷，投标人承担所有相关责任的同时不得耽误本项目实施。</w:t>
            </w:r>
          </w:p>
          <w:p w14:paraId="4B1BB95D">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4、中标后其他要求：中标供应商须在开标后提供纸质版投标文件2份，提交至新疆华域建设工程项目管理咨询有限公司（新疆乌鲁木齐市水磨沟区五星北路194号新地园大厦1401），联系电话：17690710616；纸质版投标文件与政采云平台上传版保持一致，由此产生的一切风险与后果由各潜在投标供应商承担。装订应采取A4纸牢固胶装装订成册，必须编写目录页码（页码应连续）。</w:t>
            </w:r>
          </w:p>
        </w:tc>
      </w:tr>
    </w:tbl>
    <w:p w14:paraId="6379C408">
      <w:pPr>
        <w:rPr>
          <w:rFonts w:ascii="仿宋_GB2312" w:hAnsi="仿宋_GB2312" w:eastAsia="仿宋_GB2312" w:cs="仿宋_GB2312"/>
          <w:color w:val="auto"/>
          <w:highlight w:val="none"/>
          <w:lang w:eastAsia="zh-CN"/>
        </w:rPr>
      </w:pPr>
    </w:p>
    <w:p w14:paraId="516245EA">
      <w:pPr>
        <w:rPr>
          <w:rFonts w:ascii="仿宋_GB2312" w:hAnsi="仿宋_GB2312" w:eastAsia="仿宋_GB2312" w:cs="仿宋_GB2312"/>
          <w:color w:val="auto"/>
          <w:highlight w:val="none"/>
          <w:lang w:eastAsia="zh-CN"/>
        </w:rPr>
        <w:sectPr>
          <w:footerReference r:id="rId5" w:type="default"/>
          <w:pgSz w:w="11906" w:h="16838"/>
          <w:pgMar w:top="1134" w:right="1134" w:bottom="1134" w:left="1134" w:header="861" w:footer="1237" w:gutter="0"/>
          <w:pgNumType w:fmt="numberInDash" w:start="1"/>
          <w:cols w:space="720" w:num="1"/>
        </w:sectPr>
      </w:pPr>
      <w:r>
        <w:rPr>
          <w:rFonts w:hint="eastAsia" w:ascii="仿宋" w:hAnsi="仿宋" w:eastAsia="仿宋" w:cs="仿宋"/>
          <w:b/>
          <w:bCs/>
          <w:color w:val="auto"/>
          <w:highlight w:val="none"/>
          <w:lang w:eastAsia="zh-CN"/>
        </w:rPr>
        <w:t>注：如后文中相关格式要求表述与文件前附表，表述不一致的，以前附表为准（除资格审查、符合性审查及采购人需求外）。</w:t>
      </w:r>
    </w:p>
    <w:p w14:paraId="42211399">
      <w:pPr>
        <w:pStyle w:val="10"/>
        <w:spacing w:before="317" w:line="223" w:lineRule="auto"/>
        <w:ind w:left="395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7"/>
          <w:sz w:val="28"/>
          <w:szCs w:val="28"/>
          <w:highlight w:val="none"/>
          <w:lang w:eastAsia="zh-CN"/>
        </w:rPr>
        <w:t>二、投标须知</w:t>
      </w:r>
    </w:p>
    <w:p w14:paraId="09F9BC83">
      <w:pPr>
        <w:pStyle w:val="10"/>
        <w:spacing w:before="135" w:line="224" w:lineRule="auto"/>
        <w:ind w:left="579"/>
        <w:outlineLvl w:val="1"/>
        <w:rPr>
          <w:rFonts w:ascii="仿宋_GB2312" w:hAnsi="仿宋_GB2312" w:eastAsia="仿宋_GB2312" w:cs="仿宋_GB2312"/>
          <w:color w:val="auto"/>
          <w:sz w:val="28"/>
          <w:szCs w:val="28"/>
          <w:highlight w:val="none"/>
          <w:lang w:eastAsia="zh-CN"/>
        </w:rPr>
      </w:pPr>
      <w:bookmarkStart w:id="11" w:name="_Toc17282"/>
      <w:bookmarkStart w:id="12" w:name="_Toc8412"/>
      <w:r>
        <w:rPr>
          <w:rFonts w:hint="eastAsia" w:ascii="仿宋_GB2312" w:hAnsi="仿宋_GB2312" w:eastAsia="仿宋_GB2312" w:cs="仿宋_GB2312"/>
          <w:color w:val="auto"/>
          <w:spacing w:val="-9"/>
          <w:sz w:val="28"/>
          <w:szCs w:val="28"/>
          <w:highlight w:val="none"/>
          <w:lang w:eastAsia="zh-CN"/>
        </w:rPr>
        <w:t>（一）总则</w:t>
      </w:r>
      <w:bookmarkEnd w:id="11"/>
      <w:bookmarkEnd w:id="12"/>
    </w:p>
    <w:p w14:paraId="4CC19E98">
      <w:pPr>
        <w:pStyle w:val="10"/>
        <w:spacing w:before="133" w:line="224" w:lineRule="auto"/>
        <w:ind w:left="593"/>
        <w:outlineLvl w:val="2"/>
        <w:rPr>
          <w:rFonts w:ascii="仿宋_GB2312" w:hAnsi="仿宋_GB2312" w:eastAsia="仿宋_GB2312" w:cs="仿宋_GB2312"/>
          <w:color w:val="auto"/>
          <w:sz w:val="28"/>
          <w:szCs w:val="28"/>
          <w:highlight w:val="none"/>
          <w:lang w:eastAsia="zh-CN"/>
        </w:rPr>
      </w:pPr>
      <w:bookmarkStart w:id="13" w:name="_Toc19111"/>
      <w:bookmarkStart w:id="14" w:name="_Toc9594"/>
      <w:r>
        <w:rPr>
          <w:rFonts w:hint="eastAsia" w:ascii="仿宋_GB2312" w:hAnsi="仿宋_GB2312" w:eastAsia="仿宋_GB2312" w:cs="仿宋_GB2312"/>
          <w:b/>
          <w:bCs/>
          <w:color w:val="auto"/>
          <w:spacing w:val="-11"/>
          <w:sz w:val="28"/>
          <w:szCs w:val="28"/>
          <w:highlight w:val="none"/>
          <w:lang w:eastAsia="zh-CN"/>
        </w:rPr>
        <w:t>1.</w:t>
      </w:r>
      <w:r>
        <w:rPr>
          <w:rFonts w:hint="eastAsia" w:ascii="仿宋_GB2312" w:hAnsi="仿宋_GB2312" w:eastAsia="仿宋_GB2312" w:cs="仿宋_GB2312"/>
          <w:color w:val="auto"/>
          <w:spacing w:val="27"/>
          <w:sz w:val="28"/>
          <w:szCs w:val="28"/>
          <w:highlight w:val="none"/>
          <w:lang w:eastAsia="zh-CN"/>
        </w:rPr>
        <w:t xml:space="preserve"> </w:t>
      </w:r>
      <w:r>
        <w:rPr>
          <w:rFonts w:hint="eastAsia" w:ascii="仿宋_GB2312" w:hAnsi="仿宋_GB2312" w:eastAsia="仿宋_GB2312" w:cs="仿宋_GB2312"/>
          <w:b/>
          <w:bCs/>
          <w:color w:val="auto"/>
          <w:spacing w:val="-11"/>
          <w:sz w:val="28"/>
          <w:szCs w:val="28"/>
          <w:highlight w:val="none"/>
          <w:lang w:eastAsia="zh-CN"/>
        </w:rPr>
        <w:t>项目说明</w:t>
      </w:r>
      <w:bookmarkEnd w:id="13"/>
      <w:bookmarkEnd w:id="14"/>
    </w:p>
    <w:p w14:paraId="3AEDFF1E">
      <w:pPr>
        <w:pStyle w:val="10"/>
        <w:spacing w:before="128" w:line="298" w:lineRule="auto"/>
        <w:ind w:left="19" w:right="46" w:firstLine="57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1.1 本项目概况详见投标须知前附表（以下</w:t>
      </w:r>
      <w:r>
        <w:rPr>
          <w:rFonts w:hint="eastAsia" w:ascii="仿宋_GB2312" w:hAnsi="仿宋_GB2312" w:eastAsia="仿宋_GB2312" w:cs="仿宋_GB2312"/>
          <w:color w:val="auto"/>
          <w:spacing w:val="4"/>
          <w:sz w:val="28"/>
          <w:szCs w:val="28"/>
          <w:highlight w:val="none"/>
          <w:lang w:eastAsia="zh-CN"/>
        </w:rPr>
        <w:t>简称“前附表</w:t>
      </w:r>
      <w:r>
        <w:rPr>
          <w:rFonts w:hint="eastAsia" w:ascii="仿宋_GB2312" w:hAnsi="仿宋_GB2312" w:eastAsia="仿宋_GB2312" w:cs="仿宋_GB2312"/>
          <w:color w:val="auto"/>
          <w:spacing w:val="-94"/>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w:t>
      </w:r>
      <w:r>
        <w:rPr>
          <w:rFonts w:hint="eastAsia" w:ascii="仿宋_GB2312" w:hAnsi="仿宋_GB2312" w:eastAsia="仿宋_GB2312" w:cs="仿宋_GB2312"/>
          <w:color w:val="auto"/>
          <w:spacing w:val="-14"/>
          <w:sz w:val="28"/>
          <w:szCs w:val="28"/>
          <w:highlight w:val="none"/>
          <w:lang w:eastAsia="zh-CN"/>
        </w:rPr>
        <w:t>。</w:t>
      </w:r>
    </w:p>
    <w:p w14:paraId="5760E9D4">
      <w:pPr>
        <w:pStyle w:val="10"/>
        <w:spacing w:before="43" w:line="295" w:lineRule="auto"/>
        <w:ind w:left="18" w:right="45" w:firstLine="57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1.2</w:t>
      </w:r>
      <w:r>
        <w:rPr>
          <w:rFonts w:hint="eastAsia" w:ascii="仿宋_GB2312" w:hAnsi="仿宋_GB2312" w:eastAsia="仿宋_GB2312" w:cs="仿宋_GB2312"/>
          <w:color w:val="auto"/>
          <w:spacing w:val="-37"/>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本招标项目已经批准，已具备招标条件，现对该项目组织进行公开招</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标。</w:t>
      </w:r>
    </w:p>
    <w:p w14:paraId="3BF7523E">
      <w:pPr>
        <w:pStyle w:val="10"/>
        <w:spacing w:before="47" w:line="297" w:lineRule="auto"/>
        <w:ind w:left="27" w:right="45" w:firstLine="56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1.3</w:t>
      </w:r>
      <w:r>
        <w:rPr>
          <w:rFonts w:hint="eastAsia" w:ascii="仿宋_GB2312" w:hAnsi="仿宋_GB2312" w:eastAsia="仿宋_GB2312" w:cs="仿宋_GB2312"/>
          <w:color w:val="auto"/>
          <w:spacing w:val="-43"/>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本招标项目供应商的资格审查采取资格后审方式。本次招标不接受联</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合体投标、不接受备选方案。</w:t>
      </w:r>
    </w:p>
    <w:p w14:paraId="1A1AE167">
      <w:pPr>
        <w:pStyle w:val="10"/>
        <w:spacing w:before="43" w:line="223"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1.4</w:t>
      </w:r>
      <w:r>
        <w:rPr>
          <w:rFonts w:hint="eastAsia" w:ascii="仿宋_GB2312" w:hAnsi="仿宋_GB2312" w:eastAsia="仿宋_GB2312" w:cs="仿宋_GB2312"/>
          <w:color w:val="auto"/>
          <w:spacing w:val="40"/>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资格后审包括下列的内容</w:t>
      </w:r>
    </w:p>
    <w:p w14:paraId="1445EDD5">
      <w:pPr>
        <w:pStyle w:val="10"/>
        <w:spacing w:before="135" w:line="222"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1.4.1 供应商应满足“前附表</w:t>
      </w:r>
      <w:r>
        <w:rPr>
          <w:rFonts w:hint="eastAsia" w:ascii="仿宋_GB2312" w:hAnsi="仿宋_GB2312" w:eastAsia="仿宋_GB2312" w:cs="仿宋_GB2312"/>
          <w:color w:val="auto"/>
          <w:spacing w:val="-85"/>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”规定的资格要求；</w:t>
      </w:r>
    </w:p>
    <w:p w14:paraId="59C1CDCF">
      <w:pPr>
        <w:pStyle w:val="10"/>
        <w:spacing w:before="136" w:line="295" w:lineRule="auto"/>
        <w:ind w:left="20" w:right="45" w:firstLine="57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1.4.2</w:t>
      </w:r>
      <w:r>
        <w:rPr>
          <w:rFonts w:hint="eastAsia" w:ascii="仿宋_GB2312" w:hAnsi="仿宋_GB2312" w:eastAsia="仿宋_GB2312" w:cs="仿宋_GB2312"/>
          <w:color w:val="auto"/>
          <w:spacing w:val="-44"/>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采购文件有要求供应商法定代表人或其授权代表签字或盖章和加盖</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供应商公章要求的，供应商须按采购文件要求签署；</w:t>
      </w:r>
    </w:p>
    <w:p w14:paraId="7B015856">
      <w:pPr>
        <w:pStyle w:val="10"/>
        <w:spacing w:before="47" w:line="222"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1.4.3</w:t>
      </w:r>
      <w:r>
        <w:rPr>
          <w:rFonts w:hint="eastAsia" w:ascii="仿宋_GB2312" w:hAnsi="仿宋_GB2312" w:eastAsia="仿宋_GB2312" w:cs="仿宋_GB2312"/>
          <w:color w:val="auto"/>
          <w:spacing w:val="-30"/>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交货期符合采购文件要求；</w:t>
      </w:r>
    </w:p>
    <w:p w14:paraId="7DA6C8C9">
      <w:pPr>
        <w:pStyle w:val="10"/>
        <w:spacing w:before="136" w:line="222"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1.4.4</w:t>
      </w:r>
      <w:r>
        <w:rPr>
          <w:rFonts w:hint="eastAsia" w:ascii="仿宋_GB2312" w:hAnsi="仿宋_GB2312" w:eastAsia="仿宋_GB2312" w:cs="仿宋_GB2312"/>
          <w:color w:val="auto"/>
          <w:spacing w:val="-40"/>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交货地点符合采购文件规定；</w:t>
      </w:r>
    </w:p>
    <w:p w14:paraId="0271B64B">
      <w:pPr>
        <w:pStyle w:val="10"/>
        <w:spacing w:before="136" w:line="297" w:lineRule="auto"/>
        <w:ind w:left="590" w:right="187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1.4.5</w:t>
      </w:r>
      <w:r>
        <w:rPr>
          <w:rFonts w:hint="eastAsia" w:ascii="仿宋_GB2312" w:hAnsi="仿宋_GB2312" w:eastAsia="仿宋_GB2312" w:cs="仿宋_GB2312"/>
          <w:color w:val="auto"/>
          <w:spacing w:val="-47"/>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投标内容、数量、质量、服务等满足采购文件要求；</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1.4.6</w:t>
      </w:r>
      <w:r>
        <w:rPr>
          <w:rFonts w:hint="eastAsia" w:ascii="仿宋_GB2312" w:hAnsi="仿宋_GB2312" w:eastAsia="仿宋_GB2312" w:cs="仿宋_GB2312"/>
          <w:color w:val="auto"/>
          <w:spacing w:val="-28"/>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符合采购文件中规定的其他实质性要求；</w:t>
      </w:r>
    </w:p>
    <w:p w14:paraId="5F6B04AE">
      <w:pPr>
        <w:pStyle w:val="10"/>
        <w:spacing w:before="44" w:line="222"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1.4.7</w:t>
      </w:r>
      <w:r>
        <w:rPr>
          <w:rFonts w:hint="eastAsia" w:ascii="仿宋_GB2312" w:hAnsi="仿宋_GB2312" w:eastAsia="仿宋_GB2312" w:cs="仿宋_GB2312"/>
          <w:color w:val="auto"/>
          <w:spacing w:val="-35"/>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无法律、法规和规章禁止的其他情况。</w:t>
      </w:r>
    </w:p>
    <w:p w14:paraId="279F7236">
      <w:pPr>
        <w:pStyle w:val="10"/>
        <w:spacing w:before="135" w:line="223" w:lineRule="auto"/>
        <w:ind w:left="575"/>
        <w:outlineLvl w:val="2"/>
        <w:rPr>
          <w:rFonts w:ascii="仿宋_GB2312" w:hAnsi="仿宋_GB2312" w:eastAsia="仿宋_GB2312" w:cs="仿宋_GB2312"/>
          <w:color w:val="auto"/>
          <w:sz w:val="28"/>
          <w:szCs w:val="28"/>
          <w:highlight w:val="none"/>
          <w:lang w:eastAsia="zh-CN"/>
        </w:rPr>
      </w:pPr>
      <w:bookmarkStart w:id="15" w:name="_Toc22809"/>
      <w:bookmarkStart w:id="16" w:name="_Toc5962"/>
      <w:r>
        <w:rPr>
          <w:rFonts w:hint="eastAsia" w:ascii="仿宋_GB2312" w:hAnsi="仿宋_GB2312" w:eastAsia="仿宋_GB2312" w:cs="仿宋_GB2312"/>
          <w:b/>
          <w:bCs/>
          <w:color w:val="auto"/>
          <w:spacing w:val="-7"/>
          <w:sz w:val="28"/>
          <w:szCs w:val="28"/>
          <w:highlight w:val="none"/>
          <w:lang w:eastAsia="zh-CN"/>
        </w:rPr>
        <w:t>2.</w:t>
      </w:r>
      <w:r>
        <w:rPr>
          <w:rFonts w:hint="eastAsia" w:ascii="仿宋_GB2312" w:hAnsi="仿宋_GB2312" w:eastAsia="仿宋_GB2312" w:cs="仿宋_GB2312"/>
          <w:color w:val="auto"/>
          <w:spacing w:val="20"/>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招标范围</w:t>
      </w:r>
      <w:bookmarkEnd w:id="15"/>
      <w:bookmarkEnd w:id="16"/>
    </w:p>
    <w:p w14:paraId="2AED5AC9">
      <w:pPr>
        <w:pStyle w:val="10"/>
        <w:spacing w:before="136" w:line="294" w:lineRule="auto"/>
        <w:ind w:left="68" w:right="46" w:firstLine="50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2.1</w:t>
      </w:r>
      <w:r>
        <w:rPr>
          <w:rFonts w:hint="eastAsia" w:ascii="仿宋_GB2312" w:hAnsi="仿宋_GB2312" w:eastAsia="仿宋_GB2312" w:cs="仿宋_GB2312"/>
          <w:color w:val="auto"/>
          <w:spacing w:val="-48"/>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本招标项目招标范围已通过“前附表</w:t>
      </w:r>
      <w:r>
        <w:rPr>
          <w:rFonts w:hint="eastAsia" w:ascii="仿宋_GB2312" w:hAnsi="仿宋_GB2312" w:eastAsia="仿宋_GB2312" w:cs="仿宋_GB2312"/>
          <w:color w:val="auto"/>
          <w:spacing w:val="-100"/>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”采购内</w:t>
      </w:r>
      <w:r>
        <w:rPr>
          <w:rFonts w:hint="eastAsia" w:ascii="仿宋_GB2312" w:hAnsi="仿宋_GB2312" w:eastAsia="仿宋_GB2312" w:cs="仿宋_GB2312"/>
          <w:color w:val="auto"/>
          <w:spacing w:val="-2"/>
          <w:sz w:val="28"/>
          <w:szCs w:val="28"/>
          <w:highlight w:val="none"/>
          <w:lang w:eastAsia="zh-CN"/>
        </w:rPr>
        <w:t>容所述，指本项</w:t>
      </w:r>
      <w:r>
        <w:rPr>
          <w:rFonts w:hint="eastAsia" w:ascii="仿宋_GB2312" w:hAnsi="仿宋_GB2312" w:eastAsia="仿宋_GB2312" w:cs="仿宋_GB2312"/>
          <w:color w:val="auto"/>
          <w:spacing w:val="-5"/>
          <w:sz w:val="28"/>
          <w:szCs w:val="28"/>
          <w:highlight w:val="none"/>
          <w:lang w:eastAsia="zh-CN"/>
        </w:rPr>
        <w:t>目采购文件中范围内所要求的所有工作内容。</w:t>
      </w:r>
    </w:p>
    <w:p w14:paraId="6EC08A56">
      <w:pPr>
        <w:pStyle w:val="10"/>
        <w:spacing w:before="50" w:line="221" w:lineRule="auto"/>
        <w:ind w:left="578"/>
        <w:outlineLvl w:val="2"/>
        <w:rPr>
          <w:rFonts w:ascii="仿宋_GB2312" w:hAnsi="仿宋_GB2312" w:eastAsia="仿宋_GB2312" w:cs="仿宋_GB2312"/>
          <w:color w:val="auto"/>
          <w:sz w:val="28"/>
          <w:szCs w:val="28"/>
          <w:highlight w:val="none"/>
          <w:lang w:eastAsia="zh-CN"/>
        </w:rPr>
      </w:pPr>
      <w:bookmarkStart w:id="17" w:name="_Toc1554"/>
      <w:bookmarkStart w:id="18" w:name="_Toc10638"/>
      <w:r>
        <w:rPr>
          <w:rFonts w:hint="eastAsia" w:ascii="仿宋_GB2312" w:hAnsi="仿宋_GB2312" w:eastAsia="仿宋_GB2312" w:cs="仿宋_GB2312"/>
          <w:b/>
          <w:bCs/>
          <w:color w:val="auto"/>
          <w:spacing w:val="-3"/>
          <w:sz w:val="28"/>
          <w:szCs w:val="28"/>
          <w:highlight w:val="none"/>
          <w:lang w:eastAsia="zh-CN"/>
        </w:rPr>
        <w:t>3.</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适用法律及约束力</w:t>
      </w:r>
      <w:bookmarkEnd w:id="17"/>
      <w:bookmarkEnd w:id="18"/>
    </w:p>
    <w:p w14:paraId="6B8803B8">
      <w:pPr>
        <w:pStyle w:val="10"/>
        <w:spacing w:before="138" w:line="301" w:lineRule="auto"/>
        <w:ind w:left="18" w:right="38" w:firstLine="556"/>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3.1 本次招标及由本次招标产生的合同受中华人民共和国的相关法律、法</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规制约和保护。供应商一旦购买了采购文件并参加本项目，即被认为接受了招</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标文件中的所有条件和规定。</w:t>
      </w:r>
    </w:p>
    <w:p w14:paraId="5C039B0F">
      <w:pPr>
        <w:pStyle w:val="10"/>
        <w:spacing w:before="44" w:line="301" w:lineRule="auto"/>
        <w:ind w:left="19" w:right="38" w:firstLine="556"/>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3.2</w:t>
      </w:r>
      <w:r>
        <w:rPr>
          <w:rFonts w:hint="eastAsia" w:ascii="仿宋_GB2312" w:hAnsi="仿宋_GB2312" w:eastAsia="仿宋_GB2312" w:cs="仿宋_GB2312"/>
          <w:color w:val="auto"/>
          <w:spacing w:val="-47"/>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供应商应保证，在中华人民共和国境内</w:t>
      </w:r>
      <w:r>
        <w:rPr>
          <w:rFonts w:hint="eastAsia" w:ascii="仿宋_GB2312" w:hAnsi="仿宋_GB2312" w:eastAsia="仿宋_GB2312" w:cs="仿宋_GB2312"/>
          <w:color w:val="auto"/>
          <w:spacing w:val="1"/>
          <w:sz w:val="28"/>
          <w:szCs w:val="28"/>
          <w:highlight w:val="none"/>
          <w:lang w:eastAsia="zh-CN"/>
        </w:rPr>
        <w:t>使用投标成果、服务或其任何</w:t>
      </w:r>
      <w:r>
        <w:rPr>
          <w:rFonts w:hint="eastAsia" w:ascii="仿宋_GB2312" w:hAnsi="仿宋_GB2312" w:eastAsia="仿宋_GB2312" w:cs="仿宋_GB2312"/>
          <w:color w:val="auto"/>
          <w:sz w:val="28"/>
          <w:szCs w:val="28"/>
          <w:highlight w:val="none"/>
          <w:lang w:eastAsia="zh-CN"/>
        </w:rPr>
        <w:t xml:space="preserve"> 一部分时，不会产生因第三方提出侵犯其专利权</w:t>
      </w:r>
      <w:r>
        <w:rPr>
          <w:rFonts w:hint="eastAsia" w:ascii="仿宋_GB2312" w:hAnsi="仿宋_GB2312" w:eastAsia="仿宋_GB2312" w:cs="仿宋_GB2312"/>
          <w:color w:val="auto"/>
          <w:sz w:val="28"/>
          <w:szCs w:val="28"/>
          <w:highlight w:val="none"/>
          <w:lang w:eastAsia="zh-CN" w:bidi="ar"/>
        </w:rPr>
        <w:t>、商标权、著作权</w:t>
      </w:r>
      <w:r>
        <w:rPr>
          <w:rFonts w:hint="eastAsia" w:ascii="仿宋_GB2312" w:hAnsi="仿宋_GB2312" w:eastAsia="仿宋_GB2312" w:cs="仿宋_GB2312"/>
          <w:color w:val="auto"/>
          <w:sz w:val="28"/>
          <w:szCs w:val="28"/>
          <w:highlight w:val="none"/>
          <w:lang w:eastAsia="zh-CN"/>
        </w:rPr>
        <w:t>或其他知识产权而引起的法律</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和经济纠纷。</w:t>
      </w:r>
    </w:p>
    <w:p w14:paraId="116079F9">
      <w:pPr>
        <w:pStyle w:val="10"/>
        <w:spacing w:before="49" w:line="223" w:lineRule="auto"/>
        <w:ind w:left="571"/>
        <w:outlineLvl w:val="2"/>
        <w:rPr>
          <w:rFonts w:ascii="仿宋_GB2312" w:hAnsi="仿宋_GB2312" w:eastAsia="仿宋_GB2312" w:cs="仿宋_GB2312"/>
          <w:color w:val="auto"/>
          <w:sz w:val="28"/>
          <w:szCs w:val="28"/>
          <w:highlight w:val="none"/>
          <w:lang w:eastAsia="zh-CN"/>
        </w:rPr>
      </w:pPr>
      <w:bookmarkStart w:id="19" w:name="_Toc18331"/>
      <w:bookmarkStart w:id="20" w:name="_Toc27243"/>
      <w:r>
        <w:rPr>
          <w:rFonts w:hint="eastAsia" w:ascii="仿宋_GB2312" w:hAnsi="仿宋_GB2312" w:eastAsia="仿宋_GB2312" w:cs="仿宋_GB2312"/>
          <w:b/>
          <w:bCs/>
          <w:color w:val="auto"/>
          <w:spacing w:val="-3"/>
          <w:sz w:val="28"/>
          <w:szCs w:val="28"/>
          <w:highlight w:val="none"/>
          <w:lang w:eastAsia="zh-CN"/>
        </w:rPr>
        <w:t>4.</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招标项目实施要求</w:t>
      </w:r>
      <w:bookmarkEnd w:id="19"/>
      <w:bookmarkEnd w:id="20"/>
    </w:p>
    <w:p w14:paraId="3D341209">
      <w:pPr>
        <w:spacing w:line="223" w:lineRule="auto"/>
        <w:rPr>
          <w:rFonts w:ascii="仿宋_GB2312" w:hAnsi="仿宋_GB2312" w:eastAsia="仿宋_GB2312" w:cs="仿宋_GB2312"/>
          <w:color w:val="auto"/>
          <w:sz w:val="28"/>
          <w:szCs w:val="28"/>
          <w:highlight w:val="none"/>
          <w:lang w:eastAsia="zh-CN"/>
        </w:rPr>
        <w:sectPr>
          <w:headerReference r:id="rId6" w:type="default"/>
          <w:footerReference r:id="rId7" w:type="default"/>
          <w:pgSz w:w="11906" w:h="16838"/>
          <w:pgMar w:top="1161" w:right="1058" w:bottom="1517" w:left="1258" w:header="861" w:footer="1237" w:gutter="0"/>
          <w:pgNumType w:fmt="numberInDash"/>
          <w:cols w:space="720" w:num="1"/>
        </w:sectPr>
      </w:pPr>
    </w:p>
    <w:p w14:paraId="11A4AF2D">
      <w:pPr>
        <w:pStyle w:val="10"/>
        <w:spacing w:before="318" w:line="222" w:lineRule="auto"/>
        <w:ind w:left="568"/>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4.1</w:t>
      </w:r>
      <w:r>
        <w:rPr>
          <w:rFonts w:hint="eastAsia" w:ascii="仿宋_GB2312" w:hAnsi="仿宋_GB2312" w:eastAsia="仿宋_GB2312" w:cs="仿宋_GB2312"/>
          <w:color w:val="auto"/>
          <w:spacing w:val="-42"/>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质量标准已通过“前附表</w:t>
      </w:r>
      <w:r>
        <w:rPr>
          <w:rFonts w:hint="eastAsia" w:ascii="仿宋_GB2312" w:hAnsi="仿宋_GB2312" w:eastAsia="仿宋_GB2312" w:cs="仿宋_GB2312"/>
          <w:color w:val="auto"/>
          <w:spacing w:val="-104"/>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”所述。</w:t>
      </w:r>
    </w:p>
    <w:p w14:paraId="75E104E5">
      <w:pPr>
        <w:pStyle w:val="10"/>
        <w:spacing w:before="135" w:line="297" w:lineRule="auto"/>
        <w:ind w:left="20" w:right="41" w:firstLine="548"/>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4.2 供应商与采购人签订合同后，按照采购文件及合同相关的要求编制现</w:t>
      </w:r>
      <w:r>
        <w:rPr>
          <w:rFonts w:hint="eastAsia" w:ascii="仿宋_GB2312" w:hAnsi="仿宋_GB2312" w:eastAsia="仿宋_GB2312" w:cs="仿宋_GB2312"/>
          <w:color w:val="auto"/>
          <w:spacing w:val="16"/>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场服务计划。</w:t>
      </w:r>
    </w:p>
    <w:p w14:paraId="5485C432">
      <w:pPr>
        <w:pStyle w:val="10"/>
        <w:spacing w:before="42" w:line="224" w:lineRule="auto"/>
        <w:ind w:left="578"/>
        <w:outlineLvl w:val="2"/>
        <w:rPr>
          <w:rFonts w:ascii="仿宋_GB2312" w:hAnsi="仿宋_GB2312" w:eastAsia="仿宋_GB2312" w:cs="仿宋_GB2312"/>
          <w:color w:val="auto"/>
          <w:sz w:val="28"/>
          <w:szCs w:val="28"/>
          <w:highlight w:val="none"/>
          <w:lang w:eastAsia="zh-CN"/>
        </w:rPr>
      </w:pPr>
      <w:bookmarkStart w:id="21" w:name="_Toc24329"/>
      <w:bookmarkStart w:id="22" w:name="_Toc2839"/>
      <w:r>
        <w:rPr>
          <w:rFonts w:hint="eastAsia" w:ascii="仿宋_GB2312" w:hAnsi="仿宋_GB2312" w:eastAsia="仿宋_GB2312" w:cs="仿宋_GB2312"/>
          <w:b/>
          <w:bCs/>
          <w:color w:val="auto"/>
          <w:spacing w:val="-7"/>
          <w:sz w:val="28"/>
          <w:szCs w:val="28"/>
          <w:highlight w:val="none"/>
          <w:lang w:eastAsia="zh-CN"/>
        </w:rPr>
        <w:t>5.</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供货期及交货地点</w:t>
      </w:r>
      <w:bookmarkEnd w:id="21"/>
      <w:bookmarkEnd w:id="22"/>
    </w:p>
    <w:p w14:paraId="2AC48782">
      <w:pPr>
        <w:pStyle w:val="10"/>
        <w:spacing w:before="133" w:line="301" w:lineRule="auto"/>
        <w:ind w:left="24" w:right="44" w:firstLine="55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5.1 供货期已通过“前附表</w:t>
      </w:r>
      <w:r>
        <w:rPr>
          <w:rFonts w:hint="eastAsia" w:ascii="仿宋_GB2312" w:hAnsi="仿宋_GB2312" w:eastAsia="仿宋_GB2312" w:cs="仿宋_GB2312"/>
          <w:color w:val="auto"/>
          <w:spacing w:val="-87"/>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”所述，是指完成本项目采购内容</w:t>
      </w:r>
      <w:r>
        <w:rPr>
          <w:rFonts w:hint="eastAsia" w:ascii="仿宋_GB2312" w:hAnsi="仿宋_GB2312" w:eastAsia="仿宋_GB2312" w:cs="仿宋_GB2312"/>
          <w:color w:val="auto"/>
          <w:spacing w:val="-1"/>
          <w:sz w:val="28"/>
          <w:szCs w:val="28"/>
          <w:highlight w:val="none"/>
          <w:lang w:eastAsia="zh-CN"/>
        </w:rPr>
        <w:t>服务工作、验收合格并移交采购人的时间；</w:t>
      </w:r>
      <w:r>
        <w:rPr>
          <w:rFonts w:hint="eastAsia" w:ascii="仿宋_GB2312" w:hAnsi="仿宋_GB2312" w:eastAsia="仿宋_GB2312" w:cs="仿宋_GB2312"/>
          <w:color w:val="auto"/>
          <w:spacing w:val="1"/>
          <w:sz w:val="28"/>
          <w:szCs w:val="28"/>
          <w:highlight w:val="none"/>
          <w:lang w:eastAsia="zh-CN"/>
        </w:rPr>
        <w:t>交货</w:t>
      </w:r>
      <w:r>
        <w:rPr>
          <w:rFonts w:hint="eastAsia" w:ascii="仿宋_GB2312" w:hAnsi="仿宋_GB2312" w:eastAsia="仿宋_GB2312" w:cs="仿宋_GB2312"/>
          <w:color w:val="auto"/>
          <w:spacing w:val="-1"/>
          <w:sz w:val="28"/>
          <w:szCs w:val="28"/>
          <w:highlight w:val="none"/>
          <w:lang w:eastAsia="zh-CN"/>
        </w:rPr>
        <w:t>地点已通</w:t>
      </w:r>
      <w:r>
        <w:rPr>
          <w:rFonts w:hint="eastAsia" w:ascii="仿宋_GB2312" w:hAnsi="仿宋_GB2312" w:eastAsia="仿宋_GB2312" w:cs="仿宋_GB2312"/>
          <w:color w:val="auto"/>
          <w:spacing w:val="-2"/>
          <w:sz w:val="28"/>
          <w:szCs w:val="28"/>
          <w:highlight w:val="none"/>
          <w:lang w:eastAsia="zh-CN"/>
        </w:rPr>
        <w:t>过“前附表</w:t>
      </w:r>
      <w:r>
        <w:rPr>
          <w:rFonts w:hint="eastAsia" w:ascii="仿宋_GB2312" w:hAnsi="仿宋_GB2312" w:eastAsia="仿宋_GB2312" w:cs="仿宋_GB2312"/>
          <w:color w:val="auto"/>
          <w:spacing w:val="-104"/>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w:t>
      </w:r>
      <w:r>
        <w:rPr>
          <w:rFonts w:hint="eastAsia" w:ascii="仿宋_GB2312" w:hAnsi="仿宋_GB2312" w:eastAsia="仿宋_GB2312" w:cs="仿宋_GB2312"/>
          <w:color w:val="auto"/>
          <w:spacing w:val="-11"/>
          <w:sz w:val="28"/>
          <w:szCs w:val="28"/>
          <w:highlight w:val="none"/>
          <w:lang w:eastAsia="zh-CN"/>
        </w:rPr>
        <w:t>所述。</w:t>
      </w:r>
    </w:p>
    <w:p w14:paraId="508F5BCB">
      <w:pPr>
        <w:pStyle w:val="10"/>
        <w:spacing w:before="46" w:line="222" w:lineRule="auto"/>
        <w:ind w:left="574"/>
        <w:outlineLvl w:val="2"/>
        <w:rPr>
          <w:rFonts w:ascii="仿宋_GB2312" w:hAnsi="仿宋_GB2312" w:eastAsia="仿宋_GB2312" w:cs="仿宋_GB2312"/>
          <w:color w:val="auto"/>
          <w:sz w:val="28"/>
          <w:szCs w:val="28"/>
          <w:highlight w:val="none"/>
          <w:lang w:eastAsia="zh-CN"/>
        </w:rPr>
      </w:pPr>
      <w:bookmarkStart w:id="23" w:name="_Toc21288"/>
      <w:bookmarkStart w:id="24" w:name="_Toc12769"/>
      <w:r>
        <w:rPr>
          <w:rFonts w:hint="eastAsia" w:ascii="仿宋_GB2312" w:hAnsi="仿宋_GB2312" w:eastAsia="仿宋_GB2312" w:cs="仿宋_GB2312"/>
          <w:b/>
          <w:bCs/>
          <w:color w:val="auto"/>
          <w:spacing w:val="-9"/>
          <w:sz w:val="28"/>
          <w:szCs w:val="28"/>
          <w:highlight w:val="none"/>
          <w:lang w:eastAsia="zh-CN"/>
        </w:rPr>
        <w:t>6.</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b/>
          <w:bCs/>
          <w:color w:val="auto"/>
          <w:spacing w:val="-9"/>
          <w:sz w:val="28"/>
          <w:szCs w:val="28"/>
          <w:highlight w:val="none"/>
          <w:lang w:eastAsia="zh-CN"/>
        </w:rPr>
        <w:t>资金来源</w:t>
      </w:r>
      <w:bookmarkEnd w:id="23"/>
      <w:bookmarkEnd w:id="24"/>
    </w:p>
    <w:p w14:paraId="26C16539">
      <w:pPr>
        <w:pStyle w:val="10"/>
        <w:spacing w:before="136" w:line="295" w:lineRule="auto"/>
        <w:ind w:left="33" w:right="44" w:firstLine="538"/>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6.1</w:t>
      </w:r>
      <w:r>
        <w:rPr>
          <w:rFonts w:hint="eastAsia" w:ascii="仿宋_GB2312" w:hAnsi="仿宋_GB2312" w:eastAsia="仿宋_GB2312" w:cs="仿宋_GB2312"/>
          <w:color w:val="auto"/>
          <w:spacing w:val="-37"/>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采购单位的资金通过“前附表</w:t>
      </w:r>
      <w:r>
        <w:rPr>
          <w:rFonts w:hint="eastAsia" w:ascii="仿宋_GB2312" w:hAnsi="仿宋_GB2312" w:eastAsia="仿宋_GB2312" w:cs="仿宋_GB2312"/>
          <w:color w:val="auto"/>
          <w:spacing w:val="-98"/>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”所述的方式获得，并将部分</w:t>
      </w:r>
      <w:r>
        <w:rPr>
          <w:rFonts w:hint="eastAsia" w:ascii="仿宋_GB2312" w:hAnsi="仿宋_GB2312" w:eastAsia="仿宋_GB2312" w:cs="仿宋_GB2312"/>
          <w:color w:val="auto"/>
          <w:spacing w:val="-4"/>
          <w:sz w:val="28"/>
          <w:szCs w:val="28"/>
          <w:highlight w:val="none"/>
          <w:lang w:eastAsia="zh-CN"/>
        </w:rPr>
        <w:t>资金用于本项目合同下的合格支付。</w:t>
      </w:r>
    </w:p>
    <w:p w14:paraId="6454F374">
      <w:pPr>
        <w:pStyle w:val="10"/>
        <w:spacing w:before="48" w:line="223" w:lineRule="auto"/>
        <w:ind w:left="579"/>
        <w:outlineLvl w:val="2"/>
        <w:rPr>
          <w:rFonts w:ascii="仿宋_GB2312" w:hAnsi="仿宋_GB2312" w:eastAsia="仿宋_GB2312" w:cs="仿宋_GB2312"/>
          <w:color w:val="auto"/>
          <w:sz w:val="28"/>
          <w:szCs w:val="28"/>
          <w:highlight w:val="none"/>
          <w:lang w:eastAsia="zh-CN"/>
        </w:rPr>
      </w:pPr>
      <w:bookmarkStart w:id="25" w:name="_Toc9775"/>
      <w:bookmarkStart w:id="26" w:name="_Toc16666"/>
      <w:r>
        <w:rPr>
          <w:rFonts w:hint="eastAsia" w:ascii="仿宋_GB2312" w:hAnsi="仿宋_GB2312" w:eastAsia="仿宋_GB2312" w:cs="仿宋_GB2312"/>
          <w:b/>
          <w:bCs/>
          <w:color w:val="auto"/>
          <w:spacing w:val="-6"/>
          <w:sz w:val="28"/>
          <w:szCs w:val="28"/>
          <w:highlight w:val="none"/>
          <w:lang w:eastAsia="zh-CN"/>
        </w:rPr>
        <w:t>7.</w:t>
      </w:r>
      <w:r>
        <w:rPr>
          <w:rFonts w:hint="eastAsia" w:ascii="仿宋_GB2312" w:hAnsi="仿宋_GB2312" w:eastAsia="仿宋_GB2312" w:cs="仿宋_GB2312"/>
          <w:color w:val="auto"/>
          <w:spacing w:val="22"/>
          <w:sz w:val="28"/>
          <w:szCs w:val="28"/>
          <w:highlight w:val="none"/>
          <w:lang w:eastAsia="zh-CN"/>
        </w:rPr>
        <w:t xml:space="preserve"> </w:t>
      </w:r>
      <w:r>
        <w:rPr>
          <w:rFonts w:hint="eastAsia" w:ascii="仿宋_GB2312" w:hAnsi="仿宋_GB2312" w:eastAsia="仿宋_GB2312" w:cs="仿宋_GB2312"/>
          <w:b/>
          <w:bCs/>
          <w:color w:val="auto"/>
          <w:spacing w:val="-6"/>
          <w:sz w:val="28"/>
          <w:szCs w:val="28"/>
          <w:highlight w:val="none"/>
          <w:lang w:eastAsia="zh-CN"/>
        </w:rPr>
        <w:t>供应商资格要求</w:t>
      </w:r>
      <w:bookmarkEnd w:id="25"/>
      <w:bookmarkEnd w:id="26"/>
    </w:p>
    <w:p w14:paraId="2A0C8860">
      <w:pPr>
        <w:pStyle w:val="10"/>
        <w:spacing w:before="135" w:line="222" w:lineRule="auto"/>
        <w:ind w:left="579"/>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供应商资格要求须满足“前附表</w:t>
      </w:r>
      <w:r>
        <w:rPr>
          <w:rFonts w:hint="eastAsia" w:ascii="仿宋_GB2312" w:hAnsi="仿宋_GB2312" w:eastAsia="仿宋_GB2312" w:cs="仿宋_GB2312"/>
          <w:color w:val="auto"/>
          <w:spacing w:val="-100"/>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”要求。</w:t>
      </w:r>
    </w:p>
    <w:p w14:paraId="3DD89F8B">
      <w:pPr>
        <w:pStyle w:val="10"/>
        <w:spacing w:before="133" w:line="223" w:lineRule="auto"/>
        <w:ind w:left="573"/>
        <w:outlineLvl w:val="2"/>
        <w:rPr>
          <w:rFonts w:ascii="仿宋_GB2312" w:hAnsi="仿宋_GB2312" w:eastAsia="仿宋_GB2312" w:cs="仿宋_GB2312"/>
          <w:color w:val="auto"/>
          <w:sz w:val="28"/>
          <w:szCs w:val="28"/>
          <w:highlight w:val="none"/>
          <w:lang w:eastAsia="zh-CN"/>
        </w:rPr>
      </w:pPr>
      <w:bookmarkStart w:id="27" w:name="_Toc27588"/>
      <w:bookmarkStart w:id="28" w:name="_Toc17904"/>
      <w:r>
        <w:rPr>
          <w:rFonts w:hint="eastAsia" w:ascii="仿宋_GB2312" w:hAnsi="仿宋_GB2312" w:eastAsia="仿宋_GB2312" w:cs="仿宋_GB2312"/>
          <w:b/>
          <w:bCs/>
          <w:color w:val="auto"/>
          <w:spacing w:val="-7"/>
          <w:sz w:val="28"/>
          <w:szCs w:val="28"/>
          <w:highlight w:val="none"/>
          <w:lang w:eastAsia="zh-CN"/>
        </w:rPr>
        <w:t>8.</w:t>
      </w:r>
      <w:r>
        <w:rPr>
          <w:rFonts w:hint="eastAsia" w:ascii="仿宋_GB2312" w:hAnsi="仿宋_GB2312" w:eastAsia="仿宋_GB2312" w:cs="仿宋_GB2312"/>
          <w:color w:val="auto"/>
          <w:spacing w:val="22"/>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投标费用</w:t>
      </w:r>
      <w:bookmarkEnd w:id="27"/>
      <w:bookmarkEnd w:id="28"/>
    </w:p>
    <w:p w14:paraId="3A6D7B14">
      <w:pPr>
        <w:pStyle w:val="10"/>
        <w:spacing w:before="134" w:line="297" w:lineRule="auto"/>
        <w:ind w:left="18" w:right="41" w:firstLine="56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供应商应承担其编制投标文件与递交投标文件所涉及的一切费用，不论投</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标结果如何，采购人或采购代理机构均无义务和责任承担这些费用。</w:t>
      </w:r>
    </w:p>
    <w:p w14:paraId="1517711B">
      <w:pPr>
        <w:pStyle w:val="10"/>
        <w:spacing w:before="43" w:line="223" w:lineRule="auto"/>
        <w:ind w:left="573"/>
        <w:outlineLvl w:val="2"/>
        <w:rPr>
          <w:rFonts w:ascii="仿宋_GB2312" w:hAnsi="仿宋_GB2312" w:eastAsia="仿宋_GB2312" w:cs="仿宋_GB2312"/>
          <w:color w:val="auto"/>
          <w:sz w:val="28"/>
          <w:szCs w:val="28"/>
          <w:highlight w:val="none"/>
          <w:lang w:eastAsia="zh-CN"/>
        </w:rPr>
      </w:pPr>
      <w:bookmarkStart w:id="29" w:name="_Toc31090"/>
      <w:bookmarkStart w:id="30" w:name="_Toc26398"/>
      <w:r>
        <w:rPr>
          <w:rFonts w:hint="eastAsia" w:ascii="仿宋_GB2312" w:hAnsi="仿宋_GB2312" w:eastAsia="仿宋_GB2312" w:cs="仿宋_GB2312"/>
          <w:b/>
          <w:bCs/>
          <w:color w:val="auto"/>
          <w:spacing w:val="-7"/>
          <w:sz w:val="28"/>
          <w:szCs w:val="28"/>
          <w:highlight w:val="none"/>
          <w:lang w:eastAsia="zh-CN"/>
        </w:rPr>
        <w:t>9.</w:t>
      </w:r>
      <w:r>
        <w:rPr>
          <w:rFonts w:hint="eastAsia" w:ascii="仿宋_GB2312" w:hAnsi="仿宋_GB2312" w:eastAsia="仿宋_GB2312" w:cs="仿宋_GB2312"/>
          <w:color w:val="auto"/>
          <w:spacing w:val="22"/>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授权委托</w:t>
      </w:r>
      <w:bookmarkEnd w:id="29"/>
      <w:bookmarkEnd w:id="30"/>
    </w:p>
    <w:p w14:paraId="3F5ACD2F">
      <w:pPr>
        <w:pStyle w:val="10"/>
        <w:spacing w:before="137" w:line="301" w:lineRule="auto"/>
        <w:ind w:left="21" w:right="38" w:firstLine="549"/>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9.1 供应商代表为法定代表人的，须有法定代表人资格证明书和法定代</w:t>
      </w:r>
      <w:r>
        <w:rPr>
          <w:rFonts w:hint="eastAsia" w:ascii="仿宋_GB2312" w:hAnsi="仿宋_GB2312" w:eastAsia="仿宋_GB2312" w:cs="仿宋_GB2312"/>
          <w:color w:val="auto"/>
          <w:spacing w:val="14"/>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表人身份证；供应商代表不是供应商的法定代表人的，须有法定代表人授权</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委托书和授权代表人的本人身份证。</w:t>
      </w:r>
    </w:p>
    <w:p w14:paraId="197E5CA4">
      <w:pPr>
        <w:pStyle w:val="10"/>
        <w:spacing w:before="46" w:line="223" w:lineRule="auto"/>
        <w:ind w:left="593"/>
        <w:outlineLvl w:val="2"/>
        <w:rPr>
          <w:rFonts w:ascii="仿宋_GB2312" w:hAnsi="仿宋_GB2312" w:eastAsia="仿宋_GB2312" w:cs="仿宋_GB2312"/>
          <w:color w:val="auto"/>
          <w:sz w:val="28"/>
          <w:szCs w:val="28"/>
          <w:highlight w:val="none"/>
          <w:lang w:eastAsia="zh-CN"/>
        </w:rPr>
      </w:pPr>
      <w:bookmarkStart w:id="31" w:name="_Toc9683"/>
      <w:bookmarkStart w:id="32" w:name="_Toc24311"/>
      <w:r>
        <w:rPr>
          <w:rFonts w:hint="eastAsia" w:ascii="仿宋_GB2312" w:hAnsi="仿宋_GB2312" w:eastAsia="仿宋_GB2312" w:cs="仿宋_GB2312"/>
          <w:b/>
          <w:bCs/>
          <w:color w:val="auto"/>
          <w:spacing w:val="-8"/>
          <w:sz w:val="28"/>
          <w:szCs w:val="28"/>
          <w:highlight w:val="none"/>
          <w:lang w:eastAsia="zh-CN"/>
        </w:rPr>
        <w:t>10.</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b/>
          <w:bCs/>
          <w:color w:val="auto"/>
          <w:spacing w:val="-8"/>
          <w:sz w:val="28"/>
          <w:szCs w:val="28"/>
          <w:highlight w:val="none"/>
          <w:lang w:eastAsia="zh-CN"/>
        </w:rPr>
        <w:t>联合体投标.</w:t>
      </w:r>
      <w:bookmarkEnd w:id="31"/>
      <w:bookmarkEnd w:id="32"/>
    </w:p>
    <w:p w14:paraId="1FB4CDE1">
      <w:pPr>
        <w:pStyle w:val="10"/>
        <w:spacing w:before="132" w:line="302" w:lineRule="auto"/>
        <w:ind w:left="18" w:right="41" w:firstLine="572"/>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10.1</w:t>
      </w:r>
      <w:r>
        <w:rPr>
          <w:rFonts w:hint="eastAsia" w:ascii="仿宋_GB2312" w:hAnsi="仿宋_GB2312" w:eastAsia="仿宋_GB2312" w:cs="仿宋_GB2312"/>
          <w:color w:val="auto"/>
          <w:spacing w:val="-26"/>
          <w:sz w:val="28"/>
          <w:szCs w:val="28"/>
          <w:highlight w:val="none"/>
          <w:lang w:eastAsia="zh-CN"/>
        </w:rPr>
        <w:t xml:space="preserve"> </w:t>
      </w:r>
      <w:r>
        <w:rPr>
          <w:rFonts w:hint="eastAsia" w:ascii="仿宋_GB2312" w:hAnsi="仿宋_GB2312" w:eastAsia="仿宋_GB2312" w:cs="仿宋_GB2312"/>
          <w:color w:val="auto"/>
          <w:spacing w:val="12"/>
          <w:sz w:val="28"/>
          <w:szCs w:val="28"/>
          <w:highlight w:val="none"/>
          <w:lang w:eastAsia="zh-CN"/>
        </w:rPr>
        <w:t>投标须知前附表中接受联合体投标的，供应商可以以联合体形式投</w:t>
      </w:r>
      <w:r>
        <w:rPr>
          <w:rFonts w:hint="eastAsia" w:ascii="仿宋_GB2312" w:hAnsi="仿宋_GB2312" w:eastAsia="仿宋_GB2312" w:cs="仿宋_GB2312"/>
          <w:color w:val="auto"/>
          <w:spacing w:val="-1"/>
          <w:sz w:val="28"/>
          <w:szCs w:val="28"/>
          <w:highlight w:val="none"/>
          <w:lang w:eastAsia="zh-CN"/>
        </w:rPr>
        <w:t>标，否则联合体投标视为无效投标。接受联合体投标的，除应符合本章第7款</w:t>
      </w:r>
      <w:r>
        <w:rPr>
          <w:rFonts w:hint="eastAsia" w:ascii="仿宋_GB2312" w:hAnsi="仿宋_GB2312" w:eastAsia="仿宋_GB2312" w:cs="仿宋_GB2312"/>
          <w:color w:val="auto"/>
          <w:spacing w:val="-4"/>
          <w:sz w:val="28"/>
          <w:szCs w:val="28"/>
          <w:highlight w:val="none"/>
          <w:lang w:eastAsia="zh-CN"/>
        </w:rPr>
        <w:t>规定外，还应遵守以下规定：</w:t>
      </w:r>
    </w:p>
    <w:p w14:paraId="764B0375">
      <w:pPr>
        <w:pStyle w:val="10"/>
        <w:spacing w:before="43" w:line="266" w:lineRule="auto"/>
        <w:ind w:left="31" w:right="64" w:firstLine="547"/>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（l）联合体各方应按采购文件提供的格式签订</w:t>
      </w:r>
      <w:r>
        <w:rPr>
          <w:rFonts w:hint="eastAsia" w:ascii="仿宋_GB2312" w:hAnsi="仿宋_GB2312" w:eastAsia="仿宋_GB2312" w:cs="仿宋_GB2312"/>
          <w:color w:val="auto"/>
          <w:spacing w:val="4"/>
          <w:sz w:val="28"/>
          <w:szCs w:val="28"/>
          <w:highlight w:val="none"/>
          <w:u w:val="single"/>
          <w:lang w:eastAsia="zh-CN"/>
        </w:rPr>
        <w:t>联合体协议</w:t>
      </w:r>
      <w:r>
        <w:rPr>
          <w:rFonts w:hint="eastAsia" w:ascii="仿宋_GB2312" w:hAnsi="仿宋_GB2312" w:eastAsia="仿宋_GB2312" w:cs="仿宋_GB2312"/>
          <w:color w:val="auto"/>
          <w:spacing w:val="4"/>
          <w:sz w:val="28"/>
          <w:szCs w:val="28"/>
          <w:highlight w:val="none"/>
          <w:lang w:eastAsia="zh-CN"/>
        </w:rPr>
        <w:t>，</w:t>
      </w:r>
      <w:r>
        <w:rPr>
          <w:rFonts w:hint="eastAsia" w:ascii="仿宋_GB2312" w:hAnsi="仿宋_GB2312" w:eastAsia="仿宋_GB2312" w:cs="仿宋_GB2312"/>
          <w:color w:val="auto"/>
          <w:spacing w:val="3"/>
          <w:sz w:val="28"/>
          <w:szCs w:val="28"/>
          <w:highlight w:val="none"/>
          <w:lang w:eastAsia="zh-CN"/>
        </w:rPr>
        <w:t>明确联合体</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牵头人和各方的权利义务、合同工作量比例；</w:t>
      </w:r>
    </w:p>
    <w:p w14:paraId="36D08DB9">
      <w:pPr>
        <w:pStyle w:val="10"/>
        <w:spacing w:before="137" w:line="267" w:lineRule="auto"/>
        <w:ind w:left="29" w:right="72" w:firstLine="549"/>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（2）联合体各方签订联合体协议书后，不</w:t>
      </w:r>
      <w:r>
        <w:rPr>
          <w:rFonts w:hint="eastAsia" w:ascii="仿宋_GB2312" w:hAnsi="仿宋_GB2312" w:eastAsia="仿宋_GB2312" w:cs="仿宋_GB2312"/>
          <w:color w:val="auto"/>
          <w:spacing w:val="3"/>
          <w:sz w:val="28"/>
          <w:szCs w:val="28"/>
          <w:highlight w:val="none"/>
          <w:lang w:eastAsia="zh-CN"/>
        </w:rPr>
        <w:t>得再单独参加或者与其他供应</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商组成新的联合体参加同一项目的采购活动。</w:t>
      </w:r>
    </w:p>
    <w:p w14:paraId="79D9D389">
      <w:pPr>
        <w:pStyle w:val="10"/>
        <w:spacing w:before="135" w:line="222" w:lineRule="auto"/>
        <w:ind w:left="593"/>
        <w:outlineLvl w:val="2"/>
        <w:rPr>
          <w:rFonts w:ascii="仿宋_GB2312" w:hAnsi="仿宋_GB2312" w:eastAsia="仿宋_GB2312" w:cs="仿宋_GB2312"/>
          <w:color w:val="auto"/>
          <w:sz w:val="28"/>
          <w:szCs w:val="28"/>
          <w:highlight w:val="none"/>
          <w:lang w:eastAsia="zh-CN"/>
        </w:rPr>
      </w:pPr>
      <w:bookmarkStart w:id="33" w:name="_Toc25892"/>
      <w:bookmarkStart w:id="34" w:name="_Toc3894"/>
      <w:r>
        <w:rPr>
          <w:rFonts w:hint="eastAsia" w:ascii="仿宋_GB2312" w:hAnsi="仿宋_GB2312" w:eastAsia="仿宋_GB2312" w:cs="仿宋_GB2312"/>
          <w:b/>
          <w:bCs/>
          <w:color w:val="auto"/>
          <w:spacing w:val="-6"/>
          <w:sz w:val="28"/>
          <w:szCs w:val="28"/>
          <w:highlight w:val="none"/>
          <w:lang w:eastAsia="zh-CN"/>
        </w:rPr>
        <w:t>11.信用信息查询</w:t>
      </w:r>
      <w:bookmarkEnd w:id="33"/>
      <w:bookmarkEnd w:id="34"/>
    </w:p>
    <w:p w14:paraId="34952D1A">
      <w:pPr>
        <w:pStyle w:val="10"/>
        <w:spacing w:before="135" w:line="216"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11.1</w:t>
      </w:r>
      <w:r>
        <w:rPr>
          <w:rFonts w:hint="eastAsia" w:ascii="仿宋_GB2312" w:hAnsi="仿宋_GB2312" w:eastAsia="仿宋_GB2312" w:cs="仿宋_GB2312"/>
          <w:color w:val="auto"/>
          <w:spacing w:val="-31"/>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查询渠道：“信用中国</w:t>
      </w:r>
      <w:r>
        <w:rPr>
          <w:rFonts w:hint="eastAsia" w:ascii="仿宋_GB2312" w:hAnsi="仿宋_GB2312" w:eastAsia="仿宋_GB2312" w:cs="仿宋_GB2312"/>
          <w:color w:val="auto"/>
          <w:spacing w:val="-93"/>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”网站（</w:t>
      </w:r>
      <w:r>
        <w:rPr>
          <w:rFonts w:hint="eastAsia" w:ascii="仿宋_GB2312" w:hAnsi="仿宋_GB2312" w:eastAsia="仿宋_GB2312" w:cs="仿宋_GB2312"/>
          <w:color w:val="auto"/>
          <w:sz w:val="28"/>
          <w:szCs w:val="28"/>
          <w:highlight w:val="none"/>
          <w:lang w:eastAsia="zh-CN"/>
        </w:rPr>
        <w:t>www</w:t>
      </w:r>
      <w:r>
        <w:rPr>
          <w:rFonts w:hint="eastAsia" w:ascii="仿宋_GB2312" w:hAnsi="仿宋_GB2312" w:eastAsia="仿宋_GB2312" w:cs="仿宋_GB2312"/>
          <w:color w:val="auto"/>
          <w:spacing w:val="3"/>
          <w:sz w:val="28"/>
          <w:szCs w:val="28"/>
          <w:highlight w:val="none"/>
          <w:lang w:eastAsia="zh-CN"/>
        </w:rPr>
        <w:t>.</w:t>
      </w:r>
      <w:r>
        <w:rPr>
          <w:rFonts w:hint="eastAsia" w:ascii="仿宋_GB2312" w:hAnsi="仿宋_GB2312" w:eastAsia="仿宋_GB2312" w:cs="仿宋_GB2312"/>
          <w:color w:val="auto"/>
          <w:sz w:val="28"/>
          <w:szCs w:val="28"/>
          <w:highlight w:val="none"/>
          <w:lang w:eastAsia="zh-CN"/>
        </w:rPr>
        <w:t>creditchina</w:t>
      </w:r>
      <w:r>
        <w:rPr>
          <w:rFonts w:hint="eastAsia" w:ascii="仿宋_GB2312" w:hAnsi="仿宋_GB2312" w:eastAsia="仿宋_GB2312" w:cs="仿宋_GB2312"/>
          <w:color w:val="auto"/>
          <w:spacing w:val="3"/>
          <w:sz w:val="28"/>
          <w:szCs w:val="28"/>
          <w:highlight w:val="none"/>
          <w:lang w:eastAsia="zh-CN"/>
        </w:rPr>
        <w:t>.</w:t>
      </w:r>
      <w:r>
        <w:rPr>
          <w:rFonts w:hint="eastAsia" w:ascii="仿宋_GB2312" w:hAnsi="仿宋_GB2312" w:eastAsia="仿宋_GB2312" w:cs="仿宋_GB2312"/>
          <w:color w:val="auto"/>
          <w:sz w:val="28"/>
          <w:szCs w:val="28"/>
          <w:highlight w:val="none"/>
          <w:lang w:eastAsia="zh-CN"/>
        </w:rPr>
        <w:t>gov</w:t>
      </w:r>
      <w:r>
        <w:rPr>
          <w:rFonts w:hint="eastAsia" w:ascii="仿宋_GB2312" w:hAnsi="仿宋_GB2312" w:eastAsia="仿宋_GB2312" w:cs="仿宋_GB2312"/>
          <w:color w:val="auto"/>
          <w:spacing w:val="3"/>
          <w:sz w:val="28"/>
          <w:szCs w:val="28"/>
          <w:highlight w:val="none"/>
          <w:lang w:eastAsia="zh-CN"/>
        </w:rPr>
        <w:t>.</w:t>
      </w:r>
      <w:r>
        <w:rPr>
          <w:rFonts w:hint="eastAsia" w:ascii="仿宋_GB2312" w:hAnsi="仿宋_GB2312" w:eastAsia="仿宋_GB2312" w:cs="仿宋_GB2312"/>
          <w:color w:val="auto"/>
          <w:sz w:val="28"/>
          <w:szCs w:val="28"/>
          <w:highlight w:val="none"/>
          <w:lang w:eastAsia="zh-CN"/>
        </w:rPr>
        <w:t>cn</w:t>
      </w:r>
      <w:r>
        <w:rPr>
          <w:rFonts w:hint="eastAsia" w:ascii="仿宋_GB2312" w:hAnsi="仿宋_GB2312" w:eastAsia="仿宋_GB2312" w:cs="仿宋_GB2312"/>
          <w:color w:val="auto"/>
          <w:spacing w:val="3"/>
          <w:sz w:val="28"/>
          <w:szCs w:val="28"/>
          <w:highlight w:val="none"/>
          <w:lang w:eastAsia="zh-CN"/>
        </w:rPr>
        <w:t>）、中国</w:t>
      </w:r>
    </w:p>
    <w:p w14:paraId="59EFFB5C">
      <w:pPr>
        <w:spacing w:line="216" w:lineRule="auto"/>
        <w:rPr>
          <w:rFonts w:ascii="仿宋_GB2312" w:hAnsi="仿宋_GB2312" w:eastAsia="仿宋_GB2312" w:cs="仿宋_GB2312"/>
          <w:color w:val="auto"/>
          <w:sz w:val="28"/>
          <w:szCs w:val="28"/>
          <w:highlight w:val="none"/>
          <w:lang w:eastAsia="zh-CN"/>
        </w:rPr>
        <w:sectPr>
          <w:footerReference r:id="rId8" w:type="default"/>
          <w:pgSz w:w="11906" w:h="16838"/>
          <w:pgMar w:top="1161" w:right="1058" w:bottom="1517" w:left="1258" w:header="861" w:footer="1237" w:gutter="0"/>
          <w:pgNumType w:fmt="numberInDash"/>
          <w:cols w:space="720" w:num="1"/>
        </w:sectPr>
      </w:pPr>
    </w:p>
    <w:p w14:paraId="668AEC1C">
      <w:pPr>
        <w:pStyle w:val="10"/>
        <w:spacing w:before="277" w:line="337" w:lineRule="auto"/>
        <w:ind w:left="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仿宋_GB2312" w:hAnsi="仿宋_GB2312" w:eastAsia="仿宋_GB2312" w:cs="仿宋_GB2312"/>
          <w:color w:val="auto"/>
          <w:spacing w:val="-2"/>
          <w:sz w:val="28"/>
          <w:szCs w:val="28"/>
          <w:highlight w:val="none"/>
          <w:u w:val="single"/>
        </w:rPr>
        <w:t>www.ccgp.gov.cn</w:t>
      </w:r>
      <w:r>
        <w:rPr>
          <w:rFonts w:hint="eastAsia" w:ascii="仿宋_GB2312" w:hAnsi="仿宋_GB2312" w:eastAsia="仿宋_GB2312" w:cs="仿宋_GB2312"/>
          <w:color w:val="auto"/>
          <w:spacing w:val="-2"/>
          <w:sz w:val="28"/>
          <w:szCs w:val="28"/>
          <w:highlight w:val="none"/>
          <w:u w:val="single"/>
        </w:rPr>
        <w:fldChar w:fldCharType="end"/>
      </w:r>
      <w:r>
        <w:rPr>
          <w:rFonts w:hint="eastAsia" w:ascii="仿宋_GB2312" w:hAnsi="仿宋_GB2312" w:eastAsia="仿宋_GB2312" w:cs="仿宋_GB2312"/>
          <w:color w:val="auto"/>
          <w:spacing w:val="-2"/>
          <w:sz w:val="28"/>
          <w:szCs w:val="28"/>
          <w:highlight w:val="none"/>
        </w:rPr>
        <w:t>）。</w:t>
      </w:r>
    </w:p>
    <w:p w14:paraId="7A90D964">
      <w:pPr>
        <w:pStyle w:val="10"/>
        <w:spacing w:line="304" w:lineRule="auto"/>
        <w:ind w:left="20" w:right="41" w:firstLine="570"/>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11.2</w:t>
      </w:r>
      <w:r>
        <w:rPr>
          <w:rFonts w:hint="eastAsia" w:ascii="仿宋_GB2312" w:hAnsi="仿宋_GB2312" w:eastAsia="仿宋_GB2312" w:cs="仿宋_GB2312"/>
          <w:color w:val="auto"/>
          <w:spacing w:val="-31"/>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根据《关于在政府采购活动中查询及使用信用记录有关问题</w:t>
      </w:r>
      <w:r>
        <w:rPr>
          <w:rFonts w:hint="eastAsia" w:ascii="仿宋_GB2312" w:hAnsi="仿宋_GB2312" w:eastAsia="仿宋_GB2312" w:cs="仿宋_GB2312"/>
          <w:color w:val="auto"/>
          <w:spacing w:val="13"/>
          <w:sz w:val="28"/>
          <w:szCs w:val="28"/>
          <w:highlight w:val="none"/>
          <w:lang w:eastAsia="zh-CN"/>
        </w:rPr>
        <w:t>的通</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知》</w:t>
      </w:r>
      <w:r>
        <w:rPr>
          <w:rFonts w:hint="eastAsia" w:ascii="仿宋_GB2312" w:hAnsi="仿宋_GB2312" w:eastAsia="仿宋_GB2312" w:cs="仿宋_GB2312"/>
          <w:color w:val="auto"/>
          <w:spacing w:val="-78"/>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（财库[2016]125</w:t>
      </w:r>
      <w:r>
        <w:rPr>
          <w:rFonts w:hint="eastAsia" w:ascii="仿宋_GB2312" w:hAnsi="仿宋_GB2312" w:eastAsia="仿宋_GB2312" w:cs="仿宋_GB2312"/>
          <w:color w:val="auto"/>
          <w:spacing w:val="-43"/>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号）的规定，对</w:t>
      </w:r>
      <w:r>
        <w:rPr>
          <w:rFonts w:hint="eastAsia" w:ascii="仿宋_GB2312" w:hAnsi="仿宋_GB2312" w:eastAsia="仿宋_GB2312" w:cs="仿宋_GB2312"/>
          <w:color w:val="auto"/>
          <w:spacing w:val="-2"/>
          <w:sz w:val="28"/>
          <w:szCs w:val="28"/>
          <w:highlight w:val="none"/>
          <w:lang w:eastAsia="zh-CN"/>
        </w:rPr>
        <w:t>被列入“失信被执行人</w:t>
      </w:r>
      <w:r>
        <w:rPr>
          <w:rFonts w:hint="eastAsia" w:ascii="仿宋_GB2312" w:hAnsi="仿宋_GB2312" w:eastAsia="仿宋_GB2312" w:cs="仿宋_GB2312"/>
          <w:color w:val="auto"/>
          <w:spacing w:val="-103"/>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”、“重大税收违</w:t>
      </w:r>
      <w:r>
        <w:rPr>
          <w:rFonts w:hint="eastAsia" w:ascii="仿宋_GB2312" w:hAnsi="仿宋_GB2312" w:eastAsia="仿宋_GB2312" w:cs="仿宋_GB2312"/>
          <w:color w:val="auto"/>
          <w:sz w:val="28"/>
          <w:szCs w:val="28"/>
          <w:highlight w:val="none"/>
          <w:lang w:eastAsia="zh-CN"/>
        </w:rPr>
        <w:t>法失信主体”、“政府采购严重违法失信行为记录名单”的供应商，拒绝</w:t>
      </w:r>
      <w:r>
        <w:rPr>
          <w:rFonts w:hint="eastAsia" w:ascii="仿宋_GB2312" w:hAnsi="仿宋_GB2312" w:eastAsia="仿宋_GB2312" w:cs="仿宋_GB2312"/>
          <w:color w:val="auto"/>
          <w:spacing w:val="-1"/>
          <w:sz w:val="28"/>
          <w:szCs w:val="28"/>
          <w:highlight w:val="none"/>
          <w:lang w:eastAsia="zh-CN"/>
        </w:rPr>
        <w:t>参与</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本项目政府采购活动。</w:t>
      </w:r>
    </w:p>
    <w:p w14:paraId="21F0CEC3">
      <w:pPr>
        <w:pStyle w:val="10"/>
        <w:spacing w:before="46" w:line="303" w:lineRule="auto"/>
        <w:ind w:left="21" w:right="45" w:firstLine="569"/>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11.3</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招标代理机构在开标时间后至资格审查结束前通过上述查询渠道进</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行网上查询，对存在“失信被执行人”、“重大税收违法失信主体</w:t>
      </w:r>
      <w:r>
        <w:rPr>
          <w:rFonts w:hint="eastAsia" w:ascii="仿宋_GB2312" w:hAnsi="仿宋_GB2312" w:eastAsia="仿宋_GB2312" w:cs="仿宋_GB2312"/>
          <w:color w:val="auto"/>
          <w:spacing w:val="-104"/>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w:t>
      </w:r>
      <w:r>
        <w:rPr>
          <w:rFonts w:hint="eastAsia" w:ascii="仿宋_GB2312" w:hAnsi="仿宋_GB2312" w:eastAsia="仿宋_GB2312" w:cs="仿宋_GB2312"/>
          <w:color w:val="auto"/>
          <w:spacing w:val="-2"/>
          <w:sz w:val="28"/>
          <w:szCs w:val="28"/>
          <w:highlight w:val="none"/>
          <w:lang w:eastAsia="zh-CN"/>
        </w:rPr>
        <w:t>、“政府</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采购严重违法失信行为记录名单</w:t>
      </w:r>
      <w:r>
        <w:rPr>
          <w:rFonts w:hint="eastAsia" w:ascii="仿宋_GB2312" w:hAnsi="仿宋_GB2312" w:eastAsia="仿宋_GB2312" w:cs="仿宋_GB2312"/>
          <w:color w:val="auto"/>
          <w:spacing w:val="-92"/>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”情形的供应商，资格审查不合格，投标无</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效，同时其信用信息查询记录作为证据存档。</w:t>
      </w:r>
    </w:p>
    <w:p w14:paraId="2E38C4DD">
      <w:pPr>
        <w:pStyle w:val="10"/>
        <w:spacing w:before="47" w:line="301" w:lineRule="auto"/>
        <w:ind w:left="18" w:right="41" w:firstLine="572"/>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11.4</w:t>
      </w:r>
      <w:r>
        <w:rPr>
          <w:rFonts w:hint="eastAsia" w:ascii="仿宋_GB2312" w:hAnsi="仿宋_GB2312" w:eastAsia="仿宋_GB2312" w:cs="仿宋_GB2312"/>
          <w:color w:val="auto"/>
          <w:spacing w:val="-30"/>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两个以上的自然人、法人或者其他组织组成一个联合体，</w:t>
      </w:r>
      <w:r>
        <w:rPr>
          <w:rFonts w:hint="eastAsia" w:ascii="仿宋_GB2312" w:hAnsi="仿宋_GB2312" w:eastAsia="仿宋_GB2312" w:cs="仿宋_GB2312"/>
          <w:color w:val="auto"/>
          <w:spacing w:val="-78"/>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以一</w:t>
      </w:r>
      <w:r>
        <w:rPr>
          <w:rFonts w:hint="eastAsia" w:ascii="仿宋_GB2312" w:hAnsi="仿宋_GB2312" w:eastAsia="仿宋_GB2312" w:cs="仿宋_GB2312"/>
          <w:color w:val="auto"/>
          <w:spacing w:val="2"/>
          <w:sz w:val="28"/>
          <w:szCs w:val="28"/>
          <w:highlight w:val="none"/>
          <w:lang w:eastAsia="zh-CN"/>
        </w:rPr>
        <w:t>个供</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9"/>
          <w:sz w:val="28"/>
          <w:szCs w:val="28"/>
          <w:highlight w:val="none"/>
          <w:lang w:eastAsia="zh-CN"/>
        </w:rPr>
        <w:t>应商的身份共同参加政府采购活动的，将对所有联</w:t>
      </w:r>
      <w:r>
        <w:rPr>
          <w:rFonts w:hint="eastAsia" w:ascii="仿宋_GB2312" w:hAnsi="仿宋_GB2312" w:eastAsia="仿宋_GB2312" w:cs="仿宋_GB2312"/>
          <w:color w:val="auto"/>
          <w:spacing w:val="8"/>
          <w:sz w:val="28"/>
          <w:szCs w:val="28"/>
          <w:highlight w:val="none"/>
          <w:lang w:eastAsia="zh-CN"/>
        </w:rPr>
        <w:t>合体成员进行信用记录查</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询，联合体成员存在不良信用记录的，视同联合体存在不良信用记录。</w:t>
      </w:r>
    </w:p>
    <w:p w14:paraId="52E52AB3">
      <w:pPr>
        <w:pStyle w:val="10"/>
        <w:spacing w:before="47" w:line="223" w:lineRule="auto"/>
        <w:ind w:left="581"/>
        <w:outlineLvl w:val="1"/>
        <w:rPr>
          <w:rFonts w:ascii="仿宋_GB2312" w:hAnsi="仿宋_GB2312" w:eastAsia="仿宋_GB2312" w:cs="仿宋_GB2312"/>
          <w:color w:val="auto"/>
          <w:sz w:val="28"/>
          <w:szCs w:val="28"/>
          <w:highlight w:val="none"/>
          <w:lang w:eastAsia="zh-CN"/>
        </w:rPr>
      </w:pPr>
      <w:bookmarkStart w:id="35" w:name="_Toc19396"/>
      <w:bookmarkStart w:id="36" w:name="_Toc31046"/>
      <w:r>
        <w:rPr>
          <w:rFonts w:hint="eastAsia" w:ascii="仿宋_GB2312" w:hAnsi="仿宋_GB2312" w:eastAsia="仿宋_GB2312" w:cs="仿宋_GB2312"/>
          <w:b/>
          <w:bCs/>
          <w:color w:val="auto"/>
          <w:spacing w:val="-7"/>
          <w:sz w:val="28"/>
          <w:szCs w:val="28"/>
          <w:highlight w:val="none"/>
          <w:lang w:eastAsia="zh-CN"/>
        </w:rPr>
        <w:t>（二）</w:t>
      </w:r>
      <w:bookmarkEnd w:id="35"/>
      <w:bookmarkEnd w:id="36"/>
      <w:r>
        <w:rPr>
          <w:rFonts w:hint="eastAsia" w:ascii="仿宋_GB2312" w:hAnsi="仿宋_GB2312" w:eastAsia="仿宋_GB2312" w:cs="仿宋_GB2312"/>
          <w:b/>
          <w:bCs/>
          <w:color w:val="auto"/>
          <w:spacing w:val="-7"/>
          <w:sz w:val="28"/>
          <w:szCs w:val="28"/>
          <w:highlight w:val="none"/>
          <w:lang w:eastAsia="zh-CN"/>
        </w:rPr>
        <w:t>采购文件</w:t>
      </w:r>
    </w:p>
    <w:p w14:paraId="3CA3FBC1">
      <w:pPr>
        <w:pStyle w:val="10"/>
        <w:spacing w:before="134" w:line="223" w:lineRule="auto"/>
        <w:ind w:left="593"/>
        <w:outlineLvl w:val="2"/>
        <w:rPr>
          <w:rFonts w:ascii="仿宋_GB2312" w:hAnsi="仿宋_GB2312" w:eastAsia="仿宋_GB2312" w:cs="仿宋_GB2312"/>
          <w:color w:val="auto"/>
          <w:sz w:val="28"/>
          <w:szCs w:val="28"/>
          <w:highlight w:val="none"/>
          <w:lang w:eastAsia="zh-CN"/>
        </w:rPr>
      </w:pPr>
      <w:bookmarkStart w:id="37" w:name="_Toc17431"/>
      <w:bookmarkStart w:id="38" w:name="_Toc5206"/>
      <w:r>
        <w:rPr>
          <w:rFonts w:hint="eastAsia" w:ascii="仿宋_GB2312" w:hAnsi="仿宋_GB2312" w:eastAsia="仿宋_GB2312" w:cs="仿宋_GB2312"/>
          <w:b/>
          <w:bCs/>
          <w:color w:val="auto"/>
          <w:spacing w:val="-5"/>
          <w:sz w:val="28"/>
          <w:szCs w:val="28"/>
          <w:highlight w:val="none"/>
          <w:lang w:eastAsia="zh-CN"/>
        </w:rPr>
        <w:t>12.</w:t>
      </w:r>
      <w:r>
        <w:rPr>
          <w:rFonts w:hint="eastAsia" w:ascii="仿宋_GB2312" w:hAnsi="仿宋_GB2312" w:eastAsia="仿宋_GB2312" w:cs="仿宋_GB2312"/>
          <w:color w:val="auto"/>
          <w:spacing w:val="-5"/>
          <w:sz w:val="28"/>
          <w:szCs w:val="28"/>
          <w:highlight w:val="none"/>
          <w:lang w:eastAsia="zh-CN"/>
        </w:rPr>
        <w:t xml:space="preserve"> </w:t>
      </w:r>
      <w:r>
        <w:rPr>
          <w:rFonts w:hint="eastAsia" w:ascii="仿宋_GB2312" w:hAnsi="仿宋_GB2312" w:eastAsia="仿宋_GB2312" w:cs="仿宋_GB2312"/>
          <w:b/>
          <w:bCs/>
          <w:color w:val="auto"/>
          <w:spacing w:val="-5"/>
          <w:sz w:val="28"/>
          <w:szCs w:val="28"/>
          <w:highlight w:val="none"/>
          <w:lang w:eastAsia="zh-CN"/>
        </w:rPr>
        <w:t>采购文件的组成</w:t>
      </w:r>
      <w:bookmarkEnd w:id="37"/>
      <w:bookmarkEnd w:id="38"/>
    </w:p>
    <w:p w14:paraId="79FDF613">
      <w:pPr>
        <w:pStyle w:val="10"/>
        <w:spacing w:before="135" w:line="295" w:lineRule="auto"/>
        <w:ind w:left="590" w:right="552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12.1 采购文件包括下列内容</w:t>
      </w:r>
      <w:r>
        <w:rPr>
          <w:rFonts w:hint="eastAsia" w:ascii="仿宋_GB2312" w:hAnsi="仿宋_GB2312" w:eastAsia="仿宋_GB2312" w:cs="仿宋_GB2312"/>
          <w:color w:val="auto"/>
          <w:spacing w:val="1"/>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第一章</w:t>
      </w:r>
      <w:r>
        <w:rPr>
          <w:rFonts w:hint="eastAsia" w:ascii="仿宋_GB2312" w:hAnsi="仿宋_GB2312" w:eastAsia="仿宋_GB2312" w:cs="仿宋_GB2312"/>
          <w:color w:val="auto"/>
          <w:spacing w:val="18"/>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招标公告</w:t>
      </w:r>
    </w:p>
    <w:p w14:paraId="1ED62460">
      <w:pPr>
        <w:pStyle w:val="10"/>
        <w:spacing w:before="51" w:line="295" w:lineRule="auto"/>
        <w:ind w:left="590" w:right="4686"/>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第二章 投标须知前附表及投标须知</w:t>
      </w:r>
      <w:r>
        <w:rPr>
          <w:rFonts w:hint="eastAsia" w:ascii="仿宋_GB2312" w:hAnsi="仿宋_GB2312" w:eastAsia="仿宋_GB2312" w:cs="仿宋_GB2312"/>
          <w:color w:val="auto"/>
          <w:spacing w:val="1"/>
          <w:sz w:val="28"/>
          <w:szCs w:val="28"/>
          <w:highlight w:val="none"/>
          <w:lang w:eastAsia="zh-CN"/>
        </w:rPr>
        <w:t xml:space="preserve"> </w:t>
      </w:r>
      <w:r>
        <w:rPr>
          <w:rFonts w:hint="eastAsia" w:ascii="仿宋_GB2312" w:hAnsi="仿宋_GB2312" w:eastAsia="仿宋_GB2312" w:cs="仿宋_GB2312"/>
          <w:color w:val="auto"/>
          <w:spacing w:val="-8"/>
          <w:sz w:val="28"/>
          <w:szCs w:val="28"/>
          <w:highlight w:val="none"/>
          <w:lang w:eastAsia="zh-CN"/>
        </w:rPr>
        <w:t>第三章</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8"/>
          <w:sz w:val="28"/>
          <w:szCs w:val="28"/>
          <w:highlight w:val="none"/>
          <w:lang w:eastAsia="zh-CN"/>
        </w:rPr>
        <w:t>合同条款</w:t>
      </w:r>
    </w:p>
    <w:p w14:paraId="183E38E4">
      <w:pPr>
        <w:pStyle w:val="10"/>
        <w:spacing w:before="47" w:line="223"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8"/>
          <w:sz w:val="28"/>
          <w:szCs w:val="28"/>
          <w:highlight w:val="none"/>
          <w:lang w:eastAsia="zh-CN"/>
        </w:rPr>
        <w:t>第四章</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8"/>
          <w:sz w:val="28"/>
          <w:szCs w:val="28"/>
          <w:highlight w:val="none"/>
          <w:lang w:eastAsia="zh-CN"/>
        </w:rPr>
        <w:t>采购需求</w:t>
      </w:r>
    </w:p>
    <w:p w14:paraId="26193748">
      <w:pPr>
        <w:pStyle w:val="10"/>
        <w:spacing w:before="135" w:line="223"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第五章 投标文件格式</w:t>
      </w:r>
    </w:p>
    <w:p w14:paraId="306A7E54">
      <w:pPr>
        <w:pStyle w:val="10"/>
        <w:spacing w:before="133" w:line="301" w:lineRule="auto"/>
        <w:ind w:left="18" w:right="38" w:firstLine="57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12.2</w:t>
      </w:r>
      <w:r>
        <w:rPr>
          <w:rFonts w:hint="eastAsia" w:ascii="仿宋_GB2312" w:hAnsi="仿宋_GB2312" w:eastAsia="仿宋_GB2312" w:cs="仿宋_GB2312"/>
          <w:color w:val="auto"/>
          <w:spacing w:val="-45"/>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招标的最小单位是标项。采购文件未分标项的，供</w:t>
      </w:r>
      <w:r>
        <w:rPr>
          <w:rFonts w:hint="eastAsia" w:ascii="仿宋_GB2312" w:hAnsi="仿宋_GB2312" w:eastAsia="仿宋_GB2312" w:cs="仿宋_GB2312"/>
          <w:b/>
          <w:bCs/>
          <w:color w:val="auto"/>
          <w:spacing w:val="2"/>
          <w:sz w:val="28"/>
          <w:szCs w:val="28"/>
          <w:highlight w:val="none"/>
          <w:lang w:eastAsia="zh-CN"/>
        </w:rPr>
        <w:t>应商须对全部招</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b/>
          <w:bCs/>
          <w:color w:val="auto"/>
          <w:spacing w:val="6"/>
          <w:sz w:val="28"/>
          <w:szCs w:val="28"/>
          <w:highlight w:val="none"/>
          <w:lang w:eastAsia="zh-CN"/>
        </w:rPr>
        <w:t>标内容投标，不得部分投标；采购文件分标项的，供应商应当</w:t>
      </w:r>
      <w:r>
        <w:rPr>
          <w:rFonts w:hint="eastAsia" w:ascii="仿宋_GB2312" w:hAnsi="仿宋_GB2312" w:eastAsia="仿宋_GB2312" w:cs="仿宋_GB2312"/>
          <w:b/>
          <w:bCs/>
          <w:color w:val="auto"/>
          <w:spacing w:val="5"/>
          <w:sz w:val="28"/>
          <w:szCs w:val="28"/>
          <w:highlight w:val="none"/>
          <w:lang w:eastAsia="zh-CN"/>
        </w:rPr>
        <w:t>以标项为单位</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b/>
          <w:bCs/>
          <w:color w:val="auto"/>
          <w:sz w:val="28"/>
          <w:szCs w:val="28"/>
          <w:highlight w:val="none"/>
          <w:lang w:eastAsia="zh-CN"/>
        </w:rPr>
        <w:t>分别</w:t>
      </w:r>
      <w:r>
        <w:rPr>
          <w:rFonts w:hint="eastAsia" w:ascii="仿宋_GB2312" w:hAnsi="仿宋_GB2312" w:eastAsia="仿宋_GB2312" w:cs="仿宋_GB2312"/>
          <w:b/>
          <w:bCs/>
          <w:color w:val="auto"/>
          <w:spacing w:val="-7"/>
          <w:sz w:val="28"/>
          <w:szCs w:val="28"/>
          <w:highlight w:val="none"/>
          <w:lang w:eastAsia="zh-CN"/>
        </w:rPr>
        <w:t>编制并提交投标文件。</w:t>
      </w:r>
    </w:p>
    <w:p w14:paraId="007D26B3">
      <w:pPr>
        <w:pStyle w:val="10"/>
        <w:spacing w:before="44" w:line="297" w:lineRule="auto"/>
        <w:ind w:left="22" w:right="42" w:firstLine="567"/>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12.3 采购文件如果要求供应商提交备选投标方案的，供应商可以提</w:t>
      </w:r>
      <w:r>
        <w:rPr>
          <w:rFonts w:hint="eastAsia" w:ascii="仿宋_GB2312" w:hAnsi="仿宋_GB2312" w:eastAsia="仿宋_GB2312" w:cs="仿宋_GB2312"/>
          <w:color w:val="auto"/>
          <w:spacing w:val="3"/>
          <w:sz w:val="28"/>
          <w:szCs w:val="28"/>
          <w:highlight w:val="none"/>
          <w:lang w:eastAsia="zh-CN"/>
        </w:rPr>
        <w:t>交备</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选方案；否则，备选方案将被拒绝。</w:t>
      </w:r>
    </w:p>
    <w:p w14:paraId="5C424DC2">
      <w:pPr>
        <w:pStyle w:val="10"/>
        <w:spacing w:before="46" w:line="295" w:lineRule="auto"/>
        <w:ind w:left="24" w:right="42" w:firstLine="566"/>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12.4 采购文件由本文件及由采购人按采购文件有关规定发出的采购文件</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0"/>
          <w:sz w:val="28"/>
          <w:szCs w:val="28"/>
          <w:highlight w:val="none"/>
          <w:lang w:eastAsia="zh-CN"/>
        </w:rPr>
        <w:t>补充构成。</w:t>
      </w:r>
    </w:p>
    <w:p w14:paraId="76ADF62C">
      <w:pPr>
        <w:pStyle w:val="10"/>
        <w:spacing w:before="49" w:line="296" w:lineRule="auto"/>
        <w:ind w:left="55" w:right="42" w:firstLine="535"/>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12.5  采购文件的澄清、修改、招标答疑会纪要等书面材料在本招标</w:t>
      </w:r>
      <w:r>
        <w:rPr>
          <w:rFonts w:hint="eastAsia" w:ascii="仿宋_GB2312" w:hAnsi="仿宋_GB2312" w:eastAsia="仿宋_GB2312" w:cs="仿宋_GB2312"/>
          <w:color w:val="auto"/>
          <w:spacing w:val="3"/>
          <w:sz w:val="28"/>
          <w:szCs w:val="28"/>
          <w:highlight w:val="none"/>
          <w:lang w:eastAsia="zh-CN"/>
        </w:rPr>
        <w:t>项目</w:t>
      </w:r>
      <w:r>
        <w:rPr>
          <w:rFonts w:hint="eastAsia" w:ascii="仿宋_GB2312" w:hAnsi="仿宋_GB2312" w:eastAsia="仿宋_GB2312" w:cs="仿宋_GB2312"/>
          <w:color w:val="auto"/>
          <w:spacing w:val="-8"/>
          <w:sz w:val="28"/>
          <w:szCs w:val="28"/>
          <w:highlight w:val="none"/>
          <w:lang w:eastAsia="zh-CN"/>
        </w:rPr>
        <w:t>中均称为采购文件补充。</w:t>
      </w:r>
    </w:p>
    <w:p w14:paraId="0AC9F478">
      <w:pPr>
        <w:spacing w:line="296" w:lineRule="auto"/>
        <w:rPr>
          <w:rFonts w:ascii="仿宋_GB2312" w:hAnsi="仿宋_GB2312" w:eastAsia="仿宋_GB2312" w:cs="仿宋_GB2312"/>
          <w:color w:val="auto"/>
          <w:sz w:val="28"/>
          <w:szCs w:val="28"/>
          <w:highlight w:val="none"/>
          <w:lang w:eastAsia="zh-CN"/>
        </w:rPr>
        <w:sectPr>
          <w:footerReference r:id="rId9" w:type="default"/>
          <w:pgSz w:w="11906" w:h="16838"/>
          <w:pgMar w:top="1161" w:right="1058" w:bottom="1517" w:left="1258" w:header="861" w:footer="1237" w:gutter="0"/>
          <w:pgNumType w:fmt="numberInDash"/>
          <w:cols w:space="720" w:num="1"/>
        </w:sectPr>
      </w:pPr>
    </w:p>
    <w:p w14:paraId="00B44417">
      <w:pPr>
        <w:pStyle w:val="10"/>
        <w:spacing w:before="319" w:line="303" w:lineRule="auto"/>
        <w:ind w:left="28" w:right="38" w:firstLine="572"/>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12.6 采购文件补充作为采购文件的组成部分，对供应商起同等约束作</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用。如果采购文件补充内容与在此采购文件补充发出之前的采购文件等书面材</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料中相关内容相冲突，请供应商执行采购文件补充的相关内容，先前发出的招</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标文件等书面材料中相关内容自动废止。</w:t>
      </w:r>
    </w:p>
    <w:p w14:paraId="1EA4C514">
      <w:pPr>
        <w:pStyle w:val="10"/>
        <w:spacing w:before="49" w:line="303" w:lineRule="auto"/>
        <w:ind w:right="38" w:firstLine="600"/>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12.7 供应商应认真审阅和理解采购文件所有内容，尤其注意可能引起</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“否决投标</w:t>
      </w:r>
      <w:r>
        <w:rPr>
          <w:rFonts w:hint="eastAsia" w:ascii="仿宋_GB2312" w:hAnsi="仿宋_GB2312" w:eastAsia="仿宋_GB2312" w:cs="仿宋_GB2312"/>
          <w:color w:val="auto"/>
          <w:spacing w:val="-104"/>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”、“拒绝</w:t>
      </w:r>
      <w:r>
        <w:rPr>
          <w:rFonts w:hint="eastAsia" w:ascii="仿宋_GB2312" w:hAnsi="仿宋_GB2312" w:eastAsia="仿宋_GB2312" w:cs="仿宋_GB2312"/>
          <w:color w:val="auto"/>
          <w:spacing w:val="-103"/>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”、“投标无效”、“评审不予通</w:t>
      </w:r>
      <w:r>
        <w:rPr>
          <w:rFonts w:hint="eastAsia" w:ascii="仿宋_GB2312" w:hAnsi="仿宋_GB2312" w:eastAsia="仿宋_GB2312" w:cs="仿宋_GB2312"/>
          <w:color w:val="auto"/>
          <w:spacing w:val="-3"/>
          <w:sz w:val="28"/>
          <w:szCs w:val="28"/>
          <w:highlight w:val="none"/>
          <w:lang w:eastAsia="zh-CN"/>
        </w:rPr>
        <w:t>过</w:t>
      </w:r>
      <w:r>
        <w:rPr>
          <w:rFonts w:hint="eastAsia" w:ascii="仿宋_GB2312" w:hAnsi="仿宋_GB2312" w:eastAsia="仿宋_GB2312" w:cs="仿宋_GB2312"/>
          <w:color w:val="auto"/>
          <w:spacing w:val="-103"/>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”等的条款，按照</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采购文件要求编制投标文件。任何对采购文件的忽略或误解不能作为投标文件</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存在缺陷或瑕疵的理由，其风险由供应商承担。</w:t>
      </w:r>
    </w:p>
    <w:p w14:paraId="322955E0">
      <w:pPr>
        <w:pStyle w:val="10"/>
        <w:spacing w:before="50" w:line="223" w:lineRule="auto"/>
        <w:ind w:left="602"/>
        <w:outlineLvl w:val="2"/>
        <w:rPr>
          <w:rFonts w:ascii="仿宋_GB2312" w:hAnsi="仿宋_GB2312" w:eastAsia="仿宋_GB2312" w:cs="仿宋_GB2312"/>
          <w:color w:val="auto"/>
          <w:sz w:val="28"/>
          <w:szCs w:val="28"/>
          <w:highlight w:val="none"/>
          <w:lang w:eastAsia="zh-CN"/>
        </w:rPr>
      </w:pPr>
      <w:bookmarkStart w:id="39" w:name="_Toc18107"/>
      <w:bookmarkStart w:id="40" w:name="_Toc7249"/>
      <w:r>
        <w:rPr>
          <w:rFonts w:hint="eastAsia" w:ascii="仿宋_GB2312" w:hAnsi="仿宋_GB2312" w:eastAsia="仿宋_GB2312" w:cs="仿宋_GB2312"/>
          <w:b/>
          <w:bCs/>
          <w:color w:val="auto"/>
          <w:spacing w:val="-5"/>
          <w:sz w:val="28"/>
          <w:szCs w:val="28"/>
          <w:highlight w:val="none"/>
          <w:lang w:eastAsia="zh-CN"/>
        </w:rPr>
        <w:t>13.</w:t>
      </w:r>
      <w:r>
        <w:rPr>
          <w:rFonts w:hint="eastAsia" w:ascii="仿宋_GB2312" w:hAnsi="仿宋_GB2312" w:eastAsia="仿宋_GB2312" w:cs="仿宋_GB2312"/>
          <w:color w:val="auto"/>
          <w:spacing w:val="-5"/>
          <w:sz w:val="28"/>
          <w:szCs w:val="28"/>
          <w:highlight w:val="none"/>
          <w:lang w:eastAsia="zh-CN"/>
        </w:rPr>
        <w:t xml:space="preserve"> </w:t>
      </w:r>
      <w:r>
        <w:rPr>
          <w:rFonts w:hint="eastAsia" w:ascii="仿宋_GB2312" w:hAnsi="仿宋_GB2312" w:eastAsia="仿宋_GB2312" w:cs="仿宋_GB2312"/>
          <w:b/>
          <w:bCs/>
          <w:color w:val="auto"/>
          <w:spacing w:val="-5"/>
          <w:sz w:val="28"/>
          <w:szCs w:val="28"/>
          <w:highlight w:val="none"/>
          <w:lang w:eastAsia="zh-CN"/>
        </w:rPr>
        <w:t>采购文件的获取</w:t>
      </w:r>
      <w:bookmarkEnd w:id="39"/>
      <w:bookmarkEnd w:id="40"/>
    </w:p>
    <w:p w14:paraId="76D04DE6">
      <w:pPr>
        <w:pStyle w:val="10"/>
        <w:spacing w:before="131" w:line="297" w:lineRule="auto"/>
        <w:ind w:left="29" w:right="46" w:firstLine="57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13.1</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采购文件的提供期限自开始发出之日起不得少于五个工作日，具体</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期限见招标公告。</w:t>
      </w:r>
    </w:p>
    <w:p w14:paraId="304958BE">
      <w:pPr>
        <w:pStyle w:val="10"/>
        <w:spacing w:before="43" w:line="295" w:lineRule="auto"/>
        <w:ind w:left="55" w:right="46" w:firstLine="54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13.2</w:t>
      </w:r>
      <w:r>
        <w:rPr>
          <w:rFonts w:hint="eastAsia" w:ascii="仿宋_GB2312" w:hAnsi="仿宋_GB2312" w:eastAsia="仿宋_GB2312" w:cs="仿宋_GB2312"/>
          <w:color w:val="auto"/>
          <w:spacing w:val="-45"/>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凡符合资格要求并有意参加投标的供应商，均可在本项目公告发布平</w:t>
      </w:r>
      <w:r>
        <w:rPr>
          <w:rFonts w:hint="eastAsia" w:ascii="仿宋_GB2312" w:hAnsi="仿宋_GB2312" w:eastAsia="仿宋_GB2312" w:cs="仿宋_GB2312"/>
          <w:color w:val="auto"/>
          <w:spacing w:val="-7"/>
          <w:sz w:val="28"/>
          <w:szCs w:val="28"/>
          <w:highlight w:val="none"/>
          <w:lang w:eastAsia="zh-CN"/>
        </w:rPr>
        <w:t>台免费获取采购文件。</w:t>
      </w:r>
    </w:p>
    <w:p w14:paraId="08DE4D90">
      <w:pPr>
        <w:pStyle w:val="10"/>
        <w:spacing w:before="50" w:line="223" w:lineRule="auto"/>
        <w:ind w:left="602"/>
        <w:outlineLvl w:val="2"/>
        <w:rPr>
          <w:rFonts w:ascii="仿宋_GB2312" w:hAnsi="仿宋_GB2312" w:eastAsia="仿宋_GB2312" w:cs="仿宋_GB2312"/>
          <w:color w:val="auto"/>
          <w:sz w:val="28"/>
          <w:szCs w:val="28"/>
          <w:highlight w:val="none"/>
          <w:lang w:eastAsia="zh-CN"/>
        </w:rPr>
      </w:pPr>
      <w:bookmarkStart w:id="41" w:name="_Toc11918"/>
      <w:bookmarkStart w:id="42" w:name="_Toc18155"/>
      <w:r>
        <w:rPr>
          <w:rFonts w:hint="eastAsia" w:ascii="仿宋_GB2312" w:hAnsi="仿宋_GB2312" w:eastAsia="仿宋_GB2312" w:cs="仿宋_GB2312"/>
          <w:b/>
          <w:bCs/>
          <w:color w:val="auto"/>
          <w:spacing w:val="-4"/>
          <w:sz w:val="28"/>
          <w:szCs w:val="28"/>
          <w:highlight w:val="none"/>
          <w:lang w:eastAsia="zh-CN"/>
        </w:rPr>
        <w:t>14.</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采购文件的澄清或修改</w:t>
      </w:r>
      <w:bookmarkEnd w:id="41"/>
      <w:bookmarkEnd w:id="42"/>
    </w:p>
    <w:p w14:paraId="53524D4D">
      <w:pPr>
        <w:pStyle w:val="10"/>
        <w:spacing w:before="137" w:line="305" w:lineRule="auto"/>
        <w:ind w:left="29" w:right="38" w:firstLine="57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14.1</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供应商若对采购文件有任何疑问，应当在获取采购文件或者招标文</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件公告期限届满之日起</w:t>
      </w:r>
      <w:r>
        <w:rPr>
          <w:rFonts w:hint="eastAsia" w:ascii="仿宋_GB2312" w:hAnsi="仿宋_GB2312" w:eastAsia="仿宋_GB2312" w:cs="仿宋_GB2312"/>
          <w:color w:val="auto"/>
          <w:spacing w:val="-52"/>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7</w:t>
      </w:r>
      <w:r>
        <w:rPr>
          <w:rFonts w:hint="eastAsia" w:ascii="仿宋_GB2312" w:hAnsi="仿宋_GB2312" w:eastAsia="仿宋_GB2312" w:cs="仿宋_GB2312"/>
          <w:color w:val="auto"/>
          <w:spacing w:val="-52"/>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个工作日内提出。本项目接受对采购文件质疑的截止</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时间见“前附表</w:t>
      </w:r>
      <w:r>
        <w:rPr>
          <w:rFonts w:hint="eastAsia" w:ascii="仿宋_GB2312" w:hAnsi="仿宋_GB2312" w:eastAsia="仿宋_GB2312" w:cs="仿宋_GB2312"/>
          <w:color w:val="auto"/>
          <w:spacing w:val="-88"/>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”，供应商须在截止时间前一次性提出对采购文件质</w:t>
      </w:r>
      <w:r>
        <w:rPr>
          <w:rFonts w:hint="eastAsia" w:ascii="仿宋_GB2312" w:hAnsi="仿宋_GB2312" w:eastAsia="仿宋_GB2312" w:cs="仿宋_GB2312"/>
          <w:color w:val="auto"/>
          <w:sz w:val="28"/>
          <w:szCs w:val="28"/>
          <w:highlight w:val="none"/>
          <w:lang w:eastAsia="zh-CN"/>
        </w:rPr>
        <w:t>疑内容。供应商提出质疑应当提交质疑函和必要的证明材料。质疑函应当包括</w:t>
      </w:r>
      <w:r>
        <w:rPr>
          <w:rFonts w:hint="eastAsia" w:ascii="仿宋_GB2312" w:hAnsi="仿宋_GB2312" w:eastAsia="仿宋_GB2312" w:cs="仿宋_GB2312"/>
          <w:color w:val="auto"/>
          <w:spacing w:val="-12"/>
          <w:sz w:val="28"/>
          <w:szCs w:val="28"/>
          <w:highlight w:val="none"/>
          <w:lang w:eastAsia="zh-CN"/>
        </w:rPr>
        <w:t>下列内容：</w:t>
      </w:r>
    </w:p>
    <w:p w14:paraId="176C6176">
      <w:pPr>
        <w:pStyle w:val="10"/>
        <w:spacing w:before="45" w:line="295" w:lineRule="auto"/>
        <w:ind w:left="600" w:right="89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14.1.1</w:t>
      </w:r>
      <w:r>
        <w:rPr>
          <w:rFonts w:hint="eastAsia" w:ascii="仿宋_GB2312" w:hAnsi="仿宋_GB2312" w:eastAsia="仿宋_GB2312" w:cs="仿宋_GB2312"/>
          <w:color w:val="auto"/>
          <w:spacing w:val="-50"/>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供应商的姓名或者名称、地址</w:t>
      </w:r>
      <w:r>
        <w:rPr>
          <w:rFonts w:hint="eastAsia" w:ascii="仿宋_GB2312" w:hAnsi="仿宋_GB2312" w:eastAsia="仿宋_GB2312" w:cs="仿宋_GB2312"/>
          <w:color w:val="auto"/>
          <w:spacing w:val="-4"/>
          <w:sz w:val="28"/>
          <w:szCs w:val="28"/>
          <w:highlight w:val="none"/>
          <w:lang w:eastAsia="zh-CN"/>
        </w:rPr>
        <w:t>、邮编、联系人及联系电话；</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14.1.2</w:t>
      </w:r>
      <w:r>
        <w:rPr>
          <w:rFonts w:hint="eastAsia" w:ascii="仿宋_GB2312" w:hAnsi="仿宋_GB2312" w:eastAsia="仿宋_GB2312" w:cs="仿宋_GB2312"/>
          <w:color w:val="auto"/>
          <w:spacing w:val="-42"/>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质疑项目的名称、编号；</w:t>
      </w:r>
    </w:p>
    <w:p w14:paraId="33E3A138">
      <w:pPr>
        <w:pStyle w:val="10"/>
        <w:spacing w:before="49" w:line="297" w:lineRule="auto"/>
        <w:ind w:left="600" w:right="2016"/>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14.1.3</w:t>
      </w:r>
      <w:r>
        <w:rPr>
          <w:rFonts w:hint="eastAsia" w:ascii="仿宋_GB2312" w:hAnsi="仿宋_GB2312" w:eastAsia="仿宋_GB2312" w:cs="仿宋_GB2312"/>
          <w:color w:val="auto"/>
          <w:spacing w:val="-48"/>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具体、明确的质疑事项和与质疑事项相关的请求；</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9"/>
          <w:sz w:val="28"/>
          <w:szCs w:val="28"/>
          <w:highlight w:val="none"/>
          <w:lang w:eastAsia="zh-CN"/>
        </w:rPr>
        <w:t>14.1.4</w:t>
      </w:r>
      <w:r>
        <w:rPr>
          <w:rFonts w:hint="eastAsia" w:ascii="仿宋_GB2312" w:hAnsi="仿宋_GB2312" w:eastAsia="仿宋_GB2312" w:cs="仿宋_GB2312"/>
          <w:color w:val="auto"/>
          <w:spacing w:val="-43"/>
          <w:sz w:val="28"/>
          <w:szCs w:val="28"/>
          <w:highlight w:val="none"/>
          <w:lang w:eastAsia="zh-CN"/>
        </w:rPr>
        <w:t xml:space="preserve"> </w:t>
      </w:r>
      <w:r>
        <w:rPr>
          <w:rFonts w:hint="eastAsia" w:ascii="仿宋_GB2312" w:hAnsi="仿宋_GB2312" w:eastAsia="仿宋_GB2312" w:cs="仿宋_GB2312"/>
          <w:color w:val="auto"/>
          <w:spacing w:val="-9"/>
          <w:sz w:val="28"/>
          <w:szCs w:val="28"/>
          <w:highlight w:val="none"/>
          <w:lang w:eastAsia="zh-CN"/>
        </w:rPr>
        <w:t>事实依据；</w:t>
      </w:r>
    </w:p>
    <w:p w14:paraId="3EACA168">
      <w:pPr>
        <w:pStyle w:val="10"/>
        <w:spacing w:before="43" w:line="297" w:lineRule="auto"/>
        <w:ind w:left="600" w:right="591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7"/>
          <w:sz w:val="28"/>
          <w:szCs w:val="28"/>
          <w:highlight w:val="none"/>
          <w:lang w:eastAsia="zh-CN"/>
        </w:rPr>
        <w:t>14.1.5</w:t>
      </w:r>
      <w:r>
        <w:rPr>
          <w:rFonts w:hint="eastAsia" w:ascii="仿宋_GB2312" w:hAnsi="仿宋_GB2312" w:eastAsia="仿宋_GB2312" w:cs="仿宋_GB2312"/>
          <w:color w:val="auto"/>
          <w:spacing w:val="-40"/>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必要的法律依据；</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14.1.6</w:t>
      </w:r>
      <w:r>
        <w:rPr>
          <w:rFonts w:hint="eastAsia" w:ascii="仿宋_GB2312" w:hAnsi="仿宋_GB2312" w:eastAsia="仿宋_GB2312" w:cs="仿宋_GB2312"/>
          <w:color w:val="auto"/>
          <w:spacing w:val="-40"/>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提出质疑的日期。</w:t>
      </w:r>
    </w:p>
    <w:p w14:paraId="7FB8F83B">
      <w:pPr>
        <w:pStyle w:val="10"/>
        <w:spacing w:before="43" w:line="301" w:lineRule="auto"/>
        <w:ind w:left="30" w:right="38" w:firstLine="559"/>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供应商为自然人的，应当由本人签字；供应商为法人或者其他组织的，应</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当由法定代表人、主要负责人，或者其授权代表签字或者盖章，并加盖投标单</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pacing w:val="-10"/>
          <w:sz w:val="28"/>
          <w:szCs w:val="28"/>
          <w:highlight w:val="none"/>
          <w:lang w:eastAsia="zh-CN"/>
        </w:rPr>
        <w:t>位公章。</w:t>
      </w:r>
    </w:p>
    <w:p w14:paraId="7617ED63">
      <w:pPr>
        <w:pStyle w:val="10"/>
        <w:spacing w:before="47" w:line="222" w:lineRule="auto"/>
        <w:ind w:right="46"/>
        <w:jc w:val="right"/>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14.2</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采购人可以对已发出的采购文件进行必要澄清或者修改，澄清或者</w:t>
      </w:r>
    </w:p>
    <w:p w14:paraId="0EFAD5D8">
      <w:pPr>
        <w:spacing w:line="222" w:lineRule="auto"/>
        <w:rPr>
          <w:rFonts w:ascii="仿宋_GB2312" w:hAnsi="仿宋_GB2312" w:eastAsia="仿宋_GB2312" w:cs="仿宋_GB2312"/>
          <w:color w:val="auto"/>
          <w:sz w:val="28"/>
          <w:szCs w:val="28"/>
          <w:highlight w:val="none"/>
          <w:lang w:eastAsia="zh-CN"/>
        </w:rPr>
        <w:sectPr>
          <w:headerReference r:id="rId10" w:type="default"/>
          <w:footerReference r:id="rId11" w:type="default"/>
          <w:pgSz w:w="11906" w:h="16838"/>
          <w:pgMar w:top="1161" w:right="1058" w:bottom="1517" w:left="1249" w:header="861" w:footer="1237" w:gutter="0"/>
          <w:pgNumType w:fmt="numberInDash"/>
          <w:cols w:space="720" w:num="1"/>
        </w:sectPr>
      </w:pPr>
    </w:p>
    <w:p w14:paraId="47EA8214">
      <w:pPr>
        <w:pStyle w:val="10"/>
        <w:spacing w:before="317" w:line="304" w:lineRule="auto"/>
        <w:ind w:left="18" w:right="38"/>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修改的内容可能影响投标文件编制的，采购人或者采购代理机构应当在投标截</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止时间至少15日前，以发布公告或书面形式通知所有获取采购文件的潜在投</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标人；不足15日的，采购人或者采购代理机构应当顺延提交投标文件的截止</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时间。</w:t>
      </w:r>
    </w:p>
    <w:p w14:paraId="0A8D2577">
      <w:pPr>
        <w:pStyle w:val="10"/>
        <w:spacing w:before="47" w:line="305" w:lineRule="auto"/>
        <w:ind w:left="21" w:right="38" w:firstLine="569"/>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14.3</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投标文件递交截止时间前，供应商须随时关注本项目招标公告发布</w:t>
      </w:r>
      <w:r>
        <w:rPr>
          <w:rFonts w:hint="eastAsia" w:ascii="仿宋_GB2312" w:hAnsi="仿宋_GB2312" w:eastAsia="仿宋_GB2312" w:cs="仿宋_GB2312"/>
          <w:color w:val="auto"/>
          <w:sz w:val="28"/>
          <w:szCs w:val="28"/>
          <w:highlight w:val="none"/>
          <w:lang w:eastAsia="zh-CN"/>
        </w:rPr>
        <w:t xml:space="preserve"> 网站上本项目的最新的变更公告、更正公告、澄清公告等相关信息，并对上述</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查看行为自行承担责任；供应商对索取书面修改或者澄清文件或者查阅电子修</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改或者澄清文件的行为自行承担责任，在投标截止时间后递交的投标文件视为</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无效投标文件。</w:t>
      </w:r>
    </w:p>
    <w:p w14:paraId="63E304CB">
      <w:pPr>
        <w:pStyle w:val="10"/>
        <w:spacing w:before="43" w:line="223" w:lineRule="auto"/>
        <w:ind w:left="593"/>
        <w:outlineLvl w:val="2"/>
        <w:rPr>
          <w:rFonts w:ascii="仿宋_GB2312" w:hAnsi="仿宋_GB2312" w:eastAsia="仿宋_GB2312" w:cs="仿宋_GB2312"/>
          <w:color w:val="auto"/>
          <w:sz w:val="28"/>
          <w:szCs w:val="28"/>
          <w:highlight w:val="none"/>
          <w:lang w:eastAsia="zh-CN"/>
        </w:rPr>
      </w:pPr>
      <w:bookmarkStart w:id="43" w:name="_Toc3376"/>
      <w:bookmarkStart w:id="44" w:name="_Toc6215"/>
      <w:r>
        <w:rPr>
          <w:rFonts w:hint="eastAsia" w:ascii="仿宋_GB2312" w:hAnsi="仿宋_GB2312" w:eastAsia="仿宋_GB2312" w:cs="仿宋_GB2312"/>
          <w:b/>
          <w:bCs/>
          <w:color w:val="auto"/>
          <w:spacing w:val="-9"/>
          <w:sz w:val="28"/>
          <w:szCs w:val="28"/>
          <w:highlight w:val="none"/>
          <w:lang w:eastAsia="zh-CN"/>
        </w:rPr>
        <w:t>15.</w:t>
      </w:r>
      <w:r>
        <w:rPr>
          <w:rFonts w:hint="eastAsia" w:ascii="仿宋_GB2312" w:hAnsi="仿宋_GB2312" w:eastAsia="仿宋_GB2312" w:cs="仿宋_GB2312"/>
          <w:color w:val="auto"/>
          <w:spacing w:val="19"/>
          <w:sz w:val="28"/>
          <w:szCs w:val="28"/>
          <w:highlight w:val="none"/>
          <w:lang w:eastAsia="zh-CN"/>
        </w:rPr>
        <w:t xml:space="preserve"> </w:t>
      </w:r>
      <w:r>
        <w:rPr>
          <w:rFonts w:hint="eastAsia" w:ascii="仿宋_GB2312" w:hAnsi="仿宋_GB2312" w:eastAsia="仿宋_GB2312" w:cs="仿宋_GB2312"/>
          <w:b/>
          <w:bCs/>
          <w:color w:val="auto"/>
          <w:spacing w:val="-9"/>
          <w:sz w:val="28"/>
          <w:szCs w:val="28"/>
          <w:highlight w:val="none"/>
          <w:lang w:eastAsia="zh-CN"/>
        </w:rPr>
        <w:t>投标报价</w:t>
      </w:r>
      <w:bookmarkEnd w:id="43"/>
      <w:bookmarkEnd w:id="44"/>
    </w:p>
    <w:p w14:paraId="173BD34A">
      <w:pPr>
        <w:pStyle w:val="10"/>
        <w:spacing w:before="134" w:line="223"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15.1 本招标项目使用的货币为</w:t>
      </w:r>
      <w:r>
        <w:rPr>
          <w:rFonts w:hint="eastAsia" w:ascii="仿宋_GB2312" w:hAnsi="仿宋_GB2312" w:eastAsia="仿宋_GB2312" w:cs="仿宋_GB2312"/>
          <w:color w:val="auto"/>
          <w:spacing w:val="-1"/>
          <w:sz w:val="28"/>
          <w:szCs w:val="28"/>
          <w:highlight w:val="none"/>
          <w:u w:val="single"/>
          <w:lang w:eastAsia="zh-CN"/>
        </w:rPr>
        <w:t xml:space="preserve"> 人民币</w:t>
      </w:r>
      <w:r>
        <w:rPr>
          <w:rFonts w:hint="eastAsia" w:ascii="仿宋_GB2312" w:hAnsi="仿宋_GB2312" w:eastAsia="仿宋_GB2312" w:cs="仿宋_GB2312"/>
          <w:color w:val="auto"/>
          <w:spacing w:val="-2"/>
          <w:sz w:val="28"/>
          <w:szCs w:val="28"/>
          <w:highlight w:val="none"/>
          <w:u w:val="single"/>
          <w:lang w:eastAsia="zh-CN"/>
        </w:rPr>
        <w:t xml:space="preserve"> </w:t>
      </w:r>
      <w:r>
        <w:rPr>
          <w:rFonts w:hint="eastAsia" w:ascii="仿宋_GB2312" w:hAnsi="仿宋_GB2312" w:eastAsia="仿宋_GB2312" w:cs="仿宋_GB2312"/>
          <w:color w:val="auto"/>
          <w:spacing w:val="-2"/>
          <w:sz w:val="28"/>
          <w:szCs w:val="28"/>
          <w:highlight w:val="none"/>
          <w:lang w:eastAsia="zh-CN"/>
        </w:rPr>
        <w:t>，实施时亦以</w:t>
      </w:r>
      <w:r>
        <w:rPr>
          <w:rFonts w:hint="eastAsia" w:ascii="仿宋_GB2312" w:hAnsi="仿宋_GB2312" w:eastAsia="仿宋_GB2312" w:cs="仿宋_GB2312"/>
          <w:color w:val="auto"/>
          <w:spacing w:val="-2"/>
          <w:sz w:val="28"/>
          <w:szCs w:val="28"/>
          <w:highlight w:val="none"/>
          <w:u w:val="single"/>
          <w:lang w:eastAsia="zh-CN"/>
        </w:rPr>
        <w:t xml:space="preserve"> 人民币</w:t>
      </w:r>
      <w:r>
        <w:rPr>
          <w:rFonts w:hint="eastAsia" w:ascii="仿宋_GB2312" w:hAnsi="仿宋_GB2312" w:eastAsia="仿宋_GB2312" w:cs="仿宋_GB2312"/>
          <w:color w:val="auto"/>
          <w:spacing w:val="17"/>
          <w:sz w:val="28"/>
          <w:szCs w:val="28"/>
          <w:highlight w:val="none"/>
          <w:u w:val="single"/>
          <w:lang w:eastAsia="zh-CN"/>
        </w:rPr>
        <w:t xml:space="preserve"> </w:t>
      </w:r>
      <w:r>
        <w:rPr>
          <w:rFonts w:hint="eastAsia" w:ascii="仿宋_GB2312" w:hAnsi="仿宋_GB2312" w:eastAsia="仿宋_GB2312" w:cs="仿宋_GB2312"/>
          <w:color w:val="auto"/>
          <w:spacing w:val="-2"/>
          <w:sz w:val="28"/>
          <w:szCs w:val="28"/>
          <w:highlight w:val="none"/>
          <w:lang w:eastAsia="zh-CN"/>
        </w:rPr>
        <w:t>支付。</w:t>
      </w:r>
    </w:p>
    <w:p w14:paraId="6D2574CE">
      <w:pPr>
        <w:pStyle w:val="10"/>
        <w:spacing w:before="133" w:line="301" w:lineRule="auto"/>
        <w:ind w:left="20" w:right="38" w:firstLine="57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15.2 投标报价为本采购文件所确定的招标范围内的全部工作内容的</w:t>
      </w:r>
      <w:r>
        <w:rPr>
          <w:rFonts w:hint="eastAsia" w:ascii="仿宋_GB2312" w:hAnsi="仿宋_GB2312" w:eastAsia="仿宋_GB2312" w:cs="仿宋_GB2312"/>
          <w:color w:val="auto"/>
          <w:spacing w:val="3"/>
          <w:sz w:val="28"/>
          <w:szCs w:val="28"/>
          <w:highlight w:val="none"/>
          <w:lang w:eastAsia="zh-CN"/>
        </w:rPr>
        <w:t>价格</w:t>
      </w:r>
      <w:r>
        <w:rPr>
          <w:rFonts w:hint="eastAsia" w:ascii="仿宋_GB2312" w:hAnsi="仿宋_GB2312" w:eastAsia="仿宋_GB2312" w:cs="仿宋_GB2312"/>
          <w:color w:val="auto"/>
          <w:sz w:val="28"/>
          <w:szCs w:val="28"/>
          <w:highlight w:val="none"/>
          <w:lang w:eastAsia="zh-CN"/>
        </w:rPr>
        <w:t xml:space="preserve"> 体现。任何有选择的报价将不予接受（除非采购人另有约定</w:t>
      </w:r>
      <w:r>
        <w:rPr>
          <w:rFonts w:hint="eastAsia" w:ascii="仿宋_GB2312" w:hAnsi="仿宋_GB2312" w:eastAsia="仿宋_GB2312" w:cs="仿宋_GB2312"/>
          <w:color w:val="auto"/>
          <w:spacing w:val="4"/>
          <w:sz w:val="28"/>
          <w:szCs w:val="28"/>
          <w:highlight w:val="none"/>
          <w:lang w:eastAsia="zh-CN"/>
        </w:rPr>
        <w:t>），</w:t>
      </w:r>
      <w:r>
        <w:rPr>
          <w:rFonts w:hint="eastAsia" w:ascii="仿宋_GB2312" w:hAnsi="仿宋_GB2312" w:eastAsia="仿宋_GB2312" w:cs="仿宋_GB2312"/>
          <w:color w:val="auto"/>
          <w:sz w:val="28"/>
          <w:szCs w:val="28"/>
          <w:highlight w:val="none"/>
          <w:lang w:eastAsia="zh-CN"/>
        </w:rPr>
        <w:t xml:space="preserve">否则，在评标 </w:t>
      </w:r>
      <w:r>
        <w:rPr>
          <w:rFonts w:hint="eastAsia" w:ascii="仿宋_GB2312" w:hAnsi="仿宋_GB2312" w:eastAsia="仿宋_GB2312" w:cs="仿宋_GB2312"/>
          <w:color w:val="auto"/>
          <w:spacing w:val="-2"/>
          <w:sz w:val="28"/>
          <w:szCs w:val="28"/>
          <w:highlight w:val="none"/>
          <w:lang w:eastAsia="zh-CN"/>
        </w:rPr>
        <w:t>时将视为投标无效。</w:t>
      </w:r>
    </w:p>
    <w:p w14:paraId="50FEE225">
      <w:pPr>
        <w:pStyle w:val="10"/>
        <w:spacing w:before="48" w:line="305" w:lineRule="auto"/>
        <w:ind w:left="20" w:right="38" w:firstLine="57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15.3</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所有投标报价均以人民币元为计算单位。只要投报了一个确定数额</w:t>
      </w:r>
      <w:r>
        <w:rPr>
          <w:rFonts w:hint="eastAsia" w:ascii="仿宋_GB2312" w:hAnsi="仿宋_GB2312" w:eastAsia="仿宋_GB2312" w:cs="仿宋_GB2312"/>
          <w:color w:val="auto"/>
          <w:sz w:val="28"/>
          <w:szCs w:val="28"/>
          <w:highlight w:val="none"/>
          <w:lang w:eastAsia="zh-CN"/>
        </w:rPr>
        <w:t xml:space="preserve"> 的总价，无论分项价格是否全部填报了相应的金额或免费字样，报价应被视为</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已经包含了但并不限于各项购买货物、服务等的费用和所需缴纳的所有税、费</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等。在其他情况下，由于分项报价填报不完整、不清楚或存在其他任何失误，</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所导致的任何不利后果均应当由供应商自行承担。</w:t>
      </w:r>
    </w:p>
    <w:p w14:paraId="5D368114">
      <w:pPr>
        <w:pStyle w:val="10"/>
        <w:spacing w:before="49" w:line="295" w:lineRule="auto"/>
        <w:ind w:left="25" w:right="46" w:firstLine="565"/>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15.4</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供应商应按本文件给定的格式填报《开标一览表》及《分项报价明</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细表》，《开标一览表》中价格填报处不应有空白，如无费用可填报“/</w:t>
      </w:r>
      <w:r>
        <w:rPr>
          <w:rFonts w:hint="eastAsia" w:ascii="仿宋_GB2312" w:hAnsi="仿宋_GB2312" w:eastAsia="仿宋_GB2312" w:cs="仿宋_GB2312"/>
          <w:color w:val="auto"/>
          <w:spacing w:val="-94"/>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w:t>
      </w:r>
    </w:p>
    <w:p w14:paraId="0F02BBBA">
      <w:pPr>
        <w:pStyle w:val="10"/>
        <w:spacing w:before="44" w:line="306" w:lineRule="auto"/>
        <w:ind w:left="18" w:right="38" w:firstLine="57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15.5</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供应商对投标报价若有说明应在《开标一览表》显著处注明，只有</w:t>
      </w:r>
      <w:r>
        <w:rPr>
          <w:rFonts w:hint="eastAsia" w:ascii="仿宋_GB2312" w:hAnsi="仿宋_GB2312" w:eastAsia="仿宋_GB2312" w:cs="仿宋_GB2312"/>
          <w:color w:val="auto"/>
          <w:sz w:val="28"/>
          <w:szCs w:val="28"/>
          <w:highlight w:val="none"/>
          <w:lang w:eastAsia="zh-CN"/>
        </w:rPr>
        <w:t xml:space="preserve"> 开标时唱出的报价和优惠才会在评标时予以考虑。报价优惠应对应《开标一览</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表》及《分项报价明细表》提供相应的明细清单。除报价优惠外，任何超出招</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标文件要求而额外赠送的货物、免费培训等其他形式的优惠，将不被允许并不</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9"/>
          <w:sz w:val="28"/>
          <w:szCs w:val="28"/>
          <w:highlight w:val="none"/>
          <w:lang w:eastAsia="zh-CN"/>
        </w:rPr>
        <w:t>予接受。</w:t>
      </w:r>
    </w:p>
    <w:p w14:paraId="76E891C7">
      <w:pPr>
        <w:pStyle w:val="10"/>
        <w:spacing w:before="44" w:line="301" w:lineRule="auto"/>
        <w:ind w:left="19" w:right="38" w:firstLine="57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15.6</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对于有配件、耗材、选件和特殊工具的货物，还应填报投标货物配</w:t>
      </w:r>
      <w:r>
        <w:rPr>
          <w:rFonts w:hint="eastAsia" w:ascii="仿宋_GB2312" w:hAnsi="仿宋_GB2312" w:eastAsia="仿宋_GB2312" w:cs="仿宋_GB2312"/>
          <w:color w:val="auto"/>
          <w:sz w:val="28"/>
          <w:szCs w:val="28"/>
          <w:highlight w:val="none"/>
          <w:lang w:eastAsia="zh-CN"/>
        </w:rPr>
        <w:t xml:space="preserve"> 件、耗材、选件表和备件及特殊工具清单，注明品牌、型号、产地、功能、单</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价等内容，如采购文件未提供相关格式的，应由供应商自行设计编</w:t>
      </w:r>
      <w:r>
        <w:rPr>
          <w:rFonts w:hint="eastAsia" w:ascii="仿宋_GB2312" w:hAnsi="仿宋_GB2312" w:eastAsia="仿宋_GB2312" w:cs="仿宋_GB2312"/>
          <w:color w:val="auto"/>
          <w:spacing w:val="-2"/>
          <w:sz w:val="28"/>
          <w:szCs w:val="28"/>
          <w:highlight w:val="none"/>
          <w:lang w:eastAsia="zh-CN"/>
        </w:rPr>
        <w:t>写。</w:t>
      </w:r>
    </w:p>
    <w:p w14:paraId="532D7CDF">
      <w:pPr>
        <w:spacing w:line="301" w:lineRule="auto"/>
        <w:rPr>
          <w:rFonts w:ascii="仿宋_GB2312" w:hAnsi="仿宋_GB2312" w:eastAsia="仿宋_GB2312" w:cs="仿宋_GB2312"/>
          <w:color w:val="auto"/>
          <w:sz w:val="28"/>
          <w:szCs w:val="28"/>
          <w:highlight w:val="none"/>
          <w:lang w:eastAsia="zh-CN"/>
        </w:rPr>
        <w:sectPr>
          <w:headerReference r:id="rId12" w:type="default"/>
          <w:footerReference r:id="rId13" w:type="default"/>
          <w:pgSz w:w="11906" w:h="16838"/>
          <w:pgMar w:top="1161" w:right="1058" w:bottom="1517" w:left="1258" w:header="861" w:footer="1236" w:gutter="0"/>
          <w:pgNumType w:fmt="numberInDash"/>
          <w:cols w:space="720" w:num="1"/>
        </w:sectPr>
      </w:pPr>
    </w:p>
    <w:p w14:paraId="131C6157">
      <w:pPr>
        <w:pStyle w:val="10"/>
        <w:spacing w:before="317" w:line="304" w:lineRule="auto"/>
        <w:ind w:left="18" w:right="38" w:firstLine="572"/>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15.7</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供应商的任何错漏、优惠、竞争性报价不得作为减轻责任、减少服</w:t>
      </w:r>
      <w:r>
        <w:rPr>
          <w:rFonts w:hint="eastAsia" w:ascii="仿宋_GB2312" w:hAnsi="仿宋_GB2312" w:eastAsia="仿宋_GB2312" w:cs="仿宋_GB2312"/>
          <w:color w:val="auto"/>
          <w:sz w:val="28"/>
          <w:szCs w:val="28"/>
          <w:highlight w:val="none"/>
          <w:lang w:eastAsia="zh-CN"/>
        </w:rPr>
        <w:t xml:space="preserve"> 务、增加收费、降低质量的理由。供应商必须自行考虑本项目在实施期间的一</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切可能产生的费用。在合同执行过程中，采购人将不再另行支付与本项目相关</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的任何费用。</w:t>
      </w:r>
    </w:p>
    <w:p w14:paraId="42CEF06A">
      <w:pPr>
        <w:pStyle w:val="10"/>
        <w:spacing w:before="44" w:line="297" w:lineRule="auto"/>
        <w:ind w:left="27" w:right="46" w:firstLine="56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15.8</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投标文件报价出现前后不一致的，除采购文件另有规定外，按照下</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列规定修正：</w:t>
      </w:r>
    </w:p>
    <w:p w14:paraId="17E9F9FD">
      <w:pPr>
        <w:pStyle w:val="10"/>
        <w:spacing w:before="43" w:line="267" w:lineRule="auto"/>
        <w:ind w:left="48" w:right="99" w:firstLine="53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（一）投标文件中《开标一览表》内容与投标文件中相应内容不一致的，</w:t>
      </w:r>
      <w:r>
        <w:rPr>
          <w:rFonts w:hint="eastAsia" w:ascii="仿宋_GB2312" w:hAnsi="仿宋_GB2312" w:eastAsia="仿宋_GB2312" w:cs="仿宋_GB2312"/>
          <w:color w:val="auto"/>
          <w:spacing w:val="12"/>
          <w:sz w:val="28"/>
          <w:szCs w:val="28"/>
          <w:highlight w:val="none"/>
          <w:lang w:eastAsia="zh-CN"/>
        </w:rPr>
        <w:t xml:space="preserve"> </w:t>
      </w:r>
      <w:r>
        <w:rPr>
          <w:rFonts w:hint="eastAsia" w:ascii="仿宋_GB2312" w:hAnsi="仿宋_GB2312" w:eastAsia="仿宋_GB2312" w:cs="仿宋_GB2312"/>
          <w:color w:val="auto"/>
          <w:spacing w:val="-10"/>
          <w:sz w:val="28"/>
          <w:szCs w:val="28"/>
          <w:highlight w:val="none"/>
          <w:lang w:eastAsia="zh-CN"/>
        </w:rPr>
        <w:t>以《开标一览表》为准；</w:t>
      </w:r>
    </w:p>
    <w:p w14:paraId="06280C78">
      <w:pPr>
        <w:pStyle w:val="10"/>
        <w:spacing w:before="134" w:line="223" w:lineRule="auto"/>
        <w:ind w:left="579"/>
        <w:outlineLvl w:val="1"/>
        <w:rPr>
          <w:rFonts w:ascii="仿宋_GB2312" w:hAnsi="仿宋_GB2312" w:eastAsia="仿宋_GB2312" w:cs="仿宋_GB2312"/>
          <w:color w:val="auto"/>
          <w:sz w:val="28"/>
          <w:szCs w:val="28"/>
          <w:highlight w:val="none"/>
          <w:lang w:eastAsia="zh-CN"/>
        </w:rPr>
      </w:pPr>
      <w:bookmarkStart w:id="45" w:name="_Toc26172"/>
      <w:bookmarkStart w:id="46" w:name="_Toc32530"/>
      <w:r>
        <w:rPr>
          <w:rFonts w:hint="eastAsia" w:ascii="仿宋_GB2312" w:hAnsi="仿宋_GB2312" w:eastAsia="仿宋_GB2312" w:cs="仿宋_GB2312"/>
          <w:color w:val="auto"/>
          <w:spacing w:val="-2"/>
          <w:sz w:val="28"/>
          <w:szCs w:val="28"/>
          <w:highlight w:val="none"/>
          <w:lang w:eastAsia="zh-CN"/>
        </w:rPr>
        <w:t>（二）大写金额和小写金额不一致的，以大写金额为准；</w:t>
      </w:r>
      <w:bookmarkEnd w:id="45"/>
      <w:bookmarkEnd w:id="46"/>
    </w:p>
    <w:p w14:paraId="49731BDA">
      <w:pPr>
        <w:pStyle w:val="10"/>
        <w:spacing w:before="133" w:line="266" w:lineRule="auto"/>
        <w:ind w:left="20" w:right="41" w:firstLine="558"/>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（三）单价金额小数点或者百分比有明显错位的，以《开标一览表》的总</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价为准，并修改单价；</w:t>
      </w:r>
    </w:p>
    <w:p w14:paraId="6000663E">
      <w:pPr>
        <w:pStyle w:val="10"/>
        <w:spacing w:before="137" w:line="266" w:lineRule="auto"/>
        <w:ind w:left="611" w:right="99" w:hanging="32"/>
        <w:rPr>
          <w:rFonts w:ascii="仿宋_GB2312" w:hAnsi="仿宋_GB2312" w:eastAsia="仿宋_GB2312" w:cs="仿宋_GB2312"/>
          <w:color w:val="auto"/>
          <w:spacing w:val="12"/>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（四）总价金额与按单价汇总金额不一致的，以单价金额计算结果为准。</w:t>
      </w:r>
      <w:r>
        <w:rPr>
          <w:rFonts w:hint="eastAsia" w:ascii="仿宋_GB2312" w:hAnsi="仿宋_GB2312" w:eastAsia="仿宋_GB2312" w:cs="仿宋_GB2312"/>
          <w:color w:val="auto"/>
          <w:spacing w:val="12"/>
          <w:sz w:val="28"/>
          <w:szCs w:val="28"/>
          <w:highlight w:val="none"/>
          <w:lang w:eastAsia="zh-CN"/>
        </w:rPr>
        <w:t xml:space="preserve"> </w:t>
      </w:r>
    </w:p>
    <w:p w14:paraId="0A5F2F85">
      <w:pPr>
        <w:pStyle w:val="10"/>
        <w:spacing w:before="137" w:line="266" w:lineRule="auto"/>
        <w:ind w:right="99"/>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同时出现两种以上不一致的，按照前款规定的顺序修正。</w:t>
      </w:r>
    </w:p>
    <w:p w14:paraId="00AEB060">
      <w:pPr>
        <w:pStyle w:val="10"/>
        <w:spacing w:before="136" w:line="304" w:lineRule="auto"/>
        <w:ind w:left="18" w:right="38" w:firstLine="559"/>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修正后的报价遵照如下规定处理：供应商的澄清、说明或者补正应当采用</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书面形式，并加盖公章，或者由法定代表人或其授权的代表签字。供应商的澄</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清、说明或者补正不得超出投标文件的范围或者改变投标文件的实质性内容。</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修正后的报价经供应商确认后产生约束力，供</w:t>
      </w:r>
      <w:r>
        <w:rPr>
          <w:rFonts w:hint="eastAsia" w:ascii="仿宋_GB2312" w:hAnsi="仿宋_GB2312" w:eastAsia="仿宋_GB2312" w:cs="仿宋_GB2312"/>
          <w:color w:val="auto"/>
          <w:spacing w:val="-1"/>
          <w:sz w:val="28"/>
          <w:szCs w:val="28"/>
          <w:highlight w:val="none"/>
          <w:lang w:eastAsia="zh-CN"/>
        </w:rPr>
        <w:t>应商不确认的，其投标无效。</w:t>
      </w:r>
    </w:p>
    <w:p w14:paraId="48B1090C">
      <w:pPr>
        <w:pStyle w:val="10"/>
        <w:spacing w:before="45" w:line="222" w:lineRule="auto"/>
        <w:ind w:left="593"/>
        <w:outlineLvl w:val="2"/>
        <w:rPr>
          <w:rFonts w:ascii="仿宋_GB2312" w:hAnsi="仿宋_GB2312" w:eastAsia="仿宋_GB2312" w:cs="仿宋_GB2312"/>
          <w:color w:val="auto"/>
          <w:sz w:val="28"/>
          <w:szCs w:val="28"/>
          <w:highlight w:val="none"/>
          <w:lang w:eastAsia="zh-CN"/>
        </w:rPr>
      </w:pPr>
      <w:bookmarkStart w:id="47" w:name="_Toc21935"/>
      <w:bookmarkStart w:id="48" w:name="_Toc20421"/>
      <w:r>
        <w:rPr>
          <w:rFonts w:hint="eastAsia" w:ascii="仿宋_GB2312" w:hAnsi="仿宋_GB2312" w:eastAsia="仿宋_GB2312" w:cs="仿宋_GB2312"/>
          <w:b/>
          <w:bCs/>
          <w:color w:val="auto"/>
          <w:spacing w:val="-6"/>
          <w:sz w:val="28"/>
          <w:szCs w:val="28"/>
          <w:highlight w:val="none"/>
          <w:lang w:eastAsia="zh-CN"/>
        </w:rPr>
        <w:t>16.投标保证金</w:t>
      </w:r>
      <w:bookmarkEnd w:id="47"/>
      <w:bookmarkEnd w:id="48"/>
    </w:p>
    <w:p w14:paraId="4AB4F7B6">
      <w:pPr>
        <w:pStyle w:val="10"/>
        <w:spacing w:before="133" w:line="307" w:lineRule="auto"/>
        <w:ind w:left="19" w:right="38" w:firstLine="57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16.1</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投标保证金是为了保护采购人和招标机构免遭因供应商的违规、违</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约行为而引起的风险，采购人/代理机构在受到损害时可根据本须知的有关规</w:t>
      </w:r>
      <w:r>
        <w:rPr>
          <w:rFonts w:hint="eastAsia" w:ascii="仿宋_GB2312" w:hAnsi="仿宋_GB2312" w:eastAsia="仿宋_GB2312" w:cs="仿宋_GB2312"/>
          <w:color w:val="auto"/>
          <w:spacing w:val="7"/>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定没收供应商的投标保证金。中标人如未能按采购文件要求与采购人签署项目</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合同并提交履约保证金，视为供应商违约，则采购人有权没收中标人投标保证</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金。</w:t>
      </w:r>
    </w:p>
    <w:p w14:paraId="1B8FEB11">
      <w:pPr>
        <w:pStyle w:val="10"/>
        <w:spacing w:before="37" w:line="303" w:lineRule="auto"/>
        <w:ind w:left="19" w:right="42" w:firstLine="57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16.2 供应商应提交投标保证金，并作为其投标的一部分。采购文件</w:t>
      </w:r>
      <w:r>
        <w:rPr>
          <w:rFonts w:hint="eastAsia" w:ascii="仿宋_GB2312" w:hAnsi="仿宋_GB2312" w:eastAsia="仿宋_GB2312" w:cs="仿宋_GB2312"/>
          <w:color w:val="auto"/>
          <w:spacing w:val="3"/>
          <w:sz w:val="28"/>
          <w:szCs w:val="28"/>
          <w:highlight w:val="none"/>
          <w:lang w:eastAsia="zh-CN"/>
        </w:rPr>
        <w:t>《前</w:t>
      </w:r>
      <w:r>
        <w:rPr>
          <w:rFonts w:hint="eastAsia" w:ascii="仿宋_GB2312" w:hAnsi="仿宋_GB2312" w:eastAsia="仿宋_GB2312" w:cs="仿宋_GB2312"/>
          <w:color w:val="auto"/>
          <w:sz w:val="28"/>
          <w:szCs w:val="28"/>
          <w:highlight w:val="none"/>
          <w:lang w:eastAsia="zh-CN"/>
        </w:rPr>
        <w:t xml:space="preserve"> 附表》规定交纳投标保证金的，供应商应按采购文件《前附表》规定的要求提 交保证金，投标保证金有效期应与采购文件规定的</w:t>
      </w:r>
      <w:r>
        <w:rPr>
          <w:rFonts w:hint="eastAsia" w:ascii="仿宋_GB2312" w:hAnsi="仿宋_GB2312" w:eastAsia="仿宋_GB2312" w:cs="仿宋_GB2312"/>
          <w:color w:val="auto"/>
          <w:spacing w:val="-1"/>
          <w:sz w:val="28"/>
          <w:szCs w:val="28"/>
          <w:highlight w:val="none"/>
          <w:lang w:eastAsia="zh-CN"/>
        </w:rPr>
        <w:t>投标有效期一致。</w:t>
      </w:r>
      <w:r>
        <w:rPr>
          <w:rFonts w:hint="eastAsia" w:ascii="仿宋_GB2312" w:hAnsi="仿宋_GB2312" w:eastAsia="仿宋_GB2312" w:cs="仿宋_GB2312"/>
          <w:b/>
          <w:bCs/>
          <w:color w:val="auto"/>
          <w:spacing w:val="-1"/>
          <w:sz w:val="28"/>
          <w:szCs w:val="28"/>
          <w:highlight w:val="none"/>
          <w:lang w:eastAsia="zh-CN"/>
        </w:rPr>
        <w:t>供应商未</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按照采购文件《前附表》要求提交投标保证金的，投标无效。</w:t>
      </w:r>
    </w:p>
    <w:p w14:paraId="7B39BEDE">
      <w:pPr>
        <w:pStyle w:val="10"/>
        <w:spacing w:before="48" w:line="296" w:lineRule="auto"/>
        <w:ind w:left="18" w:right="46" w:firstLine="57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16.3</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采购文件接受联合体投标的，可以由联合体中的一方或者共同提交</w:t>
      </w:r>
      <w:r>
        <w:rPr>
          <w:rFonts w:hint="eastAsia" w:ascii="仿宋_GB2312" w:hAnsi="仿宋_GB2312" w:eastAsia="仿宋_GB2312" w:cs="仿宋_GB2312"/>
          <w:color w:val="auto"/>
          <w:sz w:val="28"/>
          <w:szCs w:val="28"/>
          <w:highlight w:val="none"/>
          <w:lang w:eastAsia="zh-CN"/>
        </w:rPr>
        <w:t xml:space="preserve"> 投标保证金。以一方名义提交投标保证金的，</w:t>
      </w:r>
      <w:r>
        <w:rPr>
          <w:rFonts w:hint="eastAsia" w:ascii="仿宋_GB2312" w:hAnsi="仿宋_GB2312" w:eastAsia="仿宋_GB2312" w:cs="仿宋_GB2312"/>
          <w:color w:val="auto"/>
          <w:spacing w:val="-1"/>
          <w:sz w:val="28"/>
          <w:szCs w:val="28"/>
          <w:highlight w:val="none"/>
          <w:lang w:eastAsia="zh-CN"/>
        </w:rPr>
        <w:t>对联合体各方均具有约束力。</w:t>
      </w:r>
    </w:p>
    <w:p w14:paraId="715C46BA">
      <w:pPr>
        <w:spacing w:line="296" w:lineRule="auto"/>
        <w:rPr>
          <w:rFonts w:ascii="仿宋_GB2312" w:hAnsi="仿宋_GB2312" w:eastAsia="仿宋_GB2312" w:cs="仿宋_GB2312"/>
          <w:color w:val="auto"/>
          <w:sz w:val="28"/>
          <w:szCs w:val="28"/>
          <w:highlight w:val="none"/>
          <w:lang w:eastAsia="zh-CN"/>
        </w:rPr>
        <w:sectPr>
          <w:footerReference r:id="rId14" w:type="default"/>
          <w:pgSz w:w="11906" w:h="16838"/>
          <w:pgMar w:top="1106" w:right="1058" w:bottom="1517" w:left="1258" w:header="861" w:footer="1237" w:gutter="0"/>
          <w:pgNumType w:fmt="numberInDash"/>
          <w:cols w:space="720" w:num="1"/>
        </w:sectPr>
      </w:pPr>
    </w:p>
    <w:p w14:paraId="7C1245FA">
      <w:pPr>
        <w:pStyle w:val="10"/>
        <w:spacing w:before="318" w:line="296" w:lineRule="auto"/>
        <w:ind w:left="48" w:right="83" w:firstLine="54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16.4 未中标人的投标保证金，将在中</w:t>
      </w:r>
      <w:r>
        <w:rPr>
          <w:rFonts w:hint="eastAsia" w:ascii="仿宋_GB2312" w:hAnsi="仿宋_GB2312" w:eastAsia="仿宋_GB2312" w:cs="仿宋_GB2312"/>
          <w:color w:val="auto"/>
          <w:spacing w:val="1"/>
          <w:sz w:val="28"/>
          <w:szCs w:val="28"/>
          <w:highlight w:val="none"/>
          <w:lang w:eastAsia="zh-CN"/>
        </w:rPr>
        <w:t>标通知书发出</w:t>
      </w:r>
      <w:r>
        <w:rPr>
          <w:rFonts w:hint="eastAsia" w:ascii="仿宋_GB2312" w:hAnsi="仿宋_GB2312" w:eastAsia="仿宋_GB2312" w:cs="仿宋_GB2312"/>
          <w:color w:val="auto"/>
          <w:spacing w:val="-56"/>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5</w:t>
      </w:r>
      <w:r>
        <w:rPr>
          <w:rFonts w:hint="eastAsia" w:ascii="仿宋_GB2312" w:hAnsi="仿宋_GB2312" w:eastAsia="仿宋_GB2312" w:cs="仿宋_GB2312"/>
          <w:color w:val="auto"/>
          <w:spacing w:val="-45"/>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个工作日内退还。</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因违反规定被没收的投标保证金不予退回。</w:t>
      </w:r>
    </w:p>
    <w:p w14:paraId="64138420">
      <w:pPr>
        <w:pStyle w:val="10"/>
        <w:spacing w:before="47" w:line="221"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16.5</w:t>
      </w:r>
      <w:r>
        <w:rPr>
          <w:rFonts w:hint="eastAsia" w:ascii="仿宋_GB2312" w:hAnsi="仿宋_GB2312" w:eastAsia="仿宋_GB2312" w:cs="仿宋_GB2312"/>
          <w:color w:val="auto"/>
          <w:spacing w:val="7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中标人的投标保证金自采购合同签订之日起</w:t>
      </w:r>
      <w:r>
        <w:rPr>
          <w:rFonts w:hint="eastAsia" w:ascii="仿宋_GB2312" w:hAnsi="仿宋_GB2312" w:eastAsia="仿宋_GB2312" w:cs="仿宋_GB2312"/>
          <w:color w:val="auto"/>
          <w:spacing w:val="-60"/>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5</w:t>
      </w:r>
      <w:r>
        <w:rPr>
          <w:rFonts w:hint="eastAsia" w:ascii="仿宋_GB2312" w:hAnsi="仿宋_GB2312" w:eastAsia="仿宋_GB2312" w:cs="仿宋_GB2312"/>
          <w:color w:val="auto"/>
          <w:spacing w:val="-50"/>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个工作日内退还。</w:t>
      </w:r>
    </w:p>
    <w:p w14:paraId="5BC0A6A6">
      <w:pPr>
        <w:pStyle w:val="10"/>
        <w:spacing w:before="136" w:line="295" w:lineRule="auto"/>
        <w:ind w:left="590" w:right="2765"/>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 xml:space="preserve">16.6 </w:t>
      </w:r>
      <w:r>
        <w:rPr>
          <w:rFonts w:hint="eastAsia" w:ascii="仿宋_GB2312" w:hAnsi="仿宋_GB2312" w:eastAsia="仿宋_GB2312" w:cs="仿宋_GB2312"/>
          <w:b/>
          <w:bCs/>
          <w:color w:val="auto"/>
          <w:spacing w:val="-5"/>
          <w:sz w:val="28"/>
          <w:szCs w:val="28"/>
          <w:highlight w:val="none"/>
          <w:lang w:eastAsia="zh-CN"/>
        </w:rPr>
        <w:t>下列任何情况发生时，投标保证金将</w:t>
      </w:r>
      <w:r>
        <w:rPr>
          <w:rFonts w:hint="eastAsia" w:ascii="仿宋_GB2312" w:hAnsi="仿宋_GB2312" w:eastAsia="仿宋_GB2312" w:cs="仿宋_GB2312"/>
          <w:b/>
          <w:bCs/>
          <w:color w:val="auto"/>
          <w:spacing w:val="-6"/>
          <w:sz w:val="28"/>
          <w:szCs w:val="28"/>
          <w:highlight w:val="none"/>
          <w:lang w:eastAsia="zh-CN"/>
        </w:rPr>
        <w:t>被没收：</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16.6.1 供应商在规定的投标有效期内撤回其投标；</w:t>
      </w:r>
    </w:p>
    <w:p w14:paraId="08C62525">
      <w:pPr>
        <w:pStyle w:val="10"/>
        <w:spacing w:before="48" w:line="295" w:lineRule="auto"/>
        <w:ind w:left="37" w:right="42" w:firstLine="55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16.6.2</w:t>
      </w:r>
      <w:r>
        <w:rPr>
          <w:rFonts w:hint="eastAsia" w:ascii="仿宋_GB2312" w:hAnsi="仿宋_GB2312" w:eastAsia="仿宋_GB2312" w:cs="仿宋_GB2312"/>
          <w:color w:val="auto"/>
          <w:spacing w:val="65"/>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中标人无正当理由拒绝按规定与采购人签订合同或未能在规定期</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限内签署合同的或未按采购文件要求提交履约保证金</w:t>
      </w:r>
      <w:r>
        <w:rPr>
          <w:rFonts w:hint="eastAsia" w:ascii="仿宋_GB2312" w:hAnsi="仿宋_GB2312" w:eastAsia="仿宋_GB2312" w:cs="仿宋_GB2312"/>
          <w:color w:val="auto"/>
          <w:spacing w:val="-3"/>
          <w:sz w:val="28"/>
          <w:szCs w:val="28"/>
          <w:highlight w:val="none"/>
          <w:lang w:eastAsia="zh-CN"/>
        </w:rPr>
        <w:t>的。</w:t>
      </w:r>
    </w:p>
    <w:p w14:paraId="348BB311">
      <w:pPr>
        <w:pStyle w:val="10"/>
        <w:spacing w:before="49" w:line="221"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7"/>
          <w:sz w:val="28"/>
          <w:szCs w:val="28"/>
          <w:highlight w:val="none"/>
          <w:lang w:eastAsia="zh-CN"/>
        </w:rPr>
        <w:t xml:space="preserve">16.7 </w:t>
      </w:r>
      <w:r>
        <w:rPr>
          <w:rFonts w:hint="eastAsia" w:ascii="仿宋_GB2312" w:hAnsi="仿宋_GB2312" w:eastAsia="仿宋_GB2312" w:cs="仿宋_GB2312"/>
          <w:b/>
          <w:bCs/>
          <w:color w:val="auto"/>
          <w:spacing w:val="-7"/>
          <w:sz w:val="28"/>
          <w:szCs w:val="28"/>
          <w:highlight w:val="none"/>
          <w:lang w:eastAsia="zh-CN"/>
        </w:rPr>
        <w:t>供应商须提供以下资料：</w:t>
      </w:r>
    </w:p>
    <w:p w14:paraId="6E61569C">
      <w:pPr>
        <w:pStyle w:val="10"/>
        <w:spacing w:before="137" w:line="294" w:lineRule="auto"/>
        <w:ind w:left="19" w:right="236" w:firstLine="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5"/>
          <w:sz w:val="28"/>
          <w:szCs w:val="28"/>
          <w:highlight w:val="none"/>
          <w:lang w:eastAsia="zh-CN"/>
        </w:rPr>
        <w:t>16.7.1</w:t>
      </w:r>
      <w:r>
        <w:rPr>
          <w:rFonts w:hint="eastAsia" w:ascii="仿宋_GB2312" w:hAnsi="仿宋_GB2312" w:eastAsia="仿宋_GB2312" w:cs="仿宋_GB2312"/>
          <w:color w:val="auto"/>
          <w:spacing w:val="-5"/>
          <w:sz w:val="28"/>
          <w:szCs w:val="28"/>
          <w:highlight w:val="none"/>
          <w:lang w:eastAsia="zh-CN"/>
        </w:rPr>
        <w:t xml:space="preserve"> </w:t>
      </w:r>
      <w:r>
        <w:rPr>
          <w:rFonts w:hint="eastAsia" w:ascii="仿宋_GB2312" w:hAnsi="仿宋_GB2312" w:eastAsia="仿宋_GB2312" w:cs="仿宋_GB2312"/>
          <w:b/>
          <w:bCs/>
          <w:color w:val="auto"/>
          <w:spacing w:val="-5"/>
          <w:sz w:val="28"/>
          <w:szCs w:val="28"/>
          <w:highlight w:val="none"/>
          <w:lang w:eastAsia="zh-CN"/>
        </w:rPr>
        <w:t>中标人须提供与采购人签订的已加盖中标方公章的合同全本复印</w:t>
      </w:r>
      <w:r>
        <w:rPr>
          <w:rFonts w:hint="eastAsia" w:ascii="仿宋_GB2312" w:hAnsi="仿宋_GB2312" w:eastAsia="仿宋_GB2312" w:cs="仿宋_GB2312"/>
          <w:color w:val="auto"/>
          <w:spacing w:val="12"/>
          <w:sz w:val="28"/>
          <w:szCs w:val="28"/>
          <w:highlight w:val="none"/>
          <w:lang w:eastAsia="zh-CN"/>
        </w:rPr>
        <w:t xml:space="preserve"> </w:t>
      </w:r>
      <w:r>
        <w:rPr>
          <w:rFonts w:hint="eastAsia" w:ascii="仿宋_GB2312" w:hAnsi="仿宋_GB2312" w:eastAsia="仿宋_GB2312" w:cs="仿宋_GB2312"/>
          <w:b/>
          <w:bCs/>
          <w:color w:val="auto"/>
          <w:spacing w:val="-5"/>
          <w:sz w:val="28"/>
          <w:szCs w:val="28"/>
          <w:highlight w:val="none"/>
          <w:lang w:eastAsia="zh-CN"/>
        </w:rPr>
        <w:t>件或扫描件</w:t>
      </w:r>
      <w:r>
        <w:rPr>
          <w:rFonts w:hint="eastAsia" w:ascii="仿宋_GB2312" w:hAnsi="仿宋_GB2312" w:eastAsia="仿宋_GB2312" w:cs="仿宋_GB2312"/>
          <w:b/>
          <w:bCs/>
          <w:color w:val="auto"/>
          <w:spacing w:val="-5"/>
          <w:sz w:val="28"/>
          <w:szCs w:val="28"/>
          <w:highlight w:val="none"/>
          <w:lang w:val="en-US" w:eastAsia="zh-CN"/>
        </w:rPr>
        <w:t>一</w:t>
      </w:r>
      <w:r>
        <w:rPr>
          <w:rFonts w:hint="eastAsia" w:ascii="仿宋_GB2312" w:hAnsi="仿宋_GB2312" w:eastAsia="仿宋_GB2312" w:cs="仿宋_GB2312"/>
          <w:b/>
          <w:bCs/>
          <w:color w:val="auto"/>
          <w:spacing w:val="-5"/>
          <w:sz w:val="28"/>
          <w:szCs w:val="28"/>
          <w:highlight w:val="none"/>
          <w:lang w:eastAsia="zh-CN"/>
        </w:rPr>
        <w:t>份（代理机构存档备查）。</w:t>
      </w:r>
    </w:p>
    <w:p w14:paraId="27448ACC">
      <w:pPr>
        <w:pStyle w:val="10"/>
        <w:spacing w:before="44" w:line="223" w:lineRule="auto"/>
        <w:ind w:left="593"/>
        <w:outlineLvl w:val="2"/>
        <w:rPr>
          <w:rFonts w:ascii="仿宋_GB2312" w:hAnsi="仿宋_GB2312" w:eastAsia="仿宋_GB2312" w:cs="仿宋_GB2312"/>
          <w:color w:val="auto"/>
          <w:sz w:val="28"/>
          <w:szCs w:val="28"/>
          <w:highlight w:val="none"/>
          <w:lang w:eastAsia="zh-CN"/>
        </w:rPr>
      </w:pPr>
      <w:bookmarkStart w:id="49" w:name="_Toc19276"/>
      <w:bookmarkStart w:id="50" w:name="_Toc19794"/>
      <w:r>
        <w:rPr>
          <w:rFonts w:hint="eastAsia" w:ascii="仿宋_GB2312" w:hAnsi="仿宋_GB2312" w:eastAsia="仿宋_GB2312" w:cs="仿宋_GB2312"/>
          <w:b/>
          <w:bCs/>
          <w:color w:val="auto"/>
          <w:spacing w:val="-4"/>
          <w:sz w:val="28"/>
          <w:szCs w:val="28"/>
          <w:highlight w:val="none"/>
          <w:lang w:eastAsia="zh-CN"/>
        </w:rPr>
        <w:t>17.</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招标答疑会和现场踏勘</w:t>
      </w:r>
      <w:bookmarkEnd w:id="49"/>
      <w:bookmarkEnd w:id="50"/>
    </w:p>
    <w:p w14:paraId="0B8D6BC9">
      <w:pPr>
        <w:pStyle w:val="10"/>
        <w:spacing w:before="134" w:line="223"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17.1</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本项目不组织招标答疑会。</w:t>
      </w:r>
    </w:p>
    <w:p w14:paraId="4B6CAFEC">
      <w:pPr>
        <w:pStyle w:val="10"/>
        <w:spacing w:before="52" w:line="305" w:lineRule="auto"/>
        <w:ind w:left="21" w:right="38" w:firstLine="569"/>
        <w:rPr>
          <w:rFonts w:ascii="仿宋_GB2312" w:hAnsi="仿宋_GB2312" w:eastAsia="仿宋_GB2312" w:cs="仿宋_GB2312"/>
          <w:color w:val="auto"/>
          <w:spacing w:val="4"/>
          <w:sz w:val="28"/>
          <w:szCs w:val="28"/>
          <w:highlight w:val="none"/>
          <w:lang w:eastAsia="zh-CN"/>
        </w:rPr>
      </w:pPr>
      <w:bookmarkStart w:id="51" w:name="_Toc7596"/>
      <w:bookmarkStart w:id="52" w:name="_Toc28354"/>
      <w:r>
        <w:rPr>
          <w:rFonts w:hint="eastAsia" w:ascii="仿宋_GB2312" w:hAnsi="仿宋_GB2312" w:eastAsia="仿宋_GB2312" w:cs="仿宋_GB2312"/>
          <w:color w:val="auto"/>
          <w:spacing w:val="4"/>
          <w:sz w:val="28"/>
          <w:szCs w:val="28"/>
          <w:highlight w:val="none"/>
          <w:lang w:eastAsia="zh-CN"/>
        </w:rPr>
        <w:t>17.2 采购人不组织供应商进行现场踏勘，供应商应自行在投标截止时间前对项目服务现场和周围环境进行勘察并承担全部风险，以获取供应商自己负责的有关编制投标文件和签署合同所需的所有资料，且不得以勘察不充分为由提出任何索赔。勘察现场所发生的费用及风险由供应商自己承担。</w:t>
      </w:r>
    </w:p>
    <w:p w14:paraId="23A5C987">
      <w:pPr>
        <w:pStyle w:val="10"/>
        <w:spacing w:before="43" w:line="223" w:lineRule="auto"/>
        <w:ind w:left="593"/>
        <w:outlineLvl w:val="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8"/>
          <w:sz w:val="28"/>
          <w:szCs w:val="28"/>
          <w:highlight w:val="none"/>
          <w:lang w:eastAsia="zh-CN"/>
        </w:rPr>
        <w:t>18.</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b/>
          <w:bCs/>
          <w:color w:val="auto"/>
          <w:spacing w:val="-8"/>
          <w:sz w:val="28"/>
          <w:szCs w:val="28"/>
          <w:highlight w:val="none"/>
          <w:lang w:eastAsia="zh-CN"/>
        </w:rPr>
        <w:t>投标有效期</w:t>
      </w:r>
      <w:bookmarkEnd w:id="51"/>
      <w:bookmarkEnd w:id="52"/>
    </w:p>
    <w:p w14:paraId="2A30FCE3">
      <w:pPr>
        <w:pStyle w:val="10"/>
        <w:spacing w:before="134" w:line="295" w:lineRule="auto"/>
        <w:ind w:left="18" w:right="42" w:firstLine="57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18.1 投标有效期见本须知前附表所规定的期限，在此期限内，凡符</w:t>
      </w:r>
      <w:r>
        <w:rPr>
          <w:rFonts w:hint="eastAsia" w:ascii="仿宋_GB2312" w:hAnsi="仿宋_GB2312" w:eastAsia="仿宋_GB2312" w:cs="仿宋_GB2312"/>
          <w:color w:val="auto"/>
          <w:spacing w:val="3"/>
          <w:sz w:val="28"/>
          <w:szCs w:val="28"/>
          <w:highlight w:val="none"/>
          <w:lang w:eastAsia="zh-CN"/>
        </w:rPr>
        <w:t>合本</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采购文件要求的投标文件均保持有效。</w:t>
      </w:r>
      <w:r>
        <w:rPr>
          <w:rFonts w:hint="eastAsia" w:ascii="仿宋_GB2312" w:hAnsi="仿宋_GB2312" w:eastAsia="仿宋_GB2312" w:cs="仿宋_GB2312"/>
          <w:b/>
          <w:bCs/>
          <w:color w:val="auto"/>
          <w:spacing w:val="-2"/>
          <w:sz w:val="28"/>
          <w:szCs w:val="28"/>
          <w:highlight w:val="none"/>
          <w:lang w:eastAsia="zh-CN"/>
        </w:rPr>
        <w:t>投标有效期不足的，投标无效。</w:t>
      </w:r>
    </w:p>
    <w:p w14:paraId="346256D3">
      <w:pPr>
        <w:pStyle w:val="10"/>
        <w:spacing w:before="50" w:line="440" w:lineRule="exact"/>
        <w:ind w:left="18" w:right="38" w:firstLine="554"/>
        <w:jc w:val="both"/>
        <w:rPr>
          <w:rFonts w:ascii="仿宋_GB2312" w:hAnsi="仿宋_GB2312" w:eastAsia="仿宋_GB2312" w:cs="仿宋_GB2312"/>
          <w:color w:val="auto"/>
          <w:spacing w:val="6"/>
          <w:sz w:val="28"/>
          <w:szCs w:val="28"/>
          <w:highlight w:val="none"/>
          <w:lang w:eastAsia="zh-CN"/>
        </w:rPr>
      </w:pPr>
      <w:bookmarkStart w:id="53" w:name="_Toc18153"/>
      <w:bookmarkStart w:id="54" w:name="_Toc18893"/>
      <w:r>
        <w:rPr>
          <w:rFonts w:hint="eastAsia" w:ascii="仿宋_GB2312" w:hAnsi="仿宋_GB2312" w:eastAsia="仿宋_GB2312" w:cs="仿宋_GB2312"/>
          <w:color w:val="auto"/>
          <w:spacing w:val="6"/>
          <w:sz w:val="28"/>
          <w:szCs w:val="28"/>
          <w:highlight w:val="none"/>
          <w:lang w:eastAsia="zh-CN"/>
        </w:rPr>
        <w:t>18.2 在特殊情况下，采购人在原定的投标有效期内，可以根据需要以发布公告或书面形式向供应商提出延长投标有效期的要求，对此要求供应商须以书面形式予以答复不得拒绝延长投标有效期。供应商拒绝延长的，其投标在原投标有效期期届满后将不再有效，但有权收回其投标保证金；同意延长投标有效期的供应商既不能要求，也不允许修改或撤回其投标文件。</w:t>
      </w:r>
    </w:p>
    <w:p w14:paraId="3BA9A5A2">
      <w:pPr>
        <w:pStyle w:val="10"/>
        <w:spacing w:before="44" w:line="222" w:lineRule="auto"/>
        <w:ind w:left="581"/>
        <w:outlineLvl w:val="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
          <w:sz w:val="28"/>
          <w:szCs w:val="28"/>
          <w:highlight w:val="none"/>
          <w:lang w:eastAsia="zh-CN"/>
        </w:rPr>
        <w:t>（三）</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投标文件的编制</w:t>
      </w:r>
      <w:bookmarkEnd w:id="53"/>
      <w:bookmarkEnd w:id="54"/>
    </w:p>
    <w:p w14:paraId="76440E8A">
      <w:pPr>
        <w:pStyle w:val="10"/>
        <w:spacing w:before="136" w:line="222" w:lineRule="auto"/>
        <w:ind w:left="593"/>
        <w:outlineLvl w:val="2"/>
        <w:rPr>
          <w:rFonts w:ascii="仿宋_GB2312" w:hAnsi="仿宋_GB2312" w:eastAsia="仿宋_GB2312" w:cs="仿宋_GB2312"/>
          <w:color w:val="auto"/>
          <w:sz w:val="28"/>
          <w:szCs w:val="28"/>
          <w:highlight w:val="none"/>
          <w:lang w:eastAsia="zh-CN"/>
        </w:rPr>
      </w:pPr>
      <w:bookmarkStart w:id="55" w:name="_Toc18570"/>
      <w:bookmarkStart w:id="56" w:name="_Toc17740"/>
      <w:r>
        <w:rPr>
          <w:rFonts w:hint="eastAsia" w:ascii="仿宋_GB2312" w:hAnsi="仿宋_GB2312" w:eastAsia="仿宋_GB2312" w:cs="仿宋_GB2312"/>
          <w:b/>
          <w:bCs/>
          <w:color w:val="auto"/>
          <w:spacing w:val="-5"/>
          <w:sz w:val="28"/>
          <w:szCs w:val="28"/>
          <w:highlight w:val="none"/>
          <w:lang w:eastAsia="zh-CN"/>
        </w:rPr>
        <w:t>19.</w:t>
      </w:r>
      <w:r>
        <w:rPr>
          <w:rFonts w:hint="eastAsia" w:ascii="仿宋_GB2312" w:hAnsi="仿宋_GB2312" w:eastAsia="仿宋_GB2312" w:cs="仿宋_GB2312"/>
          <w:color w:val="auto"/>
          <w:spacing w:val="-5"/>
          <w:sz w:val="28"/>
          <w:szCs w:val="28"/>
          <w:highlight w:val="none"/>
          <w:lang w:eastAsia="zh-CN"/>
        </w:rPr>
        <w:t xml:space="preserve"> </w:t>
      </w:r>
      <w:r>
        <w:rPr>
          <w:rFonts w:hint="eastAsia" w:ascii="仿宋_GB2312" w:hAnsi="仿宋_GB2312" w:eastAsia="仿宋_GB2312" w:cs="仿宋_GB2312"/>
          <w:b/>
          <w:bCs/>
          <w:color w:val="auto"/>
          <w:spacing w:val="-5"/>
          <w:sz w:val="28"/>
          <w:szCs w:val="28"/>
          <w:highlight w:val="none"/>
          <w:lang w:eastAsia="zh-CN"/>
        </w:rPr>
        <w:t>投标文件编制要求</w:t>
      </w:r>
      <w:bookmarkEnd w:id="55"/>
      <w:bookmarkEnd w:id="56"/>
    </w:p>
    <w:p w14:paraId="2BEECA68">
      <w:pPr>
        <w:pStyle w:val="10"/>
        <w:spacing w:before="136" w:line="223" w:lineRule="auto"/>
        <w:ind w:right="46"/>
        <w:jc w:val="right"/>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19.1</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供应商提交的投标文件及供应商与采购代理机构就有关投标的所有</w:t>
      </w:r>
    </w:p>
    <w:p w14:paraId="02D7BE71">
      <w:pPr>
        <w:spacing w:line="223" w:lineRule="auto"/>
        <w:rPr>
          <w:rFonts w:ascii="仿宋_GB2312" w:hAnsi="仿宋_GB2312" w:eastAsia="仿宋_GB2312" w:cs="仿宋_GB2312"/>
          <w:color w:val="auto"/>
          <w:sz w:val="28"/>
          <w:szCs w:val="28"/>
          <w:highlight w:val="none"/>
          <w:lang w:eastAsia="zh-CN"/>
        </w:rPr>
        <w:sectPr>
          <w:footerReference r:id="rId15" w:type="default"/>
          <w:pgSz w:w="11906" w:h="16838"/>
          <w:pgMar w:top="1161" w:right="1058" w:bottom="1517" w:left="1258" w:header="861" w:footer="1236" w:gutter="0"/>
          <w:pgNumType w:fmt="numberInDash"/>
          <w:cols w:space="720" w:num="1"/>
        </w:sectPr>
      </w:pPr>
    </w:p>
    <w:p w14:paraId="29B1B38B">
      <w:pPr>
        <w:pStyle w:val="10"/>
        <w:spacing w:before="318" w:line="222" w:lineRule="auto"/>
        <w:ind w:left="2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来往函电均使用中文。</w:t>
      </w:r>
    </w:p>
    <w:p w14:paraId="2141A1B5">
      <w:pPr>
        <w:pStyle w:val="10"/>
        <w:spacing w:before="136" w:line="222" w:lineRule="auto"/>
        <w:ind w:left="575"/>
        <w:outlineLvl w:val="2"/>
        <w:rPr>
          <w:rFonts w:ascii="仿宋_GB2312" w:hAnsi="仿宋_GB2312" w:eastAsia="仿宋_GB2312" w:cs="仿宋_GB2312"/>
          <w:color w:val="auto"/>
          <w:sz w:val="28"/>
          <w:szCs w:val="28"/>
          <w:highlight w:val="none"/>
          <w:lang w:eastAsia="zh-CN"/>
        </w:rPr>
      </w:pPr>
      <w:bookmarkStart w:id="57" w:name="_Toc3288"/>
      <w:bookmarkStart w:id="58" w:name="_Toc28759"/>
      <w:r>
        <w:rPr>
          <w:rFonts w:hint="eastAsia" w:ascii="仿宋_GB2312" w:hAnsi="仿宋_GB2312" w:eastAsia="仿宋_GB2312" w:cs="仿宋_GB2312"/>
          <w:b/>
          <w:bCs/>
          <w:color w:val="auto"/>
          <w:spacing w:val="-3"/>
          <w:sz w:val="28"/>
          <w:szCs w:val="28"/>
          <w:highlight w:val="none"/>
          <w:lang w:eastAsia="zh-CN"/>
        </w:rPr>
        <w:t>20.</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投标文件编制的依据</w:t>
      </w:r>
      <w:bookmarkEnd w:id="57"/>
      <w:bookmarkEnd w:id="58"/>
    </w:p>
    <w:p w14:paraId="6DE56ECC">
      <w:pPr>
        <w:pStyle w:val="10"/>
        <w:spacing w:before="135" w:line="221" w:lineRule="auto"/>
        <w:ind w:left="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20.1 采购人提供的采购需求及有关资料；</w:t>
      </w:r>
    </w:p>
    <w:p w14:paraId="15D88458">
      <w:pPr>
        <w:pStyle w:val="10"/>
        <w:spacing w:before="133" w:line="297" w:lineRule="auto"/>
        <w:ind w:left="573" w:right="3346"/>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20.2 本采购文件及采购文件的修改或</w:t>
      </w:r>
      <w:r>
        <w:rPr>
          <w:rFonts w:hint="eastAsia" w:ascii="仿宋_GB2312" w:hAnsi="仿宋_GB2312" w:eastAsia="仿宋_GB2312" w:cs="仿宋_GB2312"/>
          <w:color w:val="auto"/>
          <w:spacing w:val="-4"/>
          <w:sz w:val="28"/>
          <w:szCs w:val="28"/>
          <w:highlight w:val="none"/>
          <w:lang w:eastAsia="zh-CN"/>
        </w:rPr>
        <w:t>者澄清；</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20.3 相关的法律、法规和规定。</w:t>
      </w:r>
    </w:p>
    <w:p w14:paraId="2E59DD97">
      <w:pPr>
        <w:pStyle w:val="10"/>
        <w:spacing w:before="136" w:line="222" w:lineRule="auto"/>
        <w:ind w:left="575"/>
        <w:outlineLvl w:val="2"/>
        <w:rPr>
          <w:rFonts w:ascii="仿宋_GB2312" w:hAnsi="仿宋_GB2312" w:eastAsia="仿宋_GB2312" w:cs="仿宋_GB2312"/>
          <w:b/>
          <w:bCs/>
          <w:color w:val="auto"/>
          <w:spacing w:val="-3"/>
          <w:sz w:val="28"/>
          <w:szCs w:val="28"/>
          <w:highlight w:val="none"/>
          <w:lang w:eastAsia="zh-CN"/>
        </w:rPr>
      </w:pPr>
      <w:bookmarkStart w:id="59" w:name="_Toc21014"/>
      <w:bookmarkStart w:id="60" w:name="_Toc6923"/>
      <w:r>
        <w:rPr>
          <w:rFonts w:hint="eastAsia" w:ascii="仿宋_GB2312" w:hAnsi="仿宋_GB2312" w:eastAsia="仿宋_GB2312" w:cs="仿宋_GB2312"/>
          <w:b/>
          <w:bCs/>
          <w:color w:val="auto"/>
          <w:spacing w:val="-3"/>
          <w:sz w:val="28"/>
          <w:szCs w:val="28"/>
          <w:highlight w:val="none"/>
          <w:lang w:eastAsia="zh-CN"/>
        </w:rPr>
        <w:t>21. 投标文件的组成</w:t>
      </w:r>
      <w:bookmarkEnd w:id="59"/>
      <w:bookmarkEnd w:id="60"/>
    </w:p>
    <w:p w14:paraId="4896B77B">
      <w:pPr>
        <w:pStyle w:val="10"/>
        <w:spacing w:before="47" w:line="295" w:lineRule="auto"/>
        <w:ind w:left="20" w:right="43" w:firstLine="555"/>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资格证明文件、商务技术文件</w:t>
      </w:r>
      <w:r>
        <w:rPr>
          <w:rFonts w:hint="eastAsia" w:ascii="仿宋_GB2312" w:hAnsi="仿宋_GB2312" w:eastAsia="仿宋_GB2312" w:cs="仿宋_GB2312"/>
          <w:color w:val="auto"/>
          <w:spacing w:val="-3"/>
          <w:sz w:val="28"/>
          <w:szCs w:val="28"/>
          <w:highlight w:val="none"/>
          <w:lang w:eastAsia="zh-CN"/>
        </w:rPr>
        <w:t>。投标文件的部分格式要求，见第五章《投标文件格式》。</w:t>
      </w:r>
    </w:p>
    <w:p w14:paraId="5909CA6A">
      <w:pPr>
        <w:pStyle w:val="10"/>
        <w:spacing w:before="136" w:line="222" w:lineRule="auto"/>
        <w:ind w:left="575"/>
        <w:outlineLvl w:val="2"/>
        <w:rPr>
          <w:rFonts w:ascii="仿宋_GB2312" w:hAnsi="仿宋_GB2312" w:eastAsia="仿宋_GB2312" w:cs="仿宋_GB2312"/>
          <w:color w:val="auto"/>
          <w:sz w:val="28"/>
          <w:szCs w:val="28"/>
          <w:highlight w:val="none"/>
          <w:lang w:eastAsia="zh-CN"/>
        </w:rPr>
      </w:pPr>
      <w:bookmarkStart w:id="61" w:name="_Toc18714"/>
      <w:bookmarkStart w:id="62" w:name="_Toc17367"/>
      <w:r>
        <w:rPr>
          <w:rFonts w:hint="eastAsia" w:ascii="仿宋_GB2312" w:hAnsi="仿宋_GB2312" w:eastAsia="仿宋_GB2312" w:cs="仿宋_GB2312"/>
          <w:b/>
          <w:bCs/>
          <w:color w:val="auto"/>
          <w:spacing w:val="-3"/>
          <w:sz w:val="28"/>
          <w:szCs w:val="28"/>
          <w:highlight w:val="none"/>
          <w:lang w:eastAsia="zh-CN"/>
        </w:rPr>
        <w:t>22.</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投标文件的编制及格式</w:t>
      </w:r>
      <w:bookmarkEnd w:id="61"/>
      <w:bookmarkEnd w:id="62"/>
    </w:p>
    <w:p w14:paraId="67A73174">
      <w:pPr>
        <w:pStyle w:val="10"/>
        <w:spacing w:before="50" w:line="440" w:lineRule="exact"/>
        <w:ind w:left="18" w:right="38" w:firstLine="554"/>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22.1</w:t>
      </w:r>
      <w:r>
        <w:rPr>
          <w:rFonts w:hint="eastAsia" w:ascii="仿宋_GB2312" w:hAnsi="仿宋_GB2312" w:eastAsia="仿宋_GB2312" w:cs="仿宋_GB2312"/>
          <w:color w:val="auto"/>
          <w:spacing w:val="-43"/>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供应商提供的投标文件应当使用采购文件所提供</w:t>
      </w:r>
      <w:r>
        <w:rPr>
          <w:rFonts w:hint="eastAsia" w:ascii="仿宋_GB2312" w:hAnsi="仿宋_GB2312" w:eastAsia="仿宋_GB2312" w:cs="仿宋_GB2312"/>
          <w:color w:val="auto"/>
          <w:spacing w:val="5"/>
          <w:sz w:val="28"/>
          <w:szCs w:val="28"/>
          <w:highlight w:val="none"/>
          <w:lang w:eastAsia="zh-CN"/>
        </w:rPr>
        <w:t>投标文件格式（表</w:t>
      </w:r>
      <w:r>
        <w:rPr>
          <w:rFonts w:hint="eastAsia" w:ascii="仿宋_GB2312" w:hAnsi="仿宋_GB2312" w:eastAsia="仿宋_GB2312" w:cs="仿宋_GB2312"/>
          <w:color w:val="auto"/>
          <w:sz w:val="28"/>
          <w:szCs w:val="28"/>
          <w:highlight w:val="none"/>
          <w:lang w:eastAsia="zh-CN"/>
        </w:rPr>
        <w:t xml:space="preserve"> 格可按照同样格式扩展</w:t>
      </w:r>
      <w:r>
        <w:rPr>
          <w:rFonts w:hint="eastAsia" w:ascii="仿宋_GB2312" w:hAnsi="仿宋_GB2312" w:eastAsia="仿宋_GB2312" w:cs="仿宋_GB2312"/>
          <w:color w:val="auto"/>
          <w:spacing w:val="5"/>
          <w:sz w:val="28"/>
          <w:szCs w:val="28"/>
          <w:highlight w:val="none"/>
          <w:lang w:eastAsia="zh-CN"/>
        </w:rPr>
        <w:t>），</w:t>
      </w:r>
      <w:r>
        <w:rPr>
          <w:rFonts w:hint="eastAsia" w:ascii="仿宋_GB2312" w:hAnsi="仿宋_GB2312" w:eastAsia="仿宋_GB2312" w:cs="仿宋_GB2312"/>
          <w:color w:val="auto"/>
          <w:sz w:val="28"/>
          <w:szCs w:val="28"/>
          <w:highlight w:val="none"/>
          <w:lang w:eastAsia="zh-CN"/>
        </w:rPr>
        <w:t xml:space="preserve">并保证所提供的资料的真实性。未提供格式的，供 </w:t>
      </w:r>
      <w:r>
        <w:rPr>
          <w:rFonts w:hint="eastAsia" w:ascii="仿宋_GB2312" w:hAnsi="仿宋_GB2312" w:eastAsia="仿宋_GB2312" w:cs="仿宋_GB2312"/>
          <w:color w:val="auto"/>
          <w:spacing w:val="-6"/>
          <w:sz w:val="28"/>
          <w:szCs w:val="28"/>
          <w:highlight w:val="none"/>
          <w:lang w:eastAsia="zh-CN"/>
        </w:rPr>
        <w:t>应商可自行编制。</w:t>
      </w:r>
    </w:p>
    <w:p w14:paraId="14210D07">
      <w:pPr>
        <w:pStyle w:val="10"/>
        <w:spacing w:before="45" w:line="440" w:lineRule="exact"/>
        <w:ind w:left="19" w:right="38" w:firstLine="553"/>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22.2</w:t>
      </w:r>
      <w:r>
        <w:rPr>
          <w:rFonts w:hint="eastAsia" w:ascii="仿宋_GB2312" w:hAnsi="仿宋_GB2312" w:eastAsia="仿宋_GB2312" w:cs="仿宋_GB2312"/>
          <w:color w:val="auto"/>
          <w:spacing w:val="-45"/>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投标文件严禁涂改或行间插字和增删，除非这些修改</w:t>
      </w:r>
      <w:r>
        <w:rPr>
          <w:rFonts w:hint="eastAsia" w:ascii="仿宋_GB2312" w:hAnsi="仿宋_GB2312" w:eastAsia="仿宋_GB2312" w:cs="仿宋_GB2312"/>
          <w:color w:val="auto"/>
          <w:spacing w:val="5"/>
          <w:sz w:val="28"/>
          <w:szCs w:val="28"/>
          <w:highlight w:val="none"/>
          <w:lang w:eastAsia="zh-CN"/>
        </w:rPr>
        <w:t>是根据采购人</w:t>
      </w:r>
      <w:r>
        <w:rPr>
          <w:rFonts w:hint="eastAsia" w:ascii="仿宋_GB2312" w:hAnsi="仿宋_GB2312" w:eastAsia="仿宋_GB2312" w:cs="仿宋_GB2312"/>
          <w:color w:val="auto"/>
          <w:sz w:val="28"/>
          <w:szCs w:val="28"/>
          <w:highlight w:val="none"/>
          <w:lang w:eastAsia="zh-CN"/>
        </w:rPr>
        <w:t xml:space="preserve"> 的指示进行的，或者是供应商造成的必须修改的错误，必要的修改处必须有供</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应商法人代表或其授权代表人签字并加盖供应商公章，否则，投标无效</w:t>
      </w:r>
      <w:r>
        <w:rPr>
          <w:rFonts w:hint="eastAsia" w:ascii="仿宋_GB2312" w:hAnsi="仿宋_GB2312" w:eastAsia="仿宋_GB2312" w:cs="仿宋_GB2312"/>
          <w:b/>
          <w:bCs/>
          <w:color w:val="auto"/>
          <w:spacing w:val="-2"/>
          <w:sz w:val="28"/>
          <w:szCs w:val="28"/>
          <w:highlight w:val="none"/>
          <w:lang w:eastAsia="zh-CN"/>
        </w:rPr>
        <w:t>。</w:t>
      </w:r>
    </w:p>
    <w:p w14:paraId="52FD8FDF">
      <w:pPr>
        <w:pStyle w:val="10"/>
        <w:spacing w:before="45" w:line="440" w:lineRule="exact"/>
        <w:ind w:left="18" w:right="46" w:firstLine="55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22.3 供应商应当按照采购文件的要求编制投标文件。</w:t>
      </w:r>
      <w:r>
        <w:rPr>
          <w:rFonts w:hint="eastAsia" w:ascii="仿宋_GB2312" w:hAnsi="仿宋_GB2312" w:eastAsia="仿宋_GB2312" w:cs="仿宋_GB2312"/>
          <w:color w:val="auto"/>
          <w:spacing w:val="5"/>
          <w:sz w:val="28"/>
          <w:szCs w:val="28"/>
          <w:highlight w:val="none"/>
          <w:lang w:eastAsia="zh-CN"/>
        </w:rPr>
        <w:t>投标文件应当对招</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标文件提出的要求和条件作出明确响应。</w:t>
      </w:r>
    </w:p>
    <w:p w14:paraId="64853F0B">
      <w:pPr>
        <w:pStyle w:val="10"/>
        <w:spacing w:before="49" w:line="440" w:lineRule="exact"/>
        <w:ind w:left="575"/>
        <w:outlineLvl w:val="2"/>
        <w:rPr>
          <w:rFonts w:ascii="仿宋_GB2312" w:hAnsi="仿宋_GB2312" w:eastAsia="仿宋_GB2312" w:cs="仿宋_GB2312"/>
          <w:color w:val="auto"/>
          <w:sz w:val="28"/>
          <w:szCs w:val="28"/>
          <w:highlight w:val="none"/>
          <w:lang w:eastAsia="zh-CN"/>
        </w:rPr>
      </w:pPr>
      <w:bookmarkStart w:id="63" w:name="_Toc24422"/>
      <w:bookmarkStart w:id="64" w:name="_Toc583"/>
      <w:r>
        <w:rPr>
          <w:rFonts w:hint="eastAsia" w:ascii="仿宋_GB2312" w:hAnsi="仿宋_GB2312" w:eastAsia="仿宋_GB2312" w:cs="仿宋_GB2312"/>
          <w:b/>
          <w:bCs/>
          <w:color w:val="auto"/>
          <w:spacing w:val="-3"/>
          <w:sz w:val="28"/>
          <w:szCs w:val="28"/>
          <w:highlight w:val="none"/>
          <w:lang w:eastAsia="zh-CN"/>
        </w:rPr>
        <w:t>23.</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投标文件的签署</w:t>
      </w:r>
      <w:bookmarkEnd w:id="63"/>
      <w:bookmarkEnd w:id="64"/>
    </w:p>
    <w:p w14:paraId="66D06B73">
      <w:pPr>
        <w:pStyle w:val="10"/>
        <w:spacing w:before="132" w:line="440" w:lineRule="exact"/>
        <w:ind w:left="573" w:right="52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23.1 投标文件签署要求均应符合采购文件相关规定。</w:t>
      </w:r>
    </w:p>
    <w:p w14:paraId="64B70E8A">
      <w:pPr>
        <w:pStyle w:val="10"/>
        <w:spacing w:before="47" w:line="440" w:lineRule="exact"/>
        <w:ind w:left="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23.2</w:t>
      </w:r>
      <w:r>
        <w:rPr>
          <w:rFonts w:hint="eastAsia" w:ascii="仿宋_GB2312" w:hAnsi="仿宋_GB2312" w:eastAsia="仿宋_GB2312" w:cs="仿宋_GB2312"/>
          <w:color w:val="auto"/>
          <w:spacing w:val="-46"/>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投标文件未按照上述规定编制，符合性审查将不予以通过。</w:t>
      </w:r>
    </w:p>
    <w:p w14:paraId="5DB5B652">
      <w:pPr>
        <w:pStyle w:val="10"/>
        <w:spacing w:before="46" w:line="440" w:lineRule="exact"/>
        <w:ind w:left="575"/>
        <w:outlineLvl w:val="1"/>
        <w:rPr>
          <w:rFonts w:ascii="仿宋_GB2312" w:hAnsi="仿宋_GB2312" w:eastAsia="仿宋_GB2312" w:cs="仿宋_GB2312"/>
          <w:color w:val="auto"/>
          <w:spacing w:val="5"/>
          <w:sz w:val="28"/>
          <w:szCs w:val="28"/>
          <w:highlight w:val="none"/>
          <w:lang w:eastAsia="zh-CN"/>
        </w:rPr>
      </w:pPr>
      <w:bookmarkStart w:id="65" w:name="_Toc31690"/>
      <w:bookmarkStart w:id="66" w:name="_Toc16841"/>
      <w:r>
        <w:rPr>
          <w:rFonts w:hint="eastAsia" w:ascii="仿宋_GB2312" w:hAnsi="仿宋_GB2312" w:eastAsia="仿宋_GB2312" w:cs="仿宋_GB2312"/>
          <w:b/>
          <w:bCs/>
          <w:color w:val="auto"/>
          <w:spacing w:val="-4"/>
          <w:sz w:val="28"/>
          <w:szCs w:val="28"/>
          <w:highlight w:val="none"/>
          <w:lang w:eastAsia="zh-CN"/>
        </w:rPr>
        <w:t>（四）</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投标文件的递交</w:t>
      </w:r>
      <w:bookmarkEnd w:id="65"/>
      <w:bookmarkEnd w:id="66"/>
      <w:r>
        <w:rPr>
          <w:rFonts w:hint="eastAsia" w:ascii="仿宋_GB2312" w:hAnsi="仿宋_GB2312" w:eastAsia="仿宋_GB2312" w:cs="仿宋_GB2312"/>
          <w:color w:val="auto"/>
          <w:spacing w:val="5"/>
          <w:sz w:val="28"/>
          <w:szCs w:val="28"/>
          <w:highlight w:val="none"/>
          <w:lang w:eastAsia="zh-CN"/>
        </w:rPr>
        <w:t xml:space="preserve"> </w:t>
      </w:r>
    </w:p>
    <w:p w14:paraId="1F20611A">
      <w:pPr>
        <w:pStyle w:val="10"/>
        <w:spacing w:before="46" w:line="440" w:lineRule="exact"/>
        <w:ind w:left="575"/>
        <w:outlineLvl w:val="2"/>
        <w:rPr>
          <w:rFonts w:ascii="仿宋_GB2312" w:hAnsi="仿宋_GB2312" w:eastAsia="仿宋_GB2312" w:cs="仿宋_GB2312"/>
          <w:b/>
          <w:bCs/>
          <w:color w:val="auto"/>
          <w:spacing w:val="-3"/>
          <w:sz w:val="28"/>
          <w:szCs w:val="28"/>
          <w:highlight w:val="none"/>
          <w:lang w:eastAsia="zh-CN"/>
        </w:rPr>
      </w:pPr>
      <w:bookmarkStart w:id="67" w:name="_Toc12543"/>
      <w:bookmarkStart w:id="68" w:name="_Toc1720"/>
      <w:r>
        <w:rPr>
          <w:rFonts w:hint="eastAsia" w:ascii="仿宋_GB2312" w:hAnsi="仿宋_GB2312" w:eastAsia="仿宋_GB2312" w:cs="仿宋_GB2312"/>
          <w:b/>
          <w:bCs/>
          <w:color w:val="auto"/>
          <w:spacing w:val="-3"/>
          <w:sz w:val="28"/>
          <w:szCs w:val="28"/>
          <w:highlight w:val="none"/>
          <w:lang w:eastAsia="zh-CN"/>
        </w:rPr>
        <w:t>24.电子版投标文件</w:t>
      </w:r>
      <w:bookmarkEnd w:id="67"/>
      <w:bookmarkEnd w:id="68"/>
    </w:p>
    <w:p w14:paraId="3839D8D8">
      <w:pPr>
        <w:pStyle w:val="10"/>
        <w:spacing w:before="50" w:line="440" w:lineRule="exact"/>
        <w:ind w:left="18" w:right="38" w:firstLine="554"/>
        <w:jc w:val="both"/>
        <w:rPr>
          <w:rFonts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24.1 供应商须在投标截止时间前通过CA在政采云平台上传加密的电子投标文件；投标截止时间以政采云平台显示的时间为准，逾期系统将自动关闭，逾期上传的或者未成功上传到平台的投标文件，投标无效。</w:t>
      </w:r>
    </w:p>
    <w:p w14:paraId="1E40AB5D">
      <w:pPr>
        <w:pStyle w:val="10"/>
        <w:spacing w:before="46" w:line="440" w:lineRule="exact"/>
        <w:ind w:left="575"/>
        <w:outlineLvl w:val="2"/>
        <w:rPr>
          <w:rFonts w:ascii="仿宋_GB2312" w:hAnsi="仿宋_GB2312" w:eastAsia="仿宋_GB2312" w:cs="仿宋_GB2312"/>
          <w:b/>
          <w:bCs/>
          <w:color w:val="auto"/>
          <w:spacing w:val="-3"/>
          <w:sz w:val="28"/>
          <w:szCs w:val="28"/>
          <w:highlight w:val="none"/>
          <w:lang w:eastAsia="zh-CN"/>
        </w:rPr>
      </w:pPr>
      <w:bookmarkStart w:id="69" w:name="_Toc3021"/>
      <w:bookmarkStart w:id="70" w:name="_Toc16285"/>
      <w:r>
        <w:rPr>
          <w:rFonts w:hint="eastAsia" w:ascii="仿宋_GB2312" w:hAnsi="仿宋_GB2312" w:eastAsia="仿宋_GB2312" w:cs="仿宋_GB2312"/>
          <w:b/>
          <w:bCs/>
          <w:color w:val="auto"/>
          <w:spacing w:val="-3"/>
          <w:sz w:val="28"/>
          <w:szCs w:val="28"/>
          <w:highlight w:val="none"/>
          <w:lang w:eastAsia="zh-CN"/>
        </w:rPr>
        <w:t>25. 投标文件的提交</w:t>
      </w:r>
      <w:bookmarkEnd w:id="69"/>
      <w:bookmarkEnd w:id="70"/>
    </w:p>
    <w:p w14:paraId="31FAE0E8">
      <w:pPr>
        <w:pStyle w:val="10"/>
        <w:spacing w:before="130" w:line="440" w:lineRule="exact"/>
        <w:ind w:left="18" w:right="41" w:firstLine="56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供应商应当按照本投标须知前附表所规定的地点，于投标截止时间前上传</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加密的电子投标文件。纸质版投标文件按照本投标须知前附表相关规定提交。</w:t>
      </w:r>
    </w:p>
    <w:p w14:paraId="0093011F">
      <w:pPr>
        <w:pStyle w:val="10"/>
        <w:spacing w:before="46" w:line="440" w:lineRule="exact"/>
        <w:ind w:left="575"/>
        <w:outlineLvl w:val="2"/>
        <w:rPr>
          <w:rFonts w:ascii="仿宋_GB2312" w:hAnsi="仿宋_GB2312" w:eastAsia="仿宋_GB2312" w:cs="仿宋_GB2312"/>
          <w:color w:val="auto"/>
          <w:sz w:val="28"/>
          <w:szCs w:val="28"/>
          <w:highlight w:val="none"/>
          <w:lang w:eastAsia="zh-CN"/>
        </w:rPr>
      </w:pPr>
      <w:bookmarkStart w:id="71" w:name="_Toc3761"/>
      <w:bookmarkStart w:id="72" w:name="_Toc30824"/>
      <w:r>
        <w:rPr>
          <w:rFonts w:hint="eastAsia" w:ascii="仿宋_GB2312" w:hAnsi="仿宋_GB2312" w:eastAsia="仿宋_GB2312" w:cs="仿宋_GB2312"/>
          <w:b/>
          <w:bCs/>
          <w:color w:val="auto"/>
          <w:spacing w:val="-3"/>
          <w:sz w:val="28"/>
          <w:szCs w:val="28"/>
          <w:highlight w:val="none"/>
          <w:lang w:eastAsia="zh-CN"/>
        </w:rPr>
        <w:t>26.加密的电子投标文件提交的截止时间</w:t>
      </w:r>
      <w:bookmarkEnd w:id="71"/>
      <w:bookmarkEnd w:id="72"/>
    </w:p>
    <w:p w14:paraId="229EB7C3">
      <w:pPr>
        <w:pStyle w:val="10"/>
        <w:spacing w:before="131" w:line="222" w:lineRule="auto"/>
        <w:ind w:left="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26.1 投标文件提交的截止时间详见本投</w:t>
      </w:r>
      <w:r>
        <w:rPr>
          <w:rFonts w:hint="eastAsia" w:ascii="仿宋_GB2312" w:hAnsi="仿宋_GB2312" w:eastAsia="仿宋_GB2312" w:cs="仿宋_GB2312"/>
          <w:color w:val="auto"/>
          <w:spacing w:val="-1"/>
          <w:sz w:val="28"/>
          <w:szCs w:val="28"/>
          <w:highlight w:val="none"/>
          <w:lang w:eastAsia="zh-CN"/>
        </w:rPr>
        <w:t>标须知前附表规定。</w:t>
      </w:r>
    </w:p>
    <w:p w14:paraId="3DFC81D8">
      <w:pPr>
        <w:pStyle w:val="10"/>
        <w:spacing w:before="135" w:line="301" w:lineRule="auto"/>
        <w:ind w:left="19" w:right="38" w:firstLine="55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26.2 采购人可按本采购文件第14</w:t>
      </w:r>
      <w:r>
        <w:rPr>
          <w:rFonts w:hint="eastAsia" w:ascii="仿宋_GB2312" w:hAnsi="仿宋_GB2312" w:eastAsia="仿宋_GB2312" w:cs="仿宋_GB2312"/>
          <w:color w:val="auto"/>
          <w:spacing w:val="-45"/>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条规定以修改补充通知的</w:t>
      </w:r>
      <w:r>
        <w:rPr>
          <w:rFonts w:hint="eastAsia" w:ascii="仿宋_GB2312" w:hAnsi="仿宋_GB2312" w:eastAsia="仿宋_GB2312" w:cs="仿宋_GB2312"/>
          <w:color w:val="auto"/>
          <w:spacing w:val="-2"/>
          <w:sz w:val="28"/>
          <w:szCs w:val="28"/>
          <w:highlight w:val="none"/>
          <w:lang w:eastAsia="zh-CN"/>
        </w:rPr>
        <w:t>方式，酌情延</w:t>
      </w:r>
      <w:r>
        <w:rPr>
          <w:rFonts w:hint="eastAsia" w:ascii="仿宋_GB2312" w:hAnsi="仿宋_GB2312" w:eastAsia="仿宋_GB2312" w:cs="仿宋_GB2312"/>
          <w:color w:val="auto"/>
          <w:sz w:val="28"/>
          <w:szCs w:val="28"/>
          <w:highlight w:val="none"/>
          <w:lang w:eastAsia="zh-CN"/>
        </w:rPr>
        <w:t xml:space="preserve"> 长提交投标书的截止时间。在上述情况下，采购人与供应商在原投标截止时间</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前的全部权力和义务，将适用于延长后新的投标截止时间。</w:t>
      </w:r>
    </w:p>
    <w:p w14:paraId="1B0DFDD2">
      <w:pPr>
        <w:pStyle w:val="10"/>
        <w:spacing w:before="48" w:line="301" w:lineRule="auto"/>
        <w:ind w:left="18" w:right="46" w:firstLine="55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26.3</w:t>
      </w:r>
      <w:r>
        <w:rPr>
          <w:rFonts w:hint="eastAsia" w:ascii="仿宋_GB2312" w:hAnsi="仿宋_GB2312" w:eastAsia="仿宋_GB2312" w:cs="仿宋_GB2312"/>
          <w:color w:val="auto"/>
          <w:spacing w:val="50"/>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至投标文件递交截止时间，收到的投标文件少于3个的，不得开</w:t>
      </w:r>
      <w:r>
        <w:rPr>
          <w:rFonts w:hint="eastAsia" w:ascii="仿宋_GB2312" w:hAnsi="仿宋_GB2312" w:eastAsia="仿宋_GB2312" w:cs="仿宋_GB2312"/>
          <w:color w:val="auto"/>
          <w:spacing w:val="-1"/>
          <w:sz w:val="28"/>
          <w:szCs w:val="28"/>
          <w:highlight w:val="none"/>
          <w:lang w:eastAsia="zh-CN"/>
        </w:rPr>
        <w:t>标。评标过程中有效供应商少于3个的，应终止</w:t>
      </w:r>
      <w:r>
        <w:rPr>
          <w:rFonts w:hint="eastAsia" w:ascii="仿宋_GB2312" w:hAnsi="仿宋_GB2312" w:eastAsia="仿宋_GB2312" w:cs="仿宋_GB2312"/>
          <w:color w:val="auto"/>
          <w:spacing w:val="-2"/>
          <w:sz w:val="28"/>
          <w:szCs w:val="28"/>
          <w:highlight w:val="none"/>
          <w:lang w:eastAsia="zh-CN"/>
        </w:rPr>
        <w:t>评标，由采购人依法重新组织</w:t>
      </w:r>
      <w:r>
        <w:rPr>
          <w:rFonts w:hint="eastAsia" w:ascii="仿宋_GB2312" w:hAnsi="仿宋_GB2312" w:eastAsia="仿宋_GB2312" w:cs="仿宋_GB2312"/>
          <w:color w:val="auto"/>
          <w:spacing w:val="-6"/>
          <w:sz w:val="28"/>
          <w:szCs w:val="28"/>
          <w:highlight w:val="none"/>
          <w:lang w:eastAsia="zh-CN"/>
        </w:rPr>
        <w:t>招标。</w:t>
      </w:r>
    </w:p>
    <w:p w14:paraId="02CF21F5">
      <w:pPr>
        <w:pStyle w:val="10"/>
        <w:spacing w:before="46" w:line="223" w:lineRule="auto"/>
        <w:ind w:left="575"/>
        <w:outlineLvl w:val="2"/>
        <w:rPr>
          <w:rFonts w:ascii="仿宋_GB2312" w:hAnsi="仿宋_GB2312" w:eastAsia="仿宋_GB2312" w:cs="仿宋_GB2312"/>
          <w:color w:val="auto"/>
          <w:sz w:val="28"/>
          <w:szCs w:val="28"/>
          <w:highlight w:val="none"/>
          <w:lang w:eastAsia="zh-CN"/>
        </w:rPr>
      </w:pPr>
      <w:bookmarkStart w:id="73" w:name="_Toc14008"/>
      <w:bookmarkStart w:id="74" w:name="_Toc16792"/>
      <w:r>
        <w:rPr>
          <w:rFonts w:hint="eastAsia" w:ascii="仿宋_GB2312" w:hAnsi="仿宋_GB2312" w:eastAsia="仿宋_GB2312" w:cs="仿宋_GB2312"/>
          <w:b/>
          <w:bCs/>
          <w:color w:val="auto"/>
          <w:spacing w:val="-3"/>
          <w:sz w:val="28"/>
          <w:szCs w:val="28"/>
          <w:highlight w:val="none"/>
          <w:lang w:eastAsia="zh-CN"/>
        </w:rPr>
        <w:t>27.</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迟交的加密的电子投标文件</w:t>
      </w:r>
      <w:bookmarkEnd w:id="73"/>
      <w:bookmarkEnd w:id="74"/>
    </w:p>
    <w:p w14:paraId="5F565E1D">
      <w:pPr>
        <w:pStyle w:val="10"/>
        <w:spacing w:before="135" w:line="294" w:lineRule="auto"/>
        <w:ind w:left="18" w:right="41" w:firstLine="56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供应商在本投标须知前附表规定的投标截止时间以后提交的投标文件将被</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拒绝并退回。</w:t>
      </w:r>
    </w:p>
    <w:p w14:paraId="0F655B87">
      <w:pPr>
        <w:pStyle w:val="10"/>
        <w:spacing w:before="54" w:line="222" w:lineRule="auto"/>
        <w:ind w:left="575"/>
        <w:outlineLvl w:val="2"/>
        <w:rPr>
          <w:rFonts w:ascii="仿宋_GB2312" w:hAnsi="仿宋_GB2312" w:eastAsia="仿宋_GB2312" w:cs="仿宋_GB2312"/>
          <w:color w:val="auto"/>
          <w:sz w:val="28"/>
          <w:szCs w:val="28"/>
          <w:highlight w:val="none"/>
          <w:lang w:eastAsia="zh-CN"/>
        </w:rPr>
      </w:pPr>
      <w:bookmarkStart w:id="75" w:name="_Toc18516"/>
      <w:bookmarkStart w:id="76" w:name="_Toc11127"/>
      <w:r>
        <w:rPr>
          <w:rFonts w:hint="eastAsia" w:ascii="仿宋_GB2312" w:hAnsi="仿宋_GB2312" w:eastAsia="仿宋_GB2312" w:cs="仿宋_GB2312"/>
          <w:b/>
          <w:bCs/>
          <w:color w:val="auto"/>
          <w:spacing w:val="-3"/>
          <w:sz w:val="28"/>
          <w:szCs w:val="28"/>
          <w:highlight w:val="none"/>
          <w:lang w:eastAsia="zh-CN"/>
        </w:rPr>
        <w:t>28.</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加密的电子投标文件的补充、修改与撤回</w:t>
      </w:r>
      <w:bookmarkEnd w:id="75"/>
      <w:bookmarkEnd w:id="76"/>
    </w:p>
    <w:p w14:paraId="3E74FE1E">
      <w:pPr>
        <w:pStyle w:val="10"/>
        <w:spacing w:before="133" w:line="297" w:lineRule="auto"/>
        <w:ind w:left="34" w:right="42" w:firstLine="538"/>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28.1 供应商在投标须知前附表规定的投标截止时间之前，可以补充、修</w:t>
      </w:r>
      <w:r>
        <w:rPr>
          <w:rFonts w:hint="eastAsia" w:ascii="仿宋_GB2312" w:hAnsi="仿宋_GB2312" w:eastAsia="仿宋_GB2312" w:cs="仿宋_GB2312"/>
          <w:color w:val="auto"/>
          <w:spacing w:val="15"/>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改或撤回已提交的投标文件。</w:t>
      </w:r>
    </w:p>
    <w:p w14:paraId="2945A7F5">
      <w:pPr>
        <w:pStyle w:val="10"/>
        <w:spacing w:before="45" w:line="220" w:lineRule="auto"/>
        <w:ind w:left="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28.2 在投标截止时间之后，供应商不得补充、修改投标文件。</w:t>
      </w:r>
    </w:p>
    <w:p w14:paraId="70491A6C">
      <w:pPr>
        <w:pStyle w:val="10"/>
        <w:spacing w:before="136" w:line="223" w:lineRule="auto"/>
        <w:ind w:left="581"/>
        <w:outlineLvl w:val="1"/>
        <w:rPr>
          <w:rFonts w:ascii="仿宋_GB2312" w:hAnsi="仿宋_GB2312" w:eastAsia="仿宋_GB2312" w:cs="仿宋_GB2312"/>
          <w:color w:val="auto"/>
          <w:sz w:val="28"/>
          <w:szCs w:val="28"/>
          <w:highlight w:val="none"/>
          <w:lang w:eastAsia="zh-CN"/>
        </w:rPr>
      </w:pPr>
      <w:bookmarkStart w:id="77" w:name="_Toc25356"/>
      <w:bookmarkStart w:id="78" w:name="_Toc27302"/>
      <w:r>
        <w:rPr>
          <w:rFonts w:hint="eastAsia" w:ascii="仿宋_GB2312" w:hAnsi="仿宋_GB2312" w:eastAsia="仿宋_GB2312" w:cs="仿宋_GB2312"/>
          <w:b/>
          <w:bCs/>
          <w:color w:val="auto"/>
          <w:spacing w:val="-8"/>
          <w:sz w:val="28"/>
          <w:szCs w:val="28"/>
          <w:highlight w:val="none"/>
          <w:lang w:eastAsia="zh-CN"/>
        </w:rPr>
        <w:t>（五）</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b/>
          <w:bCs/>
          <w:color w:val="auto"/>
          <w:spacing w:val="-8"/>
          <w:sz w:val="28"/>
          <w:szCs w:val="28"/>
          <w:highlight w:val="none"/>
          <w:lang w:eastAsia="zh-CN"/>
        </w:rPr>
        <w:t>开标</w:t>
      </w:r>
      <w:bookmarkEnd w:id="77"/>
      <w:bookmarkEnd w:id="78"/>
    </w:p>
    <w:p w14:paraId="3F8798D2">
      <w:pPr>
        <w:pStyle w:val="10"/>
        <w:spacing w:before="135" w:line="223" w:lineRule="auto"/>
        <w:ind w:left="575"/>
        <w:outlineLvl w:val="2"/>
        <w:rPr>
          <w:rFonts w:ascii="仿宋_GB2312" w:hAnsi="仿宋_GB2312" w:eastAsia="仿宋_GB2312" w:cs="仿宋_GB2312"/>
          <w:color w:val="auto"/>
          <w:sz w:val="28"/>
          <w:szCs w:val="28"/>
          <w:highlight w:val="none"/>
          <w:lang w:eastAsia="zh-CN"/>
        </w:rPr>
      </w:pPr>
      <w:bookmarkStart w:id="79" w:name="_Toc17580"/>
      <w:bookmarkStart w:id="80" w:name="_Toc18293"/>
      <w:r>
        <w:rPr>
          <w:rFonts w:hint="eastAsia" w:ascii="仿宋_GB2312" w:hAnsi="仿宋_GB2312" w:eastAsia="仿宋_GB2312" w:cs="仿宋_GB2312"/>
          <w:b/>
          <w:bCs/>
          <w:color w:val="auto"/>
          <w:spacing w:val="-7"/>
          <w:sz w:val="28"/>
          <w:szCs w:val="28"/>
          <w:highlight w:val="none"/>
          <w:lang w:eastAsia="zh-CN"/>
        </w:rPr>
        <w:t>29.</w:t>
      </w:r>
      <w:r>
        <w:rPr>
          <w:rFonts w:hint="eastAsia" w:ascii="仿宋_GB2312" w:hAnsi="仿宋_GB2312" w:eastAsia="仿宋_GB2312" w:cs="仿宋_GB2312"/>
          <w:color w:val="auto"/>
          <w:spacing w:val="18"/>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开标</w:t>
      </w:r>
      <w:bookmarkEnd w:id="79"/>
      <w:bookmarkEnd w:id="80"/>
    </w:p>
    <w:p w14:paraId="4FFE863B">
      <w:pPr>
        <w:pStyle w:val="10"/>
        <w:spacing w:before="135" w:line="306" w:lineRule="auto"/>
        <w:ind w:left="22" w:right="38" w:firstLine="55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29.1</w:t>
      </w:r>
      <w:r>
        <w:rPr>
          <w:rFonts w:hint="eastAsia" w:ascii="仿宋_GB2312" w:hAnsi="仿宋_GB2312" w:eastAsia="仿宋_GB2312" w:cs="仿宋_GB2312"/>
          <w:color w:val="auto"/>
          <w:spacing w:val="-43"/>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本项目采用不见面开标方式，招标会将于投标须</w:t>
      </w:r>
      <w:r>
        <w:rPr>
          <w:rFonts w:hint="eastAsia" w:ascii="仿宋_GB2312" w:hAnsi="仿宋_GB2312" w:eastAsia="仿宋_GB2312" w:cs="仿宋_GB2312"/>
          <w:color w:val="auto"/>
          <w:spacing w:val="5"/>
          <w:sz w:val="28"/>
          <w:szCs w:val="28"/>
          <w:highlight w:val="none"/>
          <w:lang w:eastAsia="zh-CN"/>
        </w:rPr>
        <w:t>知前附表规定的时</w:t>
      </w:r>
      <w:r>
        <w:rPr>
          <w:rFonts w:hint="eastAsia" w:ascii="仿宋_GB2312" w:hAnsi="仿宋_GB2312" w:eastAsia="仿宋_GB2312" w:cs="仿宋_GB2312"/>
          <w:color w:val="auto"/>
          <w:sz w:val="28"/>
          <w:szCs w:val="28"/>
          <w:highlight w:val="none"/>
          <w:lang w:eastAsia="zh-CN"/>
        </w:rPr>
        <w:t xml:space="preserve"> 间和地点召开，供应商无需到达开标现场，仅需在任意地点通过政采云平台完</w:t>
      </w:r>
      <w:r>
        <w:rPr>
          <w:rFonts w:hint="eastAsia" w:ascii="仿宋_GB2312" w:hAnsi="仿宋_GB2312" w:eastAsia="仿宋_GB2312" w:cs="仿宋_GB2312"/>
          <w:color w:val="auto"/>
          <w:spacing w:val="2"/>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 xml:space="preserve">成开标签到、远程解密、报价确认等交互环节。供应商应在投标截止时间前登 </w:t>
      </w:r>
      <w:r>
        <w:rPr>
          <w:rFonts w:hint="eastAsia" w:ascii="仿宋_GB2312" w:hAnsi="仿宋_GB2312" w:eastAsia="仿宋_GB2312" w:cs="仿宋_GB2312"/>
          <w:color w:val="auto"/>
          <w:spacing w:val="-2"/>
          <w:sz w:val="28"/>
          <w:szCs w:val="28"/>
          <w:highlight w:val="none"/>
          <w:lang w:eastAsia="zh-CN"/>
        </w:rPr>
        <w:t>录政采云平台签到，同时确保开标期间电脑网络环境畅通，浏览器配置无误，</w:t>
      </w:r>
      <w:r>
        <w:rPr>
          <w:rFonts w:hint="eastAsia" w:ascii="仿宋_GB2312" w:hAnsi="仿宋_GB2312" w:eastAsia="仿宋_GB2312" w:cs="仿宋_GB2312"/>
          <w:color w:val="auto"/>
          <w:spacing w:val="15"/>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可完成正常的解密和操作。评标委员会成员到场集中评标，但不得参加开标活</w:t>
      </w:r>
      <w:r>
        <w:rPr>
          <w:rFonts w:hint="eastAsia" w:ascii="仿宋_GB2312" w:hAnsi="仿宋_GB2312" w:eastAsia="仿宋_GB2312" w:cs="仿宋_GB2312"/>
          <w:color w:val="auto"/>
          <w:spacing w:val="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动。</w:t>
      </w:r>
      <w:r>
        <w:rPr>
          <w:rFonts w:hint="eastAsia" w:ascii="仿宋_GB2312" w:hAnsi="仿宋_GB2312" w:eastAsia="仿宋_GB2312" w:cs="仿宋_GB2312"/>
          <w:b/>
          <w:bCs/>
          <w:color w:val="auto"/>
          <w:spacing w:val="-5"/>
          <w:sz w:val="28"/>
          <w:szCs w:val="28"/>
          <w:highlight w:val="none"/>
          <w:lang w:eastAsia="zh-CN"/>
        </w:rPr>
        <w:t>投标截止时间前不得开启投标文件。</w:t>
      </w:r>
    </w:p>
    <w:p w14:paraId="72706C62">
      <w:pPr>
        <w:pStyle w:val="10"/>
        <w:spacing w:before="135"/>
        <w:ind w:left="22" w:right="38" w:firstLine="550"/>
        <w:rPr>
          <w:rFonts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29.2 开标程序</w:t>
      </w:r>
    </w:p>
    <w:p w14:paraId="5DFADB78">
      <w:pPr>
        <w:pStyle w:val="10"/>
        <w:spacing w:before="135"/>
        <w:ind w:left="22" w:right="38" w:firstLine="550"/>
        <w:rPr>
          <w:rFonts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29.2.1 供应商不足3个的，不得开标。</w:t>
      </w:r>
    </w:p>
    <w:p w14:paraId="7BC26BC6">
      <w:pPr>
        <w:pStyle w:val="10"/>
        <w:spacing w:before="135"/>
        <w:ind w:left="22" w:right="38" w:firstLine="550"/>
        <w:rPr>
          <w:rFonts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29.2.2 开标由采购人或采购代理机构主持；</w:t>
      </w:r>
    </w:p>
    <w:p w14:paraId="6CAD7B52">
      <w:pPr>
        <w:pStyle w:val="10"/>
        <w:spacing w:before="135"/>
        <w:ind w:left="22" w:right="38" w:firstLine="55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29.2.3 供应商解密，解密时长30分钟；</w:t>
      </w:r>
    </w:p>
    <w:p w14:paraId="5660E44F">
      <w:pPr>
        <w:pStyle w:val="10"/>
        <w:spacing w:before="50" w:line="305" w:lineRule="auto"/>
        <w:ind w:left="13" w:right="38" w:firstLine="559"/>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29.2.4</w:t>
      </w:r>
      <w:r>
        <w:rPr>
          <w:rFonts w:hint="eastAsia" w:ascii="仿宋_GB2312" w:hAnsi="仿宋_GB2312" w:eastAsia="仿宋_GB2312" w:cs="仿宋_GB2312"/>
          <w:color w:val="auto"/>
          <w:spacing w:val="-42"/>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解密后由采购代理机构工作人</w:t>
      </w:r>
      <w:r>
        <w:rPr>
          <w:rFonts w:hint="eastAsia" w:ascii="仿宋_GB2312" w:hAnsi="仿宋_GB2312" w:eastAsia="仿宋_GB2312" w:cs="仿宋_GB2312"/>
          <w:color w:val="auto"/>
          <w:spacing w:val="5"/>
          <w:sz w:val="28"/>
          <w:szCs w:val="28"/>
          <w:highlight w:val="none"/>
          <w:lang w:eastAsia="zh-CN"/>
        </w:rPr>
        <w:t>员宣读《开标一览表》中载明的内</w:t>
      </w:r>
      <w:r>
        <w:rPr>
          <w:rFonts w:hint="eastAsia" w:ascii="仿宋_GB2312" w:hAnsi="仿宋_GB2312" w:eastAsia="仿宋_GB2312" w:cs="仿宋_GB2312"/>
          <w:color w:val="auto"/>
          <w:sz w:val="28"/>
          <w:szCs w:val="28"/>
          <w:highlight w:val="none"/>
          <w:lang w:eastAsia="zh-CN"/>
        </w:rPr>
        <w:t xml:space="preserve"> 容；之后由采购代理机构工作人员开启报价签字时段，供应商在规定时间内对</w:t>
      </w:r>
      <w:r>
        <w:rPr>
          <w:rFonts w:hint="eastAsia" w:ascii="仿宋_GB2312" w:hAnsi="仿宋_GB2312" w:eastAsia="仿宋_GB2312" w:cs="仿宋_GB2312"/>
          <w:color w:val="auto"/>
          <w:spacing w:val="15"/>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《开标一览表》的内容进行签字确认，本项目报价签字时段设定为30</w:t>
      </w:r>
      <w:r>
        <w:rPr>
          <w:rFonts w:hint="eastAsia" w:ascii="仿宋_GB2312" w:hAnsi="仿宋_GB2312" w:eastAsia="仿宋_GB2312" w:cs="仿宋_GB2312"/>
          <w:color w:val="auto"/>
          <w:spacing w:val="-42"/>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分</w:t>
      </w:r>
      <w:r>
        <w:rPr>
          <w:rFonts w:hint="eastAsia" w:ascii="仿宋_GB2312" w:hAnsi="仿宋_GB2312" w:eastAsia="仿宋_GB2312" w:cs="仿宋_GB2312"/>
          <w:color w:val="auto"/>
          <w:spacing w:val="2"/>
          <w:sz w:val="28"/>
          <w:szCs w:val="28"/>
          <w:highlight w:val="none"/>
          <w:lang w:eastAsia="zh-CN"/>
        </w:rPr>
        <w:t>钟，</w:t>
      </w:r>
      <w:r>
        <w:rPr>
          <w:rFonts w:hint="eastAsia" w:ascii="仿宋_GB2312" w:hAnsi="仿宋_GB2312" w:eastAsia="仿宋_GB2312" w:cs="仿宋_GB2312"/>
          <w:color w:val="auto"/>
          <w:sz w:val="28"/>
          <w:szCs w:val="28"/>
          <w:highlight w:val="none"/>
          <w:lang w:eastAsia="zh-CN"/>
        </w:rPr>
        <w:t xml:space="preserve"> 如供应商未在规定时间内签字确认，后果自负。如供应商代表对唱标人宣读的</w:t>
      </w:r>
      <w:r>
        <w:rPr>
          <w:rFonts w:hint="eastAsia" w:ascii="仿宋_GB2312" w:hAnsi="仿宋_GB2312" w:eastAsia="仿宋_GB2312" w:cs="仿宋_GB2312"/>
          <w:color w:val="auto"/>
          <w:spacing w:val="15"/>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内容有异议的，应当场提出。</w:t>
      </w:r>
    </w:p>
    <w:p w14:paraId="5E239DB6">
      <w:pPr>
        <w:pStyle w:val="10"/>
        <w:spacing w:before="43" w:line="297" w:lineRule="auto"/>
        <w:ind w:left="18" w:right="46" w:firstLine="55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29.2.5</w:t>
      </w:r>
      <w:r>
        <w:rPr>
          <w:rFonts w:hint="eastAsia" w:ascii="仿宋_GB2312" w:hAnsi="仿宋_GB2312" w:eastAsia="仿宋_GB2312" w:cs="仿宋_GB2312"/>
          <w:color w:val="auto"/>
          <w:spacing w:val="-23"/>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唱标结束后由采购人代表对供应商进行资格审查；资格审查不合</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8"/>
          <w:sz w:val="28"/>
          <w:szCs w:val="28"/>
          <w:highlight w:val="none"/>
          <w:lang w:eastAsia="zh-CN"/>
        </w:rPr>
        <w:t>格的，投标无效；</w:t>
      </w:r>
    </w:p>
    <w:p w14:paraId="1766485B">
      <w:pPr>
        <w:pStyle w:val="10"/>
        <w:spacing w:before="45" w:line="295" w:lineRule="auto"/>
        <w:ind w:left="18" w:right="43" w:firstLine="55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29.2.6 按本文件28条已提交了可接受的撤回通知的投标文件及无效</w:t>
      </w:r>
      <w:r>
        <w:rPr>
          <w:rFonts w:hint="eastAsia" w:ascii="仿宋_GB2312" w:hAnsi="仿宋_GB2312" w:eastAsia="仿宋_GB2312" w:cs="仿宋_GB2312"/>
          <w:color w:val="auto"/>
          <w:spacing w:val="-4"/>
          <w:sz w:val="28"/>
          <w:szCs w:val="28"/>
          <w:highlight w:val="none"/>
          <w:lang w:eastAsia="zh-CN"/>
        </w:rPr>
        <w:t>投标文件将不予开启。</w:t>
      </w:r>
    </w:p>
    <w:p w14:paraId="49F27A7D">
      <w:pPr>
        <w:pStyle w:val="10"/>
        <w:spacing w:before="48" w:line="301" w:lineRule="auto"/>
        <w:ind w:left="24" w:right="46" w:firstLine="549"/>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29.3 公开招标数额标准以上的采购项目，投标截止后供应商不足3家或</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者通过资格审查或符合性审查的供应商不足3家的，除采购任务取消情</w:t>
      </w:r>
      <w:r>
        <w:rPr>
          <w:rFonts w:hint="eastAsia" w:ascii="仿宋_GB2312" w:hAnsi="仿宋_GB2312" w:eastAsia="仿宋_GB2312" w:cs="仿宋_GB2312"/>
          <w:color w:val="auto"/>
          <w:spacing w:val="-2"/>
          <w:sz w:val="28"/>
          <w:szCs w:val="28"/>
          <w:highlight w:val="none"/>
          <w:lang w:eastAsia="zh-CN"/>
        </w:rPr>
        <w:t>形外，</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可按照以下方式处理：</w:t>
      </w:r>
    </w:p>
    <w:p w14:paraId="7651E66C">
      <w:pPr>
        <w:pStyle w:val="10"/>
        <w:spacing w:before="48" w:line="267" w:lineRule="auto"/>
        <w:ind w:left="19" w:right="65" w:firstLine="559"/>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（一）采购文件存在不合理条款或者招标程序不符合规定的，采购人、采</w:t>
      </w:r>
      <w:r>
        <w:rPr>
          <w:rFonts w:hint="eastAsia" w:ascii="仿宋_GB2312" w:hAnsi="仿宋_GB2312" w:eastAsia="仿宋_GB2312" w:cs="仿宋_GB2312"/>
          <w:color w:val="auto"/>
          <w:spacing w:val="14"/>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购代理机构改正后依法重新招标；</w:t>
      </w:r>
    </w:p>
    <w:p w14:paraId="3F01B558">
      <w:pPr>
        <w:pStyle w:val="10"/>
        <w:spacing w:before="134" w:line="267" w:lineRule="auto"/>
        <w:ind w:left="26" w:right="64" w:firstLine="55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（二）采购文件没有不合理条款、招标程序符合规定，需要采用其他采购</w:t>
      </w:r>
      <w:r>
        <w:rPr>
          <w:rFonts w:hint="eastAsia" w:ascii="仿宋_GB2312" w:hAnsi="仿宋_GB2312" w:eastAsia="仿宋_GB2312" w:cs="仿宋_GB2312"/>
          <w:color w:val="auto"/>
          <w:spacing w:val="15"/>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方式采购的，采购人应当依法报财政部门批准。</w:t>
      </w:r>
    </w:p>
    <w:p w14:paraId="3F96D167">
      <w:pPr>
        <w:pStyle w:val="10"/>
        <w:spacing w:before="136" w:line="305" w:lineRule="auto"/>
        <w:ind w:left="21" w:right="38" w:firstLine="55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29.4</w:t>
      </w:r>
      <w:r>
        <w:rPr>
          <w:rFonts w:hint="eastAsia" w:ascii="仿宋_GB2312" w:hAnsi="仿宋_GB2312" w:eastAsia="仿宋_GB2312" w:cs="仿宋_GB2312"/>
          <w:color w:val="auto"/>
          <w:spacing w:val="-2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供应商法定代表人或法定代表人授权委托人参与开标远程交互时，</w:t>
      </w:r>
      <w:r>
        <w:rPr>
          <w:rFonts w:hint="eastAsia" w:ascii="仿宋_GB2312" w:hAnsi="仿宋_GB2312" w:eastAsia="仿宋_GB2312" w:cs="仿宋_GB2312"/>
          <w:color w:val="auto"/>
          <w:sz w:val="28"/>
          <w:szCs w:val="28"/>
          <w:highlight w:val="none"/>
          <w:lang w:eastAsia="zh-CN"/>
        </w:rPr>
        <w:t xml:space="preserve"> 中途不得更换，在解密、废标、澄清、提疑、传送文件等特殊情况下需要交互</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9"/>
          <w:sz w:val="28"/>
          <w:szCs w:val="28"/>
          <w:highlight w:val="none"/>
          <w:lang w:eastAsia="zh-CN"/>
        </w:rPr>
        <w:t>时，供应商一端参与交互的人员将均被视为</w:t>
      </w:r>
      <w:r>
        <w:rPr>
          <w:rFonts w:hint="eastAsia" w:ascii="仿宋_GB2312" w:hAnsi="仿宋_GB2312" w:eastAsia="仿宋_GB2312" w:cs="仿宋_GB2312"/>
          <w:color w:val="auto"/>
          <w:spacing w:val="8"/>
          <w:sz w:val="28"/>
          <w:szCs w:val="28"/>
          <w:highlight w:val="none"/>
          <w:lang w:eastAsia="zh-CN"/>
        </w:rPr>
        <w:t>是供应商的授权委托人或法人代</w:t>
      </w:r>
      <w:r>
        <w:rPr>
          <w:rFonts w:hint="eastAsia" w:ascii="仿宋_GB2312" w:hAnsi="仿宋_GB2312" w:eastAsia="仿宋_GB2312" w:cs="仿宋_GB2312"/>
          <w:color w:val="auto"/>
          <w:sz w:val="28"/>
          <w:szCs w:val="28"/>
          <w:highlight w:val="none"/>
          <w:lang w:eastAsia="zh-CN"/>
        </w:rPr>
        <w:t xml:space="preserve"> 表，供应商不得以不承认交互人员的资格或身份等为借口推脱，供应商自行承</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担随意更换人员所导致的一切后果。</w:t>
      </w:r>
    </w:p>
    <w:p w14:paraId="17EC2D7E">
      <w:pPr>
        <w:pStyle w:val="10"/>
        <w:spacing w:before="46" w:line="294" w:lineRule="auto"/>
        <w:ind w:left="30" w:right="46" w:firstLine="54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29.5</w:t>
      </w:r>
      <w:r>
        <w:rPr>
          <w:rFonts w:hint="eastAsia" w:ascii="仿宋_GB2312" w:hAnsi="仿宋_GB2312" w:eastAsia="仿宋_GB2312" w:cs="仿宋_GB2312"/>
          <w:color w:val="auto"/>
          <w:spacing w:val="-42"/>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采购人或采购代理机构应对开标过程</w:t>
      </w:r>
      <w:r>
        <w:rPr>
          <w:rFonts w:hint="eastAsia" w:ascii="仿宋_GB2312" w:hAnsi="仿宋_GB2312" w:eastAsia="仿宋_GB2312" w:cs="仿宋_GB2312"/>
          <w:color w:val="auto"/>
          <w:spacing w:val="3"/>
          <w:sz w:val="28"/>
          <w:szCs w:val="28"/>
          <w:highlight w:val="none"/>
          <w:lang w:eastAsia="zh-CN"/>
        </w:rPr>
        <w:t>进行记录，</w:t>
      </w:r>
      <w:r>
        <w:rPr>
          <w:rFonts w:hint="eastAsia" w:ascii="仿宋_GB2312" w:hAnsi="仿宋_GB2312" w:eastAsia="仿宋_GB2312" w:cs="仿宋_GB2312"/>
          <w:color w:val="auto"/>
          <w:spacing w:val="-70"/>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由相关工作人员签</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字确认后随采购文件一并存档。</w:t>
      </w:r>
    </w:p>
    <w:p w14:paraId="5A9A02C7">
      <w:pPr>
        <w:pStyle w:val="10"/>
        <w:spacing w:before="46" w:line="294" w:lineRule="auto"/>
        <w:ind w:left="30" w:right="46" w:firstLine="542"/>
        <w:outlineLvl w:val="2"/>
        <w:rPr>
          <w:rFonts w:ascii="仿宋_GB2312" w:hAnsi="仿宋_GB2312" w:eastAsia="仿宋_GB2312" w:cs="仿宋_GB2312"/>
          <w:color w:val="auto"/>
          <w:spacing w:val="4"/>
          <w:sz w:val="28"/>
          <w:szCs w:val="28"/>
          <w:highlight w:val="none"/>
          <w:lang w:eastAsia="zh-CN"/>
        </w:rPr>
      </w:pPr>
      <w:bookmarkStart w:id="81" w:name="_Toc26917"/>
      <w:bookmarkStart w:id="82" w:name="_Toc3617"/>
      <w:r>
        <w:rPr>
          <w:rFonts w:hint="eastAsia" w:ascii="仿宋_GB2312" w:hAnsi="仿宋_GB2312" w:eastAsia="仿宋_GB2312" w:cs="仿宋_GB2312"/>
          <w:color w:val="auto"/>
          <w:spacing w:val="4"/>
          <w:sz w:val="28"/>
          <w:szCs w:val="28"/>
          <w:highlight w:val="none"/>
          <w:lang w:eastAsia="zh-CN"/>
        </w:rPr>
        <w:t>30. 资格审查</w:t>
      </w:r>
      <w:bookmarkEnd w:id="81"/>
      <w:bookmarkEnd w:id="82"/>
    </w:p>
    <w:p w14:paraId="61697B7C">
      <w:pPr>
        <w:pStyle w:val="10"/>
        <w:spacing w:before="46" w:line="294" w:lineRule="auto"/>
        <w:ind w:left="30" w:right="46" w:firstLine="542"/>
        <w:rPr>
          <w:rFonts w:ascii="仿宋_GB2312" w:hAnsi="仿宋_GB2312" w:eastAsia="仿宋_GB2312" w:cs="仿宋_GB2312"/>
          <w:color w:val="auto"/>
          <w:spacing w:val="4"/>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30.1 开标结束后，采购人按照本采购文件资格响应文件的要求对各供应商进行资格审查，同时由招标代理机构按照《投标须知前附表》第4.4 项要求对所有供应商进行信用记录查询，并将查询结果书面记录资料提交采购人。供应商资格审查不合格的，其投标无效。</w:t>
      </w:r>
    </w:p>
    <w:p w14:paraId="26B3332B">
      <w:pPr>
        <w:pStyle w:val="10"/>
        <w:spacing w:before="45" w:line="222" w:lineRule="auto"/>
        <w:ind w:left="575"/>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30.2</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合格供应商不足三家的，不进行评标。</w:t>
      </w:r>
    </w:p>
    <w:p w14:paraId="43BEBA69">
      <w:pPr>
        <w:pStyle w:val="10"/>
        <w:spacing w:before="136" w:line="223" w:lineRule="auto"/>
        <w:ind w:left="581"/>
        <w:outlineLvl w:val="1"/>
        <w:rPr>
          <w:rFonts w:ascii="仿宋_GB2312" w:hAnsi="仿宋_GB2312" w:eastAsia="仿宋_GB2312" w:cs="仿宋_GB2312"/>
          <w:color w:val="auto"/>
          <w:sz w:val="28"/>
          <w:szCs w:val="28"/>
          <w:highlight w:val="none"/>
          <w:lang w:eastAsia="zh-CN"/>
        </w:rPr>
      </w:pPr>
      <w:bookmarkStart w:id="83" w:name="_Toc24133"/>
      <w:bookmarkStart w:id="84" w:name="_Toc17312"/>
      <w:r>
        <w:rPr>
          <w:rFonts w:hint="eastAsia" w:ascii="仿宋_GB2312" w:hAnsi="仿宋_GB2312" w:eastAsia="仿宋_GB2312" w:cs="仿宋_GB2312"/>
          <w:b/>
          <w:bCs/>
          <w:color w:val="auto"/>
          <w:spacing w:val="-9"/>
          <w:sz w:val="28"/>
          <w:szCs w:val="28"/>
          <w:highlight w:val="none"/>
          <w:lang w:eastAsia="zh-CN"/>
        </w:rPr>
        <w:t>（六）</w:t>
      </w:r>
      <w:r>
        <w:rPr>
          <w:rFonts w:hint="eastAsia" w:ascii="仿宋_GB2312" w:hAnsi="仿宋_GB2312" w:eastAsia="仿宋_GB2312" w:cs="仿宋_GB2312"/>
          <w:color w:val="auto"/>
          <w:spacing w:val="22"/>
          <w:sz w:val="28"/>
          <w:szCs w:val="28"/>
          <w:highlight w:val="none"/>
          <w:lang w:eastAsia="zh-CN"/>
        </w:rPr>
        <w:t xml:space="preserve"> </w:t>
      </w:r>
      <w:r>
        <w:rPr>
          <w:rFonts w:hint="eastAsia" w:ascii="仿宋_GB2312" w:hAnsi="仿宋_GB2312" w:eastAsia="仿宋_GB2312" w:cs="仿宋_GB2312"/>
          <w:b/>
          <w:bCs/>
          <w:color w:val="auto"/>
          <w:spacing w:val="-9"/>
          <w:sz w:val="28"/>
          <w:szCs w:val="28"/>
          <w:highlight w:val="none"/>
          <w:lang w:eastAsia="zh-CN"/>
        </w:rPr>
        <w:t>评标</w:t>
      </w:r>
      <w:bookmarkEnd w:id="83"/>
      <w:bookmarkEnd w:id="84"/>
    </w:p>
    <w:p w14:paraId="0702140E">
      <w:pPr>
        <w:pStyle w:val="10"/>
        <w:spacing w:before="134" w:line="223" w:lineRule="auto"/>
        <w:ind w:left="578"/>
        <w:outlineLvl w:val="2"/>
        <w:rPr>
          <w:rFonts w:ascii="仿宋_GB2312" w:hAnsi="仿宋_GB2312" w:eastAsia="仿宋_GB2312" w:cs="仿宋_GB2312"/>
          <w:color w:val="auto"/>
          <w:sz w:val="28"/>
          <w:szCs w:val="28"/>
          <w:highlight w:val="none"/>
          <w:lang w:eastAsia="zh-CN"/>
        </w:rPr>
      </w:pPr>
      <w:bookmarkStart w:id="85" w:name="_Toc12457"/>
      <w:bookmarkStart w:id="86" w:name="_Toc3856"/>
      <w:r>
        <w:rPr>
          <w:rFonts w:hint="eastAsia" w:ascii="仿宋_GB2312" w:hAnsi="仿宋_GB2312" w:eastAsia="仿宋_GB2312" w:cs="仿宋_GB2312"/>
          <w:b/>
          <w:bCs/>
          <w:color w:val="auto"/>
          <w:spacing w:val="-4"/>
          <w:sz w:val="28"/>
          <w:szCs w:val="28"/>
          <w:highlight w:val="none"/>
          <w:lang w:eastAsia="zh-CN"/>
        </w:rPr>
        <w:t>31.</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评标委员会与评标</w:t>
      </w:r>
      <w:bookmarkEnd w:id="85"/>
      <w:bookmarkEnd w:id="86"/>
    </w:p>
    <w:p w14:paraId="75C8229E">
      <w:pPr>
        <w:pStyle w:val="10"/>
        <w:spacing w:before="133" w:line="295" w:lineRule="auto"/>
        <w:ind w:left="21" w:right="42" w:firstLine="55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31.1 评标工作由采购人依法组建的评标委员会负责。评标委员会的名单</w:t>
      </w:r>
      <w:r>
        <w:rPr>
          <w:rFonts w:hint="eastAsia" w:ascii="仿宋_GB2312" w:hAnsi="仿宋_GB2312" w:eastAsia="仿宋_GB2312" w:cs="仿宋_GB2312"/>
          <w:color w:val="auto"/>
          <w:spacing w:val="13"/>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在评标结果公告前应当保密。</w:t>
      </w:r>
    </w:p>
    <w:p w14:paraId="19E4F6D2">
      <w:pPr>
        <w:pStyle w:val="10"/>
        <w:spacing w:before="49" w:line="295" w:lineRule="auto"/>
        <w:ind w:left="22" w:right="46" w:firstLine="55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31.2 本项目评标委员会由5人及以上（单数）组成，为新疆政府采购网政采云平台专家库中随机抽取相关专业专家及采购人代表人（若有）组成。</w:t>
      </w:r>
    </w:p>
    <w:p w14:paraId="7FDD8DA8">
      <w:pPr>
        <w:pStyle w:val="10"/>
        <w:spacing w:before="48" w:line="221" w:lineRule="auto"/>
        <w:ind w:left="575"/>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31.3 开标结束后，开始评标，评标采用保密方</w:t>
      </w:r>
      <w:r>
        <w:rPr>
          <w:rFonts w:hint="eastAsia" w:ascii="仿宋_GB2312" w:hAnsi="仿宋_GB2312" w:eastAsia="仿宋_GB2312" w:cs="仿宋_GB2312"/>
          <w:color w:val="auto"/>
          <w:spacing w:val="-2"/>
          <w:sz w:val="28"/>
          <w:szCs w:val="28"/>
          <w:highlight w:val="none"/>
          <w:lang w:eastAsia="zh-CN"/>
        </w:rPr>
        <w:t>式进行。</w:t>
      </w:r>
    </w:p>
    <w:p w14:paraId="71906F26">
      <w:pPr>
        <w:pStyle w:val="10"/>
        <w:spacing w:before="139" w:line="295" w:lineRule="auto"/>
        <w:ind w:left="24" w:right="42" w:firstLine="55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31.4 评标委员会组长由评标委员会成员推举产生，并与评标委员会其他</w:t>
      </w:r>
      <w:r>
        <w:rPr>
          <w:rFonts w:hint="eastAsia" w:ascii="仿宋_GB2312" w:hAnsi="仿宋_GB2312" w:eastAsia="仿宋_GB2312" w:cs="仿宋_GB2312"/>
          <w:color w:val="auto"/>
          <w:spacing w:val="13"/>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成员有同等的权利和义务。采购人代表不得担任评标委员会组长。</w:t>
      </w:r>
    </w:p>
    <w:p w14:paraId="4D04EE14">
      <w:pPr>
        <w:pStyle w:val="10"/>
        <w:spacing w:before="47" w:line="297" w:lineRule="auto"/>
        <w:ind w:left="21" w:right="42" w:firstLine="55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31.5 评标委员会成员应当客观、公正地履行职责，遵守职业道德，对所</w:t>
      </w:r>
      <w:r>
        <w:rPr>
          <w:rFonts w:hint="eastAsia" w:ascii="仿宋_GB2312" w:hAnsi="仿宋_GB2312" w:eastAsia="仿宋_GB2312" w:cs="仿宋_GB2312"/>
          <w:color w:val="auto"/>
          <w:spacing w:val="13"/>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提出的评审意见承担个人责任。</w:t>
      </w:r>
    </w:p>
    <w:p w14:paraId="512E570C">
      <w:pPr>
        <w:pStyle w:val="10"/>
        <w:spacing w:before="44" w:line="297" w:lineRule="auto"/>
        <w:ind w:left="30" w:right="42" w:firstLine="545"/>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31.6 评标委员会根据采购文件确定的评比标准和方法，对投标文件进行</w:t>
      </w:r>
      <w:r>
        <w:rPr>
          <w:rFonts w:hint="eastAsia" w:ascii="仿宋_GB2312" w:hAnsi="仿宋_GB2312" w:eastAsia="仿宋_GB2312" w:cs="仿宋_GB2312"/>
          <w:color w:val="auto"/>
          <w:spacing w:val="13"/>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系统地评审和比较。采购文件中没有规定的标准和方法</w:t>
      </w:r>
      <w:r>
        <w:rPr>
          <w:rFonts w:hint="eastAsia" w:ascii="仿宋_GB2312" w:hAnsi="仿宋_GB2312" w:eastAsia="仿宋_GB2312" w:cs="仿宋_GB2312"/>
          <w:color w:val="auto"/>
          <w:spacing w:val="-2"/>
          <w:sz w:val="28"/>
          <w:szCs w:val="28"/>
          <w:highlight w:val="none"/>
          <w:lang w:eastAsia="zh-CN"/>
        </w:rPr>
        <w:t>不得作为评标的依据。</w:t>
      </w:r>
    </w:p>
    <w:p w14:paraId="79CE42C5">
      <w:pPr>
        <w:pStyle w:val="10"/>
        <w:spacing w:before="43" w:line="301" w:lineRule="auto"/>
        <w:ind w:left="18" w:right="38" w:firstLine="556"/>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31.7</w:t>
      </w:r>
      <w:r>
        <w:rPr>
          <w:rFonts w:hint="eastAsia" w:ascii="仿宋_GB2312" w:hAnsi="仿宋_GB2312" w:eastAsia="仿宋_GB2312" w:cs="仿宋_GB2312"/>
          <w:color w:val="auto"/>
          <w:spacing w:val="-41"/>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在评标过程中，评标委员会发现有证据</w:t>
      </w:r>
      <w:r>
        <w:rPr>
          <w:rFonts w:hint="eastAsia" w:ascii="仿宋_GB2312" w:hAnsi="仿宋_GB2312" w:eastAsia="仿宋_GB2312" w:cs="仿宋_GB2312"/>
          <w:color w:val="auto"/>
          <w:spacing w:val="5"/>
          <w:sz w:val="28"/>
          <w:szCs w:val="28"/>
          <w:highlight w:val="none"/>
          <w:lang w:eastAsia="zh-CN"/>
        </w:rPr>
        <w:t>表明供应商以他人的名义投</w:t>
      </w:r>
      <w:r>
        <w:rPr>
          <w:rFonts w:hint="eastAsia" w:ascii="仿宋_GB2312" w:hAnsi="仿宋_GB2312" w:eastAsia="仿宋_GB2312" w:cs="仿宋_GB2312"/>
          <w:color w:val="auto"/>
          <w:sz w:val="28"/>
          <w:szCs w:val="28"/>
          <w:highlight w:val="none"/>
          <w:lang w:eastAsia="zh-CN"/>
        </w:rPr>
        <w:t xml:space="preserve"> 标、串通投标、以行贿手段谋取中标或者以其他弄虚作假方式投标的，该供应</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商的投标作无效标处理。并在评标报告中说明。</w:t>
      </w:r>
    </w:p>
    <w:p w14:paraId="78E4707B">
      <w:pPr>
        <w:pStyle w:val="10"/>
        <w:spacing w:before="47" w:line="223" w:lineRule="auto"/>
        <w:ind w:left="578"/>
        <w:outlineLvl w:val="2"/>
        <w:rPr>
          <w:rFonts w:ascii="仿宋_GB2312" w:hAnsi="仿宋_GB2312" w:eastAsia="仿宋_GB2312" w:cs="仿宋_GB2312"/>
          <w:color w:val="auto"/>
          <w:sz w:val="28"/>
          <w:szCs w:val="28"/>
          <w:highlight w:val="none"/>
          <w:lang w:eastAsia="zh-CN"/>
        </w:rPr>
      </w:pPr>
      <w:bookmarkStart w:id="87" w:name="_Toc12276"/>
      <w:bookmarkStart w:id="88" w:name="_Toc14225"/>
      <w:r>
        <w:rPr>
          <w:rFonts w:hint="eastAsia" w:ascii="仿宋_GB2312" w:hAnsi="仿宋_GB2312" w:eastAsia="仿宋_GB2312" w:cs="仿宋_GB2312"/>
          <w:b/>
          <w:bCs/>
          <w:color w:val="auto"/>
          <w:spacing w:val="-4"/>
          <w:sz w:val="28"/>
          <w:szCs w:val="28"/>
          <w:highlight w:val="none"/>
          <w:lang w:eastAsia="zh-CN"/>
        </w:rPr>
        <w:t>32.</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投标文件的澄清</w:t>
      </w:r>
      <w:bookmarkEnd w:id="87"/>
      <w:bookmarkEnd w:id="88"/>
    </w:p>
    <w:p w14:paraId="6EBC14B1">
      <w:pPr>
        <w:pStyle w:val="10"/>
        <w:spacing w:before="136" w:line="303" w:lineRule="auto"/>
        <w:ind w:left="19" w:right="38" w:firstLine="556"/>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32.1 为有助于对投标文件进行审查、评估和比较，供应商对评审中评标</w:t>
      </w:r>
      <w:r>
        <w:rPr>
          <w:rFonts w:hint="eastAsia" w:ascii="仿宋_GB2312" w:hAnsi="仿宋_GB2312" w:eastAsia="仿宋_GB2312" w:cs="仿宋_GB2312"/>
          <w:color w:val="auto"/>
          <w:spacing w:val="13"/>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委员会提出的投标文件中含义不明确、同类问题表述不一致或者有明显文字和</w:t>
      </w:r>
      <w:r>
        <w:rPr>
          <w:rFonts w:hint="eastAsia" w:ascii="仿宋_GB2312" w:hAnsi="仿宋_GB2312" w:eastAsia="仿宋_GB2312" w:cs="仿宋_GB2312"/>
          <w:color w:val="auto"/>
          <w:spacing w:val="9"/>
          <w:sz w:val="28"/>
          <w:szCs w:val="28"/>
          <w:highlight w:val="none"/>
          <w:lang w:eastAsia="zh-CN"/>
        </w:rPr>
        <w:t xml:space="preserve"> 计算错误的内容，应通过政采云平台进行澄清、说</w:t>
      </w:r>
      <w:r>
        <w:rPr>
          <w:rFonts w:hint="eastAsia" w:ascii="仿宋_GB2312" w:hAnsi="仿宋_GB2312" w:eastAsia="仿宋_GB2312" w:cs="仿宋_GB2312"/>
          <w:color w:val="auto"/>
          <w:spacing w:val="8"/>
          <w:sz w:val="28"/>
          <w:szCs w:val="28"/>
          <w:highlight w:val="none"/>
          <w:lang w:eastAsia="zh-CN"/>
        </w:rPr>
        <w:t>明或者补正。供应商的澄</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清、说明或者补正不得超出投标文件的范围或者改变投标文件的实质性内容。</w:t>
      </w:r>
    </w:p>
    <w:p w14:paraId="4072CDCD">
      <w:pPr>
        <w:pStyle w:val="10"/>
        <w:spacing w:before="50"/>
        <w:ind w:left="41" w:right="42" w:firstLine="53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32.2 供应商未按照要求对投标文件进行澄清、说明或者补正的，评标委</w:t>
      </w:r>
      <w:r>
        <w:rPr>
          <w:rFonts w:hint="eastAsia" w:ascii="仿宋_GB2312" w:hAnsi="仿宋_GB2312" w:eastAsia="仿宋_GB2312" w:cs="仿宋_GB2312"/>
          <w:color w:val="auto"/>
          <w:spacing w:val="13"/>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员会可以否决其投标。</w:t>
      </w:r>
    </w:p>
    <w:p w14:paraId="0F4E02EC">
      <w:pPr>
        <w:pStyle w:val="10"/>
        <w:spacing w:before="48"/>
        <w:ind w:left="578"/>
        <w:outlineLvl w:val="2"/>
        <w:rPr>
          <w:rFonts w:ascii="仿宋_GB2312" w:hAnsi="仿宋_GB2312" w:eastAsia="仿宋_GB2312" w:cs="仿宋_GB2312"/>
          <w:color w:val="auto"/>
          <w:sz w:val="28"/>
          <w:szCs w:val="28"/>
          <w:highlight w:val="none"/>
          <w:lang w:eastAsia="zh-CN"/>
        </w:rPr>
      </w:pPr>
      <w:bookmarkStart w:id="89" w:name="_Toc11946"/>
      <w:bookmarkStart w:id="90" w:name="_Toc11906"/>
      <w:r>
        <w:rPr>
          <w:rFonts w:hint="eastAsia" w:ascii="仿宋_GB2312" w:hAnsi="仿宋_GB2312" w:eastAsia="仿宋_GB2312" w:cs="仿宋_GB2312"/>
          <w:b/>
          <w:bCs/>
          <w:color w:val="auto"/>
          <w:spacing w:val="-3"/>
          <w:sz w:val="28"/>
          <w:szCs w:val="28"/>
          <w:highlight w:val="none"/>
          <w:lang w:eastAsia="zh-CN"/>
        </w:rPr>
        <w:t>33.</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投标文件的评审、比较</w:t>
      </w:r>
      <w:bookmarkEnd w:id="89"/>
      <w:bookmarkEnd w:id="90"/>
    </w:p>
    <w:p w14:paraId="3ED2DC38">
      <w:pPr>
        <w:spacing w:line="480" w:lineRule="exact"/>
        <w:ind w:firstLine="560" w:firstLineChars="20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33.1 投标文件符合性审查</w:t>
      </w:r>
    </w:p>
    <w:p w14:paraId="3A572AEF">
      <w:pPr>
        <w:spacing w:line="480" w:lineRule="exact"/>
        <w:ind w:firstLine="560" w:firstLineChars="20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33.1.1 评标委员会应当对通过资格审查的供应商的投标文件进行符合性</w:t>
      </w:r>
    </w:p>
    <w:p w14:paraId="3D16DD74">
      <w:pPr>
        <w:spacing w:line="480" w:lineRule="exact"/>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审查，以确定其是否满足采购文件的实质性要求。通过符合性审查的供应商的 投标文件进入详细评审。</w:t>
      </w:r>
    </w:p>
    <w:p w14:paraId="313A81AF">
      <w:pPr>
        <w:spacing w:line="480" w:lineRule="exact"/>
        <w:ind w:firstLine="560" w:firstLineChars="20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33.2 投标文件的详细评审</w:t>
      </w:r>
    </w:p>
    <w:p w14:paraId="2C8DE88C">
      <w:pPr>
        <w:spacing w:line="480" w:lineRule="exact"/>
        <w:ind w:firstLine="560" w:firstLineChars="20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33.2.1 综合评分法是指投标文件满足采购文件全部实质性要求，且按照 评审因素的量化指标评审综合得分（即商务部分、技术部分、报价部分合计分 值）最高的供应商为中标候选人的评标方法。采用综合评分法的，评标委员会 将按供应商综合得分顺序由高到低依次排名，得分相同的，按投标报价由低到 高顺序排列。得分及报价相同的，按技术指标优劣顺序排列。得分由高到低顺 序排列一至三名供应商将成为中标候选人。</w:t>
      </w:r>
    </w:p>
    <w:p w14:paraId="5B1F11C2">
      <w:pPr>
        <w:spacing w:line="480" w:lineRule="exact"/>
        <w:ind w:firstLine="560" w:firstLineChars="20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33.2.2 评审中，评标委员会可以对投标文件中含义不明确、同类问题表 述不一致或者有明显文字和计算错误的内容，在规定的时限内要求供应商作出 必要的澄清、说明或者补正。</w:t>
      </w:r>
    </w:p>
    <w:p w14:paraId="51F92394">
      <w:pPr>
        <w:pStyle w:val="10"/>
        <w:spacing w:before="45" w:line="304" w:lineRule="auto"/>
        <w:ind w:left="20" w:right="38" w:firstLine="554"/>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33.2.3</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评标委员会认为供应商的报价明显低于其他通过符合性审查供应</w:t>
      </w:r>
      <w:r>
        <w:rPr>
          <w:rFonts w:hint="eastAsia" w:ascii="仿宋_GB2312" w:hAnsi="仿宋_GB2312" w:eastAsia="仿宋_GB2312" w:cs="仿宋_GB2312"/>
          <w:color w:val="auto"/>
          <w:sz w:val="28"/>
          <w:szCs w:val="28"/>
          <w:highlight w:val="none"/>
          <w:lang w:eastAsia="zh-CN"/>
        </w:rPr>
        <w:t xml:space="preserve"> 商的报价，有可能影响产品质量或者不能诚信履约的，应当要求其在评标现场</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合理的时间内提供相关说明，必要时提交相关证明材料；供应商不能证明其报</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价合理性的，评标委员会应当将其作为无效投标处理。</w:t>
      </w:r>
    </w:p>
    <w:p w14:paraId="5DD6D861">
      <w:pPr>
        <w:pStyle w:val="10"/>
        <w:spacing w:before="47" w:line="305" w:lineRule="auto"/>
        <w:ind w:left="20" w:right="38" w:firstLine="554"/>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33.2.4</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使用综合评分法的采购项目，提供相同品牌且通过资格审查、符</w:t>
      </w:r>
      <w:r>
        <w:rPr>
          <w:rFonts w:hint="eastAsia" w:ascii="仿宋_GB2312" w:hAnsi="仿宋_GB2312" w:eastAsia="仿宋_GB2312" w:cs="仿宋_GB2312"/>
          <w:color w:val="auto"/>
          <w:sz w:val="28"/>
          <w:szCs w:val="28"/>
          <w:highlight w:val="none"/>
          <w:lang w:eastAsia="zh-CN"/>
        </w:rPr>
        <w:t xml:space="preserve"> 合性审查的不同供应商参加同一合同项下投标的，按一家供应商计算，评审后</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得分最高的同品牌供应商获得中标人推荐资格，评审得分相同的，由评标委员</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会按照报价最低的供应商，推荐其作为中标候选人，其他同品牌供应商不作为</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中标候选人。</w:t>
      </w:r>
    </w:p>
    <w:p w14:paraId="1637E57F">
      <w:pPr>
        <w:pStyle w:val="10"/>
        <w:spacing w:before="45" w:line="304" w:lineRule="auto"/>
        <w:ind w:left="21" w:right="38" w:firstLine="553"/>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33.2.5</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评标委员会发现采购文件存在歧义、重大缺陷导致评标工作无法</w:t>
      </w:r>
      <w:r>
        <w:rPr>
          <w:rFonts w:hint="eastAsia" w:ascii="仿宋_GB2312" w:hAnsi="仿宋_GB2312" w:eastAsia="仿宋_GB2312" w:cs="仿宋_GB2312"/>
          <w:color w:val="auto"/>
          <w:sz w:val="28"/>
          <w:szCs w:val="28"/>
          <w:highlight w:val="none"/>
          <w:lang w:eastAsia="zh-CN"/>
        </w:rPr>
        <w:t xml:space="preserve"> 进行，或者采购文件内容违反国家有关强制性规定的，应当停止评标工作，与</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采购人和采购代理机构沟通并作书面记录。采购人和采购代理机构确认后，应</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当修改采购文件，重新组织采购活动。</w:t>
      </w:r>
    </w:p>
    <w:p w14:paraId="796BEDF5">
      <w:pPr>
        <w:pStyle w:val="10"/>
        <w:spacing w:before="43" w:line="301" w:lineRule="auto"/>
        <w:ind w:left="21" w:right="38" w:firstLine="553"/>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33.2.6</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评标报告由评标委员会全体成员签字。评标委员会成员对需要共</w:t>
      </w:r>
      <w:r>
        <w:rPr>
          <w:rFonts w:hint="eastAsia" w:ascii="仿宋_GB2312" w:hAnsi="仿宋_GB2312" w:eastAsia="仿宋_GB2312" w:cs="仿宋_GB2312"/>
          <w:color w:val="auto"/>
          <w:sz w:val="28"/>
          <w:szCs w:val="28"/>
          <w:highlight w:val="none"/>
          <w:lang w:eastAsia="zh-CN"/>
        </w:rPr>
        <w:t xml:space="preserve"> 同认定的事项存在争议的，应当按照少数服从多数的原则作出结论。持不同意</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见的评标委员会成员应当在评标报告上签署不同意见及理由，否则视为同意评</w:t>
      </w:r>
      <w:r>
        <w:rPr>
          <w:rFonts w:hint="eastAsia" w:ascii="仿宋_GB2312" w:hAnsi="仿宋_GB2312" w:eastAsia="仿宋_GB2312" w:cs="仿宋_GB2312"/>
          <w:color w:val="auto"/>
          <w:spacing w:val="-9"/>
          <w:sz w:val="28"/>
          <w:szCs w:val="28"/>
          <w:highlight w:val="none"/>
          <w:lang w:eastAsia="zh-CN"/>
        </w:rPr>
        <w:t>标报告。</w:t>
      </w:r>
    </w:p>
    <w:p w14:paraId="3C94D261">
      <w:pPr>
        <w:pStyle w:val="10"/>
        <w:spacing w:before="134" w:line="297" w:lineRule="auto"/>
        <w:ind w:left="26" w:right="240" w:firstLine="55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33.2.7</w:t>
      </w:r>
      <w:r>
        <w:rPr>
          <w:rFonts w:hint="eastAsia" w:ascii="仿宋_GB2312" w:hAnsi="仿宋_GB2312" w:eastAsia="仿宋_GB2312" w:cs="仿宋_GB2312"/>
          <w:color w:val="auto"/>
          <w:spacing w:val="-31"/>
          <w:sz w:val="28"/>
          <w:szCs w:val="28"/>
          <w:highlight w:val="none"/>
          <w:lang w:eastAsia="zh-CN"/>
        </w:rPr>
        <w:t xml:space="preserve"> </w:t>
      </w:r>
      <w:r>
        <w:rPr>
          <w:rFonts w:hint="eastAsia" w:ascii="仿宋_GB2312" w:hAnsi="仿宋_GB2312" w:eastAsia="仿宋_GB2312" w:cs="仿宋_GB2312"/>
          <w:color w:val="auto"/>
          <w:spacing w:val="12"/>
          <w:sz w:val="28"/>
          <w:szCs w:val="28"/>
          <w:highlight w:val="none"/>
          <w:lang w:eastAsia="zh-CN"/>
        </w:rPr>
        <w:t>评标结果汇总完成后，</w:t>
      </w:r>
      <w:r>
        <w:rPr>
          <w:rFonts w:hint="eastAsia" w:ascii="仿宋_GB2312" w:hAnsi="仿宋_GB2312" w:eastAsia="仿宋_GB2312" w:cs="仿宋_GB2312"/>
          <w:color w:val="auto"/>
          <w:spacing w:val="-69"/>
          <w:sz w:val="28"/>
          <w:szCs w:val="28"/>
          <w:highlight w:val="none"/>
          <w:lang w:eastAsia="zh-CN"/>
        </w:rPr>
        <w:t xml:space="preserve"> </w:t>
      </w:r>
      <w:r>
        <w:rPr>
          <w:rFonts w:hint="eastAsia" w:ascii="仿宋_GB2312" w:hAnsi="仿宋_GB2312" w:eastAsia="仿宋_GB2312" w:cs="仿宋_GB2312"/>
          <w:color w:val="auto"/>
          <w:spacing w:val="12"/>
          <w:sz w:val="28"/>
          <w:szCs w:val="28"/>
          <w:highlight w:val="none"/>
          <w:lang w:eastAsia="zh-CN"/>
        </w:rPr>
        <w:t>除下列情形外，任何人</w:t>
      </w:r>
      <w:r>
        <w:rPr>
          <w:rFonts w:hint="eastAsia" w:ascii="仿宋_GB2312" w:hAnsi="仿宋_GB2312" w:eastAsia="仿宋_GB2312" w:cs="仿宋_GB2312"/>
          <w:color w:val="auto"/>
          <w:spacing w:val="11"/>
          <w:sz w:val="28"/>
          <w:szCs w:val="28"/>
          <w:highlight w:val="none"/>
          <w:lang w:eastAsia="zh-CN"/>
        </w:rPr>
        <w:t>不得修改评标结</w:t>
      </w:r>
      <w:r>
        <w:rPr>
          <w:rFonts w:hint="eastAsia" w:ascii="仿宋_GB2312" w:hAnsi="仿宋_GB2312" w:eastAsia="仿宋_GB2312" w:cs="仿宋_GB2312"/>
          <w:color w:val="auto"/>
          <w:spacing w:val="-21"/>
          <w:sz w:val="28"/>
          <w:szCs w:val="28"/>
          <w:highlight w:val="none"/>
          <w:lang w:eastAsia="zh-CN"/>
        </w:rPr>
        <w:t>果：</w:t>
      </w:r>
    </w:p>
    <w:p w14:paraId="3457AF2D">
      <w:pPr>
        <w:pStyle w:val="10"/>
        <w:spacing w:before="43" w:line="222" w:lineRule="auto"/>
        <w:ind w:left="58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（一）分值汇总计算错误的；</w:t>
      </w:r>
    </w:p>
    <w:p w14:paraId="22E82652">
      <w:pPr>
        <w:pStyle w:val="10"/>
        <w:spacing w:before="135" w:line="223" w:lineRule="auto"/>
        <w:ind w:left="58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（二）分项评分超出评分标准范围的；</w:t>
      </w:r>
    </w:p>
    <w:p w14:paraId="3F12CA84">
      <w:pPr>
        <w:pStyle w:val="10"/>
        <w:spacing w:before="134" w:line="223" w:lineRule="auto"/>
        <w:ind w:left="58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（三）评标委员会成员对客观评审因素评分不一致的；</w:t>
      </w:r>
    </w:p>
    <w:p w14:paraId="4EF002AB">
      <w:pPr>
        <w:pStyle w:val="10"/>
        <w:spacing w:before="132" w:line="223" w:lineRule="auto"/>
        <w:ind w:left="58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（四）经评标委员会认定评分畸高、畸低的。</w:t>
      </w:r>
    </w:p>
    <w:p w14:paraId="68A3365B">
      <w:pPr>
        <w:pStyle w:val="10"/>
        <w:spacing w:before="132" w:line="304" w:lineRule="auto"/>
        <w:ind w:left="23" w:right="235" w:firstLine="56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w:t>
      </w:r>
      <w:r>
        <w:rPr>
          <w:rFonts w:hint="eastAsia" w:ascii="仿宋_GB2312" w:hAnsi="仿宋_GB2312" w:eastAsia="仿宋_GB2312" w:cs="仿宋_GB2312"/>
          <w:color w:val="auto"/>
          <w:spacing w:val="-2"/>
          <w:sz w:val="28"/>
          <w:szCs w:val="28"/>
          <w:highlight w:val="none"/>
          <w:lang w:eastAsia="zh-CN"/>
        </w:rPr>
        <w:t>审改变评标结果的，书面报告本级财政部门。</w:t>
      </w:r>
    </w:p>
    <w:p w14:paraId="586931E6">
      <w:pPr>
        <w:pStyle w:val="10"/>
        <w:spacing w:before="45" w:line="304" w:lineRule="auto"/>
        <w:ind w:left="23" w:right="235" w:firstLine="556"/>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33.2.8 评标委员会依据投标须知前附表规定的评标方法，对供应商的投</w:t>
      </w:r>
      <w:r>
        <w:rPr>
          <w:rFonts w:hint="eastAsia" w:ascii="仿宋_GB2312" w:hAnsi="仿宋_GB2312" w:eastAsia="仿宋_GB2312" w:cs="仿宋_GB2312"/>
          <w:color w:val="auto"/>
          <w:sz w:val="28"/>
          <w:szCs w:val="28"/>
          <w:highlight w:val="none"/>
          <w:lang w:eastAsia="zh-CN"/>
        </w:rPr>
        <w:t>标文件进行评审和比较，供应商最终得分等于商务部分、技术部分、报价部分得分之和。评标委员会确定供应商最终得分向采购人提出书面报告，并推荐合</w:t>
      </w:r>
      <w:r>
        <w:rPr>
          <w:rFonts w:hint="eastAsia" w:ascii="仿宋_GB2312" w:hAnsi="仿宋_GB2312" w:eastAsia="仿宋_GB2312" w:cs="仿宋_GB2312"/>
          <w:color w:val="auto"/>
          <w:spacing w:val="-6"/>
          <w:sz w:val="28"/>
          <w:szCs w:val="28"/>
          <w:highlight w:val="none"/>
          <w:lang w:eastAsia="zh-CN"/>
        </w:rPr>
        <w:t>格的中标候选人。</w:t>
      </w:r>
    </w:p>
    <w:p w14:paraId="56AC3386">
      <w:pPr>
        <w:pStyle w:val="10"/>
        <w:spacing w:before="44" w:line="223" w:lineRule="auto"/>
        <w:ind w:left="582"/>
        <w:outlineLvl w:val="2"/>
        <w:rPr>
          <w:rFonts w:ascii="仿宋_GB2312" w:hAnsi="仿宋_GB2312" w:eastAsia="仿宋_GB2312" w:cs="仿宋_GB2312"/>
          <w:color w:val="auto"/>
          <w:sz w:val="28"/>
          <w:szCs w:val="28"/>
          <w:highlight w:val="none"/>
          <w:lang w:eastAsia="zh-CN"/>
        </w:rPr>
      </w:pPr>
      <w:bookmarkStart w:id="91" w:name="_Toc23767"/>
      <w:bookmarkStart w:id="92" w:name="_Toc1438"/>
      <w:r>
        <w:rPr>
          <w:rFonts w:hint="eastAsia" w:ascii="仿宋_GB2312" w:hAnsi="仿宋_GB2312" w:eastAsia="仿宋_GB2312" w:cs="仿宋_GB2312"/>
          <w:b/>
          <w:bCs/>
          <w:color w:val="auto"/>
          <w:spacing w:val="-4"/>
          <w:sz w:val="28"/>
          <w:szCs w:val="28"/>
          <w:highlight w:val="none"/>
          <w:lang w:eastAsia="zh-CN"/>
        </w:rPr>
        <w:t>34.</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评标的办法和标准</w:t>
      </w:r>
      <w:bookmarkEnd w:id="91"/>
      <w:bookmarkEnd w:id="92"/>
    </w:p>
    <w:p w14:paraId="274175E5">
      <w:pPr>
        <w:pStyle w:val="10"/>
        <w:tabs>
          <w:tab w:val="left" w:pos="5670"/>
        </w:tabs>
        <w:spacing w:before="138" w:line="295" w:lineRule="auto"/>
        <w:ind w:left="3999" w:leftChars="245" w:right="-22" w:hanging="3485" w:hangingChars="1263"/>
        <w:rPr>
          <w:rFonts w:ascii="仿宋_GB2312" w:hAnsi="仿宋_GB2312" w:eastAsia="仿宋_GB2312" w:cs="仿宋_GB2312"/>
          <w:color w:val="auto"/>
          <w:spacing w:val="15"/>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34.1 本招标项目评标办法为：</w:t>
      </w:r>
      <w:r>
        <w:rPr>
          <w:rFonts w:hint="eastAsia" w:ascii="仿宋_GB2312" w:hAnsi="仿宋_GB2312" w:eastAsia="仿宋_GB2312" w:cs="仿宋_GB2312"/>
          <w:b/>
          <w:bCs/>
          <w:color w:val="auto"/>
          <w:spacing w:val="-2"/>
          <w:sz w:val="28"/>
          <w:szCs w:val="28"/>
          <w:highlight w:val="none"/>
          <w:lang w:eastAsia="zh-CN"/>
        </w:rPr>
        <w:t>综合评分法</w:t>
      </w:r>
      <w:r>
        <w:rPr>
          <w:rFonts w:hint="eastAsia" w:ascii="仿宋_GB2312" w:hAnsi="仿宋_GB2312" w:eastAsia="仿宋_GB2312" w:cs="仿宋_GB2312"/>
          <w:color w:val="auto"/>
          <w:spacing w:val="15"/>
          <w:sz w:val="28"/>
          <w:szCs w:val="28"/>
          <w:highlight w:val="none"/>
          <w:lang w:eastAsia="zh-CN"/>
        </w:rPr>
        <w:t xml:space="preserve"> </w:t>
      </w:r>
    </w:p>
    <w:p w14:paraId="1554A058">
      <w:pPr>
        <w:pStyle w:val="10"/>
        <w:spacing w:before="138" w:line="295" w:lineRule="auto"/>
        <w:ind w:left="580" w:right="404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7"/>
          <w:sz w:val="28"/>
          <w:szCs w:val="28"/>
          <w:highlight w:val="none"/>
          <w:lang w:eastAsia="zh-CN"/>
        </w:rPr>
        <w:t>34.2</w:t>
      </w:r>
      <w:r>
        <w:rPr>
          <w:rFonts w:hint="eastAsia" w:ascii="仿宋_GB2312" w:hAnsi="仿宋_GB2312" w:eastAsia="仿宋_GB2312" w:cs="仿宋_GB2312"/>
          <w:color w:val="auto"/>
          <w:spacing w:val="47"/>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审查</w:t>
      </w:r>
    </w:p>
    <w:p w14:paraId="6A9814C0">
      <w:pPr>
        <w:pStyle w:val="10"/>
        <w:spacing w:before="48" w:line="223" w:lineRule="auto"/>
        <w:ind w:left="58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34.2.1</w:t>
      </w:r>
      <w:r>
        <w:rPr>
          <w:rFonts w:hint="eastAsia" w:ascii="仿宋_GB2312" w:hAnsi="仿宋_GB2312" w:eastAsia="仿宋_GB2312" w:cs="仿宋_GB2312"/>
          <w:color w:val="auto"/>
          <w:spacing w:val="34"/>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资格审查</w:t>
      </w:r>
    </w:p>
    <w:p w14:paraId="67610036">
      <w:pPr>
        <w:pStyle w:val="10"/>
        <w:spacing w:before="133" w:line="295" w:lineRule="auto"/>
        <w:ind w:left="2565" w:leftChars="259" w:right="2498" w:hanging="2021" w:hangingChars="727"/>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34.2.2 投标文件符合性审查</w:t>
      </w:r>
      <w:r>
        <w:rPr>
          <w:rFonts w:hint="eastAsia" w:ascii="仿宋_GB2312" w:hAnsi="仿宋_GB2312" w:eastAsia="仿宋_GB2312" w:cs="仿宋_GB2312"/>
          <w:color w:val="auto"/>
          <w:sz w:val="28"/>
          <w:szCs w:val="28"/>
          <w:highlight w:val="none"/>
          <w:lang w:eastAsia="zh-CN"/>
        </w:rPr>
        <w:t xml:space="preserve"> </w:t>
      </w:r>
    </w:p>
    <w:p w14:paraId="0F51F821">
      <w:pPr>
        <w:pStyle w:val="10"/>
        <w:spacing w:before="133" w:line="295" w:lineRule="auto"/>
        <w:ind w:left="580" w:right="572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34.2.3 投标文件详细评审</w:t>
      </w:r>
    </w:p>
    <w:p w14:paraId="56A8BBAA">
      <w:pPr>
        <w:pStyle w:val="10"/>
        <w:spacing w:before="49" w:line="223" w:lineRule="auto"/>
        <w:ind w:left="58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（1）投标报价评审</w:t>
      </w:r>
    </w:p>
    <w:p w14:paraId="22345302">
      <w:pPr>
        <w:pStyle w:val="10"/>
        <w:spacing w:before="134" w:line="267" w:lineRule="auto"/>
        <w:ind w:left="4420" w:right="3118" w:hanging="3837"/>
        <w:rPr>
          <w:rFonts w:ascii="仿宋_GB2312" w:hAnsi="仿宋_GB2312" w:eastAsia="仿宋_GB2312" w:cs="仿宋_GB2312"/>
          <w:color w:val="auto"/>
          <w:spacing w:val="10"/>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（2）投标文件商务部分、技术部分评审</w:t>
      </w:r>
      <w:r>
        <w:rPr>
          <w:rFonts w:hint="eastAsia" w:ascii="仿宋_GB2312" w:hAnsi="仿宋_GB2312" w:eastAsia="仿宋_GB2312" w:cs="仿宋_GB2312"/>
          <w:color w:val="auto"/>
          <w:spacing w:val="10"/>
          <w:sz w:val="28"/>
          <w:szCs w:val="28"/>
          <w:highlight w:val="none"/>
          <w:lang w:eastAsia="zh-CN"/>
        </w:rPr>
        <w:t xml:space="preserve"> </w:t>
      </w:r>
    </w:p>
    <w:p w14:paraId="4C613CEE">
      <w:pPr>
        <w:pStyle w:val="10"/>
        <w:spacing w:before="134" w:line="267" w:lineRule="auto"/>
        <w:ind w:left="580" w:right="4348" w:firstLine="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34.3 评标的具体评审办法和标准</w:t>
      </w:r>
    </w:p>
    <w:p w14:paraId="496B620F">
      <w:pPr>
        <w:pStyle w:val="10"/>
        <w:spacing w:before="134" w:line="223" w:lineRule="auto"/>
        <w:ind w:left="582"/>
        <w:rPr>
          <w:rFonts w:ascii="仿宋_GB2312" w:hAnsi="仿宋_GB2312" w:eastAsia="仿宋_GB2312" w:cs="仿宋_GB2312"/>
          <w:b/>
          <w:bCs/>
          <w:color w:val="auto"/>
          <w:spacing w:val="-7"/>
          <w:sz w:val="28"/>
          <w:szCs w:val="28"/>
          <w:highlight w:val="none"/>
        </w:rPr>
      </w:pPr>
      <w:r>
        <w:rPr>
          <w:rFonts w:hint="eastAsia" w:ascii="仿宋_GB2312" w:hAnsi="仿宋_GB2312" w:eastAsia="仿宋_GB2312" w:cs="仿宋_GB2312"/>
          <w:b/>
          <w:bCs/>
          <w:color w:val="auto"/>
          <w:spacing w:val="-7"/>
          <w:sz w:val="28"/>
          <w:szCs w:val="28"/>
          <w:highlight w:val="none"/>
        </w:rPr>
        <w:t>34.3.1</w:t>
      </w:r>
      <w:r>
        <w:rPr>
          <w:rFonts w:hint="eastAsia" w:ascii="仿宋_GB2312" w:hAnsi="仿宋_GB2312" w:eastAsia="仿宋_GB2312" w:cs="仿宋_GB2312"/>
          <w:color w:val="auto"/>
          <w:spacing w:val="-31"/>
          <w:sz w:val="28"/>
          <w:szCs w:val="28"/>
          <w:highlight w:val="none"/>
        </w:rPr>
        <w:t xml:space="preserve"> </w:t>
      </w:r>
      <w:r>
        <w:rPr>
          <w:rFonts w:hint="eastAsia" w:ascii="仿宋_GB2312" w:hAnsi="仿宋_GB2312" w:eastAsia="仿宋_GB2312" w:cs="仿宋_GB2312"/>
          <w:b/>
          <w:bCs/>
          <w:color w:val="auto"/>
          <w:spacing w:val="-7"/>
          <w:sz w:val="28"/>
          <w:szCs w:val="28"/>
          <w:highlight w:val="none"/>
        </w:rPr>
        <w:t>资格审查</w:t>
      </w:r>
    </w:p>
    <w:tbl>
      <w:tblPr>
        <w:tblStyle w:val="26"/>
        <w:tblW w:w="51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6"/>
        <w:gridCol w:w="3610"/>
        <w:gridCol w:w="5814"/>
      </w:tblGrid>
      <w:tr w14:paraId="4947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1" w:type="pct"/>
            <w:vAlign w:val="center"/>
          </w:tcPr>
          <w:p w14:paraId="379DACFF">
            <w:pPr>
              <w:shd w:val="clear" w:color="auto" w:fill="FFFFFF"/>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827" w:type="pct"/>
            <w:vAlign w:val="center"/>
          </w:tcPr>
          <w:p w14:paraId="37027A6B">
            <w:pPr>
              <w:shd w:val="clear" w:color="auto" w:fill="FFFFFF"/>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审查要求</w:t>
            </w:r>
          </w:p>
        </w:tc>
        <w:tc>
          <w:tcPr>
            <w:tcW w:w="2941" w:type="pct"/>
            <w:vAlign w:val="center"/>
          </w:tcPr>
          <w:p w14:paraId="751F3528">
            <w:pPr>
              <w:shd w:val="clear" w:color="auto" w:fill="FFFFFF"/>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要求说明</w:t>
            </w:r>
          </w:p>
        </w:tc>
      </w:tr>
      <w:tr w14:paraId="43BD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1" w:type="pct"/>
            <w:vMerge w:val="restart"/>
            <w:vAlign w:val="center"/>
          </w:tcPr>
          <w:p w14:paraId="4CAFC91E">
            <w:pPr>
              <w:shd w:val="clear" w:color="auto" w:fill="FFFFFF"/>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p w14:paraId="0EC35460">
            <w:pPr>
              <w:shd w:val="clear" w:color="auto" w:fill="FFFFFF"/>
              <w:spacing w:line="360" w:lineRule="auto"/>
              <w:jc w:val="center"/>
              <w:rPr>
                <w:rFonts w:ascii="仿宋" w:hAnsi="仿宋" w:eastAsia="仿宋" w:cs="仿宋"/>
                <w:color w:val="auto"/>
                <w:sz w:val="24"/>
                <w:szCs w:val="24"/>
                <w:highlight w:val="none"/>
              </w:rPr>
            </w:pPr>
          </w:p>
        </w:tc>
        <w:tc>
          <w:tcPr>
            <w:tcW w:w="1827" w:type="pct"/>
            <w:shd w:val="clear" w:color="auto" w:fill="auto"/>
            <w:vAlign w:val="center"/>
          </w:tcPr>
          <w:p w14:paraId="76889D7F">
            <w:pPr>
              <w:keepNext/>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具有独立承担民事责任的能力</w:t>
            </w:r>
          </w:p>
        </w:tc>
        <w:tc>
          <w:tcPr>
            <w:tcW w:w="2941" w:type="pct"/>
            <w:vAlign w:val="center"/>
          </w:tcPr>
          <w:p w14:paraId="4AA03F8F">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投标人为企业（包括合伙企业）的，应提供有效的“营业执照”；</w:t>
            </w:r>
          </w:p>
          <w:p w14:paraId="0DB4AF43">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投标人是非企业机构的，应提供有效的“执业许可证、登记证书，等证明文件；</w:t>
            </w:r>
          </w:p>
          <w:p w14:paraId="0EB54A56">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投标人是个体工商户的，应提供有效的“个体工商户营业执照”；</w:t>
            </w:r>
          </w:p>
          <w:p w14:paraId="411A3423">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投标人是自然人的，应提供有效的自然人身份证明。</w:t>
            </w:r>
          </w:p>
          <w:p w14:paraId="2EE7AEE3">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分支机构参加响应的，应提供该分支机构或其所属法人/其他组织的相应证明文件；同时还应提供其所属法人/其他组织出具的授权其参与本项目的授权书（格式自拟，须加盖其所属法人/其他组织的公章）</w:t>
            </w:r>
          </w:p>
        </w:tc>
      </w:tr>
      <w:tr w14:paraId="5A09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231" w:type="pct"/>
            <w:vMerge w:val="continue"/>
            <w:vAlign w:val="center"/>
          </w:tcPr>
          <w:p w14:paraId="5A21B7F3">
            <w:pPr>
              <w:shd w:val="clear" w:color="auto" w:fill="FFFFFF"/>
              <w:spacing w:line="360" w:lineRule="auto"/>
              <w:jc w:val="center"/>
              <w:rPr>
                <w:rFonts w:ascii="仿宋" w:hAnsi="仿宋" w:eastAsia="仿宋" w:cs="仿宋"/>
                <w:color w:val="auto"/>
                <w:sz w:val="24"/>
                <w:szCs w:val="24"/>
                <w:highlight w:val="none"/>
                <w:lang w:eastAsia="zh-CN"/>
              </w:rPr>
            </w:pPr>
          </w:p>
        </w:tc>
        <w:tc>
          <w:tcPr>
            <w:tcW w:w="1827" w:type="pct"/>
            <w:shd w:val="clear" w:color="auto" w:fill="auto"/>
            <w:vAlign w:val="center"/>
          </w:tcPr>
          <w:p w14:paraId="5A9ABD8B">
            <w:pPr>
              <w:keepNext/>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具有良好的商业信誉和健全的财务会计制度</w:t>
            </w:r>
          </w:p>
        </w:tc>
        <w:tc>
          <w:tcPr>
            <w:tcW w:w="2941" w:type="pct"/>
            <w:vAlign w:val="center"/>
          </w:tcPr>
          <w:p w14:paraId="7D665648">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TW"/>
              </w:rPr>
              <w:t>须提供本单位2024年度</w:t>
            </w:r>
            <w:r>
              <w:rPr>
                <w:rFonts w:hint="eastAsia" w:ascii="仿宋" w:hAnsi="仿宋" w:eastAsia="仿宋" w:cs="仿宋"/>
                <w:color w:val="auto"/>
                <w:sz w:val="24"/>
                <w:szCs w:val="24"/>
                <w:highlight w:val="none"/>
                <w:lang w:eastAsia="zh-CN"/>
              </w:rPr>
              <w:t>或2025年度</w:t>
            </w:r>
            <w:r>
              <w:rPr>
                <w:rFonts w:hint="eastAsia" w:ascii="仿宋" w:hAnsi="仿宋" w:eastAsia="仿宋" w:cs="仿宋"/>
                <w:color w:val="auto"/>
                <w:sz w:val="24"/>
                <w:szCs w:val="24"/>
                <w:highlight w:val="none"/>
                <w:lang w:eastAsia="zh-TW"/>
              </w:rPr>
              <w:t>由会计师事务所出具的财务审计报告</w:t>
            </w:r>
            <w:r>
              <w:rPr>
                <w:rFonts w:hint="eastAsia" w:ascii="仿宋" w:hAnsi="仿宋" w:eastAsia="仿宋" w:cs="仿宋"/>
                <w:color w:val="auto"/>
                <w:sz w:val="24"/>
                <w:szCs w:val="24"/>
                <w:highlight w:val="none"/>
                <w:lang w:val="en-US" w:eastAsia="zh-CN"/>
              </w:rPr>
              <w:t>或财务报表</w:t>
            </w:r>
            <w:r>
              <w:rPr>
                <w:rFonts w:hint="eastAsia" w:ascii="仿宋" w:hAnsi="仿宋" w:eastAsia="仿宋" w:cs="仿宋"/>
                <w:color w:val="auto"/>
                <w:sz w:val="24"/>
                <w:szCs w:val="24"/>
                <w:highlight w:val="none"/>
                <w:lang w:eastAsia="zh-TW"/>
              </w:rPr>
              <w:t>，审计报告须包括资产负债表、利润表、现金流量表、所有者权益变动（如有）及其附注（复印件并加盖本单位公章）。如供应商注册不满1年无法提供审计报告</w:t>
            </w:r>
            <w:r>
              <w:rPr>
                <w:rFonts w:hint="eastAsia" w:ascii="仿宋" w:hAnsi="仿宋" w:eastAsia="仿宋" w:cs="仿宋"/>
                <w:color w:val="auto"/>
                <w:sz w:val="24"/>
                <w:szCs w:val="24"/>
                <w:highlight w:val="none"/>
                <w:lang w:eastAsia="zh-CN"/>
              </w:rPr>
              <w:t>，可提供</w:t>
            </w:r>
            <w:r>
              <w:rPr>
                <w:rFonts w:hint="eastAsia" w:ascii="仿宋" w:hAnsi="仿宋" w:eastAsia="仿宋" w:cs="仿宋"/>
                <w:color w:val="auto"/>
                <w:sz w:val="24"/>
                <w:szCs w:val="24"/>
                <w:highlight w:val="none"/>
                <w:lang w:eastAsia="zh-TW"/>
              </w:rPr>
              <w:t>财务报表</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eastAsia="zh-TW"/>
              </w:rPr>
              <w:t>提供响应截止日前</w:t>
            </w:r>
            <w:r>
              <w:rPr>
                <w:rFonts w:hint="eastAsia" w:ascii="仿宋" w:hAnsi="仿宋" w:eastAsia="仿宋" w:cs="仿宋"/>
                <w:color w:val="auto"/>
                <w:sz w:val="24"/>
                <w:szCs w:val="24"/>
                <w:highlight w:val="none"/>
                <w:lang w:eastAsia="zh-CN"/>
              </w:rPr>
              <w:t>一个月</w:t>
            </w:r>
            <w:r>
              <w:rPr>
                <w:rFonts w:hint="eastAsia" w:ascii="仿宋" w:hAnsi="仿宋" w:eastAsia="仿宋" w:cs="仿宋"/>
                <w:color w:val="auto"/>
                <w:sz w:val="24"/>
                <w:szCs w:val="24"/>
                <w:highlight w:val="none"/>
                <w:lang w:eastAsia="zh-TW"/>
              </w:rPr>
              <w:t>内银行出具的资信证明。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eastAsia="zh-TW"/>
              </w:rPr>
              <w:t>银行资信证明提供原件</w:t>
            </w:r>
            <w:r>
              <w:rPr>
                <w:rFonts w:hint="eastAsia" w:ascii="仿宋" w:hAnsi="仿宋" w:eastAsia="仿宋" w:cs="仿宋"/>
                <w:color w:val="auto"/>
                <w:sz w:val="24"/>
                <w:szCs w:val="24"/>
                <w:highlight w:val="none"/>
                <w:lang w:eastAsia="zh-CN"/>
              </w:rPr>
              <w:t>扫描件并</w:t>
            </w:r>
            <w:r>
              <w:rPr>
                <w:rFonts w:hint="eastAsia" w:ascii="仿宋" w:hAnsi="仿宋" w:eastAsia="仿宋" w:cs="仿宋"/>
                <w:color w:val="auto"/>
                <w:sz w:val="24"/>
                <w:szCs w:val="24"/>
                <w:highlight w:val="none"/>
                <w:lang w:eastAsia="zh-TW"/>
              </w:rPr>
              <w:t>加盖公章。</w:t>
            </w:r>
            <w:r>
              <w:rPr>
                <w:rFonts w:hint="eastAsia" w:ascii="仿宋" w:hAnsi="仿宋" w:eastAsia="仿宋" w:cs="仿宋"/>
                <w:color w:val="auto"/>
                <w:sz w:val="24"/>
                <w:szCs w:val="24"/>
                <w:highlight w:val="none"/>
                <w:lang w:eastAsia="zh-CN"/>
              </w:rPr>
              <w:t>）</w:t>
            </w:r>
          </w:p>
        </w:tc>
      </w:tr>
      <w:tr w14:paraId="5A1A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1" w:type="pct"/>
            <w:vMerge w:val="continue"/>
            <w:vAlign w:val="center"/>
          </w:tcPr>
          <w:p w14:paraId="28F9D2EE">
            <w:pPr>
              <w:shd w:val="clear" w:color="auto" w:fill="FFFFFF"/>
              <w:spacing w:line="360" w:lineRule="auto"/>
              <w:jc w:val="center"/>
              <w:rPr>
                <w:rFonts w:ascii="仿宋" w:hAnsi="仿宋" w:eastAsia="仿宋" w:cs="仿宋"/>
                <w:color w:val="auto"/>
                <w:sz w:val="24"/>
                <w:szCs w:val="24"/>
                <w:highlight w:val="none"/>
                <w:lang w:eastAsia="zh-CN"/>
              </w:rPr>
            </w:pPr>
          </w:p>
        </w:tc>
        <w:tc>
          <w:tcPr>
            <w:tcW w:w="1827" w:type="pct"/>
            <w:shd w:val="clear" w:color="auto" w:fill="auto"/>
            <w:vAlign w:val="center"/>
          </w:tcPr>
          <w:p w14:paraId="131DBD72">
            <w:pPr>
              <w:keepNext/>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具有履行合同所必需的设备和专业技术能力</w:t>
            </w:r>
          </w:p>
        </w:tc>
        <w:tc>
          <w:tcPr>
            <w:tcW w:w="2941" w:type="pct"/>
            <w:vAlign w:val="center"/>
          </w:tcPr>
          <w:p w14:paraId="76F96EBD">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须附相关证明材料或声明 ；</w:t>
            </w:r>
          </w:p>
        </w:tc>
      </w:tr>
      <w:tr w14:paraId="1E1E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1" w:type="pct"/>
            <w:vMerge w:val="continue"/>
            <w:vAlign w:val="center"/>
          </w:tcPr>
          <w:p w14:paraId="3E52ED7B">
            <w:pPr>
              <w:shd w:val="clear" w:color="auto" w:fill="FFFFFF"/>
              <w:spacing w:line="360" w:lineRule="auto"/>
              <w:jc w:val="center"/>
              <w:rPr>
                <w:rFonts w:ascii="仿宋" w:hAnsi="仿宋" w:eastAsia="仿宋" w:cs="仿宋"/>
                <w:color w:val="auto"/>
                <w:sz w:val="24"/>
                <w:szCs w:val="24"/>
                <w:highlight w:val="none"/>
                <w:lang w:eastAsia="zh-CN"/>
              </w:rPr>
            </w:pPr>
          </w:p>
        </w:tc>
        <w:tc>
          <w:tcPr>
            <w:tcW w:w="1827" w:type="pct"/>
            <w:shd w:val="clear" w:color="auto" w:fill="auto"/>
            <w:vAlign w:val="center"/>
          </w:tcPr>
          <w:p w14:paraId="0E6D6C8A">
            <w:pPr>
              <w:rPr>
                <w:rFonts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有依法缴纳税收和社会保障资金的良好纪录</w:t>
            </w:r>
          </w:p>
        </w:tc>
        <w:tc>
          <w:tcPr>
            <w:tcW w:w="2941" w:type="pct"/>
            <w:vAlign w:val="center"/>
          </w:tcPr>
          <w:p w14:paraId="16E9B058">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缴纳税收的证明材料，指供应商缴纳增值税和企业所得税两种缴纳凭据；本项目开标前6个月内（至少提供1个月）缴纳税收的凭据（完税证、缴款书、印花税票、银行代扣（代缴）转账凭证等均可）；2、供应商依法缴纳社会保障资金的证明材料：本项目开标前 6个月内（至少提供1个月）缴纳社会保险的凭据（专用收据或社会保险交纳清单）； 3、供应商为其他组织或自然人的，也需要按此项规定提供缴纳税收的凭据和交纳社会保险的凭据。4、如供应商的社会保险为委托第三方代缴，还需同时提供供应商与第三方服务机构签署的服务合同（合同中应明确写明第三方为供应商代缴其社会保险）；</w:t>
            </w:r>
          </w:p>
        </w:tc>
      </w:tr>
      <w:tr w14:paraId="1346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1" w:type="pct"/>
            <w:vMerge w:val="continue"/>
            <w:vAlign w:val="center"/>
          </w:tcPr>
          <w:p w14:paraId="20C4E107">
            <w:pPr>
              <w:shd w:val="clear" w:color="auto" w:fill="FFFFFF"/>
              <w:spacing w:line="360" w:lineRule="auto"/>
              <w:jc w:val="center"/>
              <w:rPr>
                <w:rFonts w:ascii="仿宋" w:hAnsi="仿宋" w:eastAsia="仿宋" w:cs="仿宋"/>
                <w:color w:val="auto"/>
                <w:sz w:val="24"/>
                <w:szCs w:val="24"/>
                <w:highlight w:val="none"/>
                <w:lang w:eastAsia="zh-CN"/>
              </w:rPr>
            </w:pPr>
          </w:p>
        </w:tc>
        <w:tc>
          <w:tcPr>
            <w:tcW w:w="1827" w:type="pct"/>
            <w:shd w:val="clear" w:color="auto" w:fill="auto"/>
            <w:vAlign w:val="center"/>
          </w:tcPr>
          <w:p w14:paraId="3BF98257">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参加政府采购活动前三年内，在经营活动中没有重大违法记录</w:t>
            </w:r>
          </w:p>
        </w:tc>
        <w:tc>
          <w:tcPr>
            <w:tcW w:w="2941" w:type="pct"/>
            <w:vAlign w:val="center"/>
          </w:tcPr>
          <w:p w14:paraId="6E0A114E">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提供前三年内在经营活动中没有重大违法记录的书面声明；</w:t>
            </w:r>
          </w:p>
        </w:tc>
      </w:tr>
      <w:tr w14:paraId="4F1E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1" w:type="pct"/>
            <w:vMerge w:val="continue"/>
            <w:vAlign w:val="center"/>
          </w:tcPr>
          <w:p w14:paraId="1D01D319">
            <w:pPr>
              <w:shd w:val="clear" w:color="auto" w:fill="FFFFFF"/>
              <w:spacing w:line="360" w:lineRule="auto"/>
              <w:jc w:val="center"/>
              <w:rPr>
                <w:rFonts w:ascii="仿宋" w:hAnsi="仿宋" w:eastAsia="仿宋" w:cs="仿宋"/>
                <w:color w:val="auto"/>
                <w:sz w:val="24"/>
                <w:szCs w:val="24"/>
                <w:highlight w:val="none"/>
                <w:lang w:eastAsia="zh-CN"/>
              </w:rPr>
            </w:pPr>
          </w:p>
        </w:tc>
        <w:tc>
          <w:tcPr>
            <w:tcW w:w="1827" w:type="pct"/>
            <w:shd w:val="clear" w:color="auto" w:fill="auto"/>
            <w:vAlign w:val="center"/>
          </w:tcPr>
          <w:p w14:paraId="6A0C1DFA">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2941" w:type="pct"/>
            <w:vAlign w:val="center"/>
          </w:tcPr>
          <w:p w14:paraId="6DE6ECFD">
            <w:pPr>
              <w:keepNext/>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提供相关声明函</w:t>
            </w:r>
          </w:p>
        </w:tc>
      </w:tr>
      <w:tr w14:paraId="666B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1" w:type="pct"/>
            <w:vAlign w:val="center"/>
          </w:tcPr>
          <w:p w14:paraId="149DDF53">
            <w:pPr>
              <w:shd w:val="clear" w:color="auto" w:fill="FFFFFF"/>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827" w:type="pct"/>
            <w:vAlign w:val="center"/>
          </w:tcPr>
          <w:p w14:paraId="078D27C1">
            <w:pPr>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供应商须具备有效的《食品经营许可证》或《食品生产许可证》。</w:t>
            </w:r>
          </w:p>
        </w:tc>
        <w:tc>
          <w:tcPr>
            <w:tcW w:w="2941" w:type="pct"/>
            <w:vAlign w:val="center"/>
          </w:tcPr>
          <w:p w14:paraId="4D3ADE38">
            <w:pPr>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提供有效的《食品经营许可证》或《食品生产许可证》</w:t>
            </w:r>
          </w:p>
        </w:tc>
      </w:tr>
      <w:tr w14:paraId="43CD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231" w:type="pct"/>
            <w:vAlign w:val="center"/>
          </w:tcPr>
          <w:p w14:paraId="06DB2977">
            <w:pPr>
              <w:shd w:val="clear" w:color="auto" w:fill="FFFFFF"/>
              <w:spacing w:line="360" w:lineRule="auto"/>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w:t>
            </w:r>
          </w:p>
        </w:tc>
        <w:tc>
          <w:tcPr>
            <w:tcW w:w="1827" w:type="pct"/>
            <w:vAlign w:val="center"/>
          </w:tcPr>
          <w:p w14:paraId="20D25EA6">
            <w:pPr>
              <w:spacing w:line="360" w:lineRule="auto"/>
              <w:rPr>
                <w:rFonts w:ascii="仿宋" w:hAnsi="仿宋" w:eastAsia="仿宋" w:cs="仿宋"/>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落实政府采购政策需满足的资格要求</w:t>
            </w:r>
            <w:r>
              <w:rPr>
                <w:rFonts w:hint="eastAsia" w:ascii="仿宋" w:hAnsi="仿宋" w:eastAsia="仿宋" w:cs="仿宋"/>
                <w:color w:val="auto"/>
                <w:sz w:val="24"/>
                <w:szCs w:val="24"/>
                <w:highlight w:val="none"/>
                <w:lang w:eastAsia="zh-CN"/>
              </w:rPr>
              <w:t>。</w:t>
            </w:r>
          </w:p>
        </w:tc>
        <w:tc>
          <w:tcPr>
            <w:tcW w:w="2941" w:type="pct"/>
            <w:vAlign w:val="center"/>
          </w:tcPr>
          <w:p w14:paraId="4185C46C">
            <w:pPr>
              <w:keepNext/>
              <w:spacing w:line="360" w:lineRule="auto"/>
              <w:rPr>
                <w:rFonts w:ascii="仿宋" w:hAnsi="仿宋" w:eastAsia="仿宋" w:cs="仿宋"/>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本标项为专门面向</w:t>
            </w:r>
            <w:r>
              <w:rPr>
                <w:rFonts w:hint="eastAsia" w:ascii="仿宋_GB2312" w:hAnsi="仿宋_GB2312" w:eastAsia="仿宋_GB2312" w:cs="仿宋_GB2312"/>
                <w:color w:val="auto"/>
                <w:sz w:val="24"/>
                <w:szCs w:val="24"/>
                <w:highlight w:val="none"/>
                <w:lang w:val="en-US" w:eastAsia="zh-CN"/>
              </w:rPr>
              <w:t>中小</w:t>
            </w:r>
            <w:r>
              <w:rPr>
                <w:rFonts w:hint="eastAsia" w:ascii="仿宋_GB2312" w:hAnsi="仿宋_GB2312" w:eastAsia="仿宋_GB2312" w:cs="仿宋_GB2312"/>
                <w:color w:val="auto"/>
                <w:sz w:val="24"/>
                <w:szCs w:val="24"/>
                <w:highlight w:val="none"/>
                <w:lang w:eastAsia="zh-CN"/>
              </w:rPr>
              <w:t>企业采购份额，即：提供的货物全部由符合政策要求的</w:t>
            </w:r>
            <w:r>
              <w:rPr>
                <w:rFonts w:hint="eastAsia" w:ascii="仿宋_GB2312" w:hAnsi="仿宋_GB2312" w:eastAsia="仿宋_GB2312" w:cs="仿宋_GB2312"/>
                <w:color w:val="auto"/>
                <w:sz w:val="24"/>
                <w:szCs w:val="24"/>
                <w:highlight w:val="none"/>
                <w:lang w:val="en-US" w:eastAsia="zh-CN"/>
              </w:rPr>
              <w:t>中小</w:t>
            </w:r>
            <w:r>
              <w:rPr>
                <w:rFonts w:hint="eastAsia" w:ascii="仿宋_GB2312" w:hAnsi="仿宋_GB2312" w:eastAsia="仿宋_GB2312" w:cs="仿宋_GB2312"/>
                <w:color w:val="auto"/>
                <w:sz w:val="24"/>
                <w:szCs w:val="24"/>
                <w:highlight w:val="none"/>
                <w:lang w:eastAsia="zh-CN"/>
              </w:rPr>
              <w:t>企业制造，</w:t>
            </w:r>
            <w:r>
              <w:rPr>
                <w:rFonts w:hint="eastAsia" w:ascii="仿宋" w:hAnsi="仿宋" w:eastAsia="仿宋" w:cs="仿宋"/>
                <w:color w:val="auto"/>
                <w:sz w:val="24"/>
                <w:szCs w:val="24"/>
                <w:highlight w:val="none"/>
                <w:lang w:val="en-US" w:eastAsia="zh-CN" w:bidi="ar-SA"/>
              </w:rPr>
              <w:t>以提供《中小企业声明函》为准</w:t>
            </w:r>
            <w:r>
              <w:rPr>
                <w:rFonts w:hint="eastAsia" w:cs="仿宋"/>
                <w:color w:val="auto"/>
                <w:sz w:val="24"/>
                <w:szCs w:val="24"/>
                <w:highlight w:val="none"/>
                <w:lang w:val="en-US" w:eastAsia="zh-CN" w:bidi="ar-SA"/>
              </w:rPr>
              <w:t>。</w:t>
            </w:r>
          </w:p>
        </w:tc>
      </w:tr>
      <w:tr w14:paraId="6B1A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000" w:type="pct"/>
            <w:gridSpan w:val="3"/>
            <w:vAlign w:val="center"/>
          </w:tcPr>
          <w:p w14:paraId="3142CF61">
            <w:pPr>
              <w:shd w:val="clear" w:color="auto" w:fill="FFFFFF"/>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备注： 如果资格评审中有一项不满足审查标准的，采购人将认定该供应商不通过资格审查，投标文件将被拒绝评审。并且不允许供应商通过修改或撤销其不符合要求的差异或保留，使之成为具有响应性的投标。</w:t>
            </w:r>
          </w:p>
        </w:tc>
      </w:tr>
    </w:tbl>
    <w:p w14:paraId="7677E960">
      <w:pPr>
        <w:pStyle w:val="10"/>
        <w:spacing w:before="91" w:line="221" w:lineRule="auto"/>
        <w:ind w:left="21"/>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6"/>
          <w:sz w:val="28"/>
          <w:szCs w:val="28"/>
          <w:highlight w:val="none"/>
        </w:rPr>
        <w:t>34.3.2</w:t>
      </w:r>
      <w:r>
        <w:rPr>
          <w:rFonts w:hint="eastAsia" w:ascii="仿宋_GB2312" w:hAnsi="仿宋_GB2312" w:eastAsia="仿宋_GB2312" w:cs="仿宋_GB2312"/>
          <w:color w:val="auto"/>
          <w:spacing w:val="-40"/>
          <w:sz w:val="28"/>
          <w:szCs w:val="28"/>
          <w:highlight w:val="none"/>
        </w:rPr>
        <w:t xml:space="preserve"> </w:t>
      </w:r>
      <w:r>
        <w:rPr>
          <w:rFonts w:hint="eastAsia" w:ascii="仿宋_GB2312" w:hAnsi="仿宋_GB2312" w:eastAsia="仿宋_GB2312" w:cs="仿宋_GB2312"/>
          <w:b/>
          <w:bCs/>
          <w:color w:val="auto"/>
          <w:spacing w:val="-6"/>
          <w:sz w:val="28"/>
          <w:szCs w:val="28"/>
          <w:highlight w:val="none"/>
        </w:rPr>
        <w:t>符合性审查</w:t>
      </w:r>
    </w:p>
    <w:p w14:paraId="7140EFF3">
      <w:pPr>
        <w:spacing w:line="135" w:lineRule="exact"/>
        <w:rPr>
          <w:rFonts w:ascii="仿宋_GB2312" w:hAnsi="仿宋_GB2312" w:eastAsia="仿宋_GB2312" w:cs="仿宋_GB2312"/>
          <w:color w:val="auto"/>
          <w:highlight w:val="none"/>
        </w:rPr>
      </w:pPr>
    </w:p>
    <w:tbl>
      <w:tblPr>
        <w:tblStyle w:val="32"/>
        <w:tblW w:w="9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12"/>
        <w:gridCol w:w="7651"/>
      </w:tblGrid>
      <w:tr w14:paraId="486FC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19" w:type="dxa"/>
            <w:tcBorders>
              <w:right w:val="single" w:color="auto" w:sz="4" w:space="0"/>
            </w:tcBorders>
          </w:tcPr>
          <w:p w14:paraId="634222A7">
            <w:pPr>
              <w:pStyle w:val="33"/>
              <w:spacing w:before="225" w:line="400" w:lineRule="exact"/>
              <w:jc w:val="center"/>
              <w:rPr>
                <w:rFonts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序号</w:t>
            </w:r>
          </w:p>
        </w:tc>
        <w:tc>
          <w:tcPr>
            <w:tcW w:w="1412" w:type="dxa"/>
            <w:tcBorders>
              <w:left w:val="single" w:color="auto" w:sz="4" w:space="0"/>
              <w:right w:val="single" w:color="auto" w:sz="4" w:space="0"/>
            </w:tcBorders>
          </w:tcPr>
          <w:p w14:paraId="7B3857BA">
            <w:pPr>
              <w:pStyle w:val="33"/>
              <w:spacing w:before="225" w:line="400" w:lineRule="exact"/>
              <w:jc w:val="center"/>
              <w:rPr>
                <w:rFonts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评审因素</w:t>
            </w:r>
          </w:p>
        </w:tc>
        <w:tc>
          <w:tcPr>
            <w:tcW w:w="7651" w:type="dxa"/>
            <w:tcBorders>
              <w:left w:val="single" w:color="auto" w:sz="4" w:space="0"/>
            </w:tcBorders>
          </w:tcPr>
          <w:p w14:paraId="3B8A6C76">
            <w:pPr>
              <w:pStyle w:val="33"/>
              <w:spacing w:before="225" w:line="400" w:lineRule="exact"/>
              <w:jc w:val="center"/>
              <w:rPr>
                <w:rFonts w:ascii="仿宋_GB2312" w:hAnsi="仿宋_GB2312" w:eastAsia="仿宋_GB2312" w:cs="仿宋_GB2312"/>
                <w:b/>
                <w:bCs/>
                <w:color w:val="auto"/>
                <w:spacing w:val="-31"/>
                <w:sz w:val="24"/>
                <w:szCs w:val="24"/>
                <w:highlight w:val="none"/>
              </w:rPr>
            </w:pPr>
            <w:r>
              <w:rPr>
                <w:rFonts w:hint="eastAsia" w:ascii="仿宋_GB2312" w:hAnsi="仿宋_GB2312" w:eastAsia="仿宋_GB2312" w:cs="仿宋_GB2312"/>
                <w:b/>
                <w:bCs/>
                <w:color w:val="auto"/>
                <w:spacing w:val="-31"/>
                <w:sz w:val="24"/>
                <w:szCs w:val="24"/>
                <w:highlight w:val="none"/>
              </w:rPr>
              <w:t>评</w:t>
            </w:r>
            <w:r>
              <w:rPr>
                <w:rFonts w:hint="eastAsia" w:ascii="仿宋_GB2312" w:hAnsi="仿宋_GB2312" w:eastAsia="仿宋_GB2312" w:cs="仿宋_GB2312"/>
                <w:color w:val="auto"/>
                <w:spacing w:val="21"/>
                <w:sz w:val="24"/>
                <w:szCs w:val="24"/>
                <w:highlight w:val="none"/>
              </w:rPr>
              <w:t xml:space="preserve">  </w:t>
            </w:r>
            <w:r>
              <w:rPr>
                <w:rFonts w:hint="eastAsia" w:ascii="仿宋_GB2312" w:hAnsi="仿宋_GB2312" w:eastAsia="仿宋_GB2312" w:cs="仿宋_GB2312"/>
                <w:b/>
                <w:bCs/>
                <w:color w:val="auto"/>
                <w:spacing w:val="-31"/>
                <w:sz w:val="24"/>
                <w:szCs w:val="24"/>
                <w:highlight w:val="none"/>
              </w:rPr>
              <w:t>审</w:t>
            </w:r>
            <w:r>
              <w:rPr>
                <w:rFonts w:hint="eastAsia" w:ascii="仿宋_GB2312" w:hAnsi="仿宋_GB2312" w:eastAsia="仿宋_GB2312" w:cs="仿宋_GB2312"/>
                <w:color w:val="auto"/>
                <w:spacing w:val="28"/>
                <w:sz w:val="24"/>
                <w:szCs w:val="24"/>
                <w:highlight w:val="none"/>
              </w:rPr>
              <w:t xml:space="preserve">  </w:t>
            </w:r>
            <w:r>
              <w:rPr>
                <w:rFonts w:hint="eastAsia" w:ascii="仿宋_GB2312" w:hAnsi="仿宋_GB2312" w:eastAsia="仿宋_GB2312" w:cs="仿宋_GB2312"/>
                <w:b/>
                <w:bCs/>
                <w:color w:val="auto"/>
                <w:spacing w:val="-31"/>
                <w:sz w:val="24"/>
                <w:szCs w:val="24"/>
                <w:highlight w:val="none"/>
              </w:rPr>
              <w:t>内</w:t>
            </w:r>
            <w:r>
              <w:rPr>
                <w:rFonts w:hint="eastAsia" w:ascii="仿宋_GB2312" w:hAnsi="仿宋_GB2312" w:eastAsia="仿宋_GB2312" w:cs="仿宋_GB2312"/>
                <w:color w:val="auto"/>
                <w:spacing w:val="11"/>
                <w:sz w:val="24"/>
                <w:szCs w:val="24"/>
                <w:highlight w:val="none"/>
              </w:rPr>
              <w:t xml:space="preserve">  </w:t>
            </w:r>
            <w:r>
              <w:rPr>
                <w:rFonts w:hint="eastAsia" w:ascii="仿宋_GB2312" w:hAnsi="仿宋_GB2312" w:eastAsia="仿宋_GB2312" w:cs="仿宋_GB2312"/>
                <w:b/>
                <w:bCs/>
                <w:color w:val="auto"/>
                <w:spacing w:val="-31"/>
                <w:sz w:val="24"/>
                <w:szCs w:val="24"/>
                <w:highlight w:val="none"/>
              </w:rPr>
              <w:t>容</w:t>
            </w:r>
          </w:p>
        </w:tc>
      </w:tr>
      <w:tr w14:paraId="63011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19" w:type="dxa"/>
            <w:tcBorders>
              <w:right w:val="single" w:color="auto" w:sz="4" w:space="0"/>
            </w:tcBorders>
          </w:tcPr>
          <w:p w14:paraId="03641F39">
            <w:pPr>
              <w:pStyle w:val="33"/>
              <w:spacing w:before="91" w:line="400" w:lineRule="exact"/>
              <w:ind w:left="23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412" w:type="dxa"/>
            <w:tcBorders>
              <w:left w:val="single" w:color="auto" w:sz="4" w:space="0"/>
              <w:right w:val="single" w:color="auto" w:sz="4" w:space="0"/>
            </w:tcBorders>
            <w:vAlign w:val="center"/>
          </w:tcPr>
          <w:p w14:paraId="330E7ABD">
            <w:pPr>
              <w:pStyle w:val="33"/>
              <w:spacing w:before="41" w:line="400" w:lineRule="exact"/>
              <w:ind w:left="124" w:leftChars="0" w:right="104" w:rightChars="0" w:hanging="4" w:firstLine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投标文件格式</w:t>
            </w:r>
          </w:p>
        </w:tc>
        <w:tc>
          <w:tcPr>
            <w:tcW w:w="7651" w:type="dxa"/>
            <w:tcBorders>
              <w:left w:val="single" w:color="auto" w:sz="4" w:space="0"/>
            </w:tcBorders>
            <w:vAlign w:val="top"/>
          </w:tcPr>
          <w:p w14:paraId="4D8784DE">
            <w:pPr>
              <w:pStyle w:val="33"/>
              <w:spacing w:before="41" w:line="400" w:lineRule="exact"/>
              <w:ind w:left="124" w:leftChars="0" w:right="104" w:rightChars="0" w:hanging="4" w:firstLineChars="0"/>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4"/>
                <w:sz w:val="24"/>
                <w:szCs w:val="24"/>
                <w:highlight w:val="none"/>
                <w:lang w:eastAsia="zh-CN"/>
              </w:rPr>
              <w:t>投标文件组成完整，主要</w:t>
            </w:r>
            <w:r>
              <w:rPr>
                <w:rFonts w:hint="eastAsia" w:ascii="仿宋_GB2312" w:hAnsi="仿宋_GB2312" w:eastAsia="仿宋_GB2312" w:cs="仿宋_GB2312"/>
                <w:color w:val="auto"/>
                <w:spacing w:val="20"/>
                <w:sz w:val="24"/>
                <w:szCs w:val="24"/>
                <w:highlight w:val="none"/>
                <w:lang w:eastAsia="zh-CN"/>
              </w:rPr>
              <w:t>内容按招标文件规定的内</w:t>
            </w:r>
            <w:r>
              <w:rPr>
                <w:rFonts w:hint="eastAsia" w:ascii="仿宋_GB2312" w:hAnsi="仿宋_GB2312" w:eastAsia="仿宋_GB2312" w:cs="仿宋_GB2312"/>
                <w:color w:val="auto"/>
                <w:spacing w:val="-3"/>
                <w:sz w:val="24"/>
                <w:szCs w:val="24"/>
                <w:highlight w:val="none"/>
                <w:lang w:eastAsia="zh-CN"/>
              </w:rPr>
              <w:t>容、格式填写。</w:t>
            </w:r>
          </w:p>
        </w:tc>
      </w:tr>
      <w:tr w14:paraId="29A64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19" w:type="dxa"/>
            <w:tcBorders>
              <w:right w:val="single" w:color="auto" w:sz="4" w:space="0"/>
            </w:tcBorders>
          </w:tcPr>
          <w:p w14:paraId="3C7C8815">
            <w:pPr>
              <w:pStyle w:val="33"/>
              <w:spacing w:before="91" w:line="400" w:lineRule="exact"/>
              <w:ind w:left="239"/>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w:t>
            </w:r>
          </w:p>
        </w:tc>
        <w:tc>
          <w:tcPr>
            <w:tcW w:w="1412" w:type="dxa"/>
            <w:tcBorders>
              <w:left w:val="single" w:color="auto" w:sz="4" w:space="0"/>
              <w:right w:val="single" w:color="auto" w:sz="4" w:space="0"/>
            </w:tcBorders>
            <w:vAlign w:val="center"/>
          </w:tcPr>
          <w:p w14:paraId="107D5557">
            <w:pPr>
              <w:pStyle w:val="33"/>
              <w:spacing w:before="41" w:line="400" w:lineRule="exact"/>
              <w:ind w:left="124" w:leftChars="0" w:right="104" w:rightChars="0" w:hanging="4" w:firstLine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采购范围</w:t>
            </w:r>
          </w:p>
        </w:tc>
        <w:tc>
          <w:tcPr>
            <w:tcW w:w="7651" w:type="dxa"/>
            <w:tcBorders>
              <w:left w:val="single" w:color="auto" w:sz="4" w:space="0"/>
            </w:tcBorders>
            <w:vAlign w:val="top"/>
          </w:tcPr>
          <w:p w14:paraId="333F9790">
            <w:pPr>
              <w:pStyle w:val="33"/>
              <w:spacing w:before="41" w:line="400" w:lineRule="exact"/>
              <w:ind w:left="124" w:leftChars="0" w:right="104" w:rightChars="0" w:hanging="4" w:firstLineChars="0"/>
              <w:jc w:val="both"/>
              <w:rPr>
                <w:rFonts w:ascii="仿宋_GB2312" w:hAnsi="仿宋_GB2312" w:eastAsia="仿宋_GB2312" w:cs="仿宋_GB2312"/>
                <w:color w:val="auto"/>
                <w:spacing w:val="14"/>
                <w:sz w:val="24"/>
                <w:szCs w:val="24"/>
                <w:highlight w:val="none"/>
                <w:lang w:eastAsia="zh-CN"/>
              </w:rPr>
            </w:pPr>
            <w:r>
              <w:rPr>
                <w:rFonts w:hint="eastAsia" w:ascii="仿宋_GB2312" w:hAnsi="仿宋_GB2312" w:eastAsia="仿宋_GB2312" w:cs="仿宋_GB2312"/>
                <w:color w:val="auto"/>
                <w:spacing w:val="14"/>
                <w:sz w:val="24"/>
                <w:szCs w:val="24"/>
                <w:highlight w:val="none"/>
                <w:lang w:eastAsia="zh-CN"/>
              </w:rPr>
              <w:t>投标文件载明的采购范围是否符合招标文件的要求，供应商必须按招标文件要求应答，否则做否决处理。</w:t>
            </w:r>
          </w:p>
        </w:tc>
      </w:tr>
      <w:tr w14:paraId="33E0D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19" w:type="dxa"/>
          </w:tcPr>
          <w:p w14:paraId="6B3A2FDF">
            <w:pPr>
              <w:pStyle w:val="33"/>
              <w:spacing w:before="271" w:line="400" w:lineRule="exact"/>
              <w:ind w:left="222"/>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w:t>
            </w:r>
          </w:p>
        </w:tc>
        <w:tc>
          <w:tcPr>
            <w:tcW w:w="1412" w:type="dxa"/>
            <w:tcBorders>
              <w:right w:val="single" w:color="auto" w:sz="4" w:space="0"/>
            </w:tcBorders>
            <w:vAlign w:val="center"/>
          </w:tcPr>
          <w:p w14:paraId="324B785F">
            <w:pPr>
              <w:pStyle w:val="33"/>
              <w:spacing w:before="43" w:line="400" w:lineRule="exact"/>
              <w:ind w:left="122" w:leftChars="0" w:right="104" w:right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0"/>
                <w:sz w:val="24"/>
                <w:szCs w:val="24"/>
                <w:highlight w:val="none"/>
                <w:lang w:eastAsia="zh-CN"/>
              </w:rPr>
              <w:t>投标报</w:t>
            </w:r>
            <w:r>
              <w:rPr>
                <w:rFonts w:hint="eastAsia" w:ascii="仿宋_GB2312" w:hAnsi="仿宋_GB2312" w:eastAsia="仿宋_GB2312" w:cs="仿宋_GB2312"/>
                <w:color w:val="auto"/>
                <w:spacing w:val="-2"/>
                <w:sz w:val="24"/>
                <w:szCs w:val="24"/>
                <w:highlight w:val="none"/>
                <w:lang w:eastAsia="zh-CN"/>
              </w:rPr>
              <w:t>价</w:t>
            </w:r>
          </w:p>
        </w:tc>
        <w:tc>
          <w:tcPr>
            <w:tcW w:w="7651" w:type="dxa"/>
            <w:tcBorders>
              <w:left w:val="single" w:color="auto" w:sz="4" w:space="0"/>
            </w:tcBorders>
            <w:vAlign w:val="center"/>
          </w:tcPr>
          <w:p w14:paraId="14559FD1">
            <w:pPr>
              <w:pStyle w:val="33"/>
              <w:spacing w:before="37" w:line="40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其报价未超过</w:t>
            </w:r>
            <w:r>
              <w:rPr>
                <w:rFonts w:hint="eastAsia" w:ascii="仿宋_GB2312" w:hAnsi="仿宋_GB2312" w:eastAsia="仿宋_GB2312" w:cs="仿宋_GB2312"/>
                <w:color w:val="auto"/>
                <w:spacing w:val="6"/>
                <w:sz w:val="24"/>
                <w:szCs w:val="24"/>
                <w:highlight w:val="none"/>
                <w:lang w:val="en-US" w:eastAsia="zh-CN"/>
              </w:rPr>
              <w:t>招标文件</w:t>
            </w:r>
            <w:r>
              <w:rPr>
                <w:rFonts w:hint="eastAsia" w:ascii="仿宋_GB2312" w:hAnsi="仿宋_GB2312" w:eastAsia="仿宋_GB2312" w:cs="仿宋_GB2312"/>
                <w:color w:val="auto"/>
                <w:spacing w:val="6"/>
                <w:sz w:val="24"/>
                <w:szCs w:val="24"/>
                <w:highlight w:val="none"/>
                <w:lang w:eastAsia="zh-CN"/>
              </w:rPr>
              <w:t>最高限价，且只有一个有效报价，未提交选择性报价。</w:t>
            </w:r>
          </w:p>
        </w:tc>
      </w:tr>
      <w:tr w14:paraId="1A65C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19" w:type="dxa"/>
          </w:tcPr>
          <w:p w14:paraId="549CA4C0">
            <w:pPr>
              <w:pStyle w:val="33"/>
              <w:spacing w:before="271" w:line="400" w:lineRule="exact"/>
              <w:ind w:left="222"/>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4</w:t>
            </w:r>
          </w:p>
        </w:tc>
        <w:tc>
          <w:tcPr>
            <w:tcW w:w="1412" w:type="dxa"/>
            <w:tcBorders>
              <w:right w:val="single" w:color="auto" w:sz="4" w:space="0"/>
            </w:tcBorders>
            <w:vAlign w:val="center"/>
          </w:tcPr>
          <w:p w14:paraId="18692C06">
            <w:pPr>
              <w:pStyle w:val="33"/>
              <w:spacing w:before="43" w:line="400" w:lineRule="exact"/>
              <w:ind w:left="122" w:leftChars="0" w:right="104" w:rightChars="0"/>
              <w:rPr>
                <w:rFonts w:ascii="仿宋_GB2312" w:hAnsi="仿宋_GB2312" w:eastAsia="仿宋_GB2312" w:cs="仿宋_GB2312"/>
                <w:color w:val="auto"/>
                <w:spacing w:val="20"/>
                <w:sz w:val="24"/>
                <w:szCs w:val="24"/>
                <w:highlight w:val="none"/>
                <w:lang w:eastAsia="zh-CN"/>
              </w:rPr>
            </w:pPr>
            <w:r>
              <w:rPr>
                <w:rFonts w:hint="eastAsia" w:ascii="仿宋_GB2312" w:hAnsi="仿宋_GB2312" w:eastAsia="仿宋_GB2312" w:cs="仿宋_GB2312"/>
                <w:color w:val="auto"/>
                <w:sz w:val="24"/>
                <w:szCs w:val="24"/>
                <w:highlight w:val="none"/>
                <w:lang w:eastAsia="zh-CN"/>
              </w:rPr>
              <w:t>投标保证金</w:t>
            </w:r>
          </w:p>
        </w:tc>
        <w:tc>
          <w:tcPr>
            <w:tcW w:w="7651" w:type="dxa"/>
            <w:tcBorders>
              <w:left w:val="single" w:color="auto" w:sz="4" w:space="0"/>
            </w:tcBorders>
            <w:vAlign w:val="top"/>
          </w:tcPr>
          <w:p w14:paraId="15CAA698">
            <w:pPr>
              <w:pStyle w:val="33"/>
              <w:spacing w:before="43" w:line="400" w:lineRule="exact"/>
              <w:ind w:left="122" w:leftChars="0" w:right="104" w:rightChars="0"/>
              <w:rPr>
                <w:rFonts w:ascii="仿宋_GB2312" w:hAnsi="仿宋_GB2312" w:eastAsia="仿宋_GB2312" w:cs="仿宋_GB2312"/>
                <w:color w:val="auto"/>
                <w:spacing w:val="20"/>
                <w:sz w:val="24"/>
                <w:szCs w:val="24"/>
                <w:highlight w:val="none"/>
                <w:lang w:eastAsia="zh-CN"/>
              </w:rPr>
            </w:pPr>
            <w:r>
              <w:rPr>
                <w:rFonts w:hint="eastAsia" w:ascii="仿宋_GB2312" w:hAnsi="仿宋_GB2312" w:eastAsia="仿宋_GB2312" w:cs="仿宋_GB2312"/>
                <w:color w:val="auto"/>
                <w:sz w:val="24"/>
                <w:szCs w:val="24"/>
                <w:highlight w:val="none"/>
                <w:lang w:eastAsia="zh-CN"/>
              </w:rPr>
              <w:t>按照招标文件的规定提交投标保证金（打印件或复印件或电子保函相关证明资料），</w:t>
            </w:r>
            <w:r>
              <w:rPr>
                <w:rFonts w:hint="eastAsia" w:ascii="仿宋_GB2312" w:hAnsi="仿宋_GB2312" w:eastAsia="仿宋_GB2312" w:cs="仿宋_GB2312"/>
                <w:color w:val="auto"/>
                <w:spacing w:val="21"/>
                <w:sz w:val="24"/>
                <w:szCs w:val="24"/>
                <w:highlight w:val="none"/>
                <w:lang w:eastAsia="zh-CN"/>
              </w:rPr>
              <w:t>投标保证金的缴纳主体与</w:t>
            </w:r>
            <w:r>
              <w:rPr>
                <w:rFonts w:hint="eastAsia" w:ascii="仿宋_GB2312" w:hAnsi="仿宋_GB2312" w:eastAsia="仿宋_GB2312" w:cs="仿宋_GB2312"/>
                <w:color w:val="auto"/>
                <w:spacing w:val="14"/>
                <w:sz w:val="24"/>
                <w:szCs w:val="24"/>
                <w:highlight w:val="none"/>
                <w:lang w:eastAsia="zh-CN"/>
              </w:rPr>
              <w:t>供应商一致；且按照招标</w:t>
            </w:r>
            <w:r>
              <w:rPr>
                <w:rFonts w:hint="eastAsia" w:ascii="仿宋_GB2312" w:hAnsi="仿宋_GB2312" w:eastAsia="仿宋_GB2312" w:cs="仿宋_GB2312"/>
                <w:color w:val="auto"/>
                <w:spacing w:val="21"/>
                <w:sz w:val="24"/>
                <w:szCs w:val="24"/>
                <w:highlight w:val="none"/>
                <w:lang w:eastAsia="zh-CN"/>
              </w:rPr>
              <w:t>文件要求的金额、方式提</w:t>
            </w:r>
            <w:r>
              <w:rPr>
                <w:rFonts w:hint="eastAsia" w:ascii="仿宋_GB2312" w:hAnsi="仿宋_GB2312" w:eastAsia="仿宋_GB2312" w:cs="仿宋_GB2312"/>
                <w:color w:val="auto"/>
                <w:sz w:val="24"/>
                <w:szCs w:val="24"/>
                <w:highlight w:val="none"/>
                <w:lang w:eastAsia="zh-CN"/>
              </w:rPr>
              <w:t>供。</w:t>
            </w:r>
          </w:p>
        </w:tc>
      </w:tr>
      <w:tr w14:paraId="1A46F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619" w:type="dxa"/>
            <w:vAlign w:val="center"/>
          </w:tcPr>
          <w:p w14:paraId="4CE29112">
            <w:pPr>
              <w:pStyle w:val="33"/>
              <w:spacing w:before="91" w:line="400" w:lineRule="exact"/>
              <w:ind w:left="224"/>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5</w:t>
            </w:r>
          </w:p>
        </w:tc>
        <w:tc>
          <w:tcPr>
            <w:tcW w:w="1412" w:type="dxa"/>
            <w:tcBorders>
              <w:right w:val="single" w:color="auto" w:sz="4" w:space="0"/>
            </w:tcBorders>
            <w:vAlign w:val="center"/>
          </w:tcPr>
          <w:p w14:paraId="2AE435B5">
            <w:pPr>
              <w:pStyle w:val="33"/>
              <w:spacing w:before="43" w:line="400" w:lineRule="exact"/>
              <w:ind w:left="122" w:leftChars="0" w:right="104" w:right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授权委托书</w:t>
            </w:r>
          </w:p>
        </w:tc>
        <w:tc>
          <w:tcPr>
            <w:tcW w:w="7651" w:type="dxa"/>
            <w:tcBorders>
              <w:left w:val="single" w:color="auto" w:sz="4" w:space="0"/>
            </w:tcBorders>
            <w:vAlign w:val="top"/>
          </w:tcPr>
          <w:p w14:paraId="0FED3640">
            <w:pPr>
              <w:pStyle w:val="33"/>
              <w:spacing w:before="43" w:line="400" w:lineRule="exact"/>
              <w:ind w:left="122" w:leftChars="0" w:right="104" w:right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法定代表人资格证明书、法定代表人授权委托书按招标文件规定格式完整提供，并按招标文件要求签字</w:t>
            </w:r>
            <w:r>
              <w:rPr>
                <w:rFonts w:hint="eastAsia" w:ascii="仿宋_GB2312" w:hAnsi="仿宋_GB2312" w:eastAsia="仿宋_GB2312" w:cs="仿宋_GB2312"/>
                <w:color w:val="auto"/>
                <w:sz w:val="24"/>
                <w:szCs w:val="24"/>
                <w:highlight w:val="none"/>
                <w:lang w:val="en-US" w:eastAsia="zh-CN"/>
              </w:rPr>
              <w:t>或</w:t>
            </w:r>
            <w:r>
              <w:rPr>
                <w:rFonts w:hint="eastAsia" w:ascii="仿宋_GB2312" w:hAnsi="仿宋_GB2312" w:eastAsia="仿宋_GB2312" w:cs="仿宋_GB2312"/>
                <w:color w:val="auto"/>
                <w:sz w:val="24"/>
                <w:szCs w:val="24"/>
                <w:highlight w:val="none"/>
                <w:lang w:eastAsia="zh-CN"/>
              </w:rPr>
              <w:t>盖章。</w:t>
            </w:r>
          </w:p>
        </w:tc>
      </w:tr>
      <w:tr w14:paraId="5727A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19" w:type="dxa"/>
          </w:tcPr>
          <w:p w14:paraId="2ECDC88F">
            <w:pPr>
              <w:pStyle w:val="33"/>
              <w:spacing w:before="91" w:line="400" w:lineRule="exact"/>
              <w:ind w:firstLine="240" w:firstLineChars="10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6</w:t>
            </w:r>
          </w:p>
        </w:tc>
        <w:tc>
          <w:tcPr>
            <w:tcW w:w="1412" w:type="dxa"/>
            <w:tcBorders>
              <w:right w:val="single" w:color="auto" w:sz="4" w:space="0"/>
            </w:tcBorders>
            <w:vAlign w:val="center"/>
          </w:tcPr>
          <w:p w14:paraId="2793F4CF">
            <w:pPr>
              <w:pStyle w:val="33"/>
              <w:spacing w:before="43" w:line="400" w:lineRule="exact"/>
              <w:ind w:left="121" w:leftChars="0" w:right="104" w:rightChars="0" w:firstLine="1" w:firstLine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实质性条款</w:t>
            </w:r>
          </w:p>
        </w:tc>
        <w:tc>
          <w:tcPr>
            <w:tcW w:w="7651" w:type="dxa"/>
            <w:tcBorders>
              <w:left w:val="single" w:color="auto" w:sz="4" w:space="0"/>
            </w:tcBorders>
            <w:vAlign w:val="top"/>
          </w:tcPr>
          <w:p w14:paraId="72238163">
            <w:pPr>
              <w:pStyle w:val="33"/>
              <w:spacing w:before="43" w:line="400" w:lineRule="exact"/>
              <w:ind w:left="121" w:leftChars="0" w:right="104" w:rightChars="0" w:firstLine="1" w:firstLineChars="0"/>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37"/>
                <w:sz w:val="24"/>
                <w:szCs w:val="24"/>
                <w:highlight w:val="none"/>
                <w:lang w:eastAsia="zh-CN"/>
              </w:rPr>
              <w:t>投标文件中载明的实质性条款及实质性格式均</w:t>
            </w:r>
            <w:r>
              <w:rPr>
                <w:rFonts w:hint="eastAsia" w:ascii="仿宋_GB2312" w:hAnsi="仿宋_GB2312" w:eastAsia="仿宋_GB2312" w:cs="仿宋_GB2312"/>
                <w:color w:val="auto"/>
                <w:spacing w:val="6"/>
                <w:sz w:val="24"/>
                <w:szCs w:val="24"/>
                <w:highlight w:val="none"/>
                <w:lang w:eastAsia="zh-CN"/>
              </w:rPr>
              <w:t>符</w:t>
            </w:r>
            <w:r>
              <w:rPr>
                <w:rFonts w:hint="eastAsia" w:ascii="仿宋_GB2312" w:hAnsi="仿宋_GB2312" w:eastAsia="仿宋_GB2312" w:cs="仿宋_GB2312"/>
                <w:color w:val="auto"/>
                <w:spacing w:val="1"/>
                <w:sz w:val="24"/>
                <w:szCs w:val="24"/>
                <w:highlight w:val="none"/>
                <w:lang w:eastAsia="zh-CN"/>
              </w:rPr>
              <w:t>合招标文件要求无偏离。</w:t>
            </w:r>
          </w:p>
        </w:tc>
      </w:tr>
      <w:tr w14:paraId="7E79D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19" w:type="dxa"/>
          </w:tcPr>
          <w:p w14:paraId="27DDB822">
            <w:pPr>
              <w:pStyle w:val="33"/>
              <w:spacing w:before="91"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7</w:t>
            </w:r>
          </w:p>
        </w:tc>
        <w:tc>
          <w:tcPr>
            <w:tcW w:w="1412" w:type="dxa"/>
            <w:tcBorders>
              <w:right w:val="single" w:color="auto" w:sz="4" w:space="0"/>
            </w:tcBorders>
            <w:vAlign w:val="center"/>
          </w:tcPr>
          <w:p w14:paraId="7FEDB655">
            <w:pPr>
              <w:pStyle w:val="33"/>
              <w:spacing w:before="48" w:line="400" w:lineRule="exact"/>
              <w:ind w:left="92" w:leftChars="0" w:right="104" w:rightChars="0" w:firstLine="28" w:firstLine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签字盖章</w:t>
            </w:r>
          </w:p>
        </w:tc>
        <w:tc>
          <w:tcPr>
            <w:tcW w:w="7651" w:type="dxa"/>
            <w:tcBorders>
              <w:left w:val="single" w:color="auto" w:sz="4" w:space="0"/>
            </w:tcBorders>
            <w:vAlign w:val="top"/>
          </w:tcPr>
          <w:p w14:paraId="5D78CDBE">
            <w:pPr>
              <w:pStyle w:val="33"/>
              <w:spacing w:before="48" w:line="400" w:lineRule="exact"/>
              <w:ind w:left="92" w:leftChars="0" w:right="104" w:rightChars="0" w:firstLine="28" w:firstLine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1"/>
                <w:sz w:val="24"/>
                <w:szCs w:val="24"/>
                <w:highlight w:val="none"/>
                <w:lang w:eastAsia="zh-CN"/>
              </w:rPr>
              <w:t>投标文件按招标文件规</w:t>
            </w:r>
            <w:r>
              <w:rPr>
                <w:rFonts w:hint="eastAsia" w:ascii="仿宋_GB2312" w:hAnsi="仿宋_GB2312" w:eastAsia="仿宋_GB2312" w:cs="仿宋_GB2312"/>
                <w:color w:val="auto"/>
                <w:spacing w:val="15"/>
                <w:sz w:val="24"/>
                <w:szCs w:val="24"/>
                <w:highlight w:val="none"/>
                <w:lang w:eastAsia="zh-CN"/>
              </w:rPr>
              <w:t>定格式、内容完整提供，</w:t>
            </w:r>
            <w:r>
              <w:rPr>
                <w:rFonts w:hint="eastAsia" w:ascii="仿宋_GB2312" w:hAnsi="仿宋_GB2312" w:eastAsia="仿宋_GB2312" w:cs="仿宋_GB2312"/>
                <w:color w:val="auto"/>
                <w:spacing w:val="16"/>
                <w:sz w:val="24"/>
                <w:szCs w:val="24"/>
                <w:highlight w:val="none"/>
                <w:lang w:eastAsia="zh-CN"/>
              </w:rPr>
              <w:t>且按招标文件要求签字</w:t>
            </w:r>
            <w:r>
              <w:rPr>
                <w:rFonts w:hint="eastAsia" w:ascii="仿宋_GB2312" w:hAnsi="仿宋_GB2312" w:eastAsia="仿宋_GB2312" w:cs="仿宋_GB2312"/>
                <w:color w:val="auto"/>
                <w:spacing w:val="16"/>
                <w:sz w:val="24"/>
                <w:szCs w:val="24"/>
                <w:highlight w:val="none"/>
                <w:lang w:val="en-US" w:eastAsia="zh-CN"/>
              </w:rPr>
              <w:t>或</w:t>
            </w:r>
            <w:r>
              <w:rPr>
                <w:rFonts w:hint="eastAsia" w:ascii="仿宋_GB2312" w:hAnsi="仿宋_GB2312" w:eastAsia="仿宋_GB2312" w:cs="仿宋_GB2312"/>
                <w:color w:val="auto"/>
                <w:spacing w:val="-5"/>
                <w:sz w:val="24"/>
                <w:szCs w:val="24"/>
                <w:highlight w:val="none"/>
                <w:lang w:eastAsia="zh-CN"/>
              </w:rPr>
              <w:t>盖章。</w:t>
            </w:r>
          </w:p>
        </w:tc>
      </w:tr>
      <w:tr w14:paraId="13EE8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19" w:type="dxa"/>
          </w:tcPr>
          <w:p w14:paraId="242F50B2">
            <w:pPr>
              <w:pStyle w:val="33"/>
              <w:spacing w:before="91"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8</w:t>
            </w:r>
          </w:p>
        </w:tc>
        <w:tc>
          <w:tcPr>
            <w:tcW w:w="1412" w:type="dxa"/>
            <w:tcBorders>
              <w:right w:val="single" w:color="auto" w:sz="4" w:space="0"/>
            </w:tcBorders>
            <w:vAlign w:val="center"/>
          </w:tcPr>
          <w:p w14:paraId="463790CF">
            <w:pPr>
              <w:pStyle w:val="33"/>
              <w:spacing w:before="38" w:line="400" w:lineRule="exact"/>
              <w:ind w:left="120" w:leftChars="0" w:right="104" w:right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0"/>
                <w:sz w:val="24"/>
                <w:szCs w:val="24"/>
                <w:highlight w:val="none"/>
                <w:lang w:eastAsia="zh-CN"/>
              </w:rPr>
              <w:t>串通投标</w:t>
            </w:r>
          </w:p>
        </w:tc>
        <w:tc>
          <w:tcPr>
            <w:tcW w:w="7651" w:type="dxa"/>
            <w:tcBorders>
              <w:left w:val="single" w:color="auto" w:sz="4" w:space="0"/>
            </w:tcBorders>
            <w:vAlign w:val="top"/>
          </w:tcPr>
          <w:p w14:paraId="5CBB2E5D">
            <w:pPr>
              <w:pStyle w:val="33"/>
              <w:spacing w:before="38" w:line="400" w:lineRule="exact"/>
              <w:ind w:left="120" w:leftChars="0" w:right="104" w:rightChars="0"/>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不存在《政府采购货物和服务招标投标管理办法》视为供应商串通投标的情形：（一）不同供应商的投标文件由同一单位或者个人编制；（二）不同供应商委托同一单位或者个人办理投标事宜；（三）不同供应商的投标文件载明的项目管理成员或者联系人员为同一人；（四）不同供应商的投标文件异常一致或者投标报价呈规律性差异；（五）不同供应商的投标文件相互混装；（六）不同供应商的投标保证金从同一单位或者个人的账户转出。</w:t>
            </w:r>
          </w:p>
        </w:tc>
      </w:tr>
      <w:tr w14:paraId="24657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619" w:type="dxa"/>
          </w:tcPr>
          <w:p w14:paraId="408324B6">
            <w:pPr>
              <w:pStyle w:val="33"/>
              <w:spacing w:before="91"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9</w:t>
            </w:r>
          </w:p>
        </w:tc>
        <w:tc>
          <w:tcPr>
            <w:tcW w:w="1412" w:type="dxa"/>
            <w:tcBorders>
              <w:right w:val="single" w:color="auto" w:sz="4" w:space="0"/>
            </w:tcBorders>
            <w:vAlign w:val="top"/>
          </w:tcPr>
          <w:p w14:paraId="022424FA">
            <w:pPr>
              <w:pStyle w:val="33"/>
              <w:spacing w:before="44" w:line="400" w:lineRule="exact"/>
              <w:ind w:left="124" w:leftChars="0" w:right="104" w:rightChars="0" w:hanging="4" w:firstLine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其他无效情形</w:t>
            </w:r>
          </w:p>
        </w:tc>
        <w:tc>
          <w:tcPr>
            <w:tcW w:w="7651" w:type="dxa"/>
            <w:tcBorders>
              <w:left w:val="single" w:color="auto" w:sz="4" w:space="0"/>
            </w:tcBorders>
            <w:vAlign w:val="top"/>
          </w:tcPr>
          <w:p w14:paraId="3FAB298B">
            <w:pPr>
              <w:pStyle w:val="33"/>
              <w:spacing w:before="46" w:line="400" w:lineRule="exact"/>
              <w:ind w:right="104" w:rightChars="0"/>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1"/>
                <w:sz w:val="24"/>
                <w:szCs w:val="24"/>
                <w:highlight w:val="none"/>
                <w:lang w:eastAsia="zh-CN"/>
              </w:rPr>
              <w:t>投标文件未附有采购人不</w:t>
            </w:r>
            <w:r>
              <w:rPr>
                <w:rFonts w:hint="eastAsia" w:ascii="仿宋_GB2312" w:hAnsi="仿宋_GB2312" w:eastAsia="仿宋_GB2312" w:cs="仿宋_GB2312"/>
                <w:color w:val="auto"/>
                <w:spacing w:val="-6"/>
                <w:sz w:val="24"/>
                <w:szCs w:val="24"/>
                <w:highlight w:val="none"/>
                <w:lang w:eastAsia="zh-CN"/>
              </w:rPr>
              <w:t>能接受的条件；</w:t>
            </w:r>
            <w:r>
              <w:rPr>
                <w:rFonts w:hint="eastAsia" w:ascii="仿宋_GB2312" w:hAnsi="仿宋_GB2312" w:eastAsia="仿宋_GB2312" w:cs="仿宋_GB2312"/>
                <w:color w:val="auto"/>
                <w:spacing w:val="20"/>
                <w:sz w:val="24"/>
                <w:szCs w:val="24"/>
                <w:highlight w:val="none"/>
                <w:lang w:eastAsia="zh-CN"/>
              </w:rPr>
              <w:t>符合法律、法规和招标文</w:t>
            </w:r>
            <w:r>
              <w:rPr>
                <w:rFonts w:hint="eastAsia" w:ascii="仿宋_GB2312" w:hAnsi="仿宋_GB2312" w:eastAsia="仿宋_GB2312" w:cs="仿宋_GB2312"/>
                <w:color w:val="auto"/>
                <w:spacing w:val="-2"/>
                <w:sz w:val="24"/>
                <w:szCs w:val="24"/>
                <w:highlight w:val="none"/>
                <w:lang w:eastAsia="zh-CN"/>
              </w:rPr>
              <w:t>件中规定的实质性要求。</w:t>
            </w:r>
          </w:p>
        </w:tc>
      </w:tr>
      <w:tr w14:paraId="5689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619" w:type="dxa"/>
          </w:tcPr>
          <w:p w14:paraId="25CE0BC2">
            <w:pPr>
              <w:pStyle w:val="33"/>
              <w:spacing w:before="91" w:line="40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412" w:type="dxa"/>
            <w:tcBorders>
              <w:right w:val="single" w:color="auto" w:sz="4" w:space="0"/>
            </w:tcBorders>
            <w:vAlign w:val="center"/>
          </w:tcPr>
          <w:p w14:paraId="117EED17">
            <w:pPr>
              <w:pStyle w:val="33"/>
              <w:spacing w:before="44" w:line="400" w:lineRule="exact"/>
              <w:ind w:left="124" w:leftChars="0" w:right="104" w:rightChars="0" w:hanging="4"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报价合理性</w:t>
            </w:r>
          </w:p>
        </w:tc>
        <w:tc>
          <w:tcPr>
            <w:tcW w:w="7651" w:type="dxa"/>
            <w:tcBorders>
              <w:left w:val="single" w:color="auto" w:sz="4" w:space="0"/>
            </w:tcBorders>
            <w:vAlign w:val="top"/>
          </w:tcPr>
          <w:p w14:paraId="32572FC5">
            <w:pPr>
              <w:pStyle w:val="33"/>
              <w:spacing w:before="46" w:line="400" w:lineRule="exact"/>
              <w:ind w:right="104" w:rightChars="0"/>
              <w:jc w:val="both"/>
              <w:rPr>
                <w:rFonts w:hint="eastAsia" w:ascii="仿宋_GB2312" w:hAnsi="仿宋_GB2312" w:eastAsia="仿宋_GB2312" w:cs="仿宋_GB2312"/>
                <w:color w:val="auto"/>
                <w:spacing w:val="21"/>
                <w:sz w:val="24"/>
                <w:szCs w:val="24"/>
                <w:highlight w:val="none"/>
                <w:lang w:eastAsia="zh-CN"/>
              </w:rPr>
            </w:pPr>
            <w:r>
              <w:rPr>
                <w:rFonts w:hint="eastAsia" w:cs="仿宋_GB2312"/>
                <w:color w:val="auto"/>
                <w:sz w:val="24"/>
                <w:szCs w:val="24"/>
                <w:highlight w:val="none"/>
                <w:lang w:eastAsia="zh-CN"/>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14:paraId="37B48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682" w:type="dxa"/>
            <w:gridSpan w:val="3"/>
            <w:vAlign w:val="center"/>
          </w:tcPr>
          <w:p w14:paraId="64CA15D5">
            <w:pPr>
              <w:pStyle w:val="33"/>
              <w:spacing w:before="45" w:line="400" w:lineRule="exact"/>
              <w:ind w:left="121" w:right="104" w:firstLine="6"/>
              <w:rPr>
                <w:rFonts w:ascii="仿宋_GB2312" w:hAnsi="仿宋_GB2312" w:eastAsia="仿宋_GB2312" w:cs="仿宋_GB2312"/>
                <w:b/>
                <w:bCs/>
                <w:color w:val="auto"/>
                <w:spacing w:val="20"/>
                <w:sz w:val="24"/>
                <w:szCs w:val="24"/>
                <w:highlight w:val="none"/>
                <w:lang w:eastAsia="zh-CN"/>
              </w:rPr>
            </w:pPr>
            <w:r>
              <w:rPr>
                <w:rFonts w:hint="eastAsia" w:ascii="仿宋_GB2312" w:hAnsi="仿宋_GB2312" w:eastAsia="仿宋_GB2312" w:cs="仿宋_GB2312"/>
                <w:b/>
                <w:bCs/>
                <w:color w:val="auto"/>
                <w:spacing w:val="20"/>
                <w:sz w:val="24"/>
                <w:szCs w:val="24"/>
                <w:highlight w:val="none"/>
                <w:lang w:eastAsia="zh-CN"/>
              </w:rPr>
              <w:t>备注：符合性审查中有一项不满足评审标准的，评标委员会将认定该供应商不通过符合性审查，不得进入下一阶段评审。并且不允许供应商通过修改或撤销其不符合要求的差异或保留，使之成为具有响应性的投标。</w:t>
            </w:r>
          </w:p>
        </w:tc>
      </w:tr>
    </w:tbl>
    <w:p w14:paraId="231AB1F8">
      <w:pPr>
        <w:pStyle w:val="10"/>
        <w:spacing w:before="91" w:line="222" w:lineRule="auto"/>
        <w:ind w:left="18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6"/>
          <w:sz w:val="28"/>
          <w:szCs w:val="28"/>
          <w:highlight w:val="none"/>
          <w:lang w:eastAsia="zh-CN"/>
        </w:rPr>
        <w:t>34.3.3</w:t>
      </w:r>
      <w:r>
        <w:rPr>
          <w:rFonts w:hint="eastAsia" w:ascii="仿宋_GB2312" w:hAnsi="仿宋_GB2312" w:eastAsia="仿宋_GB2312" w:cs="仿宋_GB2312"/>
          <w:color w:val="auto"/>
          <w:spacing w:val="-44"/>
          <w:sz w:val="28"/>
          <w:szCs w:val="28"/>
          <w:highlight w:val="none"/>
          <w:lang w:eastAsia="zh-CN"/>
        </w:rPr>
        <w:t xml:space="preserve"> </w:t>
      </w:r>
      <w:r>
        <w:rPr>
          <w:rFonts w:hint="eastAsia" w:ascii="仿宋_GB2312" w:hAnsi="仿宋_GB2312" w:eastAsia="仿宋_GB2312" w:cs="仿宋_GB2312"/>
          <w:b/>
          <w:bCs/>
          <w:color w:val="auto"/>
          <w:spacing w:val="-6"/>
          <w:sz w:val="28"/>
          <w:szCs w:val="28"/>
          <w:highlight w:val="none"/>
          <w:lang w:eastAsia="zh-CN"/>
        </w:rPr>
        <w:t>详细评审</w:t>
      </w:r>
    </w:p>
    <w:p w14:paraId="522A3A87">
      <w:pPr>
        <w:pStyle w:val="10"/>
        <w:spacing w:before="105" w:line="280" w:lineRule="auto"/>
        <w:ind w:left="187" w:right="158" w:firstLine="562"/>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符合性评审合格的供应商方可进入详细评审阶段。详细评审分为投标文件</w:t>
      </w:r>
      <w:r>
        <w:rPr>
          <w:rFonts w:hint="eastAsia" w:ascii="仿宋_GB2312" w:hAnsi="仿宋_GB2312" w:eastAsia="仿宋_GB2312" w:cs="仿宋_GB2312"/>
          <w:color w:val="auto"/>
          <w:spacing w:val="8"/>
          <w:sz w:val="28"/>
          <w:szCs w:val="28"/>
          <w:highlight w:val="none"/>
          <w:lang w:eastAsia="zh-CN"/>
        </w:rPr>
        <w:t>商务、技术部分评审和投标报价评审。其中，报价部分</w:t>
      </w:r>
      <w:r>
        <w:rPr>
          <w:rFonts w:hint="eastAsia" w:ascii="仿宋_GB2312" w:hAnsi="仿宋_GB2312" w:eastAsia="仿宋_GB2312" w:cs="仿宋_GB2312"/>
          <w:color w:val="auto"/>
          <w:spacing w:val="8"/>
          <w:sz w:val="28"/>
          <w:szCs w:val="28"/>
          <w:highlight w:val="none"/>
          <w:lang w:val="en-US" w:eastAsia="zh-CN"/>
        </w:rPr>
        <w:t>30</w:t>
      </w:r>
      <w:r>
        <w:rPr>
          <w:rFonts w:hint="eastAsia" w:ascii="仿宋_GB2312" w:hAnsi="仿宋_GB2312" w:eastAsia="仿宋_GB2312" w:cs="仿宋_GB2312"/>
          <w:color w:val="auto"/>
          <w:spacing w:val="8"/>
          <w:sz w:val="28"/>
          <w:szCs w:val="28"/>
          <w:highlight w:val="none"/>
          <w:lang w:eastAsia="zh-CN"/>
        </w:rPr>
        <w:t>分，</w:t>
      </w:r>
      <w:r>
        <w:rPr>
          <w:rFonts w:hint="eastAsia" w:ascii="仿宋_GB2312" w:hAnsi="仿宋_GB2312" w:eastAsia="仿宋_GB2312" w:cs="仿宋_GB2312"/>
          <w:color w:val="auto"/>
          <w:spacing w:val="7"/>
          <w:sz w:val="28"/>
          <w:szCs w:val="28"/>
          <w:highlight w:val="none"/>
          <w:lang w:eastAsia="zh-CN"/>
        </w:rPr>
        <w:t>商务、</w:t>
      </w:r>
      <w:r>
        <w:rPr>
          <w:rFonts w:hint="eastAsia" w:ascii="仿宋_GB2312" w:hAnsi="仿宋_GB2312" w:eastAsia="仿宋_GB2312" w:cs="仿宋_GB2312"/>
          <w:color w:val="auto"/>
          <w:spacing w:val="-7"/>
          <w:sz w:val="28"/>
          <w:szCs w:val="28"/>
          <w:highlight w:val="none"/>
          <w:lang w:eastAsia="zh-CN"/>
        </w:rPr>
        <w:t>技术部</w:t>
      </w:r>
      <w:r>
        <w:rPr>
          <w:rFonts w:hint="eastAsia" w:ascii="仿宋_GB2312" w:hAnsi="仿宋_GB2312" w:eastAsia="仿宋_GB2312" w:cs="仿宋_GB2312"/>
          <w:color w:val="auto"/>
          <w:sz w:val="28"/>
          <w:szCs w:val="28"/>
          <w:highlight w:val="none"/>
          <w:lang w:eastAsia="zh-CN"/>
        </w:rPr>
        <w:t>分</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lang w:eastAsia="zh-CN"/>
        </w:rPr>
        <w:t>0分，合计满分100 分。</w:t>
      </w:r>
    </w:p>
    <w:p w14:paraId="3914392A">
      <w:pPr>
        <w:pStyle w:val="10"/>
        <w:spacing w:before="43" w:line="223" w:lineRule="auto"/>
        <w:ind w:left="18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5"/>
          <w:sz w:val="28"/>
          <w:szCs w:val="28"/>
          <w:highlight w:val="none"/>
          <w:lang w:eastAsia="zh-CN"/>
        </w:rPr>
        <w:t>34.3.4</w:t>
      </w:r>
      <w:r>
        <w:rPr>
          <w:rFonts w:hint="eastAsia" w:ascii="仿宋_GB2312" w:hAnsi="仿宋_GB2312" w:eastAsia="仿宋_GB2312" w:cs="仿宋_GB2312"/>
          <w:color w:val="auto"/>
          <w:spacing w:val="-40"/>
          <w:sz w:val="28"/>
          <w:szCs w:val="28"/>
          <w:highlight w:val="none"/>
          <w:lang w:eastAsia="zh-CN"/>
        </w:rPr>
        <w:t xml:space="preserve"> </w:t>
      </w:r>
      <w:r>
        <w:rPr>
          <w:rFonts w:hint="eastAsia" w:ascii="仿宋_GB2312" w:hAnsi="仿宋_GB2312" w:eastAsia="仿宋_GB2312" w:cs="仿宋_GB2312"/>
          <w:b/>
          <w:bCs/>
          <w:color w:val="auto"/>
          <w:spacing w:val="-5"/>
          <w:sz w:val="28"/>
          <w:szCs w:val="28"/>
          <w:highlight w:val="none"/>
          <w:lang w:eastAsia="zh-CN"/>
        </w:rPr>
        <w:t>具体评审内容及标准</w:t>
      </w:r>
    </w:p>
    <w:p w14:paraId="57E1DE37">
      <w:pPr>
        <w:pStyle w:val="10"/>
        <w:spacing w:before="100" w:line="218" w:lineRule="auto"/>
        <w:ind w:left="4391"/>
        <w:outlineLvl w:val="2"/>
        <w:rPr>
          <w:rFonts w:ascii="仿宋_GB2312" w:hAnsi="仿宋_GB2312" w:eastAsia="仿宋_GB2312" w:cs="仿宋_GB2312"/>
          <w:color w:val="auto"/>
          <w:sz w:val="28"/>
          <w:szCs w:val="28"/>
          <w:highlight w:val="none"/>
          <w:lang w:eastAsia="zh-CN"/>
        </w:rPr>
      </w:pPr>
      <w:bookmarkStart w:id="93" w:name="_Toc10264"/>
      <w:bookmarkStart w:id="94" w:name="_Toc28591"/>
      <w:r>
        <w:rPr>
          <w:rFonts w:hint="eastAsia" w:ascii="仿宋_GB2312" w:hAnsi="仿宋_GB2312" w:eastAsia="仿宋_GB2312" w:cs="仿宋_GB2312"/>
          <w:b/>
          <w:bCs/>
          <w:color w:val="auto"/>
          <w:spacing w:val="-6"/>
          <w:sz w:val="28"/>
          <w:szCs w:val="28"/>
          <w:highlight w:val="none"/>
          <w:lang w:eastAsia="zh-CN"/>
        </w:rPr>
        <w:t>报价评审</w:t>
      </w:r>
      <w:bookmarkEnd w:id="93"/>
      <w:bookmarkEnd w:id="94"/>
    </w:p>
    <w:tbl>
      <w:tblPr>
        <w:tblStyle w:val="32"/>
        <w:tblW w:w="98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1"/>
        <w:gridCol w:w="1136"/>
        <w:gridCol w:w="7148"/>
      </w:tblGrid>
      <w:tr w14:paraId="52A5B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581" w:type="dxa"/>
          </w:tcPr>
          <w:p w14:paraId="0F16DBA5">
            <w:pPr>
              <w:pStyle w:val="33"/>
              <w:spacing w:before="46"/>
              <w:ind w:left="576"/>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评审因素</w:t>
            </w:r>
          </w:p>
        </w:tc>
        <w:tc>
          <w:tcPr>
            <w:tcW w:w="1136" w:type="dxa"/>
          </w:tcPr>
          <w:p w14:paraId="7AF4FF7C">
            <w:pPr>
              <w:pStyle w:val="33"/>
              <w:spacing w:before="46"/>
              <w:ind w:left="314"/>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分值</w:t>
            </w:r>
          </w:p>
        </w:tc>
        <w:tc>
          <w:tcPr>
            <w:tcW w:w="7148" w:type="dxa"/>
          </w:tcPr>
          <w:p w14:paraId="23FA413E">
            <w:pPr>
              <w:pStyle w:val="33"/>
              <w:spacing w:before="46"/>
              <w:ind w:left="268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评分标准</w:t>
            </w:r>
          </w:p>
        </w:tc>
      </w:tr>
      <w:tr w14:paraId="20FFF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81" w:type="dxa"/>
            <w:vAlign w:val="center"/>
          </w:tcPr>
          <w:p w14:paraId="399679E0">
            <w:pPr>
              <w:pStyle w:val="33"/>
              <w:spacing w:before="91"/>
              <w:ind w:right="276"/>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价格部分</w:t>
            </w:r>
            <w:r>
              <w:rPr>
                <w:rFonts w:hint="eastAsia" w:ascii="仿宋_GB2312" w:hAnsi="仿宋_GB2312" w:eastAsia="仿宋_GB2312" w:cs="仿宋_GB2312"/>
                <w:color w:val="auto"/>
                <w:spacing w:val="-3"/>
                <w:sz w:val="24"/>
                <w:szCs w:val="24"/>
                <w:highlight w:val="none"/>
                <w:lang w:eastAsia="zh-CN"/>
              </w:rPr>
              <w:t xml:space="preserve">        </w:t>
            </w:r>
          </w:p>
        </w:tc>
        <w:tc>
          <w:tcPr>
            <w:tcW w:w="1136" w:type="dxa"/>
            <w:vAlign w:val="center"/>
          </w:tcPr>
          <w:p w14:paraId="5CCE5712">
            <w:pPr>
              <w:spacing w:line="360" w:lineRule="auto"/>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lang w:eastAsia="zh-CN"/>
              </w:rPr>
              <w:t>分</w:t>
            </w:r>
          </w:p>
        </w:tc>
        <w:tc>
          <w:tcPr>
            <w:tcW w:w="7148" w:type="dxa"/>
            <w:vAlign w:val="center"/>
          </w:tcPr>
          <w:p w14:paraId="72EF3F6D">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满足采购文件要求且投标价格最低的投标报价为评标基准价，其价格分为满分。其他投标人的价格分统一按照下列公式计算：</w:t>
            </w:r>
          </w:p>
          <w:p w14:paraId="5F613C65">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投标报价得分=（评标基准价/投标报价）*价格分值</w:t>
            </w:r>
          </w:p>
          <w:p w14:paraId="3056DC03">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（计算分值时，百分比按四舍五入原则，保留小数点后二位数）</w:t>
            </w:r>
          </w:p>
          <w:p w14:paraId="0F433975">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备注：报统一折扣（如投标报价“九五折”，投标报价一览表中填写为“95%”）</w:t>
            </w:r>
          </w:p>
        </w:tc>
      </w:tr>
    </w:tbl>
    <w:p w14:paraId="1622DAFB">
      <w:pPr>
        <w:rPr>
          <w:rFonts w:ascii="仿宋_GB2312" w:hAnsi="仿宋_GB2312" w:eastAsia="仿宋_GB2312" w:cs="仿宋_GB2312"/>
          <w:color w:val="auto"/>
          <w:highlight w:val="none"/>
          <w:lang w:eastAsia="zh-CN"/>
        </w:rPr>
      </w:pPr>
    </w:p>
    <w:p w14:paraId="523779AB">
      <w:pPr>
        <w:pStyle w:val="10"/>
        <w:spacing w:before="91" w:line="217" w:lineRule="auto"/>
        <w:ind w:left="4102"/>
        <w:rPr>
          <w:rFonts w:ascii="仿宋_GB2312" w:hAnsi="仿宋_GB2312" w:eastAsia="仿宋_GB2312" w:cs="仿宋_GB2312"/>
          <w:b/>
          <w:bCs/>
          <w:color w:val="auto"/>
          <w:spacing w:val="-7"/>
          <w:sz w:val="28"/>
          <w:szCs w:val="28"/>
          <w:highlight w:val="none"/>
          <w:lang w:eastAsia="zh-CN"/>
        </w:rPr>
      </w:pPr>
      <w:r>
        <w:rPr>
          <w:rFonts w:hint="eastAsia" w:ascii="仿宋_GB2312" w:hAnsi="仿宋_GB2312" w:eastAsia="仿宋_GB2312" w:cs="仿宋_GB2312"/>
          <w:b/>
          <w:bCs/>
          <w:color w:val="auto"/>
          <w:spacing w:val="-7"/>
          <w:sz w:val="28"/>
          <w:szCs w:val="28"/>
          <w:highlight w:val="none"/>
          <w:lang w:eastAsia="zh-CN"/>
        </w:rPr>
        <w:t>详细评审</w:t>
      </w:r>
    </w:p>
    <w:tbl>
      <w:tblPr>
        <w:tblStyle w:val="26"/>
        <w:tblW w:w="50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209"/>
        <w:gridCol w:w="7101"/>
        <w:gridCol w:w="996"/>
      </w:tblGrid>
      <w:tr w14:paraId="297B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76F645AF">
            <w:pPr>
              <w:spacing w:line="440" w:lineRule="exact"/>
              <w:ind w:right="-31" w:rightChars="-15"/>
              <w:jc w:val="center"/>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rPr>
              <w:t>序号</w:t>
            </w:r>
          </w:p>
        </w:tc>
        <w:tc>
          <w:tcPr>
            <w:tcW w:w="607" w:type="pct"/>
            <w:tcBorders>
              <w:top w:val="single" w:color="auto" w:sz="4" w:space="0"/>
              <w:left w:val="single" w:color="auto" w:sz="4" w:space="0"/>
              <w:bottom w:val="single" w:color="auto" w:sz="4" w:space="0"/>
              <w:right w:val="single" w:color="auto" w:sz="4" w:space="0"/>
            </w:tcBorders>
            <w:vAlign w:val="center"/>
          </w:tcPr>
          <w:p w14:paraId="60DC3891">
            <w:pPr>
              <w:spacing w:line="440" w:lineRule="exact"/>
              <w:jc w:val="center"/>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评审项目</w:t>
            </w:r>
          </w:p>
        </w:tc>
        <w:tc>
          <w:tcPr>
            <w:tcW w:w="3565" w:type="pct"/>
            <w:tcBorders>
              <w:top w:val="single" w:color="auto" w:sz="4" w:space="0"/>
              <w:left w:val="single" w:color="auto" w:sz="4" w:space="0"/>
              <w:bottom w:val="single" w:color="auto" w:sz="4" w:space="0"/>
              <w:right w:val="single" w:color="auto" w:sz="4" w:space="0"/>
            </w:tcBorders>
            <w:vAlign w:val="center"/>
          </w:tcPr>
          <w:p w14:paraId="7B730563">
            <w:pPr>
              <w:spacing w:line="440" w:lineRule="exact"/>
              <w:jc w:val="center"/>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评审细则</w:t>
            </w:r>
          </w:p>
        </w:tc>
        <w:tc>
          <w:tcPr>
            <w:tcW w:w="500" w:type="pct"/>
            <w:tcBorders>
              <w:top w:val="single" w:color="auto" w:sz="4" w:space="0"/>
              <w:left w:val="single" w:color="auto" w:sz="4" w:space="0"/>
              <w:bottom w:val="single" w:color="auto" w:sz="4" w:space="0"/>
              <w:right w:val="single" w:color="auto" w:sz="4" w:space="0"/>
            </w:tcBorders>
            <w:vAlign w:val="center"/>
          </w:tcPr>
          <w:p w14:paraId="06A2AAB1">
            <w:pPr>
              <w:spacing w:line="440" w:lineRule="exact"/>
              <w:jc w:val="center"/>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分值</w:t>
            </w:r>
          </w:p>
        </w:tc>
      </w:tr>
      <w:tr w14:paraId="1DF7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6FF6FD7E">
            <w:pPr>
              <w:spacing w:line="44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607" w:type="pct"/>
            <w:tcBorders>
              <w:top w:val="single" w:color="auto" w:sz="4" w:space="0"/>
              <w:left w:val="single" w:color="auto" w:sz="4" w:space="0"/>
              <w:bottom w:val="single" w:color="auto" w:sz="4" w:space="0"/>
              <w:right w:val="single" w:color="auto" w:sz="4" w:space="0"/>
            </w:tcBorders>
            <w:vAlign w:val="center"/>
          </w:tcPr>
          <w:p w14:paraId="7167D0F8">
            <w:pPr>
              <w:spacing w:line="44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人员配备</w:t>
            </w:r>
            <w:r>
              <w:rPr>
                <w:rFonts w:hint="eastAsia" w:ascii="仿宋_GB2312" w:hAnsi="仿宋_GB2312" w:eastAsia="仿宋_GB2312" w:cs="仿宋_GB2312"/>
                <w:color w:val="auto"/>
                <w:sz w:val="24"/>
                <w:szCs w:val="24"/>
                <w:highlight w:val="none"/>
                <w:lang w:eastAsia="zh-CN"/>
              </w:rPr>
              <w:t xml:space="preserve"> </w:t>
            </w:r>
          </w:p>
        </w:tc>
        <w:tc>
          <w:tcPr>
            <w:tcW w:w="3565" w:type="pct"/>
            <w:tcBorders>
              <w:top w:val="single" w:color="auto" w:sz="4" w:space="0"/>
              <w:left w:val="single" w:color="auto" w:sz="4" w:space="0"/>
              <w:bottom w:val="single" w:color="auto" w:sz="4" w:space="0"/>
              <w:right w:val="single" w:color="auto" w:sz="4" w:space="0"/>
            </w:tcBorders>
            <w:vAlign w:val="center"/>
          </w:tcPr>
          <w:p w14:paraId="36C8A039">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供应商拟为本项目提供服务团队配置健全（包括项目负责人、财务人员、采购人员、配送人员及其职责分工等），可服务本项目人员不少于</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人，每增加1人加</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分，满分</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分。</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人以下不得分。（须提供拟派人员身份证、在本单位签订的劳动合同；未提供证明材料或者提供的证明材料不符合要求或者提供的证明材料不清晰导致评审专家无法辨认的，不得分。）</w:t>
            </w:r>
          </w:p>
        </w:tc>
        <w:tc>
          <w:tcPr>
            <w:tcW w:w="500" w:type="pct"/>
            <w:tcBorders>
              <w:top w:val="single" w:color="auto" w:sz="4" w:space="0"/>
              <w:left w:val="single" w:color="auto" w:sz="4" w:space="0"/>
              <w:bottom w:val="single" w:color="auto" w:sz="4" w:space="0"/>
              <w:right w:val="single" w:color="auto" w:sz="4" w:space="0"/>
            </w:tcBorders>
            <w:vAlign w:val="center"/>
          </w:tcPr>
          <w:p w14:paraId="49B7745C">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分</w:t>
            </w:r>
          </w:p>
        </w:tc>
      </w:tr>
      <w:tr w14:paraId="64AB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48D1A26A">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w:t>
            </w:r>
          </w:p>
        </w:tc>
        <w:tc>
          <w:tcPr>
            <w:tcW w:w="607" w:type="pct"/>
            <w:tcBorders>
              <w:top w:val="single" w:color="auto" w:sz="4" w:space="0"/>
              <w:left w:val="single" w:color="auto" w:sz="4" w:space="0"/>
              <w:bottom w:val="single" w:color="auto" w:sz="4" w:space="0"/>
              <w:right w:val="single" w:color="auto" w:sz="4" w:space="0"/>
            </w:tcBorders>
            <w:vAlign w:val="center"/>
          </w:tcPr>
          <w:p w14:paraId="2D50868A">
            <w:pPr>
              <w:spacing w:line="440" w:lineRule="exact"/>
              <w:jc w:val="center"/>
              <w:rPr>
                <w:rFonts w:ascii="仿宋_GB2312" w:hAnsi="仿宋_GB2312" w:eastAsia="宋体"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车辆配备 </w:t>
            </w:r>
          </w:p>
        </w:tc>
        <w:tc>
          <w:tcPr>
            <w:tcW w:w="7099" w:type="dxa"/>
            <w:tcBorders>
              <w:top w:val="single" w:color="auto" w:sz="4" w:space="0"/>
              <w:left w:val="single" w:color="auto" w:sz="4" w:space="0"/>
              <w:bottom w:val="single" w:color="auto" w:sz="4" w:space="0"/>
              <w:right w:val="single" w:color="auto" w:sz="4" w:space="0"/>
            </w:tcBorders>
            <w:vAlign w:val="center"/>
          </w:tcPr>
          <w:p w14:paraId="28A58738">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供应商拟为本项目提供配送车辆（须为满足项目配送需求的货运车辆，为公司或法人所有或租用的国家标准货运车辆），每提供1辆得2分，满分8分。</w:t>
            </w:r>
          </w:p>
          <w:p w14:paraId="21D08728">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注：所有车辆均须提供正面照片，有效的机动车行驶证，租赁车辆还须提供租赁合同和与租赁合同双方信息一致的付款凭证及发票。</w:t>
            </w:r>
          </w:p>
          <w:p w14:paraId="33D96E09">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未提供证明材料或者提供的证明材料不符合要求或者提供的证明材料不清晰导致评审专家无法辨认的，不得分。</w:t>
            </w:r>
          </w:p>
        </w:tc>
        <w:tc>
          <w:tcPr>
            <w:tcW w:w="996" w:type="dxa"/>
            <w:tcBorders>
              <w:top w:val="single" w:color="auto" w:sz="4" w:space="0"/>
              <w:left w:val="single" w:color="auto" w:sz="4" w:space="0"/>
              <w:bottom w:val="single" w:color="auto" w:sz="4" w:space="0"/>
              <w:right w:val="single" w:color="auto" w:sz="4" w:space="0"/>
            </w:tcBorders>
            <w:vAlign w:val="center"/>
          </w:tcPr>
          <w:p w14:paraId="0DAA988F">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8分</w:t>
            </w:r>
          </w:p>
        </w:tc>
      </w:tr>
      <w:tr w14:paraId="6B8C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1C983C03">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w:t>
            </w:r>
          </w:p>
        </w:tc>
        <w:tc>
          <w:tcPr>
            <w:tcW w:w="607" w:type="pct"/>
            <w:tcBorders>
              <w:top w:val="single" w:color="auto" w:sz="4" w:space="0"/>
              <w:left w:val="single" w:color="auto" w:sz="4" w:space="0"/>
              <w:bottom w:val="single" w:color="auto" w:sz="4" w:space="0"/>
              <w:right w:val="single" w:color="auto" w:sz="4" w:space="0"/>
            </w:tcBorders>
            <w:vAlign w:val="center"/>
          </w:tcPr>
          <w:p w14:paraId="1743103D">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类似业绩</w:t>
            </w:r>
          </w:p>
        </w:tc>
        <w:tc>
          <w:tcPr>
            <w:tcW w:w="3565" w:type="pct"/>
            <w:tcBorders>
              <w:top w:val="single" w:color="auto" w:sz="4" w:space="0"/>
              <w:left w:val="single" w:color="auto" w:sz="4" w:space="0"/>
              <w:bottom w:val="single" w:color="auto" w:sz="4" w:space="0"/>
              <w:right w:val="single" w:color="auto" w:sz="4" w:space="0"/>
            </w:tcBorders>
            <w:vAlign w:val="center"/>
          </w:tcPr>
          <w:p w14:paraId="02D2C323">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根据供应商近三年（202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年1月1日至今）类似业绩情况进行评定：每提供一个有效业绩加</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分，满分12分，同一项目续签合同的不可重复得分。（业绩证明资料须同时提供合同和中标通知书及发票扫描件&lt;发票应体现具体内容，如发票未体现具体内容，应附清单&gt;，上述材料缺一不可，提供不全或上述材料不清晰不完整无法辨识的本项不得分。）</w:t>
            </w:r>
          </w:p>
        </w:tc>
        <w:tc>
          <w:tcPr>
            <w:tcW w:w="500" w:type="pct"/>
            <w:tcBorders>
              <w:top w:val="single" w:color="auto" w:sz="4" w:space="0"/>
              <w:left w:val="single" w:color="auto" w:sz="4" w:space="0"/>
              <w:bottom w:val="single" w:color="auto" w:sz="4" w:space="0"/>
              <w:right w:val="single" w:color="auto" w:sz="4" w:space="0"/>
            </w:tcBorders>
            <w:vAlign w:val="center"/>
          </w:tcPr>
          <w:p w14:paraId="6A94DA6C">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lang w:eastAsia="zh-CN"/>
              </w:rPr>
              <w:t>分</w:t>
            </w:r>
          </w:p>
        </w:tc>
      </w:tr>
      <w:tr w14:paraId="1E3C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10A4907C">
            <w:pPr>
              <w:spacing w:line="44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14:paraId="1023809D">
            <w:pPr>
              <w:spacing w:line="440" w:lineRule="exact"/>
              <w:jc w:val="center"/>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用户评价</w:t>
            </w:r>
          </w:p>
        </w:tc>
        <w:tc>
          <w:tcPr>
            <w:tcW w:w="3565" w:type="pct"/>
            <w:tcBorders>
              <w:top w:val="single" w:color="auto" w:sz="4" w:space="0"/>
              <w:left w:val="single" w:color="auto" w:sz="4" w:space="0"/>
              <w:bottom w:val="single" w:color="auto" w:sz="4" w:space="0"/>
              <w:right w:val="single" w:color="auto" w:sz="4" w:space="0"/>
            </w:tcBorders>
            <w:shd w:val="clear" w:color="auto" w:fill="auto"/>
            <w:vAlign w:val="center"/>
          </w:tcPr>
          <w:p w14:paraId="290B2B5B">
            <w:pPr>
              <w:spacing w:line="440" w:lineRule="exact"/>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投标人有单位用户评价，评价等级为良好以上的。每提供一份得</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分，最高不超过</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分。同一单位提供多份的只算一份用户证明。</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292445F9">
            <w:pPr>
              <w:spacing w:line="440" w:lineRule="exact"/>
              <w:jc w:val="center"/>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分</w:t>
            </w:r>
          </w:p>
        </w:tc>
      </w:tr>
      <w:tr w14:paraId="30AE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2E0CC219">
            <w:pPr>
              <w:spacing w:line="44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14:paraId="5D27BD48">
            <w:pPr>
              <w:spacing w:line="440" w:lineRule="exact"/>
              <w:jc w:val="center"/>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 xml:space="preserve">食品安全检测能力   </w:t>
            </w:r>
          </w:p>
        </w:tc>
        <w:tc>
          <w:tcPr>
            <w:tcW w:w="3565" w:type="pct"/>
            <w:tcBorders>
              <w:top w:val="single" w:color="auto" w:sz="4" w:space="0"/>
              <w:left w:val="single" w:color="auto" w:sz="4" w:space="0"/>
              <w:bottom w:val="single" w:color="auto" w:sz="4" w:space="0"/>
              <w:right w:val="single" w:color="auto" w:sz="4" w:space="0"/>
            </w:tcBorders>
            <w:shd w:val="clear" w:color="auto" w:fill="auto"/>
            <w:vAlign w:val="center"/>
          </w:tcPr>
          <w:p w14:paraId="1E5A333B">
            <w:pPr>
              <w:spacing w:line="440" w:lineRule="exact"/>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eastAsia="zh-CN"/>
              </w:rPr>
              <w:t>供应商须承诺，中标后按采购人要求提供：第三方食品检测机构出具的由供应商送检的实际供货货物的食品检测报告的得5分，未提供的不得分。</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3EB3982E">
            <w:pPr>
              <w:spacing w:line="440" w:lineRule="exact"/>
              <w:jc w:val="center"/>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5分</w:t>
            </w:r>
          </w:p>
        </w:tc>
      </w:tr>
      <w:tr w14:paraId="30C5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385F5353">
            <w:pPr>
              <w:spacing w:line="44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14:paraId="13D3AC95">
            <w:pPr>
              <w:spacing w:line="440" w:lineRule="exact"/>
              <w:jc w:val="center"/>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仓储</w:t>
            </w:r>
            <w:r>
              <w:rPr>
                <w:rFonts w:hint="eastAsia" w:ascii="仿宋_GB2312" w:hAnsi="仿宋_GB2312" w:eastAsia="仿宋_GB2312" w:cs="仿宋_GB2312"/>
                <w:color w:val="auto"/>
                <w:sz w:val="24"/>
                <w:szCs w:val="24"/>
                <w:highlight w:val="none"/>
                <w:lang w:val="en-US" w:eastAsia="zh-CN"/>
              </w:rPr>
              <w:t>条件</w:t>
            </w:r>
          </w:p>
        </w:tc>
        <w:tc>
          <w:tcPr>
            <w:tcW w:w="3565" w:type="pct"/>
            <w:tcBorders>
              <w:top w:val="single" w:color="auto" w:sz="4" w:space="0"/>
              <w:left w:val="single" w:color="auto" w:sz="4" w:space="0"/>
              <w:bottom w:val="single" w:color="auto" w:sz="4" w:space="0"/>
              <w:right w:val="single" w:color="auto" w:sz="4" w:space="0"/>
            </w:tcBorders>
            <w:shd w:val="clear" w:color="auto" w:fill="auto"/>
            <w:vAlign w:val="center"/>
          </w:tcPr>
          <w:p w14:paraId="5FBE9760">
            <w:pPr>
              <w:spacing w:line="440" w:lineRule="exact"/>
              <w:rPr>
                <w:rFonts w:hint="eastAsia" w:ascii="仿宋_GB2312" w:hAnsi="仿宋_GB2312" w:eastAsia="仿宋_GB2312" w:cs="仿宋_GB2312"/>
                <w:snapToGrid w:val="0"/>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rPr>
              <w:t>投标人是否具备仓储库（常温仓储库房或保鲜库房），且能满足本项目配送所需得3分，未提供不得分。（注：投标人自有的库房须提供房产相关证明复印件，投标人租赁的库房须提供租赁租赁合同及房产相关证明复印件，但均必须显示面积）。</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6643F101">
            <w:pPr>
              <w:spacing w:line="440" w:lineRule="exact"/>
              <w:jc w:val="center"/>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分</w:t>
            </w:r>
          </w:p>
        </w:tc>
      </w:tr>
      <w:tr w14:paraId="1E87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0101EB35">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607" w:type="pct"/>
            <w:tcBorders>
              <w:top w:val="single" w:color="auto" w:sz="4" w:space="0"/>
              <w:left w:val="single" w:color="auto" w:sz="4" w:space="0"/>
              <w:bottom w:val="single" w:color="auto" w:sz="4" w:space="0"/>
              <w:right w:val="single" w:color="auto" w:sz="4" w:space="0"/>
            </w:tcBorders>
            <w:vAlign w:val="center"/>
          </w:tcPr>
          <w:p w14:paraId="41A8F87E">
            <w:pPr>
              <w:autoSpaceDE/>
              <w:autoSpaceDN/>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实施方案</w:t>
            </w:r>
          </w:p>
        </w:tc>
        <w:tc>
          <w:tcPr>
            <w:tcW w:w="3565" w:type="pct"/>
            <w:tcBorders>
              <w:top w:val="single" w:color="auto" w:sz="4" w:space="0"/>
              <w:left w:val="single" w:color="auto" w:sz="4" w:space="0"/>
              <w:bottom w:val="single" w:color="auto" w:sz="4" w:space="0"/>
              <w:right w:val="single" w:color="auto" w:sz="4" w:space="0"/>
            </w:tcBorders>
            <w:vAlign w:val="center"/>
          </w:tcPr>
          <w:p w14:paraId="7D8C898F">
            <w:pPr>
              <w:autoSpaceDE/>
              <w:autoSpaceDN/>
              <w:spacing w:line="440" w:lineRule="exact"/>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根据投标人提供的实施方案进行综合评审，投标人能够详细列出实施方案，包括但不限于①采购及配送方案、②运输周转方案、③交货验收方案、④缺陷货物退还方案、⑤配送人员管理方案，符合项目情况并能够保证按时足量保质供应的得满分10分，上述每项方案内容2分，未提供或缺失对应内容不得分；每项内容出现不符合项目情况或不利于项目实施或内容表述错误或内容前后矛盾等情形，每处扣1分，扣完为止。</w:t>
            </w:r>
          </w:p>
        </w:tc>
        <w:tc>
          <w:tcPr>
            <w:tcW w:w="500" w:type="pct"/>
            <w:tcBorders>
              <w:top w:val="single" w:color="auto" w:sz="4" w:space="0"/>
              <w:left w:val="single" w:color="auto" w:sz="4" w:space="0"/>
              <w:bottom w:val="single" w:color="auto" w:sz="4" w:space="0"/>
              <w:right w:val="single" w:color="auto" w:sz="4" w:space="0"/>
            </w:tcBorders>
            <w:vAlign w:val="center"/>
          </w:tcPr>
          <w:p w14:paraId="1386340E">
            <w:pPr>
              <w:autoSpaceDE/>
              <w:autoSpaceDN/>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10分</w:t>
            </w:r>
          </w:p>
        </w:tc>
      </w:tr>
      <w:tr w14:paraId="300C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565F580D">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8</w:t>
            </w:r>
          </w:p>
        </w:tc>
        <w:tc>
          <w:tcPr>
            <w:tcW w:w="607" w:type="pct"/>
            <w:tcBorders>
              <w:top w:val="single" w:color="auto" w:sz="4" w:space="0"/>
              <w:left w:val="single" w:color="auto" w:sz="4" w:space="0"/>
              <w:bottom w:val="single" w:color="auto" w:sz="4" w:space="0"/>
              <w:right w:val="single" w:color="auto" w:sz="4" w:space="0"/>
            </w:tcBorders>
            <w:vAlign w:val="center"/>
          </w:tcPr>
          <w:p w14:paraId="22C1DFB0">
            <w:pPr>
              <w:autoSpaceDE/>
              <w:autoSpaceDN/>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特殊情况应急保障方案</w:t>
            </w:r>
          </w:p>
        </w:tc>
        <w:tc>
          <w:tcPr>
            <w:tcW w:w="3565" w:type="pct"/>
            <w:tcBorders>
              <w:top w:val="single" w:color="auto" w:sz="4" w:space="0"/>
              <w:left w:val="single" w:color="auto" w:sz="4" w:space="0"/>
              <w:bottom w:val="single" w:color="auto" w:sz="4" w:space="0"/>
              <w:right w:val="single" w:color="auto" w:sz="4" w:space="0"/>
            </w:tcBorders>
            <w:vAlign w:val="center"/>
          </w:tcPr>
          <w:p w14:paraId="1517EE5C">
            <w:pPr>
              <w:autoSpaceDE/>
              <w:autoSpaceDN/>
              <w:spacing w:line="440" w:lineRule="exact"/>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根据投标人提供的应急保障方案进行综合评审，包括但不限于①恶劣天气、②车辆抛锚、③突发安全卫生事件、④货源短缺、⑤其他不可抗力等突发情况的物资筹措及配送途径，进行综合评审，上述每项内容1分，未提供或缺失对应内容不得分，满分5分；每项内容出现不符合项目情况或不利于项目实施或内容表述错误或内容前后矛盾等情形，每处扣0.5分，扣完为止。</w:t>
            </w:r>
          </w:p>
        </w:tc>
        <w:tc>
          <w:tcPr>
            <w:tcW w:w="500" w:type="pct"/>
            <w:tcBorders>
              <w:top w:val="single" w:color="auto" w:sz="4" w:space="0"/>
              <w:left w:val="single" w:color="auto" w:sz="4" w:space="0"/>
              <w:bottom w:val="single" w:color="auto" w:sz="4" w:space="0"/>
              <w:right w:val="single" w:color="auto" w:sz="4" w:space="0"/>
            </w:tcBorders>
            <w:vAlign w:val="center"/>
          </w:tcPr>
          <w:p w14:paraId="521FFBD1">
            <w:pPr>
              <w:autoSpaceDE/>
              <w:autoSpaceDN/>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5分</w:t>
            </w:r>
          </w:p>
        </w:tc>
      </w:tr>
      <w:tr w14:paraId="2912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jc w:val="center"/>
        </w:trPr>
        <w:tc>
          <w:tcPr>
            <w:tcW w:w="326" w:type="pct"/>
            <w:vAlign w:val="center"/>
          </w:tcPr>
          <w:p w14:paraId="6505C2BE">
            <w:pPr>
              <w:autoSpaceDE/>
              <w:autoSpaceDN/>
              <w:spacing w:line="440" w:lineRule="exact"/>
              <w:ind w:left="170"/>
              <w:jc w:val="both"/>
              <w:rPr>
                <w:rFonts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val="en-US" w:eastAsia="zh-CN"/>
              </w:rPr>
              <w:t>9</w:t>
            </w:r>
          </w:p>
        </w:tc>
        <w:tc>
          <w:tcPr>
            <w:tcW w:w="607" w:type="pct"/>
            <w:vAlign w:val="center"/>
          </w:tcPr>
          <w:p w14:paraId="51540F78">
            <w:pPr>
              <w:autoSpaceDE/>
              <w:autoSpaceDN/>
              <w:spacing w:line="440" w:lineRule="exact"/>
              <w:jc w:val="center"/>
              <w:rPr>
                <w:rFonts w:hint="eastAsia"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产品质量</w:t>
            </w:r>
          </w:p>
          <w:p w14:paraId="3B93895B">
            <w:pPr>
              <w:autoSpaceDE/>
              <w:autoSpaceDN/>
              <w:spacing w:line="440" w:lineRule="exact"/>
              <w:jc w:val="center"/>
              <w:rPr>
                <w:rFonts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保障</w:t>
            </w:r>
          </w:p>
        </w:tc>
        <w:tc>
          <w:tcPr>
            <w:tcW w:w="3565" w:type="pct"/>
            <w:vAlign w:val="center"/>
          </w:tcPr>
          <w:p w14:paraId="702C71A1">
            <w:pPr>
              <w:autoSpaceDE/>
              <w:autoSpaceDN/>
              <w:spacing w:line="440" w:lineRule="exact"/>
              <w:rPr>
                <w:rFonts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投标人根据其所投标标项采购需求的特性提供的质量保障方案，包含但不限于①产品质量保障承诺、②货源品质保障、③内部质量监督管理、④临时存放产品质量保证、⑤配送途中产品质量保证等内容，上述每项内容2分，未提供或缺失对应内容不得分，满分10分；每项内容出现不符合项目情况或不利于项目实施或内容表述错误或内容前后矛盾等情形，每处扣1分，扣完为止。</w:t>
            </w:r>
          </w:p>
        </w:tc>
        <w:tc>
          <w:tcPr>
            <w:tcW w:w="500" w:type="pct"/>
            <w:vAlign w:val="center"/>
          </w:tcPr>
          <w:p w14:paraId="74101C14">
            <w:pPr>
              <w:autoSpaceDE/>
              <w:autoSpaceDN/>
              <w:spacing w:line="440" w:lineRule="exact"/>
              <w:jc w:val="center"/>
              <w:rPr>
                <w:rFonts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10分</w:t>
            </w:r>
          </w:p>
        </w:tc>
      </w:tr>
      <w:tr w14:paraId="7A10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jc w:val="center"/>
        </w:trPr>
        <w:tc>
          <w:tcPr>
            <w:tcW w:w="326" w:type="pct"/>
            <w:vAlign w:val="center"/>
          </w:tcPr>
          <w:p w14:paraId="39AFE59E">
            <w:pPr>
              <w:autoSpaceDE/>
              <w:autoSpaceDN/>
              <w:spacing w:line="440" w:lineRule="exact"/>
              <w:ind w:left="170"/>
              <w:jc w:val="both"/>
              <w:rPr>
                <w:rFonts w:hint="default" w:ascii="仿宋_GB2312" w:hAnsi="仿宋_GB2312" w:eastAsia="仿宋_GB2312" w:cs="仿宋_GB2312"/>
                <w:bCs/>
                <w:color w:val="auto"/>
                <w:kern w:val="2"/>
                <w:sz w:val="24"/>
                <w:szCs w:val="24"/>
                <w:highlight w:val="none"/>
                <w:lang w:val="en-US" w:eastAsia="zh-CN"/>
              </w:rPr>
            </w:pPr>
            <w:r>
              <w:rPr>
                <w:rFonts w:hint="eastAsia" w:ascii="仿宋_GB2312" w:hAnsi="仿宋_GB2312" w:eastAsia="仿宋_GB2312" w:cs="仿宋_GB2312"/>
                <w:bCs/>
                <w:color w:val="auto"/>
                <w:kern w:val="2"/>
                <w:sz w:val="24"/>
                <w:szCs w:val="24"/>
                <w:highlight w:val="none"/>
                <w:lang w:val="en-US" w:eastAsia="zh-CN"/>
              </w:rPr>
              <w:t>10</w:t>
            </w:r>
          </w:p>
        </w:tc>
        <w:tc>
          <w:tcPr>
            <w:tcW w:w="607" w:type="pct"/>
            <w:vAlign w:val="center"/>
          </w:tcPr>
          <w:p w14:paraId="2C08A847">
            <w:pPr>
              <w:autoSpaceDE/>
              <w:autoSpaceDN/>
              <w:spacing w:line="440" w:lineRule="exact"/>
              <w:jc w:val="center"/>
              <w:rPr>
                <w:rFonts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食品安全保障措施</w:t>
            </w:r>
          </w:p>
        </w:tc>
        <w:tc>
          <w:tcPr>
            <w:tcW w:w="3565" w:type="pct"/>
            <w:vAlign w:val="center"/>
          </w:tcPr>
          <w:p w14:paraId="632C8960">
            <w:pPr>
              <w:autoSpaceDE/>
              <w:autoSpaceDN/>
              <w:spacing w:line="440" w:lineRule="exact"/>
              <w:jc w:val="both"/>
              <w:rPr>
                <w:rFonts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投标人根据采购需求的特性提供的食品安全保障措施，包括但不限于①食品安全保障承诺、②食品安全监管措施、③配送途径的安全保障、④卫生安全管理、⑤卫生防疫等内容，上述每项内容2分，未提供或缺失对应内容不得分，满分10分；每项内容出现不符合项目情况或不利于项目实施或内容表述错误或内容前后矛盾等情形，每处扣1分，扣完为止。</w:t>
            </w:r>
          </w:p>
        </w:tc>
        <w:tc>
          <w:tcPr>
            <w:tcW w:w="500" w:type="pct"/>
            <w:vAlign w:val="center"/>
          </w:tcPr>
          <w:p w14:paraId="3E9F230F">
            <w:pPr>
              <w:autoSpaceDE/>
              <w:autoSpaceDN/>
              <w:spacing w:line="440" w:lineRule="exact"/>
              <w:jc w:val="center"/>
              <w:rPr>
                <w:rFonts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10分</w:t>
            </w:r>
          </w:p>
        </w:tc>
      </w:tr>
    </w:tbl>
    <w:p w14:paraId="253A10E9">
      <w:pPr>
        <w:rPr>
          <w:rFonts w:ascii="仿宋_GB2312" w:hAnsi="仿宋_GB2312" w:eastAsia="仿宋_GB2312" w:cs="仿宋_GB2312"/>
          <w:color w:val="auto"/>
          <w:highlight w:val="none"/>
        </w:rPr>
      </w:pPr>
      <w:r>
        <w:rPr>
          <w:rFonts w:ascii="仿宋_GB2312" w:hAnsi="仿宋_GB2312" w:eastAsia="仿宋_GB2312" w:cs="仿宋_GB2312"/>
          <w:color w:val="auto"/>
          <w:highlight w:val="none"/>
        </w:rPr>
        <w:br w:type="page"/>
      </w:r>
    </w:p>
    <w:p w14:paraId="313C7E18">
      <w:pPr>
        <w:pStyle w:val="10"/>
        <w:spacing w:before="40" w:line="223" w:lineRule="auto"/>
        <w:ind w:firstLine="530" w:firstLineChars="200"/>
        <w:outlineLvl w:val="2"/>
        <w:rPr>
          <w:rFonts w:ascii="仿宋_GB2312" w:hAnsi="仿宋_GB2312" w:eastAsia="仿宋_GB2312" w:cs="仿宋_GB2312"/>
          <w:color w:val="auto"/>
          <w:sz w:val="28"/>
          <w:szCs w:val="28"/>
          <w:highlight w:val="none"/>
        </w:rPr>
      </w:pPr>
      <w:bookmarkStart w:id="95" w:name="_Toc1774"/>
      <w:bookmarkStart w:id="96" w:name="_Toc14788"/>
      <w:r>
        <w:rPr>
          <w:rFonts w:hint="eastAsia" w:ascii="仿宋_GB2312" w:hAnsi="仿宋_GB2312" w:eastAsia="仿宋_GB2312" w:cs="仿宋_GB2312"/>
          <w:b/>
          <w:bCs/>
          <w:color w:val="auto"/>
          <w:spacing w:val="-8"/>
          <w:sz w:val="28"/>
          <w:szCs w:val="28"/>
          <w:highlight w:val="none"/>
        </w:rPr>
        <w:t>35.</w:t>
      </w:r>
      <w:r>
        <w:rPr>
          <w:rFonts w:hint="eastAsia" w:ascii="仿宋_GB2312" w:hAnsi="仿宋_GB2312" w:eastAsia="仿宋_GB2312" w:cs="仿宋_GB2312"/>
          <w:color w:val="auto"/>
          <w:spacing w:val="29"/>
          <w:sz w:val="28"/>
          <w:szCs w:val="28"/>
          <w:highlight w:val="none"/>
        </w:rPr>
        <w:t xml:space="preserve"> </w:t>
      </w:r>
      <w:r>
        <w:rPr>
          <w:rFonts w:hint="eastAsia" w:ascii="仿宋_GB2312" w:hAnsi="仿宋_GB2312" w:eastAsia="仿宋_GB2312" w:cs="仿宋_GB2312"/>
          <w:b/>
          <w:bCs/>
          <w:color w:val="auto"/>
          <w:spacing w:val="-8"/>
          <w:sz w:val="28"/>
          <w:szCs w:val="28"/>
          <w:highlight w:val="none"/>
        </w:rPr>
        <w:t>定标原则</w:t>
      </w:r>
      <w:bookmarkEnd w:id="95"/>
      <w:bookmarkEnd w:id="96"/>
    </w:p>
    <w:p w14:paraId="78BE3362">
      <w:pPr>
        <w:pStyle w:val="10"/>
        <w:spacing w:before="317" w:line="296" w:lineRule="auto"/>
        <w:ind w:left="29" w:right="42" w:firstLine="55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35.1 评标委员会依据投标须知前附表规定的评标方法和标准，按照供应</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商综合得分排序确定出前三名作为中标候选人推荐给采购人。</w:t>
      </w:r>
    </w:p>
    <w:p w14:paraId="33C6408C">
      <w:pPr>
        <w:pStyle w:val="10"/>
        <w:spacing w:before="46" w:line="301" w:lineRule="auto"/>
        <w:ind w:left="18" w:right="41" w:firstLine="56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35.2</w:t>
      </w:r>
      <w:r>
        <w:rPr>
          <w:rFonts w:hint="eastAsia" w:ascii="仿宋_GB2312" w:hAnsi="仿宋_GB2312" w:eastAsia="仿宋_GB2312" w:cs="仿宋_GB2312"/>
          <w:color w:val="auto"/>
          <w:spacing w:val="-28"/>
          <w:sz w:val="28"/>
          <w:szCs w:val="28"/>
          <w:highlight w:val="none"/>
          <w:lang w:eastAsia="zh-CN"/>
        </w:rPr>
        <w:t xml:space="preserve"> </w:t>
      </w:r>
      <w:r>
        <w:rPr>
          <w:rFonts w:hint="eastAsia" w:ascii="仿宋_GB2312" w:hAnsi="仿宋_GB2312" w:eastAsia="仿宋_GB2312" w:cs="仿宋_GB2312"/>
          <w:color w:val="auto"/>
          <w:spacing w:val="12"/>
          <w:sz w:val="28"/>
          <w:szCs w:val="28"/>
          <w:highlight w:val="none"/>
          <w:lang w:eastAsia="zh-CN"/>
        </w:rPr>
        <w:t>采购代理机构应当在评标结束后2个工作日内将评标报告送采购</w:t>
      </w:r>
      <w:r>
        <w:rPr>
          <w:rFonts w:hint="eastAsia" w:ascii="仿宋_GB2312" w:hAnsi="仿宋_GB2312" w:eastAsia="仿宋_GB2312" w:cs="仿宋_GB2312"/>
          <w:color w:val="auto"/>
          <w:sz w:val="28"/>
          <w:szCs w:val="28"/>
          <w:highlight w:val="none"/>
          <w:lang w:eastAsia="zh-CN"/>
        </w:rPr>
        <w:t xml:space="preserve"> 人。采购人应当自收到评标报告之日起5个工作日内，在评标报告确定的中标</w:t>
      </w:r>
      <w:r>
        <w:rPr>
          <w:rFonts w:hint="eastAsia" w:ascii="仿宋_GB2312" w:hAnsi="仿宋_GB2312" w:eastAsia="仿宋_GB2312" w:cs="仿宋_GB2312"/>
          <w:color w:val="auto"/>
          <w:spacing w:val="7"/>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候选人名单中按顺序确定中标人。</w:t>
      </w:r>
    </w:p>
    <w:p w14:paraId="57A6FDC5">
      <w:pPr>
        <w:pStyle w:val="10"/>
        <w:spacing w:before="47" w:line="222" w:lineRule="auto"/>
        <w:ind w:left="582"/>
        <w:outlineLvl w:val="2"/>
        <w:rPr>
          <w:rFonts w:ascii="仿宋_GB2312" w:hAnsi="仿宋_GB2312" w:eastAsia="仿宋_GB2312" w:cs="仿宋_GB2312"/>
          <w:color w:val="auto"/>
          <w:sz w:val="28"/>
          <w:szCs w:val="28"/>
          <w:highlight w:val="none"/>
          <w:lang w:eastAsia="zh-CN"/>
        </w:rPr>
      </w:pPr>
      <w:bookmarkStart w:id="97" w:name="_Toc8913"/>
      <w:bookmarkStart w:id="98" w:name="_Toc32606"/>
      <w:r>
        <w:rPr>
          <w:rFonts w:hint="eastAsia" w:ascii="仿宋_GB2312" w:hAnsi="仿宋_GB2312" w:eastAsia="仿宋_GB2312" w:cs="仿宋_GB2312"/>
          <w:b/>
          <w:bCs/>
          <w:color w:val="auto"/>
          <w:spacing w:val="-6"/>
          <w:sz w:val="28"/>
          <w:szCs w:val="28"/>
          <w:highlight w:val="none"/>
          <w:lang w:eastAsia="zh-CN"/>
        </w:rPr>
        <w:t>36.</w:t>
      </w:r>
      <w:r>
        <w:rPr>
          <w:rFonts w:hint="eastAsia" w:ascii="仿宋_GB2312" w:hAnsi="仿宋_GB2312" w:eastAsia="仿宋_GB2312" w:cs="仿宋_GB2312"/>
          <w:color w:val="auto"/>
          <w:spacing w:val="27"/>
          <w:sz w:val="28"/>
          <w:szCs w:val="28"/>
          <w:highlight w:val="none"/>
          <w:lang w:eastAsia="zh-CN"/>
        </w:rPr>
        <w:t xml:space="preserve"> </w:t>
      </w:r>
      <w:r>
        <w:rPr>
          <w:rFonts w:hint="eastAsia" w:ascii="仿宋_GB2312" w:hAnsi="仿宋_GB2312" w:eastAsia="仿宋_GB2312" w:cs="仿宋_GB2312"/>
          <w:b/>
          <w:bCs/>
          <w:color w:val="auto"/>
          <w:spacing w:val="-6"/>
          <w:sz w:val="28"/>
          <w:szCs w:val="28"/>
          <w:highlight w:val="none"/>
          <w:lang w:eastAsia="zh-CN"/>
        </w:rPr>
        <w:t>评标过程的保密</w:t>
      </w:r>
      <w:bookmarkEnd w:id="97"/>
      <w:bookmarkEnd w:id="98"/>
    </w:p>
    <w:p w14:paraId="3C625046">
      <w:pPr>
        <w:pStyle w:val="10"/>
        <w:spacing w:before="134" w:line="301" w:lineRule="auto"/>
        <w:ind w:left="22" w:right="38" w:firstLine="557"/>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36.1</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凡属于对投标文件的审查、澄清、评价和比较有关的资料、中标候</w:t>
      </w:r>
      <w:r>
        <w:rPr>
          <w:rFonts w:hint="eastAsia" w:ascii="仿宋_GB2312" w:hAnsi="仿宋_GB2312" w:eastAsia="仿宋_GB2312" w:cs="仿宋_GB2312"/>
          <w:color w:val="auto"/>
          <w:sz w:val="28"/>
          <w:szCs w:val="28"/>
          <w:highlight w:val="none"/>
          <w:lang w:eastAsia="zh-CN"/>
        </w:rPr>
        <w:t xml:space="preserve"> 选人的推荐情况以及与评标有关的其他任何情况，评标委员会成员和与评标活</w:t>
      </w:r>
      <w:r>
        <w:rPr>
          <w:rFonts w:hint="eastAsia" w:ascii="仿宋_GB2312" w:hAnsi="仿宋_GB2312" w:eastAsia="仿宋_GB2312" w:cs="仿宋_GB2312"/>
          <w:color w:val="auto"/>
          <w:spacing w:val="5"/>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动有关的工作人员不得对任何单位和个人透露。</w:t>
      </w:r>
    </w:p>
    <w:p w14:paraId="22AE61E0">
      <w:pPr>
        <w:pStyle w:val="10"/>
        <w:spacing w:before="46" w:line="302" w:lineRule="auto"/>
        <w:ind w:left="19" w:right="38" w:firstLine="560"/>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3"/>
          <w:sz w:val="28"/>
          <w:szCs w:val="28"/>
          <w:highlight w:val="none"/>
          <w:lang w:eastAsia="zh-CN"/>
        </w:rPr>
        <w:t>36.2 在投标文件的评审和比较、中标候选人推荐以及授</w:t>
      </w:r>
      <w:r>
        <w:rPr>
          <w:rFonts w:hint="eastAsia" w:ascii="仿宋_GB2312" w:hAnsi="仿宋_GB2312" w:eastAsia="仿宋_GB2312" w:cs="仿宋_GB2312"/>
          <w:color w:val="auto"/>
          <w:spacing w:val="12"/>
          <w:sz w:val="28"/>
          <w:szCs w:val="28"/>
          <w:highlight w:val="none"/>
          <w:lang w:eastAsia="zh-CN"/>
        </w:rPr>
        <w:t>予合同的过程</w:t>
      </w:r>
      <w:r>
        <w:rPr>
          <w:rFonts w:hint="eastAsia" w:ascii="仿宋_GB2312" w:hAnsi="仿宋_GB2312" w:eastAsia="仿宋_GB2312" w:cs="仿宋_GB2312"/>
          <w:color w:val="auto"/>
          <w:sz w:val="28"/>
          <w:szCs w:val="28"/>
          <w:highlight w:val="none"/>
          <w:lang w:eastAsia="zh-CN"/>
        </w:rPr>
        <w:t xml:space="preserve"> 中，供应商向采购人或者评标委员会施加影响的任何行为，都将会导致其投标</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9"/>
          <w:sz w:val="28"/>
          <w:szCs w:val="28"/>
          <w:highlight w:val="none"/>
          <w:lang w:eastAsia="zh-CN"/>
        </w:rPr>
        <w:t>被拒绝。</w:t>
      </w:r>
    </w:p>
    <w:p w14:paraId="16ED9D0D">
      <w:pPr>
        <w:pStyle w:val="10"/>
        <w:spacing w:before="42" w:line="301" w:lineRule="auto"/>
        <w:ind w:left="18" w:right="38" w:firstLine="56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36.3</w:t>
      </w:r>
      <w:r>
        <w:rPr>
          <w:rFonts w:hint="eastAsia" w:ascii="仿宋_GB2312" w:hAnsi="仿宋_GB2312" w:eastAsia="仿宋_GB2312" w:cs="仿宋_GB2312"/>
          <w:color w:val="auto"/>
          <w:spacing w:val="78"/>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中标人确定后，采购人不对未中标人就评标过程以及未能中标原因</w:t>
      </w:r>
      <w:r>
        <w:rPr>
          <w:rFonts w:hint="eastAsia" w:ascii="仿宋_GB2312" w:hAnsi="仿宋_GB2312" w:eastAsia="仿宋_GB2312" w:cs="仿宋_GB2312"/>
          <w:color w:val="auto"/>
          <w:sz w:val="28"/>
          <w:szCs w:val="28"/>
          <w:highlight w:val="none"/>
          <w:lang w:eastAsia="zh-CN"/>
        </w:rPr>
        <w:t xml:space="preserve"> 做出任何解释。未中标人不得向评标委员会组成人员或者其他有关人员索问评</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标过程的情况和材料。</w:t>
      </w:r>
    </w:p>
    <w:p w14:paraId="34AECAEC">
      <w:pPr>
        <w:pStyle w:val="10"/>
        <w:spacing w:before="45" w:line="224" w:lineRule="auto"/>
        <w:ind w:left="586"/>
        <w:outlineLvl w:val="1"/>
        <w:rPr>
          <w:rFonts w:ascii="仿宋_GB2312" w:hAnsi="仿宋_GB2312" w:eastAsia="仿宋_GB2312" w:cs="仿宋_GB2312"/>
          <w:color w:val="auto"/>
          <w:sz w:val="28"/>
          <w:szCs w:val="28"/>
          <w:highlight w:val="none"/>
          <w:lang w:eastAsia="zh-CN"/>
        </w:rPr>
      </w:pPr>
      <w:bookmarkStart w:id="99" w:name="_Toc30567"/>
      <w:bookmarkStart w:id="100" w:name="_Toc19699"/>
      <w:r>
        <w:rPr>
          <w:rFonts w:hint="eastAsia" w:ascii="仿宋_GB2312" w:hAnsi="仿宋_GB2312" w:eastAsia="仿宋_GB2312" w:cs="仿宋_GB2312"/>
          <w:b/>
          <w:bCs/>
          <w:color w:val="auto"/>
          <w:spacing w:val="-7"/>
          <w:sz w:val="28"/>
          <w:szCs w:val="28"/>
          <w:highlight w:val="none"/>
          <w:lang w:eastAsia="zh-CN"/>
        </w:rPr>
        <w:t>（七）</w:t>
      </w:r>
      <w:r>
        <w:rPr>
          <w:rFonts w:hint="eastAsia" w:ascii="仿宋_GB2312" w:hAnsi="仿宋_GB2312" w:eastAsia="仿宋_GB2312" w:cs="仿宋_GB2312"/>
          <w:color w:val="auto"/>
          <w:spacing w:val="19"/>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授予合同</w:t>
      </w:r>
      <w:bookmarkEnd w:id="99"/>
      <w:bookmarkEnd w:id="100"/>
    </w:p>
    <w:p w14:paraId="30AB995A">
      <w:pPr>
        <w:pStyle w:val="10"/>
        <w:spacing w:before="136" w:line="223" w:lineRule="auto"/>
        <w:ind w:left="582"/>
        <w:outlineLvl w:val="2"/>
        <w:rPr>
          <w:rFonts w:ascii="仿宋_GB2312" w:hAnsi="仿宋_GB2312" w:eastAsia="仿宋_GB2312" w:cs="仿宋_GB2312"/>
          <w:color w:val="auto"/>
          <w:sz w:val="28"/>
          <w:szCs w:val="28"/>
          <w:highlight w:val="none"/>
          <w:lang w:eastAsia="zh-CN"/>
        </w:rPr>
      </w:pPr>
      <w:bookmarkStart w:id="101" w:name="_Toc11066"/>
      <w:bookmarkStart w:id="102" w:name="_Toc19606"/>
      <w:r>
        <w:rPr>
          <w:rFonts w:hint="eastAsia" w:ascii="仿宋_GB2312" w:hAnsi="仿宋_GB2312" w:eastAsia="仿宋_GB2312" w:cs="仿宋_GB2312"/>
          <w:b/>
          <w:bCs/>
          <w:color w:val="auto"/>
          <w:spacing w:val="-7"/>
          <w:sz w:val="28"/>
          <w:szCs w:val="28"/>
          <w:highlight w:val="none"/>
          <w:lang w:eastAsia="zh-CN"/>
        </w:rPr>
        <w:t>37.</w:t>
      </w:r>
      <w:r>
        <w:rPr>
          <w:rFonts w:hint="eastAsia" w:ascii="仿宋_GB2312" w:hAnsi="仿宋_GB2312" w:eastAsia="仿宋_GB2312" w:cs="仿宋_GB2312"/>
          <w:color w:val="auto"/>
          <w:spacing w:val="27"/>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确定中标人</w:t>
      </w:r>
      <w:bookmarkEnd w:id="101"/>
      <w:bookmarkEnd w:id="102"/>
    </w:p>
    <w:p w14:paraId="4226CE76">
      <w:pPr>
        <w:pStyle w:val="10"/>
        <w:spacing w:before="133" w:line="223" w:lineRule="auto"/>
        <w:ind w:left="58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8"/>
          <w:sz w:val="28"/>
          <w:szCs w:val="28"/>
          <w:highlight w:val="none"/>
          <w:lang w:eastAsia="zh-CN"/>
        </w:rPr>
        <w:t>37.1</w:t>
      </w:r>
      <w:r>
        <w:rPr>
          <w:rFonts w:hint="eastAsia" w:ascii="仿宋_GB2312" w:hAnsi="仿宋_GB2312" w:eastAsia="仿宋_GB2312" w:cs="仿宋_GB2312"/>
          <w:color w:val="auto"/>
          <w:spacing w:val="58"/>
          <w:sz w:val="28"/>
          <w:szCs w:val="28"/>
          <w:highlight w:val="none"/>
          <w:lang w:eastAsia="zh-CN"/>
        </w:rPr>
        <w:t xml:space="preserve"> </w:t>
      </w:r>
      <w:r>
        <w:rPr>
          <w:rFonts w:hint="eastAsia" w:ascii="仿宋_GB2312" w:hAnsi="仿宋_GB2312" w:eastAsia="仿宋_GB2312" w:cs="仿宋_GB2312"/>
          <w:color w:val="auto"/>
          <w:spacing w:val="-8"/>
          <w:sz w:val="28"/>
          <w:szCs w:val="28"/>
          <w:highlight w:val="none"/>
          <w:lang w:eastAsia="zh-CN"/>
        </w:rPr>
        <w:t>中标的标准</w:t>
      </w:r>
    </w:p>
    <w:p w14:paraId="65CB6A9E">
      <w:pPr>
        <w:pStyle w:val="10"/>
        <w:spacing w:before="135" w:line="296" w:lineRule="auto"/>
        <w:ind w:left="580" w:right="313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37.1.1</w:t>
      </w:r>
      <w:r>
        <w:rPr>
          <w:rFonts w:hint="eastAsia" w:ascii="仿宋_GB2312" w:hAnsi="仿宋_GB2312" w:eastAsia="仿宋_GB2312" w:cs="仿宋_GB2312"/>
          <w:color w:val="auto"/>
          <w:spacing w:val="-48"/>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投标文件满足采购文件全部实质性要求；</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37.1.2 具有良好的履行合同的能力和条件；</w:t>
      </w:r>
    </w:p>
    <w:p w14:paraId="47C622DD">
      <w:pPr>
        <w:pStyle w:val="10"/>
        <w:spacing w:before="45" w:line="222" w:lineRule="auto"/>
        <w:ind w:left="58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37.1.3</w:t>
      </w:r>
      <w:r>
        <w:rPr>
          <w:rFonts w:hint="eastAsia" w:ascii="仿宋_GB2312" w:hAnsi="仿宋_GB2312" w:eastAsia="仿宋_GB2312" w:cs="仿宋_GB2312"/>
          <w:color w:val="auto"/>
          <w:spacing w:val="37"/>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能够最大限度满足采购文件的各项要求；</w:t>
      </w:r>
    </w:p>
    <w:p w14:paraId="17344E9B">
      <w:pPr>
        <w:pStyle w:val="10"/>
        <w:spacing w:before="136" w:line="222" w:lineRule="auto"/>
        <w:ind w:left="58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37.2 采购人将确定资格合格的中标候选人为中标人。</w:t>
      </w:r>
    </w:p>
    <w:p w14:paraId="4CB84D60">
      <w:pPr>
        <w:pStyle w:val="10"/>
        <w:spacing w:before="136" w:line="223" w:lineRule="auto"/>
        <w:ind w:left="582"/>
        <w:outlineLvl w:val="2"/>
        <w:rPr>
          <w:rFonts w:ascii="仿宋_GB2312" w:hAnsi="仿宋_GB2312" w:eastAsia="仿宋_GB2312" w:cs="仿宋_GB2312"/>
          <w:color w:val="auto"/>
          <w:sz w:val="28"/>
          <w:szCs w:val="28"/>
          <w:highlight w:val="none"/>
          <w:lang w:eastAsia="zh-CN"/>
        </w:rPr>
      </w:pPr>
      <w:bookmarkStart w:id="103" w:name="_Toc5310"/>
      <w:bookmarkStart w:id="104" w:name="_Toc12580"/>
      <w:r>
        <w:rPr>
          <w:rFonts w:hint="eastAsia" w:ascii="仿宋_GB2312" w:hAnsi="仿宋_GB2312" w:eastAsia="仿宋_GB2312" w:cs="仿宋_GB2312"/>
          <w:b/>
          <w:bCs/>
          <w:color w:val="auto"/>
          <w:spacing w:val="-3"/>
          <w:sz w:val="28"/>
          <w:szCs w:val="28"/>
          <w:highlight w:val="none"/>
          <w:lang w:eastAsia="zh-CN"/>
        </w:rPr>
        <w:t>38.</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授予合同的准则</w:t>
      </w:r>
      <w:bookmarkEnd w:id="103"/>
      <w:bookmarkEnd w:id="104"/>
    </w:p>
    <w:p w14:paraId="557D3723">
      <w:pPr>
        <w:pStyle w:val="10"/>
        <w:spacing w:before="132" w:line="222" w:lineRule="auto"/>
        <w:ind w:left="58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38.1 采购人将把合同授予经确认的中标人。</w:t>
      </w:r>
    </w:p>
    <w:p w14:paraId="3FB91CB2">
      <w:pPr>
        <w:pStyle w:val="10"/>
        <w:spacing w:before="136" w:line="223" w:lineRule="auto"/>
        <w:ind w:left="582"/>
        <w:outlineLvl w:val="2"/>
        <w:rPr>
          <w:rFonts w:ascii="仿宋_GB2312" w:hAnsi="仿宋_GB2312" w:eastAsia="仿宋_GB2312" w:cs="仿宋_GB2312"/>
          <w:color w:val="auto"/>
          <w:sz w:val="28"/>
          <w:szCs w:val="28"/>
          <w:highlight w:val="none"/>
          <w:lang w:eastAsia="zh-CN"/>
        </w:rPr>
      </w:pPr>
      <w:bookmarkStart w:id="105" w:name="_Toc32471"/>
      <w:bookmarkStart w:id="106" w:name="_Toc96"/>
      <w:r>
        <w:rPr>
          <w:rFonts w:hint="eastAsia" w:ascii="仿宋_GB2312" w:hAnsi="仿宋_GB2312" w:eastAsia="仿宋_GB2312" w:cs="仿宋_GB2312"/>
          <w:b/>
          <w:bCs/>
          <w:color w:val="auto"/>
          <w:spacing w:val="-11"/>
          <w:sz w:val="28"/>
          <w:szCs w:val="28"/>
          <w:highlight w:val="none"/>
          <w:lang w:eastAsia="zh-CN"/>
        </w:rPr>
        <w:t>39.</w:t>
      </w:r>
      <w:r>
        <w:rPr>
          <w:rFonts w:hint="eastAsia" w:ascii="仿宋_GB2312" w:hAnsi="仿宋_GB2312" w:eastAsia="仿宋_GB2312" w:cs="仿宋_GB2312"/>
          <w:color w:val="auto"/>
          <w:spacing w:val="60"/>
          <w:sz w:val="28"/>
          <w:szCs w:val="28"/>
          <w:highlight w:val="none"/>
          <w:lang w:eastAsia="zh-CN"/>
        </w:rPr>
        <w:t xml:space="preserve"> </w:t>
      </w:r>
      <w:r>
        <w:rPr>
          <w:rFonts w:hint="eastAsia" w:ascii="仿宋_GB2312" w:hAnsi="仿宋_GB2312" w:eastAsia="仿宋_GB2312" w:cs="仿宋_GB2312"/>
          <w:b/>
          <w:bCs/>
          <w:color w:val="auto"/>
          <w:spacing w:val="-11"/>
          <w:sz w:val="28"/>
          <w:szCs w:val="28"/>
          <w:highlight w:val="none"/>
          <w:lang w:eastAsia="zh-CN"/>
        </w:rPr>
        <w:t>中标通知</w:t>
      </w:r>
      <w:bookmarkEnd w:id="105"/>
      <w:bookmarkEnd w:id="106"/>
    </w:p>
    <w:p w14:paraId="3B8EB07B">
      <w:pPr>
        <w:pStyle w:val="10"/>
        <w:spacing w:before="132" w:line="520" w:lineRule="exact"/>
        <w:ind w:left="18" w:right="44" w:firstLine="56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39.1</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采购人依据评标委员会推荐的中标候选人排序确定排名第一的中标</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候选人为中标人后，将对中标结果公示1工作日，同时向中标人发出中标通知</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书。</w:t>
      </w:r>
    </w:p>
    <w:p w14:paraId="6C153406">
      <w:pPr>
        <w:pStyle w:val="10"/>
        <w:spacing w:before="44" w:line="520" w:lineRule="exact"/>
        <w:ind w:right="42"/>
        <w:jc w:val="right"/>
        <w:rPr>
          <w:rFonts w:ascii="仿宋_GB2312" w:hAnsi="仿宋_GB2312" w:eastAsia="仿宋_GB2312" w:cs="仿宋_GB2312"/>
          <w:color w:val="auto"/>
          <w:spacing w:val="7"/>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 xml:space="preserve">  39.2 供应商对中标或者成交结果有异议的，可以在知道或者应知其权益</w:t>
      </w:r>
      <w:r>
        <w:rPr>
          <w:rFonts w:hint="eastAsia" w:ascii="仿宋_GB2312" w:hAnsi="仿宋_GB2312" w:eastAsia="仿宋_GB2312" w:cs="仿宋_GB2312"/>
          <w:color w:val="auto"/>
          <w:spacing w:val="7"/>
          <w:sz w:val="28"/>
          <w:szCs w:val="28"/>
          <w:highlight w:val="none"/>
          <w:lang w:eastAsia="zh-CN"/>
        </w:rPr>
        <w:t>受</w:t>
      </w:r>
    </w:p>
    <w:p w14:paraId="0479C61D">
      <w:pPr>
        <w:pStyle w:val="10"/>
        <w:spacing w:before="44" w:line="520" w:lineRule="exact"/>
        <w:ind w:right="42"/>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7"/>
          <w:sz w:val="28"/>
          <w:szCs w:val="28"/>
          <w:highlight w:val="none"/>
          <w:lang w:eastAsia="zh-CN"/>
        </w:rPr>
        <w:t>到损害之日起7个工作日内，按照《政府</w:t>
      </w:r>
      <w:r>
        <w:rPr>
          <w:rFonts w:hint="eastAsia" w:ascii="仿宋_GB2312" w:hAnsi="仿宋_GB2312" w:eastAsia="仿宋_GB2312" w:cs="仿宋_GB2312"/>
          <w:color w:val="auto"/>
          <w:spacing w:val="6"/>
          <w:sz w:val="28"/>
          <w:szCs w:val="28"/>
          <w:highlight w:val="none"/>
          <w:lang w:eastAsia="zh-CN"/>
        </w:rPr>
        <w:t>采购质疑和投诉办法》（财政部</w:t>
      </w:r>
      <w:r>
        <w:rPr>
          <w:rFonts w:hint="eastAsia" w:ascii="仿宋_GB2312" w:hAnsi="仿宋_GB2312" w:eastAsia="仿宋_GB2312" w:cs="仿宋_GB2312"/>
          <w:color w:val="auto"/>
          <w:spacing w:val="4"/>
          <w:sz w:val="28"/>
          <w:szCs w:val="28"/>
          <w:highlight w:val="none"/>
          <w:lang w:eastAsia="zh-CN"/>
        </w:rPr>
        <w:t>94</w:t>
      </w:r>
      <w:r>
        <w:rPr>
          <w:rFonts w:hint="eastAsia" w:ascii="仿宋_GB2312" w:hAnsi="仿宋_GB2312" w:eastAsia="仿宋_GB2312" w:cs="仿宋_GB2312"/>
          <w:color w:val="auto"/>
          <w:spacing w:val="-40"/>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号令）</w:t>
      </w:r>
      <w:r>
        <w:rPr>
          <w:rFonts w:hint="eastAsia" w:ascii="仿宋_GB2312" w:hAnsi="仿宋_GB2312" w:eastAsia="仿宋_GB2312" w:cs="仿宋_GB2312"/>
          <w:color w:val="auto"/>
          <w:spacing w:val="-72"/>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向采购人或采购代理机构提出质疑</w:t>
      </w:r>
      <w:r>
        <w:rPr>
          <w:rFonts w:hint="eastAsia" w:ascii="仿宋_GB2312" w:hAnsi="仿宋_GB2312" w:eastAsia="仿宋_GB2312" w:cs="仿宋_GB2312"/>
          <w:color w:val="auto"/>
          <w:spacing w:val="3"/>
          <w:sz w:val="28"/>
          <w:szCs w:val="28"/>
          <w:highlight w:val="none"/>
          <w:lang w:eastAsia="zh-CN"/>
        </w:rPr>
        <w:t>。采购人在收到供应商的书面质</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疑后7个工作日内作出答复，并以书面形式通知质疑供应商和其他有关供应</w:t>
      </w:r>
      <w:r>
        <w:rPr>
          <w:rFonts w:hint="eastAsia" w:ascii="仿宋_GB2312" w:hAnsi="仿宋_GB2312" w:eastAsia="仿宋_GB2312" w:cs="仿宋_GB2312"/>
          <w:color w:val="auto"/>
          <w:spacing w:val="-2"/>
          <w:sz w:val="28"/>
          <w:szCs w:val="28"/>
          <w:highlight w:val="none"/>
          <w:lang w:eastAsia="zh-CN"/>
        </w:rPr>
        <w:t>商；作出答复前，将暂停采购活动。</w:t>
      </w:r>
    </w:p>
    <w:p w14:paraId="4EB20AA5">
      <w:pPr>
        <w:pStyle w:val="10"/>
        <w:spacing w:before="48" w:line="520" w:lineRule="exact"/>
        <w:ind w:left="21" w:right="43" w:firstLine="558"/>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1"/>
          <w:sz w:val="28"/>
          <w:szCs w:val="28"/>
          <w:highlight w:val="none"/>
          <w:lang w:eastAsia="zh-CN"/>
        </w:rPr>
        <w:t>39.3</w:t>
      </w:r>
      <w:r>
        <w:rPr>
          <w:rFonts w:hint="eastAsia" w:ascii="仿宋_GB2312" w:hAnsi="仿宋_GB2312" w:eastAsia="仿宋_GB2312" w:cs="仿宋_GB2312"/>
          <w:color w:val="auto"/>
          <w:spacing w:val="71"/>
          <w:sz w:val="28"/>
          <w:szCs w:val="28"/>
          <w:highlight w:val="none"/>
          <w:lang w:eastAsia="zh-CN"/>
        </w:rPr>
        <w:t xml:space="preserve"> </w:t>
      </w:r>
      <w:r>
        <w:rPr>
          <w:rFonts w:hint="eastAsia" w:ascii="仿宋_GB2312" w:hAnsi="仿宋_GB2312" w:eastAsia="仿宋_GB2312" w:cs="仿宋_GB2312"/>
          <w:color w:val="auto"/>
          <w:spacing w:val="11"/>
          <w:sz w:val="28"/>
          <w:szCs w:val="28"/>
          <w:highlight w:val="none"/>
          <w:lang w:eastAsia="zh-CN"/>
        </w:rPr>
        <w:t>中标通知书对采购人和中标人具有法律约束力。中标通知书发出</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后，采购人不得违法改变中标结果，中标人无正当理由不得放</w:t>
      </w:r>
      <w:r>
        <w:rPr>
          <w:rFonts w:hint="eastAsia" w:ascii="仿宋_GB2312" w:hAnsi="仿宋_GB2312" w:eastAsia="仿宋_GB2312" w:cs="仿宋_GB2312"/>
          <w:color w:val="auto"/>
          <w:spacing w:val="-2"/>
          <w:sz w:val="28"/>
          <w:szCs w:val="28"/>
          <w:highlight w:val="none"/>
          <w:lang w:eastAsia="zh-CN"/>
        </w:rPr>
        <w:t>弃中标。</w:t>
      </w:r>
    </w:p>
    <w:p w14:paraId="1F4F3A0E">
      <w:pPr>
        <w:pStyle w:val="10"/>
        <w:spacing w:before="43" w:line="224" w:lineRule="auto"/>
        <w:ind w:left="576"/>
        <w:outlineLvl w:val="2"/>
        <w:rPr>
          <w:rFonts w:ascii="仿宋_GB2312" w:hAnsi="仿宋_GB2312" w:eastAsia="仿宋_GB2312" w:cs="仿宋_GB2312"/>
          <w:color w:val="auto"/>
          <w:sz w:val="28"/>
          <w:szCs w:val="28"/>
          <w:highlight w:val="none"/>
          <w:lang w:eastAsia="zh-CN"/>
        </w:rPr>
      </w:pPr>
      <w:bookmarkStart w:id="107" w:name="_Toc24679"/>
      <w:bookmarkStart w:id="108" w:name="_Toc29072"/>
      <w:r>
        <w:rPr>
          <w:rFonts w:hint="eastAsia" w:ascii="仿宋_GB2312" w:hAnsi="仿宋_GB2312" w:eastAsia="仿宋_GB2312" w:cs="仿宋_GB2312"/>
          <w:b/>
          <w:bCs/>
          <w:color w:val="auto"/>
          <w:spacing w:val="-6"/>
          <w:sz w:val="28"/>
          <w:szCs w:val="28"/>
          <w:highlight w:val="none"/>
          <w:lang w:eastAsia="zh-CN"/>
        </w:rPr>
        <w:t>40.</w:t>
      </w:r>
      <w:r>
        <w:rPr>
          <w:rFonts w:hint="eastAsia" w:ascii="仿宋_GB2312" w:hAnsi="仿宋_GB2312" w:eastAsia="仿宋_GB2312" w:cs="仿宋_GB2312"/>
          <w:color w:val="auto"/>
          <w:spacing w:val="28"/>
          <w:sz w:val="28"/>
          <w:szCs w:val="28"/>
          <w:highlight w:val="none"/>
          <w:lang w:eastAsia="zh-CN"/>
        </w:rPr>
        <w:t xml:space="preserve"> </w:t>
      </w:r>
      <w:r>
        <w:rPr>
          <w:rFonts w:hint="eastAsia" w:ascii="仿宋_GB2312" w:hAnsi="仿宋_GB2312" w:eastAsia="仿宋_GB2312" w:cs="仿宋_GB2312"/>
          <w:b/>
          <w:bCs/>
          <w:color w:val="auto"/>
          <w:spacing w:val="-6"/>
          <w:sz w:val="28"/>
          <w:szCs w:val="28"/>
          <w:highlight w:val="none"/>
          <w:lang w:eastAsia="zh-CN"/>
        </w:rPr>
        <w:t>合同的签订</w:t>
      </w:r>
      <w:bookmarkEnd w:id="107"/>
      <w:bookmarkEnd w:id="108"/>
    </w:p>
    <w:p w14:paraId="3D72E3F5">
      <w:pPr>
        <w:pStyle w:val="10"/>
        <w:spacing w:before="133" w:line="300" w:lineRule="auto"/>
        <w:ind w:left="19" w:right="38" w:firstLine="55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40.1</w:t>
      </w:r>
      <w:r>
        <w:rPr>
          <w:rFonts w:hint="eastAsia" w:ascii="仿宋_GB2312" w:hAnsi="仿宋_GB2312" w:eastAsia="仿宋_GB2312" w:cs="仿宋_GB2312"/>
          <w:color w:val="auto"/>
          <w:spacing w:val="-45"/>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采购人应当自中标通知书发出之日起30日内，按照采购文件和中标</w:t>
      </w:r>
      <w:r>
        <w:rPr>
          <w:rFonts w:hint="eastAsia" w:ascii="仿宋_GB2312" w:hAnsi="仿宋_GB2312" w:eastAsia="仿宋_GB2312" w:cs="仿宋_GB2312"/>
          <w:color w:val="auto"/>
          <w:sz w:val="28"/>
          <w:szCs w:val="28"/>
          <w:highlight w:val="none"/>
          <w:lang w:eastAsia="zh-CN"/>
        </w:rPr>
        <w:t>人投标文件的规定，与中标人签订政府采购合同。所签订的合同不得对招标文</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件确定的事项和中标人投标文件作实质性修改。</w:t>
      </w:r>
    </w:p>
    <w:p w14:paraId="7BA002AB">
      <w:pPr>
        <w:pStyle w:val="10"/>
        <w:spacing w:before="50" w:line="296" w:lineRule="auto"/>
        <w:ind w:left="18" w:right="42" w:firstLine="55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40.2 采购文件要求中标人提交履约保证金或者其他形式履约担保的，中</w:t>
      </w:r>
      <w:r>
        <w:rPr>
          <w:rFonts w:hint="eastAsia" w:ascii="仿宋_GB2312" w:hAnsi="仿宋_GB2312" w:eastAsia="仿宋_GB2312" w:cs="仿宋_GB2312"/>
          <w:color w:val="auto"/>
          <w:sz w:val="28"/>
          <w:szCs w:val="28"/>
          <w:highlight w:val="none"/>
          <w:lang w:eastAsia="zh-CN"/>
        </w:rPr>
        <w:t xml:space="preserve"> 标人应当提交；拒绝提交的，视为放弃中标项</w:t>
      </w:r>
      <w:r>
        <w:rPr>
          <w:rFonts w:hint="eastAsia" w:ascii="仿宋_GB2312" w:hAnsi="仿宋_GB2312" w:eastAsia="仿宋_GB2312" w:cs="仿宋_GB2312"/>
          <w:color w:val="auto"/>
          <w:spacing w:val="-1"/>
          <w:sz w:val="28"/>
          <w:szCs w:val="28"/>
          <w:highlight w:val="none"/>
          <w:lang w:eastAsia="zh-CN"/>
        </w:rPr>
        <w:t>目，且投标保证金将被没收。</w:t>
      </w:r>
    </w:p>
    <w:p w14:paraId="44936410">
      <w:pPr>
        <w:pStyle w:val="10"/>
        <w:spacing w:before="45" w:line="223" w:lineRule="auto"/>
        <w:ind w:left="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40.3 采购文件和中标人的投标文件均是该书面合同</w:t>
      </w:r>
      <w:r>
        <w:rPr>
          <w:rFonts w:hint="eastAsia" w:ascii="仿宋_GB2312" w:hAnsi="仿宋_GB2312" w:eastAsia="仿宋_GB2312" w:cs="仿宋_GB2312"/>
          <w:color w:val="auto"/>
          <w:spacing w:val="-1"/>
          <w:sz w:val="28"/>
          <w:szCs w:val="28"/>
          <w:highlight w:val="none"/>
          <w:lang w:eastAsia="zh-CN"/>
        </w:rPr>
        <w:t>的附件。</w:t>
      </w:r>
    </w:p>
    <w:p w14:paraId="6572A316">
      <w:pPr>
        <w:pStyle w:val="10"/>
        <w:spacing w:before="134" w:line="301" w:lineRule="auto"/>
        <w:ind w:left="16" w:right="38" w:firstLine="557"/>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40.4</w:t>
      </w:r>
      <w:r>
        <w:rPr>
          <w:rFonts w:hint="eastAsia" w:ascii="仿宋_GB2312" w:hAnsi="仿宋_GB2312" w:eastAsia="仿宋_GB2312" w:cs="仿宋_GB2312"/>
          <w:color w:val="auto"/>
          <w:spacing w:val="61"/>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中标人因不可抗力或自身原因不能履行采购</w:t>
      </w:r>
      <w:r>
        <w:rPr>
          <w:rFonts w:hint="eastAsia" w:ascii="仿宋_GB2312" w:hAnsi="仿宋_GB2312" w:eastAsia="仿宋_GB2312" w:cs="仿宋_GB2312"/>
          <w:color w:val="auto"/>
          <w:spacing w:val="2"/>
          <w:sz w:val="28"/>
          <w:szCs w:val="28"/>
          <w:highlight w:val="none"/>
          <w:lang w:eastAsia="zh-CN"/>
        </w:rPr>
        <w:t>合同的，采购人可以与</w:t>
      </w:r>
      <w:r>
        <w:rPr>
          <w:rFonts w:hint="eastAsia" w:ascii="仿宋_GB2312" w:hAnsi="仿宋_GB2312" w:eastAsia="仿宋_GB2312" w:cs="仿宋_GB2312"/>
          <w:color w:val="auto"/>
          <w:sz w:val="28"/>
          <w:szCs w:val="28"/>
          <w:highlight w:val="none"/>
          <w:lang w:eastAsia="zh-CN"/>
        </w:rPr>
        <w:t xml:space="preserve"> 排位在中标人之后第一位的中标候选人签订采购合同，以此类推，或采购人重</w:t>
      </w:r>
      <w:r>
        <w:rPr>
          <w:rFonts w:hint="eastAsia" w:ascii="仿宋_GB2312" w:hAnsi="仿宋_GB2312" w:eastAsia="仿宋_GB2312" w:cs="仿宋_GB2312"/>
          <w:color w:val="auto"/>
          <w:spacing w:val="12"/>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新组织招标。</w:t>
      </w:r>
    </w:p>
    <w:p w14:paraId="79E764B2">
      <w:pPr>
        <w:pStyle w:val="10"/>
        <w:spacing w:before="48" w:line="296" w:lineRule="auto"/>
        <w:ind w:left="27" w:right="44" w:firstLine="546"/>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40.5 政府采购合同自签订之日起2个工作日内，采购人应当在网上发布</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0"/>
          <w:sz w:val="28"/>
          <w:szCs w:val="28"/>
          <w:highlight w:val="none"/>
          <w:lang w:eastAsia="zh-CN"/>
        </w:rPr>
        <w:t>合同公告。</w:t>
      </w:r>
    </w:p>
    <w:p w14:paraId="3D0EFB79">
      <w:pPr>
        <w:pStyle w:val="10"/>
        <w:spacing w:before="46" w:line="223" w:lineRule="auto"/>
        <w:ind w:left="559"/>
        <w:outlineLvl w:val="2"/>
        <w:rPr>
          <w:rFonts w:ascii="仿宋_GB2312" w:hAnsi="仿宋_GB2312" w:eastAsia="仿宋_GB2312" w:cs="仿宋_GB2312"/>
          <w:color w:val="auto"/>
          <w:sz w:val="28"/>
          <w:szCs w:val="28"/>
          <w:highlight w:val="none"/>
          <w:lang w:eastAsia="zh-CN"/>
        </w:rPr>
      </w:pPr>
      <w:bookmarkStart w:id="109" w:name="_Toc18891"/>
      <w:bookmarkStart w:id="110" w:name="_Toc22412"/>
      <w:r>
        <w:rPr>
          <w:rFonts w:hint="eastAsia" w:ascii="仿宋_GB2312" w:hAnsi="仿宋_GB2312" w:eastAsia="仿宋_GB2312" w:cs="仿宋_GB2312"/>
          <w:b/>
          <w:bCs/>
          <w:color w:val="auto"/>
          <w:spacing w:val="-3"/>
          <w:sz w:val="28"/>
          <w:szCs w:val="28"/>
          <w:highlight w:val="none"/>
          <w:lang w:eastAsia="zh-CN"/>
        </w:rPr>
        <w:t>41.质疑与投诉</w:t>
      </w:r>
      <w:bookmarkEnd w:id="109"/>
      <w:bookmarkEnd w:id="110"/>
    </w:p>
    <w:p w14:paraId="02D21FB6">
      <w:pPr>
        <w:pStyle w:val="10"/>
        <w:spacing w:before="134" w:line="305" w:lineRule="auto"/>
        <w:ind w:left="19" w:right="38" w:firstLine="549"/>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41.1、供应商认为采购文件、采购过程、中标或者成交结果使自己的权益</w:t>
      </w:r>
      <w:r>
        <w:rPr>
          <w:rFonts w:hint="eastAsia" w:ascii="仿宋_GB2312" w:hAnsi="仿宋_GB2312" w:eastAsia="仿宋_GB2312" w:cs="仿宋_GB2312"/>
          <w:color w:val="auto"/>
          <w:spacing w:val="16"/>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受到损害的，可以在知道或者应知其权益受到损害之日起</w:t>
      </w:r>
      <w:r>
        <w:rPr>
          <w:rFonts w:hint="eastAsia" w:ascii="仿宋_GB2312" w:hAnsi="仿宋_GB2312" w:eastAsia="仿宋_GB2312" w:cs="仿宋_GB2312"/>
          <w:color w:val="auto"/>
          <w:spacing w:val="-53"/>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7</w:t>
      </w:r>
      <w:r>
        <w:rPr>
          <w:rFonts w:hint="eastAsia" w:ascii="仿宋_GB2312" w:hAnsi="仿宋_GB2312" w:eastAsia="仿宋_GB2312" w:cs="仿宋_GB2312"/>
          <w:color w:val="auto"/>
          <w:spacing w:val="-49"/>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个工作日内，向采</w:t>
      </w:r>
      <w:r>
        <w:rPr>
          <w:rFonts w:hint="eastAsia" w:ascii="仿宋_GB2312" w:hAnsi="仿宋_GB2312" w:eastAsia="仿宋_GB2312" w:cs="仿宋_GB2312"/>
          <w:color w:val="auto"/>
          <w:sz w:val="28"/>
          <w:szCs w:val="28"/>
          <w:highlight w:val="none"/>
          <w:lang w:eastAsia="zh-CN"/>
        </w:rPr>
        <w:t xml:space="preserve"> 购人、采购代理机构提出质疑。本项目对采购文件内容提出质疑截止时间见前</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附表第13</w:t>
      </w:r>
      <w:r>
        <w:rPr>
          <w:rFonts w:hint="eastAsia" w:ascii="仿宋_GB2312" w:hAnsi="仿宋_GB2312" w:eastAsia="仿宋_GB2312" w:cs="仿宋_GB2312"/>
          <w:color w:val="auto"/>
          <w:spacing w:val="-45"/>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项规定。供应商须在法定质疑期</w:t>
      </w:r>
      <w:r>
        <w:rPr>
          <w:rFonts w:hint="eastAsia" w:ascii="仿宋_GB2312" w:hAnsi="仿宋_GB2312" w:eastAsia="仿宋_GB2312" w:cs="仿宋_GB2312"/>
          <w:color w:val="auto"/>
          <w:spacing w:val="2"/>
          <w:sz w:val="28"/>
          <w:szCs w:val="28"/>
          <w:highlight w:val="none"/>
          <w:lang w:eastAsia="zh-CN"/>
        </w:rPr>
        <w:t>内一次性提出针对同一采购程序环</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9"/>
          <w:sz w:val="28"/>
          <w:szCs w:val="28"/>
          <w:highlight w:val="none"/>
          <w:lang w:eastAsia="zh-CN"/>
        </w:rPr>
        <w:t>节的质疑。</w:t>
      </w:r>
    </w:p>
    <w:p w14:paraId="521738EC">
      <w:pPr>
        <w:pStyle w:val="10"/>
        <w:spacing w:before="47" w:line="223" w:lineRule="auto"/>
        <w:ind w:left="568"/>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41.2、质疑函内容</w:t>
      </w:r>
    </w:p>
    <w:p w14:paraId="5FEF8B3A">
      <w:pPr>
        <w:pStyle w:val="10"/>
        <w:spacing w:before="132"/>
        <w:ind w:left="18" w:right="44" w:firstLine="561"/>
        <w:jc w:val="both"/>
        <w:rPr>
          <w:rFonts w:ascii="仿宋_GB2312" w:hAnsi="仿宋_GB2312" w:eastAsia="仿宋_GB2312" w:cs="仿宋_GB2312"/>
          <w:color w:val="auto"/>
          <w:spacing w:val="5"/>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（1）供应商的姓名或者名称、地址、邮编、联系人及联系电话；</w:t>
      </w:r>
    </w:p>
    <w:p w14:paraId="03BD2A95">
      <w:pPr>
        <w:pStyle w:val="10"/>
        <w:spacing w:before="132"/>
        <w:ind w:left="18" w:right="44" w:firstLine="561"/>
        <w:jc w:val="both"/>
        <w:rPr>
          <w:rFonts w:ascii="仿宋_GB2312" w:hAnsi="仿宋_GB2312" w:eastAsia="仿宋_GB2312" w:cs="仿宋_GB2312"/>
          <w:color w:val="auto"/>
          <w:spacing w:val="5"/>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（2）质疑项目的名称、编号；</w:t>
      </w:r>
    </w:p>
    <w:p w14:paraId="0B1748EF">
      <w:pPr>
        <w:pStyle w:val="10"/>
        <w:spacing w:before="132"/>
        <w:ind w:left="18" w:right="44" w:firstLine="561"/>
        <w:jc w:val="both"/>
        <w:rPr>
          <w:rFonts w:ascii="仿宋_GB2312" w:hAnsi="仿宋_GB2312" w:eastAsia="仿宋_GB2312" w:cs="仿宋_GB2312"/>
          <w:color w:val="auto"/>
          <w:spacing w:val="5"/>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（3）具体、明确的质疑事项和与质疑事项相关的请求；</w:t>
      </w:r>
    </w:p>
    <w:p w14:paraId="1755B226">
      <w:pPr>
        <w:pStyle w:val="10"/>
        <w:spacing w:before="132"/>
        <w:ind w:left="18" w:right="44" w:firstLine="561"/>
        <w:jc w:val="both"/>
        <w:rPr>
          <w:rFonts w:ascii="仿宋_GB2312" w:hAnsi="仿宋_GB2312" w:eastAsia="仿宋_GB2312" w:cs="仿宋_GB2312"/>
          <w:color w:val="auto"/>
          <w:spacing w:val="5"/>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（4）事实依据；</w:t>
      </w:r>
    </w:p>
    <w:p w14:paraId="4DA00D8E">
      <w:pPr>
        <w:pStyle w:val="10"/>
        <w:spacing w:before="132"/>
        <w:ind w:left="18" w:right="44" w:firstLine="561"/>
        <w:jc w:val="both"/>
        <w:rPr>
          <w:rFonts w:ascii="仿宋_GB2312" w:hAnsi="仿宋_GB2312" w:eastAsia="仿宋_GB2312" w:cs="仿宋_GB2312"/>
          <w:color w:val="auto"/>
          <w:spacing w:val="5"/>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（5）必要的法律依据；</w:t>
      </w:r>
    </w:p>
    <w:p w14:paraId="1034F1CE">
      <w:pPr>
        <w:pStyle w:val="10"/>
        <w:spacing w:before="132"/>
        <w:ind w:left="18" w:right="44" w:firstLine="561"/>
        <w:jc w:val="both"/>
        <w:rPr>
          <w:rFonts w:ascii="仿宋_GB2312" w:hAnsi="仿宋_GB2312" w:eastAsia="仿宋_GB2312" w:cs="仿宋_GB2312"/>
          <w:color w:val="auto"/>
          <w:spacing w:val="5"/>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（6）提出质疑的日期。</w:t>
      </w:r>
    </w:p>
    <w:p w14:paraId="5A2D30EB">
      <w:pPr>
        <w:pStyle w:val="10"/>
        <w:spacing w:before="132" w:line="301" w:lineRule="auto"/>
        <w:ind w:left="20" w:right="38" w:firstLine="559"/>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供应商为自然人的，应当由本人签字；供应商为法人或者其他组织的，应</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当由法定代表人、主要负责人，或者其授权代表签字或者盖章，并加盖投标单</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pacing w:val="-10"/>
          <w:sz w:val="28"/>
          <w:szCs w:val="28"/>
          <w:highlight w:val="none"/>
          <w:lang w:eastAsia="zh-CN"/>
        </w:rPr>
        <w:t>位公章。</w:t>
      </w:r>
    </w:p>
    <w:p w14:paraId="12BA9359">
      <w:pPr>
        <w:pStyle w:val="10"/>
        <w:spacing w:before="47" w:line="295" w:lineRule="auto"/>
        <w:ind w:left="32" w:right="74" w:firstLine="536"/>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41.3、采购人在收到供应商的书面质疑函后七个工作日内作出答复，并以</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书面形式通知质疑供应商和其他有关供应商，但答</w:t>
      </w:r>
      <w:r>
        <w:rPr>
          <w:rFonts w:hint="eastAsia" w:ascii="仿宋_GB2312" w:hAnsi="仿宋_GB2312" w:eastAsia="仿宋_GB2312" w:cs="仿宋_GB2312"/>
          <w:color w:val="auto"/>
          <w:spacing w:val="-2"/>
          <w:sz w:val="28"/>
          <w:szCs w:val="28"/>
          <w:highlight w:val="none"/>
          <w:lang w:eastAsia="zh-CN"/>
        </w:rPr>
        <w:t>复的内容不涉及商业秘密。</w:t>
      </w:r>
    </w:p>
    <w:p w14:paraId="1AB366FF">
      <w:pPr>
        <w:pStyle w:val="10"/>
        <w:spacing w:before="46" w:line="304" w:lineRule="auto"/>
        <w:ind w:left="18" w:right="38" w:firstLine="55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41.4、提出质疑的供应商对答复不满意的，可以在答复期满后十五个工作</w:t>
      </w:r>
      <w:r>
        <w:rPr>
          <w:rFonts w:hint="eastAsia" w:ascii="仿宋_GB2312" w:hAnsi="仿宋_GB2312" w:eastAsia="仿宋_GB2312" w:cs="仿宋_GB2312"/>
          <w:color w:val="auto"/>
          <w:spacing w:val="16"/>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日内向同级政府招标监督管理部门投诉。政府招标监督管理部门应当在收到投</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诉三十个工作日内，对投诉事项作出处理决定，并以书面形式通知投诉人和与</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投诉事项相关的当事人。</w:t>
      </w:r>
    </w:p>
    <w:p w14:paraId="6F82F7CF">
      <w:pPr>
        <w:pStyle w:val="10"/>
        <w:spacing w:before="46" w:line="222" w:lineRule="auto"/>
        <w:ind w:left="576"/>
        <w:outlineLvl w:val="2"/>
        <w:rPr>
          <w:rFonts w:ascii="仿宋_GB2312" w:hAnsi="仿宋_GB2312" w:eastAsia="仿宋_GB2312" w:cs="仿宋_GB2312"/>
          <w:color w:val="auto"/>
          <w:sz w:val="28"/>
          <w:szCs w:val="28"/>
          <w:highlight w:val="none"/>
          <w:lang w:eastAsia="zh-CN"/>
        </w:rPr>
      </w:pPr>
      <w:bookmarkStart w:id="111" w:name="_Toc14222"/>
      <w:bookmarkStart w:id="112" w:name="_Toc22820"/>
      <w:r>
        <w:rPr>
          <w:rFonts w:hint="eastAsia" w:ascii="仿宋_GB2312" w:hAnsi="仿宋_GB2312" w:eastAsia="仿宋_GB2312" w:cs="仿宋_GB2312"/>
          <w:b/>
          <w:bCs/>
          <w:color w:val="auto"/>
          <w:spacing w:val="-7"/>
          <w:sz w:val="28"/>
          <w:szCs w:val="28"/>
          <w:highlight w:val="none"/>
          <w:lang w:eastAsia="zh-CN"/>
        </w:rPr>
        <w:t>42.</w:t>
      </w:r>
      <w:r>
        <w:rPr>
          <w:rFonts w:hint="eastAsia" w:ascii="仿宋_GB2312" w:hAnsi="仿宋_GB2312" w:eastAsia="仿宋_GB2312" w:cs="仿宋_GB2312"/>
          <w:color w:val="auto"/>
          <w:spacing w:val="31"/>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履约担保</w:t>
      </w:r>
      <w:bookmarkEnd w:id="111"/>
      <w:bookmarkEnd w:id="112"/>
    </w:p>
    <w:p w14:paraId="0E69C2BA">
      <w:pPr>
        <w:pStyle w:val="10"/>
        <w:spacing w:before="46" w:line="304" w:lineRule="auto"/>
        <w:ind w:left="18" w:right="38" w:firstLine="55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42.1 中标人须在与采购人签署合同前按采购文件有关要求提交履约担保，逾期提交视为放弃中标资格。中标人应按照下列规定的方式和金额向采购人提交履约担保。</w:t>
      </w:r>
    </w:p>
    <w:p w14:paraId="0A601D16">
      <w:pPr>
        <w:pStyle w:val="10"/>
        <w:spacing w:before="47" w:line="222" w:lineRule="auto"/>
        <w:ind w:left="537"/>
        <w:rPr>
          <w:rFonts w:ascii="仿宋_GB2312" w:hAnsi="仿宋_GB2312" w:eastAsia="仿宋_GB2312" w:cs="仿宋_GB2312"/>
          <w:color w:val="auto"/>
          <w:spacing w:val="3"/>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 xml:space="preserve">42.1.1 </w:t>
      </w:r>
      <w:r>
        <w:rPr>
          <w:rFonts w:hint="eastAsia" w:ascii="仿宋_GB2312" w:hAnsi="仿宋_GB2312" w:eastAsia="仿宋_GB2312" w:cs="仿宋_GB2312"/>
          <w:color w:val="auto"/>
          <w:spacing w:val="-2"/>
          <w:sz w:val="28"/>
          <w:szCs w:val="28"/>
          <w:highlight w:val="none"/>
          <w:lang w:eastAsia="zh-CN"/>
        </w:rPr>
        <w:t>履约保证金担保方式：</w:t>
      </w:r>
      <w:r>
        <w:rPr>
          <w:rFonts w:hint="eastAsia" w:ascii="仿宋_GB2312" w:hAnsi="仿宋_GB2312" w:eastAsia="仿宋_GB2312" w:cs="仿宋_GB2312"/>
          <w:color w:val="auto"/>
          <w:spacing w:val="3"/>
          <w:sz w:val="28"/>
          <w:szCs w:val="28"/>
          <w:highlight w:val="none"/>
          <w:lang w:eastAsia="zh-CN"/>
        </w:rPr>
        <w:t>1） 银行汇票；2） 支票；3）银行转账；</w:t>
      </w:r>
    </w:p>
    <w:p w14:paraId="24487B5C">
      <w:pPr>
        <w:pStyle w:val="10"/>
        <w:spacing w:before="47" w:line="222" w:lineRule="auto"/>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等非现金形式。</w:t>
      </w:r>
    </w:p>
    <w:p w14:paraId="0BB12BE7">
      <w:pPr>
        <w:pStyle w:val="10"/>
        <w:spacing w:before="48" w:line="222" w:lineRule="auto"/>
        <w:ind w:left="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42.1.2 履约保证金：见投标须知前附表。</w:t>
      </w:r>
    </w:p>
    <w:p w14:paraId="26EDE83A">
      <w:pPr>
        <w:pStyle w:val="10"/>
        <w:spacing w:before="137" w:line="301" w:lineRule="auto"/>
        <w:ind w:left="24" w:right="38" w:firstLine="549"/>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42.2 如中标人不能按照投标须知的规定执行，采购人将视为中标</w:t>
      </w:r>
      <w:r>
        <w:rPr>
          <w:rFonts w:hint="eastAsia" w:ascii="仿宋_GB2312" w:hAnsi="仿宋_GB2312" w:eastAsia="仿宋_GB2312" w:cs="仿宋_GB2312"/>
          <w:color w:val="auto"/>
          <w:sz w:val="28"/>
          <w:szCs w:val="28"/>
          <w:highlight w:val="none"/>
          <w:lang w:eastAsia="zh-CN"/>
        </w:rPr>
        <w:t>人放弃中标项目；已经订立合同的，采购人有充分理由解除合同，给采购人造</w:t>
      </w:r>
      <w:r>
        <w:rPr>
          <w:rFonts w:hint="eastAsia" w:ascii="仿宋_GB2312" w:hAnsi="仿宋_GB2312" w:eastAsia="仿宋_GB2312" w:cs="仿宋_GB2312"/>
          <w:color w:val="auto"/>
          <w:spacing w:val="-3"/>
          <w:sz w:val="28"/>
          <w:szCs w:val="28"/>
          <w:highlight w:val="none"/>
          <w:lang w:eastAsia="zh-CN"/>
        </w:rPr>
        <w:t>成损失的，放弃中标项目的中标人应当赔偿</w:t>
      </w:r>
      <w:r>
        <w:rPr>
          <w:rFonts w:hint="eastAsia" w:ascii="仿宋_GB2312" w:hAnsi="仿宋_GB2312" w:eastAsia="仿宋_GB2312" w:cs="仿宋_GB2312"/>
          <w:color w:val="auto"/>
          <w:spacing w:val="-3"/>
          <w:sz w:val="28"/>
          <w:szCs w:val="28"/>
          <w:highlight w:val="none"/>
          <w:lang w:eastAsia="zh-CN" w:bidi="ar"/>
        </w:rPr>
        <w:t>全部损失</w:t>
      </w:r>
      <w:r>
        <w:rPr>
          <w:rFonts w:hint="eastAsia" w:ascii="仿宋_GB2312" w:hAnsi="仿宋_GB2312" w:eastAsia="仿宋_GB2312" w:cs="仿宋_GB2312"/>
          <w:color w:val="auto"/>
          <w:spacing w:val="-3"/>
          <w:sz w:val="28"/>
          <w:szCs w:val="28"/>
          <w:highlight w:val="none"/>
          <w:lang w:eastAsia="zh-CN"/>
        </w:rPr>
        <w:t>。</w:t>
      </w:r>
    </w:p>
    <w:p w14:paraId="0FF2D277">
      <w:pPr>
        <w:pStyle w:val="10"/>
        <w:spacing w:before="47" w:line="223" w:lineRule="auto"/>
        <w:ind w:left="576"/>
        <w:outlineLvl w:val="2"/>
        <w:rPr>
          <w:rFonts w:ascii="仿宋_GB2312" w:hAnsi="仿宋_GB2312" w:eastAsia="仿宋_GB2312" w:cs="仿宋_GB2312"/>
          <w:color w:val="auto"/>
          <w:sz w:val="28"/>
          <w:szCs w:val="28"/>
          <w:highlight w:val="none"/>
          <w:lang w:eastAsia="zh-CN"/>
        </w:rPr>
      </w:pPr>
      <w:bookmarkStart w:id="113" w:name="_Toc20667"/>
      <w:bookmarkStart w:id="114" w:name="_Toc15444"/>
      <w:r>
        <w:rPr>
          <w:rFonts w:hint="eastAsia" w:ascii="仿宋_GB2312" w:hAnsi="仿宋_GB2312" w:eastAsia="仿宋_GB2312" w:cs="仿宋_GB2312"/>
          <w:b/>
          <w:bCs/>
          <w:color w:val="auto"/>
          <w:spacing w:val="-3"/>
          <w:sz w:val="28"/>
          <w:szCs w:val="28"/>
          <w:highlight w:val="none"/>
          <w:lang w:eastAsia="zh-CN"/>
        </w:rPr>
        <w:t>43.招标代理服务费</w:t>
      </w:r>
      <w:bookmarkEnd w:id="113"/>
      <w:bookmarkEnd w:id="114"/>
    </w:p>
    <w:p w14:paraId="7180C717">
      <w:pPr>
        <w:pStyle w:val="10"/>
        <w:spacing w:before="133" w:line="302" w:lineRule="auto"/>
        <w:ind w:left="18" w:right="38" w:firstLine="554"/>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43.1</w:t>
      </w:r>
      <w:r>
        <w:rPr>
          <w:rFonts w:hint="eastAsia" w:ascii="仿宋_GB2312" w:hAnsi="仿宋_GB2312" w:eastAsia="仿宋_GB2312" w:cs="仿宋_GB2312"/>
          <w:color w:val="auto"/>
          <w:spacing w:val="61"/>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中标人应按本采购文件的规定，在领取中标</w:t>
      </w:r>
      <w:r>
        <w:rPr>
          <w:rFonts w:hint="eastAsia" w:ascii="仿宋_GB2312" w:hAnsi="仿宋_GB2312" w:eastAsia="仿宋_GB2312" w:cs="仿宋_GB2312"/>
          <w:color w:val="auto"/>
          <w:spacing w:val="2"/>
          <w:sz w:val="28"/>
          <w:szCs w:val="28"/>
          <w:highlight w:val="none"/>
          <w:lang w:eastAsia="zh-CN"/>
        </w:rPr>
        <w:t>通知书时向采购代理机</w:t>
      </w:r>
      <w:r>
        <w:rPr>
          <w:rFonts w:hint="eastAsia" w:ascii="仿宋_GB2312" w:hAnsi="仿宋_GB2312" w:eastAsia="仿宋_GB2312" w:cs="仿宋_GB2312"/>
          <w:color w:val="auto"/>
          <w:sz w:val="28"/>
          <w:szCs w:val="28"/>
          <w:highlight w:val="none"/>
          <w:lang w:eastAsia="zh-CN"/>
        </w:rPr>
        <w:t xml:space="preserve"> 构一次性支付中标服务费。采购代理机构也可直接从中标人的投标保证金内扣</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除。</w:t>
      </w:r>
    </w:p>
    <w:p w14:paraId="7462AF78">
      <w:pPr>
        <w:pStyle w:val="10"/>
        <w:spacing w:before="45" w:line="222" w:lineRule="auto"/>
        <w:ind w:left="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43.2</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具体收取比例详见《前附表》。</w:t>
      </w:r>
    </w:p>
    <w:p w14:paraId="08F28103">
      <w:pPr>
        <w:pStyle w:val="10"/>
        <w:spacing w:before="318" w:line="222" w:lineRule="auto"/>
        <w:ind w:left="576"/>
        <w:outlineLvl w:val="2"/>
        <w:rPr>
          <w:rFonts w:ascii="仿宋_GB2312" w:hAnsi="仿宋_GB2312" w:eastAsia="仿宋_GB2312" w:cs="仿宋_GB2312"/>
          <w:color w:val="auto"/>
          <w:sz w:val="28"/>
          <w:szCs w:val="28"/>
          <w:highlight w:val="none"/>
          <w:lang w:eastAsia="zh-CN"/>
        </w:rPr>
      </w:pPr>
      <w:bookmarkStart w:id="115" w:name="_Toc28561"/>
      <w:bookmarkStart w:id="116" w:name="_Toc8318"/>
      <w:r>
        <w:rPr>
          <w:rFonts w:hint="eastAsia" w:ascii="仿宋_GB2312" w:hAnsi="仿宋_GB2312" w:eastAsia="仿宋_GB2312" w:cs="仿宋_GB2312"/>
          <w:b/>
          <w:bCs/>
          <w:color w:val="auto"/>
          <w:spacing w:val="-7"/>
          <w:sz w:val="28"/>
          <w:szCs w:val="28"/>
          <w:highlight w:val="none"/>
          <w:lang w:eastAsia="zh-CN"/>
        </w:rPr>
        <w:t>44.</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其他</w:t>
      </w:r>
      <w:bookmarkEnd w:id="115"/>
      <w:bookmarkEnd w:id="116"/>
    </w:p>
    <w:p w14:paraId="5A4C11A7">
      <w:pPr>
        <w:pStyle w:val="10"/>
        <w:spacing w:before="135" w:line="301" w:lineRule="auto"/>
        <w:ind w:left="18" w:right="47" w:firstLine="565"/>
        <w:rPr>
          <w:rFonts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44.1 本采购文件是根据《中华人民共和国政府采购法》及其实施条例（658</w:t>
      </w:r>
      <w:r>
        <w:rPr>
          <w:rFonts w:hint="eastAsia" w:ascii="仿宋_GB2312" w:hAnsi="仿宋_GB2312" w:eastAsia="仿宋_GB2312" w:cs="仿宋_GB2312"/>
          <w:color w:val="auto"/>
          <w:spacing w:val="-38"/>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号</w:t>
      </w:r>
      <w:r>
        <w:rPr>
          <w:rFonts w:hint="eastAsia" w:ascii="仿宋_GB2312" w:hAnsi="仿宋_GB2312" w:eastAsia="仿宋_GB2312" w:cs="仿宋_GB2312"/>
          <w:color w:val="auto"/>
          <w:spacing w:val="5"/>
          <w:sz w:val="28"/>
          <w:szCs w:val="28"/>
          <w:highlight w:val="none"/>
          <w:lang w:eastAsia="zh-CN"/>
        </w:rPr>
        <w:t>令）及《政府采购货物和服务招标投标管理办法》（87</w:t>
      </w:r>
      <w:r>
        <w:rPr>
          <w:rFonts w:hint="eastAsia" w:ascii="仿宋_GB2312" w:hAnsi="仿宋_GB2312" w:eastAsia="仿宋_GB2312" w:cs="仿宋_GB2312"/>
          <w:color w:val="auto"/>
          <w:spacing w:val="-34"/>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号令）规定编制的，</w:t>
      </w:r>
      <w:r>
        <w:rPr>
          <w:rFonts w:hint="eastAsia" w:ascii="仿宋_GB2312" w:hAnsi="仿宋_GB2312" w:eastAsia="仿宋_GB2312" w:cs="仿宋_GB2312"/>
          <w:color w:val="auto"/>
          <w:spacing w:val="-1"/>
          <w:sz w:val="28"/>
          <w:szCs w:val="28"/>
          <w:highlight w:val="none"/>
          <w:lang w:eastAsia="zh-CN"/>
        </w:rPr>
        <w:t>解释权属新疆华域建设工程项目管理咨询有限公司。</w:t>
      </w:r>
    </w:p>
    <w:p w14:paraId="334E0B09">
      <w:pPr>
        <w:spacing w:line="440" w:lineRule="exact"/>
        <w:ind w:firstLine="564" w:firstLineChars="200"/>
        <w:rPr>
          <w:rFonts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44.2  出现以下情形，应予废标：</w:t>
      </w:r>
    </w:p>
    <w:p w14:paraId="540A2A2A">
      <w:pPr>
        <w:spacing w:line="440" w:lineRule="exact"/>
        <w:rPr>
          <w:rFonts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　　（1）符合专业条件的供应商或者对采购文件作实质响应的供应商不足三家的</w:t>
      </w:r>
    </w:p>
    <w:p w14:paraId="25007B8E">
      <w:pPr>
        <w:spacing w:line="440" w:lineRule="exact"/>
        <w:rPr>
          <w:rFonts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　　（2）出现影响采购公正的违法、违规行为的；</w:t>
      </w:r>
    </w:p>
    <w:p w14:paraId="1E90B873">
      <w:pPr>
        <w:spacing w:line="440" w:lineRule="exact"/>
        <w:rPr>
          <w:rFonts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　　（3）投标人的报价均超过了采购预算，采购人不能支付的；</w:t>
      </w:r>
    </w:p>
    <w:p w14:paraId="3100E0A8">
      <w:pPr>
        <w:spacing w:line="440" w:lineRule="exact"/>
        <w:rPr>
          <w:rFonts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　　（4）因重大变故，采购任务取消的。</w:t>
      </w:r>
    </w:p>
    <w:p w14:paraId="09B74E73">
      <w:pPr>
        <w:spacing w:line="440" w:lineRule="exact"/>
        <w:rPr>
          <w:rFonts w:ascii="仿宋_GB2312" w:hAnsi="仿宋_GB2312" w:eastAsia="仿宋_GB2312" w:cs="仿宋_GB2312"/>
          <w:color w:val="auto"/>
          <w:spacing w:val="1"/>
          <w:sz w:val="28"/>
          <w:szCs w:val="28"/>
          <w:highlight w:val="none"/>
          <w:lang w:eastAsia="zh-CN"/>
        </w:rPr>
        <w:sectPr>
          <w:headerReference r:id="rId16" w:type="default"/>
          <w:footerReference r:id="rId17" w:type="default"/>
          <w:pgSz w:w="11906" w:h="16838"/>
          <w:pgMar w:top="1161" w:right="1134" w:bottom="1162" w:left="1134" w:header="861" w:footer="1236" w:gutter="0"/>
          <w:pgNumType w:fmt="numberInDash"/>
          <w:cols w:space="720" w:num="1"/>
        </w:sectPr>
      </w:pPr>
      <w:r>
        <w:rPr>
          <w:rFonts w:hint="eastAsia" w:ascii="仿宋_GB2312" w:hAnsi="仿宋_GB2312" w:eastAsia="仿宋_GB2312" w:cs="仿宋_GB2312"/>
          <w:color w:val="auto"/>
          <w:spacing w:val="1"/>
          <w:sz w:val="28"/>
          <w:szCs w:val="28"/>
          <w:highlight w:val="none"/>
          <w:lang w:eastAsia="zh-CN"/>
        </w:rPr>
        <w:t>　</w:t>
      </w:r>
    </w:p>
    <w:p w14:paraId="584934D8">
      <w:pPr>
        <w:pStyle w:val="2"/>
        <w:rPr>
          <w:rFonts w:ascii="仿宋_GB2312" w:hAnsi="仿宋_GB2312" w:eastAsia="仿宋_GB2312" w:cs="仿宋_GB2312"/>
          <w:color w:val="auto"/>
          <w:szCs w:val="31"/>
          <w:highlight w:val="none"/>
          <w:lang w:eastAsia="zh-CN"/>
        </w:rPr>
      </w:pPr>
      <w:bookmarkStart w:id="117" w:name="bookmark5"/>
      <w:bookmarkEnd w:id="117"/>
      <w:bookmarkStart w:id="118" w:name="_Toc22354"/>
      <w:bookmarkStart w:id="119" w:name="_Toc5927"/>
      <w:r>
        <w:rPr>
          <w:rFonts w:hint="eastAsia"/>
          <w:b/>
          <w:bCs/>
          <w:color w:val="auto"/>
          <w:highlight w:val="none"/>
          <w:lang w:eastAsia="zh-CN"/>
        </w:rPr>
        <w:t>第三章  拟签订的合同文本</w:t>
      </w:r>
      <w:bookmarkEnd w:id="118"/>
      <w:bookmarkEnd w:id="119"/>
    </w:p>
    <w:p w14:paraId="0B7D1C9C">
      <w:pPr>
        <w:spacing w:line="318" w:lineRule="auto"/>
        <w:rPr>
          <w:rFonts w:ascii="仿宋_GB2312" w:hAnsi="仿宋_GB2312" w:eastAsia="仿宋_GB2312" w:cs="仿宋_GB2312"/>
          <w:color w:val="auto"/>
          <w:highlight w:val="none"/>
          <w:lang w:eastAsia="zh-CN"/>
        </w:rPr>
      </w:pPr>
    </w:p>
    <w:p w14:paraId="65E3043E">
      <w:pPr>
        <w:pStyle w:val="10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rPr>
          <w:rStyle w:val="29"/>
          <w:rFonts w:hint="eastAsia" w:ascii="宋体" w:hAnsi="宋体" w:eastAsia="宋体" w:cs="宋体"/>
          <w:i w:val="0"/>
          <w:iCs w:val="0"/>
          <w:caps w:val="0"/>
          <w:color w:val="auto"/>
          <w:spacing w:val="0"/>
          <w:sz w:val="21"/>
          <w:szCs w:val="21"/>
          <w:highlight w:val="none"/>
        </w:rPr>
      </w:pPr>
      <w:bookmarkStart w:id="120" w:name="bookmark7"/>
      <w:bookmarkEnd w:id="120"/>
      <w:r>
        <w:rPr>
          <w:rStyle w:val="29"/>
          <w:rFonts w:hint="default" w:ascii="方正小标宋简体" w:hAnsi="方正小标宋简体" w:eastAsia="方正小标宋简体" w:cs="方正小标宋简体"/>
          <w:b w:val="0"/>
          <w:bCs w:val="0"/>
          <w:i w:val="0"/>
          <w:iCs w:val="0"/>
          <w:caps w:val="0"/>
          <w:color w:val="auto"/>
          <w:spacing w:val="0"/>
          <w:sz w:val="40"/>
          <w:szCs w:val="40"/>
          <w:highlight w:val="none"/>
          <w:lang w:val="en-US" w:eastAsia="zh-CN"/>
        </w:rPr>
        <w:t>xxxx</w:t>
      </w:r>
      <w:r>
        <w:rPr>
          <w:rStyle w:val="29"/>
          <w:rFonts w:hint="eastAsia" w:ascii="方正小标宋简体" w:hAnsi="方正小标宋简体" w:eastAsia="方正小标宋简体" w:cs="方正小标宋简体"/>
          <w:b w:val="0"/>
          <w:bCs w:val="0"/>
          <w:i w:val="0"/>
          <w:iCs w:val="0"/>
          <w:caps w:val="0"/>
          <w:color w:val="auto"/>
          <w:spacing w:val="0"/>
          <w:sz w:val="40"/>
          <w:szCs w:val="40"/>
          <w:highlight w:val="none"/>
          <w:lang w:eastAsia="zh-CN"/>
        </w:rPr>
        <w:t>禽肉、水产类供应合同</w:t>
      </w:r>
      <w:r>
        <w:rPr>
          <w:rStyle w:val="29"/>
          <w:rFonts w:hint="eastAsia" w:ascii="方正小标宋简体" w:hAnsi="方正小标宋简体" w:eastAsia="方正小标宋简体" w:cs="方正小标宋简体"/>
          <w:b w:val="0"/>
          <w:bCs w:val="0"/>
          <w:i w:val="0"/>
          <w:iCs w:val="0"/>
          <w:caps w:val="0"/>
          <w:color w:val="auto"/>
          <w:spacing w:val="0"/>
          <w:sz w:val="40"/>
          <w:szCs w:val="40"/>
          <w:highlight w:val="none"/>
        </w:rPr>
        <w:t>　</w:t>
      </w:r>
      <w:r>
        <w:rPr>
          <w:rStyle w:val="29"/>
          <w:rFonts w:hint="eastAsia" w:ascii="方正小标宋简体" w:hAnsi="方正小标宋简体" w:eastAsia="方正小标宋简体" w:cs="方正小标宋简体"/>
          <w:i w:val="0"/>
          <w:iCs w:val="0"/>
          <w:caps w:val="0"/>
          <w:color w:val="auto"/>
          <w:spacing w:val="0"/>
          <w:sz w:val="40"/>
          <w:szCs w:val="40"/>
          <w:highlight w:val="none"/>
        </w:rPr>
        <w:t>　　</w:t>
      </w:r>
      <w:r>
        <w:rPr>
          <w:rStyle w:val="29"/>
          <w:rFonts w:hint="eastAsia" w:ascii="宋体" w:hAnsi="宋体" w:eastAsia="宋体" w:cs="宋体"/>
          <w:i w:val="0"/>
          <w:iCs w:val="0"/>
          <w:caps w:val="0"/>
          <w:color w:val="auto"/>
          <w:spacing w:val="0"/>
          <w:sz w:val="24"/>
          <w:szCs w:val="24"/>
          <w:highlight w:val="none"/>
        </w:rPr>
        <w:t>　</w:t>
      </w:r>
    </w:p>
    <w:p w14:paraId="5FF61DB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p>
    <w:p w14:paraId="3CBA58A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lang w:eastAsia="zh-CN"/>
        </w:rPr>
      </w:pPr>
      <w:r>
        <w:rPr>
          <w:rFonts w:hint="eastAsia" w:ascii="CESI仿宋-GB2312" w:hAnsi="CESI仿宋-GB2312" w:eastAsia="CESI仿宋-GB2312" w:cs="CESI仿宋-GB2312"/>
          <w:color w:val="auto"/>
          <w:sz w:val="28"/>
          <w:szCs w:val="28"/>
          <w:highlight w:val="none"/>
        </w:rPr>
        <w:t>甲方：新疆维吾尔自治区</w:t>
      </w:r>
    </w:p>
    <w:p w14:paraId="62A077A5">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地址：高昌区大河沿镇</w:t>
      </w:r>
    </w:p>
    <w:p w14:paraId="2FC1309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kern w:val="0"/>
          <w:sz w:val="28"/>
          <w:szCs w:val="28"/>
          <w:highlight w:val="none"/>
          <w:lang w:val="en-US" w:eastAsia="zh-CN"/>
        </w:rPr>
      </w:pPr>
      <w:r>
        <w:rPr>
          <w:rFonts w:hint="eastAsia" w:ascii="CESI仿宋-GB2312" w:hAnsi="CESI仿宋-GB2312" w:eastAsia="CESI仿宋-GB2312" w:cs="CESI仿宋-GB2312"/>
          <w:color w:val="auto"/>
          <w:sz w:val="28"/>
          <w:szCs w:val="28"/>
          <w:highlight w:val="none"/>
        </w:rPr>
        <w:t>乙方：</w:t>
      </w:r>
    </w:p>
    <w:p w14:paraId="58CBF21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CESI仿宋-GB2312" w:hAnsi="CESI仿宋-GB2312" w:eastAsia="CESI仿宋-GB2312" w:cs="CESI仿宋-GB2312"/>
          <w:color w:val="auto"/>
          <w:sz w:val="28"/>
          <w:szCs w:val="28"/>
          <w:highlight w:val="none"/>
          <w:lang w:val="en-US" w:eastAsia="zh-CN"/>
        </w:rPr>
      </w:pPr>
      <w:r>
        <w:rPr>
          <w:rFonts w:hint="eastAsia" w:ascii="CESI仿宋-GB2312" w:hAnsi="CESI仿宋-GB2312" w:eastAsia="CESI仿宋-GB2312" w:cs="CESI仿宋-GB2312"/>
          <w:color w:val="auto"/>
          <w:sz w:val="28"/>
          <w:szCs w:val="28"/>
          <w:highlight w:val="none"/>
        </w:rPr>
        <w:t>地址：</w:t>
      </w:r>
    </w:p>
    <w:p w14:paraId="19FEB05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lang w:val="en-US" w:eastAsia="zh-CN"/>
        </w:rPr>
      </w:pPr>
      <w:r>
        <w:rPr>
          <w:rFonts w:hint="eastAsia" w:ascii="CESI仿宋-GB2312" w:hAnsi="CESI仿宋-GB2312" w:eastAsia="CESI仿宋-GB2312" w:cs="CESI仿宋-GB2312"/>
          <w:color w:val="auto"/>
          <w:sz w:val="28"/>
          <w:szCs w:val="28"/>
          <w:highlight w:val="none"/>
        </w:rPr>
        <w:t>联系人：</w:t>
      </w:r>
      <w:r>
        <w:rPr>
          <w:rFonts w:hint="eastAsia" w:ascii="CESI仿宋-GB2312" w:hAnsi="CESI仿宋-GB2312" w:eastAsia="CESI仿宋-GB2312" w:cs="CESI仿宋-GB2312"/>
          <w:color w:val="auto"/>
          <w:kern w:val="0"/>
          <w:sz w:val="28"/>
          <w:szCs w:val="28"/>
          <w:highlight w:val="none"/>
        </w:rPr>
        <w:t xml:space="preserve">            </w:t>
      </w:r>
      <w:r>
        <w:rPr>
          <w:rFonts w:hint="eastAsia" w:ascii="CESI仿宋-GB2312" w:hAnsi="CESI仿宋-GB2312" w:eastAsia="CESI仿宋-GB2312" w:cs="CESI仿宋-GB2312"/>
          <w:color w:val="auto"/>
          <w:sz w:val="28"/>
          <w:szCs w:val="28"/>
          <w:highlight w:val="none"/>
        </w:rPr>
        <w:t>电话：</w:t>
      </w:r>
    </w:p>
    <w:p w14:paraId="5DDF88E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lang w:eastAsia="zh-CN"/>
        </w:rPr>
      </w:pPr>
      <w:r>
        <w:rPr>
          <w:rFonts w:hint="eastAsia" w:ascii="CESI仿宋-GB2312" w:hAnsi="CESI仿宋-GB2312" w:eastAsia="CESI仿宋-GB2312" w:cs="CESI仿宋-GB2312"/>
          <w:color w:val="auto"/>
          <w:sz w:val="28"/>
          <w:szCs w:val="28"/>
          <w:highlight w:val="none"/>
        </w:rPr>
        <w:t>本合同签订地点：</w:t>
      </w:r>
      <w:r>
        <w:rPr>
          <w:rFonts w:hint="eastAsia" w:ascii="CESI仿宋-GB2312" w:hAnsi="CESI仿宋-GB2312" w:eastAsia="CESI仿宋-GB2312" w:cs="CESI仿宋-GB2312"/>
          <w:color w:val="auto"/>
          <w:sz w:val="28"/>
          <w:szCs w:val="28"/>
          <w:highlight w:val="none"/>
          <w:lang w:eastAsia="zh-CN"/>
        </w:rPr>
        <w:t>吐鲁番市高昌区</w:t>
      </w:r>
    </w:p>
    <w:p w14:paraId="72A22F5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甲乙双方本着友好协商、平等自愿的原则，根据《国务院关于加强食品等产品安全监督管理的特别规定》《中华人民共和国</w:t>
      </w:r>
      <w:r>
        <w:rPr>
          <w:rFonts w:hint="eastAsia" w:ascii="CESI仿宋-GB2312" w:hAnsi="CESI仿宋-GB2312" w:eastAsia="CESI仿宋-GB2312" w:cs="CESI仿宋-GB2312"/>
          <w:color w:val="auto"/>
          <w:sz w:val="28"/>
          <w:szCs w:val="28"/>
          <w:highlight w:val="none"/>
          <w:lang w:eastAsia="zh-CN"/>
        </w:rPr>
        <w:t>民法典</w:t>
      </w:r>
      <w:r>
        <w:rPr>
          <w:rFonts w:hint="eastAsia" w:ascii="CESI仿宋-GB2312" w:hAnsi="CESI仿宋-GB2312" w:eastAsia="CESI仿宋-GB2312" w:cs="CESI仿宋-GB2312"/>
          <w:color w:val="auto"/>
          <w:sz w:val="28"/>
          <w:szCs w:val="28"/>
          <w:highlight w:val="none"/>
        </w:rPr>
        <w:t>》等法律法规，甲乙双方本着平等自愿和诚实守信的原则，经双方共同协商，甲方所需的外购</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交由乙方供应配送，为确保双方权益，订立本合同，共同遵守：</w:t>
      </w:r>
    </w:p>
    <w:p w14:paraId="4EF88ED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一、主体资格</w:t>
      </w:r>
    </w:p>
    <w:p w14:paraId="1F2019D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乙方在本合同签订时，应当提供营业执照、税务登记证等自身主体资格的证明。</w:t>
      </w:r>
    </w:p>
    <w:p w14:paraId="50C5353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二、标的及配送范围</w:t>
      </w:r>
    </w:p>
    <w:p w14:paraId="095934B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1.标的物为甲方所用</w:t>
      </w:r>
      <w:r>
        <w:rPr>
          <w:rFonts w:hint="eastAsia" w:ascii="CESI仿宋-GB2312" w:hAnsi="CESI仿宋-GB2312" w:eastAsia="CESI仿宋-GB2312" w:cs="CESI仿宋-GB2312"/>
          <w:color w:val="auto"/>
          <w:sz w:val="28"/>
          <w:szCs w:val="28"/>
          <w:highlight w:val="none"/>
          <w:lang w:eastAsia="zh-CN"/>
        </w:rPr>
        <w:t>物资（见附件）</w:t>
      </w:r>
      <w:r>
        <w:rPr>
          <w:rFonts w:hint="eastAsia" w:ascii="CESI仿宋-GB2312" w:hAnsi="CESI仿宋-GB2312" w:eastAsia="CESI仿宋-GB2312" w:cs="CESI仿宋-GB2312"/>
          <w:color w:val="auto"/>
          <w:sz w:val="28"/>
          <w:szCs w:val="28"/>
          <w:highlight w:val="none"/>
        </w:rPr>
        <w:t>。</w:t>
      </w:r>
    </w:p>
    <w:p w14:paraId="7196280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2.甲方须提前3天下单给乙方订货，若乙方有特殊情况，需提前3天通知甲方。在接到甲方通知后，乙方按约定时间送至甲方预定地点。</w:t>
      </w:r>
    </w:p>
    <w:p w14:paraId="7BE3ACF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3.乙方按甲方需求预约交货，乙方必须确保服务质量，送货及时快捷。</w:t>
      </w:r>
    </w:p>
    <w:p w14:paraId="382BEE56">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4.在紧急需求等特殊情况下，乙方必须按照甲方要求送货。</w:t>
      </w:r>
    </w:p>
    <w:p w14:paraId="7CAF7BF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三、数量确定</w:t>
      </w:r>
    </w:p>
    <w:p w14:paraId="7642D1D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1.供货数量确保准确，数量以甲方验收确认的数量为准。</w:t>
      </w:r>
    </w:p>
    <w:p w14:paraId="147B545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2.乙方每次随货的送货清单，经甲方指定人员验货后签字确定；甲乙双方各执一份，以此作为结算时的数量依据。</w:t>
      </w:r>
    </w:p>
    <w:p w14:paraId="204CFD7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CESI仿宋-GB2312" w:hAnsi="CESI仿宋-GB2312" w:eastAsia="CESI仿宋-GB2312" w:cs="CESI仿宋-GB2312"/>
          <w:color w:val="auto"/>
          <w:sz w:val="28"/>
          <w:szCs w:val="28"/>
          <w:highlight w:val="none"/>
        </w:rPr>
      </w:pPr>
      <w:r>
        <w:rPr>
          <w:rFonts w:hint="eastAsia" w:ascii="黑体" w:hAnsi="黑体" w:eastAsia="黑体" w:cs="黑体"/>
          <w:color w:val="auto"/>
          <w:sz w:val="28"/>
          <w:szCs w:val="28"/>
          <w:highlight w:val="none"/>
        </w:rPr>
        <w:t xml:space="preserve">四、质量保证  </w:t>
      </w:r>
      <w:r>
        <w:rPr>
          <w:rFonts w:hint="eastAsia" w:ascii="CESI仿宋-GB2312" w:hAnsi="CESI仿宋-GB2312" w:eastAsia="CESI仿宋-GB2312" w:cs="CESI仿宋-GB2312"/>
          <w:color w:val="auto"/>
          <w:sz w:val="28"/>
          <w:szCs w:val="28"/>
          <w:highlight w:val="none"/>
        </w:rPr>
        <w:t xml:space="preserve">  </w:t>
      </w:r>
    </w:p>
    <w:p w14:paraId="2D80E02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CESI仿宋-GB2312" w:hAnsi="CESI仿宋-GB2312" w:eastAsia="CESI仿宋-GB2312" w:cs="CESI仿宋-GB2312"/>
          <w:color w:val="auto"/>
          <w:sz w:val="28"/>
          <w:szCs w:val="28"/>
          <w:highlight w:val="none"/>
          <w:lang w:eastAsia="zh-CN"/>
        </w:rPr>
      </w:pPr>
      <w:r>
        <w:rPr>
          <w:rFonts w:hint="eastAsia" w:ascii="CESI仿宋-GB2312" w:hAnsi="CESI仿宋-GB2312" w:eastAsia="CESI仿宋-GB2312" w:cs="CESI仿宋-GB2312"/>
          <w:color w:val="auto"/>
          <w:sz w:val="28"/>
          <w:szCs w:val="28"/>
          <w:highlight w:val="none"/>
        </w:rPr>
        <w:t>1.乙方配送的</w:t>
      </w:r>
      <w:r>
        <w:rPr>
          <w:rFonts w:hint="eastAsia" w:ascii="CESI仿宋-GB2312" w:hAnsi="CESI仿宋-GB2312" w:eastAsia="CESI仿宋-GB2312" w:cs="CESI仿宋-GB2312"/>
          <w:color w:val="auto"/>
          <w:sz w:val="28"/>
          <w:szCs w:val="28"/>
          <w:highlight w:val="none"/>
          <w:lang w:eastAsia="zh-CN"/>
        </w:rPr>
        <w:t>禽肉、鱼类</w:t>
      </w:r>
      <w:r>
        <w:rPr>
          <w:rFonts w:hint="eastAsia" w:ascii="CESI仿宋-GB2312" w:hAnsi="CESI仿宋-GB2312" w:eastAsia="CESI仿宋-GB2312" w:cs="CESI仿宋-GB2312"/>
          <w:color w:val="auto"/>
          <w:sz w:val="28"/>
          <w:szCs w:val="28"/>
          <w:highlight w:val="none"/>
        </w:rPr>
        <w:t>必须新鲜、无腐烂、无机械性损伤，如出现与甲方所要求的质量、数量不符的，甲方有权不计算不符合要求的</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w:t>
      </w:r>
    </w:p>
    <w:p w14:paraId="2BCF8165">
      <w:pPr>
        <w:keepNext w:val="0"/>
        <w:keepLines w:val="0"/>
        <w:pageBreakBefore w:val="0"/>
        <w:widowControl w:val="0"/>
        <w:kinsoku/>
        <w:wordWrap/>
        <w:overflowPunct/>
        <w:topLinePunct w:val="0"/>
        <w:autoSpaceDE/>
        <w:autoSpaceDN/>
        <w:bidi w:val="0"/>
        <w:adjustRightInd w:val="0"/>
        <w:snapToGrid w:val="0"/>
        <w:spacing w:line="560" w:lineRule="exact"/>
        <w:ind w:firstLine="63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2.凡属于质量问题必须包退包换，退补货品须在24个小时内补给,不能影响甲方正常用餐。</w:t>
      </w:r>
    </w:p>
    <w:p w14:paraId="61999035">
      <w:pPr>
        <w:keepNext w:val="0"/>
        <w:keepLines w:val="0"/>
        <w:pageBreakBefore w:val="0"/>
        <w:widowControl w:val="0"/>
        <w:kinsoku/>
        <w:wordWrap/>
        <w:overflowPunct/>
        <w:topLinePunct w:val="0"/>
        <w:autoSpaceDE/>
        <w:autoSpaceDN/>
        <w:bidi w:val="0"/>
        <w:adjustRightInd w:val="0"/>
        <w:snapToGrid w:val="0"/>
        <w:spacing w:line="560" w:lineRule="exact"/>
        <w:ind w:firstLine="63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3.若因乙方配送</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导致甲方出现食物事故时，经卫生防疫站检验证明确属乙方造成的，乙方必须承担经济与法律上的全部责任。</w:t>
      </w:r>
    </w:p>
    <w:p w14:paraId="004D0F9C">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4.乙方供应的</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要确保产地真实、质量可靠，检验检测证齐全，供应</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须提供</w:t>
      </w:r>
      <w:r>
        <w:rPr>
          <w:rFonts w:hint="eastAsia" w:ascii="CESI仿宋-GB2312" w:hAnsi="CESI仿宋-GB2312" w:eastAsia="CESI仿宋-GB2312" w:cs="CESI仿宋-GB2312"/>
          <w:color w:val="auto"/>
          <w:sz w:val="28"/>
          <w:szCs w:val="28"/>
          <w:highlight w:val="none"/>
          <w:lang w:eastAsia="zh-CN"/>
        </w:rPr>
        <w:t>部分</w:t>
      </w:r>
      <w:r>
        <w:rPr>
          <w:rFonts w:hint="eastAsia" w:ascii="CESI仿宋-GB2312" w:hAnsi="CESI仿宋-GB2312" w:eastAsia="CESI仿宋-GB2312" w:cs="CESI仿宋-GB2312"/>
          <w:color w:val="auto"/>
          <w:sz w:val="28"/>
          <w:szCs w:val="28"/>
          <w:highlight w:val="none"/>
        </w:rPr>
        <w:t>检验合格证，如食品药品监督局相关执法单位检查不合格者，乙方必须承担经济与法律上的全部责任。</w:t>
      </w:r>
    </w:p>
    <w:p w14:paraId="6A6D9D9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5.甲方对乙方配送的</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进行抽检，两次以上供应不合格的，甲方有权解除</w:t>
      </w:r>
      <w:r>
        <w:rPr>
          <w:rFonts w:hint="eastAsia" w:ascii="CESI仿宋-GB2312" w:hAnsi="CESI仿宋-GB2312" w:eastAsia="CESI仿宋-GB2312" w:cs="CESI仿宋-GB2312"/>
          <w:color w:val="auto"/>
          <w:sz w:val="28"/>
          <w:szCs w:val="28"/>
          <w:highlight w:val="none"/>
          <w:lang w:val="en-US" w:eastAsia="zh-CN"/>
        </w:rPr>
        <w:t>本合同</w:t>
      </w:r>
      <w:r>
        <w:rPr>
          <w:rFonts w:hint="eastAsia" w:ascii="CESI仿宋-GB2312" w:hAnsi="CESI仿宋-GB2312" w:eastAsia="CESI仿宋-GB2312" w:cs="CESI仿宋-GB2312"/>
          <w:color w:val="auto"/>
          <w:sz w:val="28"/>
          <w:szCs w:val="28"/>
          <w:highlight w:val="none"/>
        </w:rPr>
        <w:t>。</w:t>
      </w:r>
    </w:p>
    <w:p w14:paraId="426321A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五、供货及验收</w:t>
      </w:r>
    </w:p>
    <w:p w14:paraId="44E8D12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1.双方约定的交货地点为：</w:t>
      </w:r>
      <w:r>
        <w:rPr>
          <w:rFonts w:hint="eastAsia" w:ascii="CESI仿宋-GB2312" w:hAnsi="CESI仿宋-GB2312" w:eastAsia="CESI仿宋-GB2312" w:cs="CESI仿宋-GB2312"/>
          <w:color w:val="auto"/>
          <w:sz w:val="28"/>
          <w:szCs w:val="28"/>
          <w:highlight w:val="none"/>
          <w:u w:val="single"/>
        </w:rPr>
        <w:t xml:space="preserve"> </w:t>
      </w:r>
      <w:r>
        <w:rPr>
          <w:rFonts w:hint="eastAsia" w:ascii="CESI仿宋-GB2312" w:hAnsi="CESI仿宋-GB2312" w:eastAsia="CESI仿宋-GB2312" w:cs="CESI仿宋-GB2312"/>
          <w:color w:val="auto"/>
          <w:sz w:val="28"/>
          <w:szCs w:val="28"/>
          <w:highlight w:val="none"/>
          <w:u w:val="single"/>
          <w:lang w:eastAsia="zh-CN"/>
        </w:rPr>
        <w:t>高昌区大河沿镇</w:t>
      </w:r>
      <w:r>
        <w:rPr>
          <w:rFonts w:hint="eastAsia" w:ascii="CESI仿宋-GB2312" w:hAnsi="CESI仿宋-GB2312" w:eastAsia="CESI仿宋-GB2312" w:cs="CESI仿宋-GB2312"/>
          <w:color w:val="auto"/>
          <w:sz w:val="28"/>
          <w:szCs w:val="28"/>
          <w:highlight w:val="none"/>
          <w:u w:val="single"/>
        </w:rPr>
        <w:t xml:space="preserve"> </w:t>
      </w:r>
      <w:r>
        <w:rPr>
          <w:rFonts w:hint="eastAsia" w:ascii="CESI仿宋-GB2312" w:hAnsi="CESI仿宋-GB2312" w:eastAsia="CESI仿宋-GB2312" w:cs="CESI仿宋-GB2312"/>
          <w:color w:val="auto"/>
          <w:sz w:val="28"/>
          <w:szCs w:val="28"/>
          <w:highlight w:val="none"/>
        </w:rPr>
        <w:t>；乙方将订单列明的商品，按照约定的时间、运输方式交付到双方约定地点，由乙方承担所有费用。</w:t>
      </w:r>
    </w:p>
    <w:p w14:paraId="178650E0">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CESI仿宋-GB2312" w:hAnsi="CESI仿宋-GB2312" w:eastAsia="CESI仿宋-GB2312" w:cs="CESI仿宋-GB2312"/>
          <w:color w:val="auto"/>
          <w:sz w:val="28"/>
          <w:szCs w:val="28"/>
          <w:highlight w:val="none"/>
          <w:lang w:val="en-US" w:eastAsia="zh-CN"/>
        </w:rPr>
      </w:pPr>
      <w:r>
        <w:rPr>
          <w:rFonts w:hint="eastAsia" w:ascii="CESI仿宋-GB2312" w:hAnsi="CESI仿宋-GB2312" w:eastAsia="CESI仿宋-GB2312" w:cs="CESI仿宋-GB2312"/>
          <w:color w:val="auto"/>
          <w:sz w:val="28"/>
          <w:szCs w:val="28"/>
          <w:highlight w:val="none"/>
        </w:rPr>
        <w:t>2.双方设专职信息员，建立沟通协调机制，确保配送商品及时到位。</w:t>
      </w:r>
      <w:r>
        <w:rPr>
          <w:rFonts w:hint="default" w:ascii="CESI仿宋-GB2312" w:hAnsi="CESI仿宋-GB2312" w:eastAsia="CESI仿宋-GB2312" w:cs="CESI仿宋-GB2312"/>
          <w:color w:val="auto"/>
          <w:sz w:val="28"/>
          <w:szCs w:val="28"/>
          <w:highlight w:val="none"/>
          <w:lang w:val="en-US"/>
        </w:rPr>
        <w:t>甲方人员：xxx，电话：xxx；乙方人员：xxx，电话：xxx。</w:t>
      </w:r>
    </w:p>
    <w:p w14:paraId="470BB79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3.乙方保证商品的质量及食品的卫生安全，包装符合甲方的特定要求，确保不发生食品安全事故。甲方应当及时安排工作人员在到货后按照订单对商品的种类、规格、产地、数量、包装等进行验收，并出具收货凭证；如商品不符合本合同及订单要求的，可以拒绝接收或不计算不符合商品的数量</w:t>
      </w:r>
      <w:r>
        <w:rPr>
          <w:rFonts w:hint="eastAsia" w:ascii="CESI仿宋-GB2312" w:hAnsi="CESI仿宋-GB2312" w:eastAsia="CESI仿宋-GB2312" w:cs="CESI仿宋-GB2312"/>
          <w:color w:val="auto"/>
          <w:sz w:val="28"/>
          <w:szCs w:val="28"/>
          <w:highlight w:val="none"/>
          <w:lang w:eastAsia="zh-CN"/>
        </w:rPr>
        <w:t>，并扣除当次货款的</w:t>
      </w:r>
      <w:r>
        <w:rPr>
          <w:rFonts w:hint="eastAsia" w:ascii="CESI仿宋-GB2312" w:hAnsi="CESI仿宋-GB2312" w:eastAsia="CESI仿宋-GB2312" w:cs="CESI仿宋-GB2312"/>
          <w:color w:val="auto"/>
          <w:sz w:val="28"/>
          <w:szCs w:val="28"/>
          <w:highlight w:val="none"/>
          <w:lang w:val="en-US" w:eastAsia="zh-CN"/>
        </w:rPr>
        <w:t>5%</w:t>
      </w:r>
      <w:r>
        <w:rPr>
          <w:rFonts w:hint="eastAsia" w:ascii="CESI仿宋-GB2312" w:hAnsi="CESI仿宋-GB2312" w:eastAsia="CESI仿宋-GB2312" w:cs="CESI仿宋-GB2312"/>
          <w:color w:val="auto"/>
          <w:sz w:val="28"/>
          <w:szCs w:val="28"/>
          <w:highlight w:val="none"/>
        </w:rPr>
        <w:t>。</w:t>
      </w:r>
    </w:p>
    <w:p w14:paraId="14765CB0">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4.配送人员、车辆、程序必须严格遵守甲方各项规定，严格执行甲方</w:t>
      </w:r>
      <w:r>
        <w:rPr>
          <w:rFonts w:hint="eastAsia" w:ascii="CESI仿宋-GB2312" w:hAnsi="CESI仿宋-GB2312" w:eastAsia="CESI仿宋-GB2312" w:cs="CESI仿宋-GB2312"/>
          <w:color w:val="auto"/>
          <w:sz w:val="28"/>
          <w:szCs w:val="28"/>
          <w:highlight w:val="none"/>
          <w:lang w:eastAsia="zh-CN"/>
        </w:rPr>
        <w:t>相关</w:t>
      </w:r>
      <w:r>
        <w:rPr>
          <w:rFonts w:hint="eastAsia" w:ascii="CESI仿宋-GB2312" w:hAnsi="CESI仿宋-GB2312" w:eastAsia="CESI仿宋-GB2312" w:cs="CESI仿宋-GB2312"/>
          <w:color w:val="auto"/>
          <w:sz w:val="28"/>
          <w:szCs w:val="28"/>
          <w:highlight w:val="none"/>
        </w:rPr>
        <w:t>规定</w:t>
      </w:r>
      <w:r>
        <w:rPr>
          <w:rFonts w:hint="eastAsia" w:ascii="CESI仿宋-GB2312" w:hAnsi="CESI仿宋-GB2312" w:eastAsia="CESI仿宋-GB2312" w:cs="CESI仿宋-GB2312"/>
          <w:color w:val="auto"/>
          <w:sz w:val="28"/>
          <w:szCs w:val="28"/>
          <w:highlight w:val="none"/>
          <w:lang w:eastAsia="zh-CN"/>
        </w:rPr>
        <w:t>制度</w:t>
      </w:r>
      <w:r>
        <w:rPr>
          <w:rFonts w:hint="eastAsia" w:ascii="CESI仿宋-GB2312" w:hAnsi="CESI仿宋-GB2312" w:eastAsia="CESI仿宋-GB2312" w:cs="CESI仿宋-GB2312"/>
          <w:color w:val="auto"/>
          <w:sz w:val="28"/>
          <w:szCs w:val="28"/>
          <w:highlight w:val="none"/>
        </w:rPr>
        <w:t>，配合甲方做好安全检查，乙方要根据甲方提供的供货清单，按照甲方的要求装货供货，送到指定区域，核对验收商品，由</w:t>
      </w:r>
      <w:r>
        <w:rPr>
          <w:rFonts w:hint="eastAsia" w:ascii="CESI仿宋-GB2312" w:hAnsi="CESI仿宋-GB2312" w:eastAsia="CESI仿宋-GB2312" w:cs="CESI仿宋-GB2312"/>
          <w:color w:val="auto"/>
          <w:sz w:val="28"/>
          <w:szCs w:val="28"/>
          <w:highlight w:val="none"/>
          <w:lang w:val="en-US" w:eastAsia="zh-CN"/>
        </w:rPr>
        <w:t>甲乙双</w:t>
      </w:r>
      <w:r>
        <w:rPr>
          <w:rFonts w:hint="eastAsia" w:ascii="CESI仿宋-GB2312" w:hAnsi="CESI仿宋-GB2312" w:eastAsia="CESI仿宋-GB2312" w:cs="CESI仿宋-GB2312"/>
          <w:color w:val="auto"/>
          <w:sz w:val="28"/>
          <w:szCs w:val="28"/>
          <w:highlight w:val="none"/>
        </w:rPr>
        <w:t>方清点货物后签字确认，确保商品数量零误差。</w:t>
      </w:r>
    </w:p>
    <w:p w14:paraId="7104B17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default" w:ascii="CESI仿宋-GB2312" w:hAnsi="CESI仿宋-GB2312" w:eastAsia="CESI仿宋-GB2312" w:cs="CESI仿宋-GB2312"/>
          <w:color w:val="auto"/>
          <w:sz w:val="28"/>
          <w:szCs w:val="28"/>
          <w:highlight w:val="none"/>
          <w:lang w:val="en-US" w:eastAsia="zh-CN"/>
        </w:rPr>
      </w:pPr>
      <w:r>
        <w:rPr>
          <w:rFonts w:hint="eastAsia" w:ascii="CESI仿宋-GB2312" w:hAnsi="CESI仿宋-GB2312" w:eastAsia="CESI仿宋-GB2312" w:cs="CESI仿宋-GB2312"/>
          <w:color w:val="auto"/>
          <w:sz w:val="28"/>
          <w:szCs w:val="28"/>
          <w:highlight w:val="none"/>
        </w:rPr>
        <w:t>5.根据招标文件规定，</w:t>
      </w:r>
      <w:r>
        <w:rPr>
          <w:rFonts w:hint="eastAsia" w:ascii="CESI仿宋-GB2312" w:hAnsi="CESI仿宋-GB2312" w:eastAsia="CESI仿宋-GB2312" w:cs="CESI仿宋-GB2312"/>
          <w:color w:val="auto"/>
          <w:sz w:val="28"/>
          <w:szCs w:val="28"/>
          <w:highlight w:val="none"/>
        </w:rPr>
        <w:t>最终具体实施</w:t>
      </w:r>
      <w:r>
        <w:rPr>
          <w:rFonts w:hint="eastAsia" w:ascii="CESI仿宋-GB2312" w:hAnsi="CESI仿宋-GB2312" w:eastAsia="CESI仿宋-GB2312" w:cs="CESI仿宋-GB2312"/>
          <w:color w:val="auto"/>
          <w:sz w:val="28"/>
          <w:szCs w:val="28"/>
          <w:highlight w:val="none"/>
          <w:lang w:eastAsia="zh-CN"/>
        </w:rPr>
        <w:t>以</w:t>
      </w:r>
      <w:r>
        <w:rPr>
          <w:rFonts w:hint="eastAsia" w:ascii="CESI仿宋-GB2312" w:hAnsi="CESI仿宋-GB2312" w:eastAsia="CESI仿宋-GB2312" w:cs="CESI仿宋-GB2312"/>
          <w:color w:val="auto"/>
          <w:sz w:val="28"/>
          <w:szCs w:val="28"/>
          <w:highlight w:val="none"/>
        </w:rPr>
        <w:t>甲方合同为准。</w:t>
      </w:r>
      <w:r>
        <w:rPr>
          <w:rFonts w:hint="eastAsia" w:ascii="CESI仿宋-GB2312" w:hAnsi="CESI仿宋-GB2312" w:eastAsia="CESI仿宋-GB2312" w:cs="CESI仿宋-GB2312"/>
          <w:color w:val="auto"/>
          <w:sz w:val="28"/>
          <w:szCs w:val="28"/>
          <w:highlight w:val="none"/>
          <w:lang w:eastAsia="zh-CN"/>
        </w:rPr>
        <w:t>物资供货价格按照中标通知书折扣率执行，参考订货前一天乌鲁木齐北园春（集团）有限责任公司官网上公布的货物价格，货物价格中间价作为基础价*中标折扣率（</w:t>
      </w:r>
      <w:r>
        <w:rPr>
          <w:rFonts w:hint="eastAsia" w:ascii="CESI仿宋-GB2312" w:hAnsi="CESI仿宋-GB2312" w:eastAsia="CESI仿宋-GB2312" w:cs="CESI仿宋-GB2312"/>
          <w:color w:val="auto"/>
          <w:sz w:val="28"/>
          <w:szCs w:val="28"/>
          <w:highlight w:val="none"/>
          <w:lang w:val="en-US" w:eastAsia="zh-CN"/>
        </w:rPr>
        <w:t>72%</w:t>
      </w:r>
      <w:r>
        <w:rPr>
          <w:rFonts w:hint="eastAsia" w:ascii="CESI仿宋-GB2312" w:hAnsi="CESI仿宋-GB2312" w:eastAsia="CESI仿宋-GB2312" w:cs="CESI仿宋-GB2312"/>
          <w:color w:val="auto"/>
          <w:sz w:val="28"/>
          <w:szCs w:val="28"/>
          <w:highlight w:val="none"/>
          <w:lang w:eastAsia="zh-CN"/>
        </w:rPr>
        <w:t>）作为结算依据。</w:t>
      </w:r>
    </w:p>
    <w:p w14:paraId="1D95411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CESI仿宋-GB2312" w:hAnsi="CESI仿宋-GB2312" w:eastAsia="CESI仿宋-GB2312" w:cs="CESI仿宋-GB2312"/>
          <w:color w:val="auto"/>
          <w:sz w:val="28"/>
          <w:szCs w:val="28"/>
          <w:highlight w:val="none"/>
          <w:lang w:val="en-US" w:eastAsia="zh-CN"/>
        </w:rPr>
      </w:pPr>
      <w:r>
        <w:rPr>
          <w:rFonts w:hint="eastAsia" w:ascii="CESI仿宋-GB2312" w:hAnsi="CESI仿宋-GB2312" w:eastAsia="CESI仿宋-GB2312" w:cs="CESI仿宋-GB2312"/>
          <w:color w:val="auto"/>
          <w:sz w:val="28"/>
          <w:szCs w:val="28"/>
          <w:highlight w:val="none"/>
        </w:rPr>
        <w:t>6.</w:t>
      </w:r>
      <w:r>
        <w:rPr>
          <w:rFonts w:hint="eastAsia" w:ascii="CESI仿宋-GB2312" w:hAnsi="CESI仿宋-GB2312" w:eastAsia="CESI仿宋-GB2312" w:cs="CESI仿宋-GB2312"/>
          <w:color w:val="auto"/>
          <w:sz w:val="28"/>
          <w:szCs w:val="28"/>
          <w:highlight w:val="none"/>
          <w:lang w:eastAsia="zh-CN"/>
        </w:rPr>
        <w:t>中标</w:t>
      </w:r>
      <w:r>
        <w:rPr>
          <w:rFonts w:hint="eastAsia" w:ascii="CESI仿宋-GB2312" w:hAnsi="CESI仿宋-GB2312" w:eastAsia="CESI仿宋-GB2312" w:cs="CESI仿宋-GB2312"/>
          <w:color w:val="auto"/>
          <w:sz w:val="28"/>
          <w:szCs w:val="28"/>
          <w:highlight w:val="none"/>
        </w:rPr>
        <w:t>供应商不得随意退出，也不得</w:t>
      </w:r>
      <w:r>
        <w:rPr>
          <w:rFonts w:hint="eastAsia" w:ascii="CESI仿宋-GB2312" w:hAnsi="CESI仿宋-GB2312" w:eastAsia="CESI仿宋-GB2312" w:cs="CESI仿宋-GB2312"/>
          <w:color w:val="auto"/>
          <w:sz w:val="28"/>
          <w:szCs w:val="28"/>
          <w:highlight w:val="none"/>
          <w:lang w:eastAsia="zh-CN"/>
        </w:rPr>
        <w:t>高于中标通知书折扣率</w:t>
      </w:r>
      <w:r>
        <w:rPr>
          <w:rFonts w:hint="eastAsia" w:ascii="CESI仿宋-GB2312" w:hAnsi="CESI仿宋-GB2312" w:eastAsia="CESI仿宋-GB2312" w:cs="CESI仿宋-GB2312"/>
          <w:color w:val="auto"/>
          <w:sz w:val="28"/>
          <w:szCs w:val="28"/>
          <w:highlight w:val="none"/>
        </w:rPr>
        <w:t>，</w:t>
      </w:r>
      <w:r>
        <w:rPr>
          <w:rFonts w:hint="eastAsia" w:ascii="CESI仿宋-GB2312" w:hAnsi="CESI仿宋-GB2312" w:eastAsia="CESI仿宋-GB2312" w:cs="CESI仿宋-GB2312"/>
          <w:color w:val="auto"/>
          <w:sz w:val="28"/>
          <w:szCs w:val="28"/>
          <w:highlight w:val="none"/>
          <w:lang w:eastAsia="zh-CN"/>
        </w:rPr>
        <w:t>如发现折扣率和中标通知书不一致，甲方将扣除中标供应商履约保证金的</w:t>
      </w:r>
      <w:r>
        <w:rPr>
          <w:rFonts w:hint="eastAsia" w:ascii="CESI仿宋-GB2312" w:hAnsi="CESI仿宋-GB2312" w:eastAsia="CESI仿宋-GB2312" w:cs="CESI仿宋-GB2312"/>
          <w:color w:val="auto"/>
          <w:sz w:val="28"/>
          <w:szCs w:val="28"/>
          <w:highlight w:val="none"/>
          <w:lang w:val="en-US" w:eastAsia="zh-CN"/>
        </w:rPr>
        <w:t>20%。采购清单里货品在</w:t>
      </w:r>
      <w:r>
        <w:rPr>
          <w:rFonts w:hint="eastAsia" w:ascii="CESI仿宋-GB2312" w:hAnsi="CESI仿宋-GB2312" w:eastAsia="CESI仿宋-GB2312" w:cs="CESI仿宋-GB2312"/>
          <w:color w:val="auto"/>
          <w:sz w:val="28"/>
          <w:szCs w:val="28"/>
          <w:highlight w:val="none"/>
          <w:lang w:eastAsia="zh-CN"/>
        </w:rPr>
        <w:t>乌鲁木齐北园春（集团）有限责任公司官网没有的，由</w:t>
      </w:r>
      <w:r>
        <w:rPr>
          <w:rFonts w:hint="eastAsia" w:ascii="CESI仿宋-GB2312" w:hAnsi="CESI仿宋-GB2312" w:eastAsia="CESI仿宋-GB2312" w:cs="CESI仿宋-GB2312"/>
          <w:color w:val="auto"/>
          <w:sz w:val="28"/>
          <w:szCs w:val="28"/>
          <w:highlight w:val="none"/>
          <w:lang w:eastAsia="zh-CN"/>
        </w:rPr>
        <w:t>采购人、中标人共同对吐鲁番本地至少</w:t>
      </w:r>
      <w:r>
        <w:rPr>
          <w:rFonts w:hint="eastAsia" w:ascii="CESI仿宋-GB2312" w:hAnsi="CESI仿宋-GB2312" w:eastAsia="CESI仿宋-GB2312" w:cs="CESI仿宋-GB2312"/>
          <w:color w:val="auto"/>
          <w:sz w:val="28"/>
          <w:szCs w:val="28"/>
          <w:highlight w:val="none"/>
          <w:lang w:val="en-US" w:eastAsia="zh-CN"/>
        </w:rPr>
        <w:t>3家大型农贸市场或商超进行询价，取均价作为基准价，且该价格不得高于同期吐鲁番市发改委公布的市场指导价格，基准价乘以中标折扣率作为结算价。</w:t>
      </w:r>
    </w:p>
    <w:p w14:paraId="3A71428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CESI仿宋-GB2312" w:hAnsi="CESI仿宋-GB2312" w:eastAsia="CESI仿宋-GB2312" w:cs="CESI仿宋-GB2312"/>
          <w:color w:val="auto"/>
          <w:sz w:val="28"/>
          <w:szCs w:val="28"/>
          <w:highlight w:val="none"/>
          <w:lang w:val="en-US" w:eastAsia="zh-CN"/>
        </w:rPr>
      </w:pPr>
      <w:r>
        <w:rPr>
          <w:rFonts w:hint="eastAsia" w:ascii="CESI仿宋-GB2312" w:hAnsi="CESI仿宋-GB2312" w:eastAsia="CESI仿宋-GB2312" w:cs="CESI仿宋-GB2312"/>
          <w:color w:val="auto"/>
          <w:sz w:val="28"/>
          <w:szCs w:val="28"/>
          <w:highlight w:val="none"/>
          <w:lang w:val="en-US" w:eastAsia="zh-CN"/>
        </w:rPr>
        <w:t>7.如不按照甲方要求进行供货，甲方将扣除当次货款的20%。</w:t>
      </w:r>
    </w:p>
    <w:p w14:paraId="3034853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CESI仿宋-GB2312" w:hAnsi="CESI仿宋-GB2312" w:eastAsia="CESI仿宋-GB2312" w:cs="CESI仿宋-GB2312"/>
          <w:color w:val="auto"/>
          <w:sz w:val="28"/>
          <w:szCs w:val="28"/>
          <w:highlight w:val="none"/>
          <w:lang w:val="en-US" w:eastAsia="zh-CN"/>
        </w:rPr>
      </w:pPr>
      <w:r>
        <w:rPr>
          <w:rFonts w:hint="eastAsia" w:ascii="CESI仿宋-GB2312" w:hAnsi="CESI仿宋-GB2312" w:eastAsia="CESI仿宋-GB2312" w:cs="CESI仿宋-GB2312"/>
          <w:color w:val="auto"/>
          <w:sz w:val="28"/>
          <w:szCs w:val="28"/>
          <w:highlight w:val="none"/>
          <w:lang w:val="en-US" w:eastAsia="zh-CN"/>
        </w:rPr>
        <w:t>8.检疫证明要求：“须提供《动物检疫合格证明》（B证，适用于省内流通）或A证（适用于跨省流通），且可通过‘国家动物检疫电子出证系统’查询追溯信息。”</w:t>
      </w:r>
    </w:p>
    <w:p w14:paraId="22730A17">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六、对账支付</w:t>
      </w:r>
    </w:p>
    <w:p w14:paraId="1D7E7ED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1.对账方式为：乙方和</w:t>
      </w:r>
      <w:r>
        <w:rPr>
          <w:rFonts w:hint="eastAsia" w:ascii="CESI仿宋-GB2312" w:hAnsi="CESI仿宋-GB2312" w:eastAsia="CESI仿宋-GB2312" w:cs="CESI仿宋-GB2312"/>
          <w:color w:val="auto"/>
          <w:sz w:val="28"/>
          <w:szCs w:val="28"/>
          <w:highlight w:val="none"/>
          <w:lang w:val="en-US" w:eastAsia="zh-CN"/>
        </w:rPr>
        <w:t>甲方</w:t>
      </w:r>
      <w:r>
        <w:rPr>
          <w:rFonts w:hint="eastAsia" w:ascii="CESI仿宋-GB2312" w:hAnsi="CESI仿宋-GB2312" w:eastAsia="CESI仿宋-GB2312" w:cs="CESI仿宋-GB2312"/>
          <w:color w:val="auto"/>
          <w:sz w:val="28"/>
          <w:szCs w:val="28"/>
          <w:highlight w:val="none"/>
        </w:rPr>
        <w:t>进行对账，对账周期为每月一次。</w:t>
      </w:r>
    </w:p>
    <w:p w14:paraId="09FBF24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2.双方按照确认的书面对账单按时进行对账，如因甲方原因在规定的日期不能提供对账单的，在乙方开具发票后，甲方应当依据销售清单和本合同先行给付无争议部分的货款。乙方如遇特殊情况未能在规定的时段对账，可与甲方协商解决。</w:t>
      </w:r>
    </w:p>
    <w:p w14:paraId="09E151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3.支付方式：货款按</w:t>
      </w:r>
      <w:r>
        <w:rPr>
          <w:rFonts w:hint="eastAsia" w:ascii="CESI仿宋-GB2312" w:hAnsi="CESI仿宋-GB2312" w:eastAsia="CESI仿宋-GB2312" w:cs="CESI仿宋-GB2312"/>
          <w:color w:val="auto"/>
          <w:sz w:val="28"/>
          <w:szCs w:val="28"/>
          <w:highlight w:val="none"/>
          <w:lang w:val="en-US" w:eastAsia="zh-CN"/>
        </w:rPr>
        <w:t>甲方</w:t>
      </w:r>
      <w:r>
        <w:rPr>
          <w:rFonts w:hint="eastAsia" w:ascii="CESI仿宋-GB2312" w:hAnsi="CESI仿宋-GB2312" w:eastAsia="CESI仿宋-GB2312" w:cs="CESI仿宋-GB2312"/>
          <w:color w:val="auto"/>
          <w:sz w:val="28"/>
          <w:szCs w:val="28"/>
          <w:highlight w:val="none"/>
        </w:rPr>
        <w:t>财务制度</w:t>
      </w:r>
      <w:r>
        <w:rPr>
          <w:rFonts w:hint="eastAsia" w:ascii="CESI仿宋-GB2312" w:hAnsi="CESI仿宋-GB2312" w:eastAsia="CESI仿宋-GB2312" w:cs="CESI仿宋-GB2312"/>
          <w:color w:val="auto"/>
          <w:sz w:val="28"/>
          <w:szCs w:val="28"/>
          <w:highlight w:val="none"/>
          <w:lang w:eastAsia="zh-CN"/>
        </w:rPr>
        <w:t>每月</w:t>
      </w:r>
      <w:r>
        <w:rPr>
          <w:rFonts w:hint="eastAsia" w:ascii="CESI仿宋-GB2312" w:hAnsi="CESI仿宋-GB2312" w:eastAsia="CESI仿宋-GB2312" w:cs="CESI仿宋-GB2312"/>
          <w:color w:val="auto"/>
          <w:sz w:val="28"/>
          <w:szCs w:val="28"/>
          <w:highlight w:val="none"/>
        </w:rPr>
        <w:t>结算一次，对账后乙方给甲方开具上月所购货款普通发票，甲方根据实际情况给乙方付款。</w:t>
      </w:r>
      <w:r>
        <w:rPr>
          <w:rFonts w:hint="default" w:ascii="CESI仿宋-GB2312" w:hAnsi="CESI仿宋-GB2312" w:eastAsia="CESI仿宋-GB2312" w:cs="CESI仿宋-GB2312"/>
          <w:color w:val="auto"/>
          <w:sz w:val="28"/>
          <w:szCs w:val="28"/>
          <w:highlight w:val="none"/>
          <w:lang w:val="en-US"/>
        </w:rPr>
        <w:t>甲方支付的货款为含税价，除此之外，甲方不再向乙方支付任何费用。</w:t>
      </w:r>
    </w:p>
    <w:p w14:paraId="2EF7BD5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4.乙方需缴纳履约保证金，</w:t>
      </w:r>
      <w:r>
        <w:rPr>
          <w:rFonts w:hint="eastAsia" w:ascii="CESI仿宋-GB2312" w:hAnsi="CESI仿宋-GB2312" w:eastAsia="CESI仿宋-GB2312" w:cs="CESI仿宋-GB2312"/>
          <w:color w:val="auto"/>
          <w:sz w:val="28"/>
          <w:szCs w:val="28"/>
          <w:highlight w:val="none"/>
          <w:lang w:eastAsia="zh-CN"/>
        </w:rPr>
        <w:t>履约保证金为</w:t>
      </w:r>
      <w:r>
        <w:rPr>
          <w:rFonts w:hint="eastAsia" w:ascii="CESI仿宋-GB2312" w:hAnsi="CESI仿宋-GB2312" w:eastAsia="CESI仿宋-GB2312" w:cs="CESI仿宋-GB2312"/>
          <w:color w:val="auto"/>
          <w:sz w:val="28"/>
          <w:szCs w:val="28"/>
          <w:highlight w:val="none"/>
          <w:lang w:val="en-US" w:eastAsia="zh-CN"/>
        </w:rPr>
        <w:t>14万元，</w:t>
      </w:r>
      <w:r>
        <w:rPr>
          <w:rFonts w:hint="eastAsia" w:ascii="CESI仿宋-GB2312" w:hAnsi="CESI仿宋-GB2312" w:eastAsia="CESI仿宋-GB2312" w:cs="CESI仿宋-GB2312"/>
          <w:color w:val="auto"/>
          <w:sz w:val="28"/>
          <w:szCs w:val="28"/>
          <w:highlight w:val="none"/>
        </w:rPr>
        <w:t>原则上履约保证金在合同解除时退还乙方，如乙方有违约行为，将从履约保证金中扣除20%违约金。</w:t>
      </w:r>
    </w:p>
    <w:p w14:paraId="4382B56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七、履行期限及地点</w:t>
      </w:r>
    </w:p>
    <w:p w14:paraId="0F08815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1.履行期限为合同有效期内。</w:t>
      </w:r>
    </w:p>
    <w:p w14:paraId="157BB19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2.地点为甲方指定地点。</w:t>
      </w:r>
    </w:p>
    <w:p w14:paraId="1237382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八、违约责任</w:t>
      </w:r>
    </w:p>
    <w:p w14:paraId="7E6032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lang w:eastAsia="zh-CN"/>
        </w:rPr>
      </w:pPr>
      <w:r>
        <w:rPr>
          <w:rFonts w:hint="eastAsia" w:ascii="CESI仿宋-GB2312" w:hAnsi="CESI仿宋-GB2312" w:eastAsia="CESI仿宋-GB2312" w:cs="CESI仿宋-GB2312"/>
          <w:color w:val="auto"/>
          <w:sz w:val="28"/>
          <w:szCs w:val="28"/>
          <w:highlight w:val="none"/>
        </w:rPr>
        <w:t xml:space="preserve">    1.乙方配送的</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不符合质量要求，甲方应及时通知乙</w:t>
      </w:r>
      <w:r>
        <w:rPr>
          <w:rFonts w:hint="eastAsia" w:ascii="CESI仿宋-GB2312" w:hAnsi="CESI仿宋-GB2312" w:eastAsia="CESI仿宋-GB2312" w:cs="CESI仿宋-GB2312"/>
          <w:color w:val="auto"/>
          <w:sz w:val="28"/>
          <w:szCs w:val="28"/>
          <w:highlight w:val="none"/>
        </w:rPr>
        <w:t>方，甲方有权拒收；发生甲方拒收或甲方提出质量异议的情况下，乙方应</w:t>
      </w:r>
      <w:r>
        <w:rPr>
          <w:rFonts w:hint="eastAsia" w:ascii="CESI仿宋-GB2312" w:hAnsi="CESI仿宋-GB2312" w:eastAsia="CESI仿宋-GB2312" w:cs="CESI仿宋-GB2312"/>
          <w:color w:val="auto"/>
          <w:sz w:val="28"/>
          <w:szCs w:val="28"/>
          <w:highlight w:val="none"/>
          <w:lang w:val="en-US" w:eastAsia="zh-CN"/>
        </w:rPr>
        <w:t>一日</w:t>
      </w:r>
      <w:r>
        <w:rPr>
          <w:rFonts w:hint="eastAsia" w:ascii="CESI仿宋-GB2312" w:hAnsi="CESI仿宋-GB2312" w:eastAsia="CESI仿宋-GB2312" w:cs="CESI仿宋-GB2312"/>
          <w:color w:val="auto"/>
          <w:sz w:val="28"/>
          <w:szCs w:val="28"/>
          <w:highlight w:val="none"/>
        </w:rPr>
        <w:t>之内向甲方补足。质量问题严重的，甲方有权解除合同，因乙方供应的</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不符合质量要求给甲方造成损失的，乙方应承担赔偿责任，并扣除乙方</w:t>
      </w:r>
      <w:r>
        <w:rPr>
          <w:rFonts w:hint="eastAsia" w:ascii="CESI仿宋-GB2312" w:hAnsi="CESI仿宋-GB2312" w:eastAsia="CESI仿宋-GB2312" w:cs="CESI仿宋-GB2312"/>
          <w:color w:val="auto"/>
          <w:sz w:val="28"/>
          <w:szCs w:val="28"/>
          <w:highlight w:val="none"/>
          <w:lang w:eastAsia="zh-CN"/>
        </w:rPr>
        <w:t>当次</w:t>
      </w:r>
      <w:r>
        <w:rPr>
          <w:rFonts w:hint="eastAsia" w:ascii="CESI仿宋-GB2312" w:hAnsi="CESI仿宋-GB2312" w:eastAsia="CESI仿宋-GB2312" w:cs="CESI仿宋-GB2312"/>
          <w:color w:val="auto"/>
          <w:sz w:val="28"/>
          <w:szCs w:val="28"/>
          <w:highlight w:val="none"/>
        </w:rPr>
        <w:t>货款的</w:t>
      </w:r>
      <w:r>
        <w:rPr>
          <w:rFonts w:hint="eastAsia" w:ascii="CESI仿宋-GB2312" w:hAnsi="CESI仿宋-GB2312" w:eastAsia="CESI仿宋-GB2312" w:cs="CESI仿宋-GB2312"/>
          <w:color w:val="auto"/>
          <w:sz w:val="28"/>
          <w:szCs w:val="28"/>
          <w:highlight w:val="none"/>
          <w:lang w:val="en-US" w:eastAsia="zh-CN"/>
        </w:rPr>
        <w:t>20%</w:t>
      </w:r>
      <w:r>
        <w:rPr>
          <w:rFonts w:hint="eastAsia" w:ascii="CESI仿宋-GB2312" w:hAnsi="CESI仿宋-GB2312" w:eastAsia="CESI仿宋-GB2312" w:cs="CESI仿宋-GB2312"/>
          <w:color w:val="auto"/>
          <w:sz w:val="28"/>
          <w:szCs w:val="28"/>
          <w:highlight w:val="none"/>
        </w:rPr>
        <w:t>。</w:t>
      </w:r>
      <w:r>
        <w:rPr>
          <w:rFonts w:hint="eastAsia" w:ascii="CESI仿宋-GB2312" w:hAnsi="CESI仿宋-GB2312" w:eastAsia="CESI仿宋-GB2312" w:cs="CESI仿宋-GB2312"/>
          <w:color w:val="auto"/>
          <w:sz w:val="28"/>
          <w:szCs w:val="28"/>
          <w:highlight w:val="none"/>
          <w:lang w:eastAsia="zh-CN"/>
        </w:rPr>
        <w:t>因乙方供应的物资导致食品安全事故的，乙方需承担全部医疗费、误工费、赔偿金等，且甲方有权按已支付货款的</w:t>
      </w:r>
      <w:r>
        <w:rPr>
          <w:rFonts w:hint="eastAsia" w:ascii="CESI仿宋-GB2312" w:hAnsi="CESI仿宋-GB2312" w:eastAsia="CESI仿宋-GB2312" w:cs="CESI仿宋-GB2312"/>
          <w:color w:val="auto"/>
          <w:sz w:val="28"/>
          <w:szCs w:val="28"/>
          <w:highlight w:val="none"/>
          <w:lang w:val="en-US" w:eastAsia="zh-CN"/>
        </w:rPr>
        <w:t>20%收取违约金。</w:t>
      </w:r>
    </w:p>
    <w:p w14:paraId="7B4E79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2.若发生特殊情况，致使甲方不再需要乙方送货的，或乙方无足够</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提供甲方时，均应提前15天告知对方，经协商同意后双方可解除合同；如未及时通知对方，责任方应赔偿由此给对方造成的直接经济损失。</w:t>
      </w:r>
    </w:p>
    <w:p w14:paraId="30A8AC7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3.一方无正当理由终止履行或单方变更、解除本合同的，应赔偿履约保证金50%。</w:t>
      </w:r>
    </w:p>
    <w:p w14:paraId="080CBF9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4.乙方应执行双方约定时间交货，如果乙方在履行协议过程中，遇到不能按时交货的情况，应及时将不能按时交货的理由和由此造成的延误时间通知甲方。甲方在收到通知后，如果同意可酌情延长交货时间，否则视为乙方违约，乙方应向甲方赔偿违约金，违约金每日按未履约金额的 10 %收取。</w:t>
      </w:r>
    </w:p>
    <w:p w14:paraId="1ADEB0ED">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5.甲方因单位特殊性，时常有不确定增加人数情况，需要增加</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数量、品种，临时通知乙方，乙方不得以任何理由推辞，保证及时供应。</w:t>
      </w:r>
    </w:p>
    <w:p w14:paraId="6E632811">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lang w:val="en-US" w:eastAsia="zh-CN"/>
        </w:rPr>
        <w:t>6.上述乙方应赔偿甲方的损失包括但不限于因此产生的诉讼费、保全费、保函费、律师费、鉴定费、交通费等。</w:t>
      </w:r>
    </w:p>
    <w:p w14:paraId="3DFF22B2">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九、解决争议方式</w:t>
      </w:r>
    </w:p>
    <w:p w14:paraId="12A57C0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auto"/>
          <w:sz w:val="28"/>
          <w:szCs w:val="28"/>
          <w:highlight w:val="none"/>
        </w:rPr>
      </w:pPr>
      <w:r>
        <w:rPr>
          <w:rFonts w:hint="eastAsia" w:ascii="CESI仿宋-GB2312" w:hAnsi="CESI仿宋-GB2312" w:eastAsia="CESI仿宋-GB2312" w:cs="CESI仿宋-GB2312"/>
          <w:color w:val="auto"/>
          <w:sz w:val="28"/>
          <w:szCs w:val="28"/>
          <w:highlight w:val="none"/>
        </w:rPr>
        <w:t xml:space="preserve">    在本协议履行过程中发生争议，甲乙双方应协商解决,不能协商解决的，向甲方所在地人民法院起诉</w:t>
      </w:r>
      <w:r>
        <w:rPr>
          <w:rFonts w:hint="eastAsia" w:ascii="CESI仿宋-GB2312" w:hAnsi="CESI仿宋-GB2312" w:eastAsia="CESI仿宋-GB2312" w:cs="CESI仿宋-GB2312"/>
          <w:b/>
          <w:color w:val="auto"/>
          <w:sz w:val="28"/>
          <w:szCs w:val="28"/>
          <w:highlight w:val="none"/>
        </w:rPr>
        <w:t>。</w:t>
      </w:r>
    </w:p>
    <w:p w14:paraId="5FF0118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十、遵守规章制度</w:t>
      </w:r>
    </w:p>
    <w:p w14:paraId="2E605A8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乙方在送货时，要遵守甲方的各项规章制度，不得在货物中夹带任何其他物品，一旦发现立即终止协议，拒收</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并没收所带物品，当日货款不予支付，并扣罚上月货款。</w:t>
      </w:r>
    </w:p>
    <w:p w14:paraId="59910DE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十一、反商业贿赂约定  </w:t>
      </w:r>
    </w:p>
    <w:p w14:paraId="64789E5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1.甲乙双方均反对、行贿及其他不正当交易行为。乙方承诺，不向甲方人员提供赠送礼品、现金、样品、餐饮等任何形式的利益，造成的损失由乙方承担。</w:t>
      </w:r>
    </w:p>
    <w:p w14:paraId="1303E84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2.若乙方被发现任何形式的商业贿赂及其他不正当方式取悦甲方工作人员，以获取订单、更有利的价格，或虚报送货量，或降低商品质量，或缩短付款期限时，甲方将立即停止与其的商业合作关系或订单，并向有关执法部门举报。</w:t>
      </w:r>
    </w:p>
    <w:p w14:paraId="7C6AA92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3.如有甲方工作人员要求乙方付任何形式的商业贿赂，乙方有义务向甲方书面检举，并提供相关证据。对乙方的检举，甲方应给予保密，并按照国家有关规定给予严肃处理，直至送交司法机关。</w:t>
      </w:r>
    </w:p>
    <w:p w14:paraId="6517DCF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十二、转让与分包</w:t>
      </w:r>
    </w:p>
    <w:p w14:paraId="23C1836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乙方不得部分或全部转让或分包，应履行协议规定的义务。</w:t>
      </w:r>
    </w:p>
    <w:p w14:paraId="3F434022">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十三、不可抗力</w:t>
      </w:r>
    </w:p>
    <w:p w14:paraId="2A30A00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在本协议执行期间，若发生自然灾害等不可抗力事件，经核实可全部或部分免除责任，但应当及时通知对方，并在协议期限内提供证明。</w:t>
      </w:r>
    </w:p>
    <w:p w14:paraId="269B59A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十四、费用</w:t>
      </w:r>
    </w:p>
    <w:p w14:paraId="4F52C17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根据国家现行税法的规定，</w:t>
      </w:r>
      <w:r>
        <w:rPr>
          <w:rFonts w:hint="eastAsia" w:ascii="CESI仿宋-GB2312" w:hAnsi="CESI仿宋-GB2312" w:eastAsia="CESI仿宋-GB2312" w:cs="CESI仿宋-GB2312"/>
          <w:color w:val="auto"/>
          <w:sz w:val="28"/>
          <w:szCs w:val="28"/>
          <w:highlight w:val="none"/>
          <w:lang w:eastAsia="zh-CN"/>
        </w:rPr>
        <w:t>本合同</w:t>
      </w:r>
      <w:r>
        <w:rPr>
          <w:rFonts w:hint="eastAsia" w:ascii="CESI仿宋-GB2312" w:hAnsi="CESI仿宋-GB2312" w:eastAsia="CESI仿宋-GB2312" w:cs="CESI仿宋-GB2312"/>
          <w:color w:val="auto"/>
          <w:sz w:val="28"/>
          <w:szCs w:val="28"/>
          <w:highlight w:val="none"/>
        </w:rPr>
        <w:t>有关一切税费由乙方负担。</w:t>
      </w:r>
    </w:p>
    <w:p w14:paraId="7CDC583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十五、交货方式</w:t>
      </w:r>
    </w:p>
    <w:p w14:paraId="1C08087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乙方无偿送货上门。</w:t>
      </w:r>
    </w:p>
    <w:p w14:paraId="7ABC141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十六、违约终止合同</w:t>
      </w:r>
    </w:p>
    <w:p w14:paraId="7637965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在采取任何补救违约措施未能实现的情况下，即在乙方收到甲方发出的违约通知后3日内，或经甲方书面确认的</w:t>
      </w:r>
      <w:r>
        <w:rPr>
          <w:rFonts w:hint="eastAsia" w:ascii="CESI仿宋-GB2312" w:hAnsi="CESI仿宋-GB2312" w:eastAsia="CESI仿宋-GB2312" w:cs="CESI仿宋-GB2312"/>
          <w:color w:val="auto"/>
          <w:sz w:val="28"/>
          <w:szCs w:val="28"/>
          <w:highlight w:val="none"/>
          <w:lang w:val="en-US" w:eastAsia="zh-CN"/>
        </w:rPr>
        <w:t>3日</w:t>
      </w:r>
      <w:r>
        <w:rPr>
          <w:rFonts w:hint="eastAsia" w:ascii="CESI仿宋-GB2312" w:hAnsi="CESI仿宋-GB2312" w:eastAsia="CESI仿宋-GB2312" w:cs="CESI仿宋-GB2312"/>
          <w:color w:val="auto"/>
          <w:sz w:val="28"/>
          <w:szCs w:val="28"/>
          <w:highlight w:val="none"/>
        </w:rPr>
        <w:t>内仍未能纠正以下任何一种违约行为，甲方可向乙方发出违约通知，终止全部或部分合同。</w:t>
      </w:r>
    </w:p>
    <w:p w14:paraId="4002B7B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1.乙方未能按甲方规定的期限内或甲方同意延长的期限内提供全部或部分货品。</w:t>
      </w:r>
    </w:p>
    <w:p w14:paraId="25951EB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2.乙方随意降低</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质量，变更</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种类，拖延供货时间。</w:t>
      </w:r>
    </w:p>
    <w:p w14:paraId="2B25701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3.乙方未能履行协议下的全部义务。</w:t>
      </w:r>
    </w:p>
    <w:p w14:paraId="7C39971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4.乙方无力继续执行协议时，须在停止供货</w:t>
      </w:r>
      <w:r>
        <w:rPr>
          <w:rFonts w:hint="eastAsia" w:ascii="CESI仿宋-GB2312" w:hAnsi="CESI仿宋-GB2312" w:eastAsia="CESI仿宋-GB2312" w:cs="CESI仿宋-GB2312"/>
          <w:color w:val="auto"/>
          <w:sz w:val="28"/>
          <w:szCs w:val="28"/>
          <w:highlight w:val="none"/>
          <w:lang w:val="en-US" w:eastAsia="zh-CN"/>
        </w:rPr>
        <w:t>1</w:t>
      </w:r>
      <w:r>
        <w:rPr>
          <w:rFonts w:hint="eastAsia" w:ascii="CESI仿宋-GB2312" w:hAnsi="CESI仿宋-GB2312" w:eastAsia="CESI仿宋-GB2312" w:cs="CESI仿宋-GB2312"/>
          <w:color w:val="auto"/>
          <w:sz w:val="28"/>
          <w:szCs w:val="28"/>
          <w:highlight w:val="none"/>
        </w:rPr>
        <w:t>5日</w:t>
      </w:r>
      <w:r>
        <w:rPr>
          <w:rFonts w:hint="eastAsia" w:ascii="CESI仿宋-GB2312" w:hAnsi="CESI仿宋-GB2312" w:eastAsia="CESI仿宋-GB2312" w:cs="CESI仿宋-GB2312"/>
          <w:color w:val="auto"/>
          <w:sz w:val="28"/>
          <w:szCs w:val="28"/>
          <w:highlight w:val="none"/>
        </w:rPr>
        <w:t>前告知甲方。</w:t>
      </w:r>
    </w:p>
    <w:p w14:paraId="0E9EC97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十七、合同期限</w:t>
      </w:r>
    </w:p>
    <w:p w14:paraId="56808E4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本合同自   年   月   日起至   年   月   日。</w:t>
      </w:r>
    </w:p>
    <w:p w14:paraId="6D340FC2">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十八、其它</w:t>
      </w:r>
    </w:p>
    <w:p w14:paraId="4560839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1.在履行本合同过程中，双方明确授权代理人和具体执行交易过程中各环节代理人以及代理行为的法律效力，从而确保合同的顺利履行。</w:t>
      </w:r>
    </w:p>
    <w:p w14:paraId="1C73838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2.本合同涉及的通知，应当以双方约定的形式送达。</w:t>
      </w:r>
    </w:p>
    <w:p w14:paraId="3A121F4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3双方明确送达方式：按时送货到甲方指定地点。 </w:t>
      </w:r>
    </w:p>
    <w:p w14:paraId="56C3F29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4.本合同的变更和补充，双方应当另行签订补充协议，且补充协议不得与本合同相冲突。</w:t>
      </w:r>
    </w:p>
    <w:p w14:paraId="3931FB5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5.本合同经双方法定代表人或其代理人签署并加盖公章后生效。</w:t>
      </w:r>
    </w:p>
    <w:p w14:paraId="00942430">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6.本合同一式</w:t>
      </w:r>
      <w:r>
        <w:rPr>
          <w:rFonts w:hint="eastAsia" w:ascii="CESI仿宋-GB2312" w:hAnsi="CESI仿宋-GB2312" w:eastAsia="CESI仿宋-GB2312" w:cs="CESI仿宋-GB2312"/>
          <w:color w:val="auto"/>
          <w:sz w:val="28"/>
          <w:szCs w:val="28"/>
          <w:highlight w:val="none"/>
          <w:lang w:eastAsia="zh-CN"/>
        </w:rPr>
        <w:t>五</w:t>
      </w:r>
      <w:r>
        <w:rPr>
          <w:rFonts w:hint="eastAsia" w:ascii="CESI仿宋-GB2312" w:hAnsi="CESI仿宋-GB2312" w:eastAsia="CESI仿宋-GB2312" w:cs="CESI仿宋-GB2312"/>
          <w:color w:val="auto"/>
          <w:sz w:val="28"/>
          <w:szCs w:val="28"/>
          <w:highlight w:val="none"/>
        </w:rPr>
        <w:t>份，甲方执</w:t>
      </w:r>
      <w:r>
        <w:rPr>
          <w:rFonts w:hint="eastAsia" w:ascii="CESI仿宋-GB2312" w:hAnsi="CESI仿宋-GB2312" w:eastAsia="CESI仿宋-GB2312" w:cs="CESI仿宋-GB2312"/>
          <w:color w:val="auto"/>
          <w:sz w:val="28"/>
          <w:szCs w:val="28"/>
          <w:highlight w:val="none"/>
          <w:lang w:eastAsia="zh-CN"/>
        </w:rPr>
        <w:t>四</w:t>
      </w:r>
      <w:r>
        <w:rPr>
          <w:rFonts w:hint="eastAsia" w:ascii="CESI仿宋-GB2312" w:hAnsi="CESI仿宋-GB2312" w:eastAsia="CESI仿宋-GB2312" w:cs="CESI仿宋-GB2312"/>
          <w:color w:val="auto"/>
          <w:sz w:val="28"/>
          <w:szCs w:val="28"/>
          <w:highlight w:val="none"/>
        </w:rPr>
        <w:t>份，乙方执</w:t>
      </w:r>
      <w:r>
        <w:rPr>
          <w:rFonts w:hint="eastAsia" w:ascii="CESI仿宋-GB2312" w:hAnsi="CESI仿宋-GB2312" w:eastAsia="CESI仿宋-GB2312" w:cs="CESI仿宋-GB2312"/>
          <w:color w:val="auto"/>
          <w:sz w:val="28"/>
          <w:szCs w:val="28"/>
          <w:highlight w:val="none"/>
          <w:lang w:eastAsia="zh-CN"/>
        </w:rPr>
        <w:t>一份</w:t>
      </w:r>
      <w:r>
        <w:rPr>
          <w:rFonts w:hint="eastAsia" w:ascii="CESI仿宋-GB2312" w:hAnsi="CESI仿宋-GB2312" w:eastAsia="CESI仿宋-GB2312" w:cs="CESI仿宋-GB2312"/>
          <w:color w:val="auto"/>
          <w:sz w:val="28"/>
          <w:szCs w:val="28"/>
          <w:highlight w:val="none"/>
        </w:rPr>
        <w:t>，均具同等法律效力。</w:t>
      </w:r>
    </w:p>
    <w:p w14:paraId="25CC8E6B">
      <w:pPr>
        <w:keepNext w:val="0"/>
        <w:keepLines w:val="0"/>
        <w:pageBreakBefore w:val="0"/>
        <w:widowControl w:val="0"/>
        <w:kinsoku/>
        <w:wordWrap/>
        <w:overflowPunct/>
        <w:topLinePunct w:val="0"/>
        <w:autoSpaceDE/>
        <w:autoSpaceDN/>
        <w:bidi w:val="0"/>
        <w:adjustRightInd w:val="0"/>
        <w:snapToGrid w:val="0"/>
        <w:spacing w:line="560" w:lineRule="exact"/>
        <w:ind w:firstLine="280" w:firstLineChars="100"/>
        <w:textAlignment w:val="auto"/>
        <w:rPr>
          <w:rFonts w:hint="default" w:ascii="CESI仿宋-GB2312" w:hAnsi="CESI仿宋-GB2312" w:eastAsia="CESI仿宋-GB2312" w:cs="CESI仿宋-GB2312"/>
          <w:color w:val="auto"/>
          <w:sz w:val="28"/>
          <w:szCs w:val="28"/>
          <w:highlight w:val="none"/>
          <w:lang w:val="en-US" w:eastAsia="zh-CN"/>
        </w:rPr>
      </w:pPr>
      <w:r>
        <w:rPr>
          <w:rFonts w:hint="eastAsia" w:ascii="CESI仿宋-GB2312" w:hAnsi="CESI仿宋-GB2312" w:eastAsia="CESI仿宋-GB2312" w:cs="CESI仿宋-GB2312"/>
          <w:color w:val="auto"/>
          <w:sz w:val="28"/>
          <w:szCs w:val="28"/>
          <w:highlight w:val="none"/>
          <w:lang w:eastAsia="zh-CN"/>
        </w:rPr>
        <w:t>附件</w:t>
      </w:r>
      <w:r>
        <w:rPr>
          <w:rFonts w:hint="eastAsia" w:ascii="CESI仿宋-GB2312" w:hAnsi="CESI仿宋-GB2312" w:eastAsia="CESI仿宋-GB2312" w:cs="CESI仿宋-GB2312"/>
          <w:color w:val="auto"/>
          <w:sz w:val="28"/>
          <w:szCs w:val="28"/>
          <w:highlight w:val="none"/>
          <w:lang w:val="en-US" w:eastAsia="zh-CN"/>
        </w:rPr>
        <w:t>:禽肉、水产类清单</w:t>
      </w:r>
    </w:p>
    <w:p w14:paraId="093E5D50">
      <w:pPr>
        <w:keepNext w:val="0"/>
        <w:keepLines w:val="0"/>
        <w:pageBreakBefore w:val="0"/>
        <w:widowControl w:val="0"/>
        <w:kinsoku/>
        <w:wordWrap/>
        <w:overflowPunct/>
        <w:topLinePunct w:val="0"/>
        <w:autoSpaceDE/>
        <w:autoSpaceDN/>
        <w:bidi w:val="0"/>
        <w:adjustRightInd w:val="0"/>
        <w:snapToGrid w:val="0"/>
        <w:spacing w:line="560" w:lineRule="exact"/>
        <w:ind w:firstLine="280" w:firstLineChars="1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甲方（印章）                    乙方（印章）</w:t>
      </w:r>
    </w:p>
    <w:p w14:paraId="6AD0F1F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w:t>
      </w:r>
    </w:p>
    <w:p w14:paraId="2BFCB756">
      <w:pPr>
        <w:keepNext w:val="0"/>
        <w:keepLines w:val="0"/>
        <w:pageBreakBefore w:val="0"/>
        <w:widowControl w:val="0"/>
        <w:kinsoku/>
        <w:wordWrap/>
        <w:overflowPunct/>
        <w:topLinePunct w:val="0"/>
        <w:autoSpaceDE/>
        <w:autoSpaceDN/>
        <w:bidi w:val="0"/>
        <w:adjustRightInd w:val="0"/>
        <w:snapToGrid w:val="0"/>
        <w:spacing w:line="560" w:lineRule="exact"/>
        <w:ind w:firstLine="280" w:firstLineChars="1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授权代表签字：                  授权代表签字：</w:t>
      </w:r>
    </w:p>
    <w:p w14:paraId="096D7D57">
      <w:pPr>
        <w:keepNext w:val="0"/>
        <w:keepLines w:val="0"/>
        <w:pageBreakBefore w:val="0"/>
        <w:widowControl w:val="0"/>
        <w:kinsoku/>
        <w:wordWrap/>
        <w:overflowPunct/>
        <w:topLinePunct w:val="0"/>
        <w:autoSpaceDE/>
        <w:autoSpaceDN/>
        <w:bidi w:val="0"/>
        <w:adjustRightInd w:val="0"/>
        <w:snapToGrid w:val="0"/>
        <w:spacing w:line="560" w:lineRule="exact"/>
        <w:ind w:firstLine="280" w:firstLineChars="1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地址：</w:t>
      </w:r>
      <w:r>
        <w:rPr>
          <w:rFonts w:hint="eastAsia" w:ascii="CESI仿宋-GB2312" w:hAnsi="CESI仿宋-GB2312" w:eastAsia="CESI仿宋-GB2312" w:cs="CESI仿宋-GB2312"/>
          <w:color w:val="auto"/>
          <w:sz w:val="28"/>
          <w:szCs w:val="28"/>
          <w:highlight w:val="none"/>
          <w:lang w:eastAsia="zh-CN"/>
        </w:rPr>
        <w:t>高昌区大河沿镇</w:t>
      </w:r>
      <w:r>
        <w:rPr>
          <w:rFonts w:hint="eastAsia" w:ascii="CESI仿宋-GB2312" w:hAnsi="CESI仿宋-GB2312" w:eastAsia="CESI仿宋-GB2312" w:cs="CESI仿宋-GB2312"/>
          <w:color w:val="auto"/>
          <w:sz w:val="28"/>
          <w:szCs w:val="28"/>
          <w:highlight w:val="none"/>
        </w:rPr>
        <w:t xml:space="preserve">            地址：</w:t>
      </w:r>
    </w:p>
    <w:p w14:paraId="6A19C937">
      <w:pPr>
        <w:keepNext w:val="0"/>
        <w:keepLines w:val="0"/>
        <w:pageBreakBefore w:val="0"/>
        <w:widowControl w:val="0"/>
        <w:kinsoku/>
        <w:wordWrap/>
        <w:overflowPunct/>
        <w:topLinePunct w:val="0"/>
        <w:autoSpaceDE/>
        <w:autoSpaceDN/>
        <w:bidi w:val="0"/>
        <w:adjustRightInd w:val="0"/>
        <w:snapToGrid w:val="0"/>
        <w:spacing w:line="560" w:lineRule="exact"/>
        <w:ind w:firstLine="280" w:firstLineChars="1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签定日期：                      签定日期：</w:t>
      </w:r>
    </w:p>
    <w:p w14:paraId="30766913">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hint="eastAsia" w:ascii="CESI仿宋-GB2312" w:hAnsi="CESI仿宋-GB2312" w:eastAsia="CESI仿宋-GB2312" w:cs="CESI仿宋-GB2312"/>
          <w:color w:val="auto"/>
          <w:sz w:val="32"/>
          <w:szCs w:val="32"/>
          <w:highlight w:val="none"/>
        </w:rPr>
      </w:pPr>
    </w:p>
    <w:p w14:paraId="7DD63975">
      <w:pPr>
        <w:pStyle w:val="91"/>
        <w:snapToGrid w:val="0"/>
        <w:spacing w:line="312" w:lineRule="auto"/>
        <w:rPr>
          <w:rFonts w:ascii="仿宋_GB2312" w:hAnsi="仿宋_GB2312" w:eastAsia="仿宋_GB2312" w:cs="仿宋_GB2312"/>
          <w:b/>
          <w:bCs/>
          <w:snapToGrid w:val="0"/>
          <w:color w:val="auto"/>
          <w:kern w:val="0"/>
          <w:sz w:val="28"/>
          <w:szCs w:val="28"/>
          <w:highlight w:val="none"/>
        </w:rPr>
      </w:pPr>
      <w:r>
        <w:rPr>
          <w:rFonts w:hint="eastAsia" w:ascii="仿宋_GB2312" w:hAnsi="仿宋_GB2312" w:eastAsia="仿宋_GB2312" w:cs="仿宋_GB2312"/>
          <w:b/>
          <w:bCs/>
          <w:snapToGrid w:val="0"/>
          <w:color w:val="auto"/>
          <w:kern w:val="0"/>
          <w:sz w:val="28"/>
          <w:szCs w:val="28"/>
          <w:highlight w:val="none"/>
        </w:rPr>
        <w:t>最终以实际签订合同为准！</w:t>
      </w:r>
    </w:p>
    <w:p w14:paraId="787AE8B9">
      <w:pPr>
        <w:pStyle w:val="2"/>
        <w:rPr>
          <w:rFonts w:ascii="仿宋_GB2312" w:hAnsi="仿宋_GB2312" w:eastAsia="仿宋_GB2312" w:cs="仿宋_GB2312"/>
          <w:b/>
          <w:bCs/>
          <w:color w:val="auto"/>
          <w:spacing w:val="-1"/>
          <w:sz w:val="31"/>
          <w:szCs w:val="31"/>
          <w:highlight w:val="none"/>
        </w:rPr>
      </w:pPr>
      <w:r>
        <w:rPr>
          <w:rFonts w:hint="eastAsia"/>
          <w:b/>
          <w:bCs/>
          <w:color w:val="auto"/>
          <w:highlight w:val="none"/>
          <w:lang w:eastAsia="zh-CN"/>
        </w:rPr>
        <w:t xml:space="preserve"> </w:t>
      </w:r>
      <w:bookmarkStart w:id="121" w:name="_Toc4376"/>
      <w:bookmarkStart w:id="122" w:name="_Toc8122"/>
      <w:r>
        <w:rPr>
          <w:rFonts w:hint="eastAsia"/>
          <w:b/>
          <w:bCs/>
          <w:color w:val="auto"/>
          <w:highlight w:val="none"/>
          <w:lang w:eastAsia="zh-CN"/>
        </w:rPr>
        <w:t>第四章 采购需求</w:t>
      </w:r>
      <w:bookmarkEnd w:id="121"/>
      <w:bookmarkEnd w:id="122"/>
    </w:p>
    <w:p w14:paraId="1E3F00E3">
      <w:pPr>
        <w:pStyle w:val="24"/>
        <w:numPr>
          <w:ilvl w:val="0"/>
          <w:numId w:val="2"/>
        </w:numPr>
        <w:ind w:firstLine="558"/>
        <w:rPr>
          <w:rFonts w:hAnsi="仿宋_GB2312" w:cs="仿宋_GB2312"/>
          <w:b/>
          <w:bCs/>
          <w:color w:val="auto"/>
          <w:spacing w:val="-1"/>
          <w:sz w:val="28"/>
          <w:szCs w:val="28"/>
          <w:highlight w:val="none"/>
          <w:lang w:eastAsia="zh-CN"/>
        </w:rPr>
      </w:pPr>
      <w:r>
        <w:rPr>
          <w:rFonts w:hint="eastAsia" w:hAnsi="仿宋_GB2312" w:cs="仿宋_GB2312"/>
          <w:b/>
          <w:bCs/>
          <w:color w:val="auto"/>
          <w:spacing w:val="-1"/>
          <w:sz w:val="28"/>
          <w:szCs w:val="28"/>
          <w:highlight w:val="none"/>
          <w:lang w:eastAsia="zh-CN"/>
        </w:rPr>
        <w:t>采购</w:t>
      </w:r>
      <w:bookmarkStart w:id="123" w:name="1120129-1185072-3_1"/>
      <w:bookmarkEnd w:id="123"/>
      <w:bookmarkStart w:id="124" w:name="_Toc162806154"/>
      <w:bookmarkStart w:id="125" w:name="_Toc503463633"/>
      <w:bookmarkStart w:id="126" w:name="_Toc11735"/>
      <w:bookmarkStart w:id="127" w:name="_Toc4116"/>
      <w:r>
        <w:rPr>
          <w:rFonts w:hint="eastAsia" w:hAnsi="仿宋_GB2312" w:cs="仿宋_GB2312"/>
          <w:b/>
          <w:bCs/>
          <w:color w:val="auto"/>
          <w:spacing w:val="-1"/>
          <w:sz w:val="28"/>
          <w:szCs w:val="28"/>
          <w:highlight w:val="none"/>
          <w:lang w:eastAsia="zh-CN"/>
        </w:rPr>
        <w:t>需求</w:t>
      </w:r>
    </w:p>
    <w:p w14:paraId="2FC14815">
      <w:pPr>
        <w:pStyle w:val="94"/>
        <w:spacing w:line="360" w:lineRule="auto"/>
        <w:ind w:firstLine="482" w:firstLineChars="200"/>
        <w:rPr>
          <w:rFonts w:ascii="仿宋" w:hAnsi="仿宋" w:eastAsia="仿宋" w:cs="仿宋"/>
          <w:b/>
          <w:bCs/>
          <w:color w:val="auto"/>
          <w:kern w:val="2"/>
          <w:highlight w:val="none"/>
        </w:rPr>
      </w:pPr>
      <w:r>
        <w:rPr>
          <w:rFonts w:hint="eastAsia" w:ascii="仿宋" w:hAnsi="仿宋" w:eastAsia="仿宋" w:cs="仿宋"/>
          <w:b/>
          <w:bCs/>
          <w:color w:val="auto"/>
          <w:kern w:val="2"/>
          <w:highlight w:val="none"/>
        </w:rPr>
        <w:t>需求清单</w:t>
      </w:r>
      <w:r>
        <w:rPr>
          <w:rFonts w:hint="eastAsia" w:ascii="仿宋" w:hAnsi="仿宋" w:eastAsia="仿宋" w:cs="仿宋"/>
          <w:color w:val="auto"/>
          <w:kern w:val="2"/>
          <w:highlight w:val="none"/>
        </w:rPr>
        <w:t>（包括但不限于以下食材，采购品种及数量以实际发生为准。）</w:t>
      </w:r>
    </w:p>
    <w:tbl>
      <w:tblPr>
        <w:tblStyle w:val="26"/>
        <w:tblW w:w="4994" w:type="pct"/>
        <w:tblInd w:w="0" w:type="dxa"/>
        <w:tblLayout w:type="autofit"/>
        <w:tblCellMar>
          <w:top w:w="0" w:type="dxa"/>
          <w:left w:w="108" w:type="dxa"/>
          <w:bottom w:w="0" w:type="dxa"/>
          <w:right w:w="108" w:type="dxa"/>
        </w:tblCellMar>
      </w:tblPr>
      <w:tblGrid>
        <w:gridCol w:w="696"/>
        <w:gridCol w:w="1176"/>
        <w:gridCol w:w="4055"/>
        <w:gridCol w:w="1176"/>
        <w:gridCol w:w="1417"/>
        <w:gridCol w:w="1324"/>
      </w:tblGrid>
      <w:tr w14:paraId="5FF8C59E">
        <w:tblPrEx>
          <w:tblCellMar>
            <w:top w:w="0" w:type="dxa"/>
            <w:left w:w="108" w:type="dxa"/>
            <w:bottom w:w="0" w:type="dxa"/>
            <w:right w:w="108" w:type="dxa"/>
          </w:tblCellMar>
        </w:tblPrEx>
        <w:trPr>
          <w:trHeight w:val="567" w:hRule="atLeast"/>
        </w:trPr>
        <w:tc>
          <w:tcPr>
            <w:tcW w:w="353" w:type="pct"/>
            <w:tcBorders>
              <w:top w:val="single" w:color="000000" w:sz="4" w:space="0"/>
              <w:left w:val="single" w:color="000000" w:sz="4" w:space="0"/>
              <w:bottom w:val="single" w:color="000000" w:sz="4" w:space="0"/>
              <w:right w:val="single" w:color="000000" w:sz="4" w:space="0"/>
            </w:tcBorders>
            <w:noWrap/>
            <w:vAlign w:val="center"/>
          </w:tcPr>
          <w:p w14:paraId="24F7193C">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序号</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368FD0D7">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品种</w:t>
            </w:r>
          </w:p>
        </w:tc>
        <w:tc>
          <w:tcPr>
            <w:tcW w:w="2060" w:type="pct"/>
            <w:tcBorders>
              <w:top w:val="single" w:color="000000" w:sz="4" w:space="0"/>
              <w:left w:val="single" w:color="000000" w:sz="4" w:space="0"/>
              <w:bottom w:val="single" w:color="000000" w:sz="4" w:space="0"/>
              <w:right w:val="single" w:color="000000" w:sz="4" w:space="0"/>
            </w:tcBorders>
            <w:noWrap/>
            <w:vAlign w:val="center"/>
          </w:tcPr>
          <w:p w14:paraId="464B8ADE">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规格型号</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5B1B3A6B">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报价方式</w:t>
            </w:r>
          </w:p>
        </w:tc>
        <w:tc>
          <w:tcPr>
            <w:tcW w:w="720" w:type="pct"/>
            <w:tcBorders>
              <w:top w:val="single" w:color="000000" w:sz="4" w:space="0"/>
              <w:left w:val="single" w:color="000000" w:sz="4" w:space="0"/>
              <w:bottom w:val="single" w:color="000000" w:sz="4" w:space="0"/>
              <w:right w:val="single" w:color="000000" w:sz="4" w:space="0"/>
            </w:tcBorders>
            <w:noWrap/>
            <w:vAlign w:val="center"/>
          </w:tcPr>
          <w:p w14:paraId="3E9CF78F">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单位</w:t>
            </w: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26D1F6E0">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备注</w:t>
            </w:r>
          </w:p>
        </w:tc>
      </w:tr>
      <w:tr w14:paraId="57003B9C">
        <w:tblPrEx>
          <w:tblCellMar>
            <w:top w:w="0" w:type="dxa"/>
            <w:left w:w="108" w:type="dxa"/>
            <w:bottom w:w="0" w:type="dxa"/>
            <w:right w:w="108" w:type="dxa"/>
          </w:tblCellMar>
        </w:tblPrEx>
        <w:trPr>
          <w:trHeight w:val="567" w:hRule="atLeast"/>
        </w:trPr>
        <w:tc>
          <w:tcPr>
            <w:tcW w:w="353" w:type="pct"/>
            <w:tcBorders>
              <w:top w:val="single" w:color="000000" w:sz="4" w:space="0"/>
              <w:left w:val="single" w:color="000000" w:sz="4" w:space="0"/>
              <w:bottom w:val="single" w:color="000000" w:sz="4" w:space="0"/>
              <w:right w:val="single" w:color="000000" w:sz="4" w:space="0"/>
            </w:tcBorders>
            <w:noWrap/>
            <w:vAlign w:val="center"/>
          </w:tcPr>
          <w:p w14:paraId="65C21ADC">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628D494E">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白条鸡</w:t>
            </w:r>
          </w:p>
        </w:tc>
        <w:tc>
          <w:tcPr>
            <w:tcW w:w="2060" w:type="pct"/>
            <w:tcBorders>
              <w:top w:val="single" w:color="000000" w:sz="4" w:space="0"/>
              <w:left w:val="single" w:color="000000" w:sz="4" w:space="0"/>
              <w:bottom w:val="single" w:color="000000" w:sz="4" w:space="0"/>
              <w:right w:val="single" w:color="000000" w:sz="4" w:space="0"/>
            </w:tcBorders>
            <w:vAlign w:val="bottom"/>
          </w:tcPr>
          <w:p w14:paraId="614217F1">
            <w:pPr>
              <w:jc w:val="both"/>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选用健康、检疫合格鸡、去除鸡毛，鸡体洁净，表皮无破损，无病变、无腐烂，无异味、无肉眼可见杂质。</w:t>
            </w:r>
          </w:p>
        </w:tc>
        <w:tc>
          <w:tcPr>
            <w:tcW w:w="597" w:type="pct"/>
            <w:vMerge w:val="restart"/>
            <w:tcBorders>
              <w:top w:val="single" w:color="000000" w:sz="4" w:space="0"/>
              <w:left w:val="single" w:color="000000" w:sz="4" w:space="0"/>
              <w:right w:val="single" w:color="000000" w:sz="4" w:space="0"/>
            </w:tcBorders>
            <w:vAlign w:val="center"/>
          </w:tcPr>
          <w:p w14:paraId="3F9D53E4">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报价折扣</w:t>
            </w:r>
          </w:p>
        </w:tc>
        <w:tc>
          <w:tcPr>
            <w:tcW w:w="720" w:type="pct"/>
            <w:tcBorders>
              <w:top w:val="single" w:color="000000" w:sz="4" w:space="0"/>
              <w:left w:val="single" w:color="000000" w:sz="4" w:space="0"/>
              <w:bottom w:val="single" w:color="000000" w:sz="4" w:space="0"/>
              <w:right w:val="single" w:color="000000" w:sz="4" w:space="0"/>
            </w:tcBorders>
            <w:noWrap/>
            <w:vAlign w:val="center"/>
          </w:tcPr>
          <w:p w14:paraId="11A8156B">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公斤</w:t>
            </w:r>
          </w:p>
        </w:tc>
        <w:tc>
          <w:tcPr>
            <w:tcW w:w="670" w:type="pct"/>
            <w:vMerge w:val="restart"/>
            <w:tcBorders>
              <w:top w:val="single" w:color="000000" w:sz="4" w:space="0"/>
              <w:left w:val="single" w:color="000000" w:sz="4" w:space="0"/>
              <w:bottom w:val="single" w:color="000000" w:sz="4" w:space="0"/>
              <w:right w:val="single" w:color="000000" w:sz="4" w:space="0"/>
            </w:tcBorders>
            <w:vAlign w:val="center"/>
          </w:tcPr>
          <w:p w14:paraId="784A5733">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按北园春官网价报报价折扣</w:t>
            </w:r>
          </w:p>
        </w:tc>
      </w:tr>
      <w:tr w14:paraId="40C1F5FA">
        <w:tblPrEx>
          <w:tblCellMar>
            <w:top w:w="0" w:type="dxa"/>
            <w:left w:w="108" w:type="dxa"/>
            <w:bottom w:w="0" w:type="dxa"/>
            <w:right w:w="108" w:type="dxa"/>
          </w:tblCellMar>
        </w:tblPrEx>
        <w:trPr>
          <w:trHeight w:val="567" w:hRule="atLeast"/>
        </w:trPr>
        <w:tc>
          <w:tcPr>
            <w:tcW w:w="353" w:type="pct"/>
            <w:tcBorders>
              <w:top w:val="single" w:color="000000" w:sz="4" w:space="0"/>
              <w:left w:val="single" w:color="000000" w:sz="4" w:space="0"/>
              <w:bottom w:val="single" w:color="000000" w:sz="4" w:space="0"/>
              <w:right w:val="single" w:color="000000" w:sz="4" w:space="0"/>
            </w:tcBorders>
            <w:noWrap/>
            <w:vAlign w:val="center"/>
          </w:tcPr>
          <w:p w14:paraId="3EFBA1B8">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5677E5B6">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鸡腿</w:t>
            </w:r>
          </w:p>
        </w:tc>
        <w:tc>
          <w:tcPr>
            <w:tcW w:w="2060" w:type="pct"/>
            <w:tcBorders>
              <w:top w:val="single" w:color="000000" w:sz="4" w:space="0"/>
              <w:left w:val="single" w:color="000000" w:sz="4" w:space="0"/>
              <w:bottom w:val="single" w:color="000000" w:sz="4" w:space="0"/>
              <w:right w:val="single" w:color="000000" w:sz="4" w:space="0"/>
            </w:tcBorders>
            <w:vAlign w:val="center"/>
          </w:tcPr>
          <w:p w14:paraId="50B4571A">
            <w:pPr>
              <w:jc w:val="both"/>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选用健康、检疫合格鸡，鸡腿完整，表皮无破损、无病变、无腐烂、无异味。</w:t>
            </w:r>
          </w:p>
        </w:tc>
        <w:tc>
          <w:tcPr>
            <w:tcW w:w="597" w:type="pct"/>
            <w:vMerge w:val="continue"/>
            <w:tcBorders>
              <w:left w:val="single" w:color="000000" w:sz="4" w:space="0"/>
              <w:right w:val="single" w:color="000000" w:sz="4" w:space="0"/>
            </w:tcBorders>
            <w:vAlign w:val="center"/>
          </w:tcPr>
          <w:p w14:paraId="317E4E12">
            <w:pPr>
              <w:jc w:val="center"/>
              <w:textAlignment w:val="center"/>
              <w:rPr>
                <w:rFonts w:ascii="仿宋" w:hAnsi="仿宋" w:eastAsia="仿宋" w:cs="仿宋"/>
                <w:color w:val="auto"/>
                <w:sz w:val="24"/>
                <w:szCs w:val="24"/>
                <w:highlight w:val="none"/>
                <w:lang w:eastAsia="zh-CN"/>
              </w:rPr>
            </w:pPr>
          </w:p>
        </w:tc>
        <w:tc>
          <w:tcPr>
            <w:tcW w:w="720" w:type="pct"/>
            <w:tcBorders>
              <w:top w:val="single" w:color="000000" w:sz="4" w:space="0"/>
              <w:left w:val="single" w:color="000000" w:sz="4" w:space="0"/>
              <w:bottom w:val="single" w:color="000000" w:sz="4" w:space="0"/>
              <w:right w:val="single" w:color="000000" w:sz="4" w:space="0"/>
            </w:tcBorders>
            <w:noWrap/>
            <w:vAlign w:val="center"/>
          </w:tcPr>
          <w:p w14:paraId="5585E945">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公斤</w:t>
            </w:r>
          </w:p>
        </w:tc>
        <w:tc>
          <w:tcPr>
            <w:tcW w:w="670" w:type="pct"/>
            <w:vMerge w:val="continue"/>
            <w:tcBorders>
              <w:top w:val="single" w:color="000000" w:sz="4" w:space="0"/>
              <w:left w:val="single" w:color="000000" w:sz="4" w:space="0"/>
              <w:bottom w:val="single" w:color="000000" w:sz="4" w:space="0"/>
              <w:right w:val="single" w:color="000000" w:sz="4" w:space="0"/>
            </w:tcBorders>
            <w:vAlign w:val="center"/>
          </w:tcPr>
          <w:p w14:paraId="0D52E904">
            <w:pPr>
              <w:jc w:val="center"/>
              <w:rPr>
                <w:rFonts w:ascii="宋体" w:hAnsi="宋体" w:eastAsia="宋体" w:cs="宋体"/>
                <w:color w:val="auto"/>
                <w:sz w:val="24"/>
                <w:szCs w:val="24"/>
                <w:highlight w:val="none"/>
              </w:rPr>
            </w:pPr>
          </w:p>
        </w:tc>
      </w:tr>
      <w:tr w14:paraId="7473A903">
        <w:tblPrEx>
          <w:tblCellMar>
            <w:top w:w="0" w:type="dxa"/>
            <w:left w:w="108" w:type="dxa"/>
            <w:bottom w:w="0" w:type="dxa"/>
            <w:right w:w="108" w:type="dxa"/>
          </w:tblCellMar>
        </w:tblPrEx>
        <w:trPr>
          <w:trHeight w:val="567" w:hRule="atLeast"/>
        </w:trPr>
        <w:tc>
          <w:tcPr>
            <w:tcW w:w="353" w:type="pct"/>
            <w:tcBorders>
              <w:top w:val="single" w:color="000000" w:sz="4" w:space="0"/>
              <w:left w:val="single" w:color="000000" w:sz="4" w:space="0"/>
              <w:bottom w:val="single" w:color="000000" w:sz="4" w:space="0"/>
              <w:right w:val="single" w:color="000000" w:sz="4" w:space="0"/>
            </w:tcBorders>
            <w:noWrap/>
            <w:vAlign w:val="center"/>
          </w:tcPr>
          <w:p w14:paraId="6C064226">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47248CD6">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鸡边腿</w:t>
            </w:r>
          </w:p>
        </w:tc>
        <w:tc>
          <w:tcPr>
            <w:tcW w:w="2060" w:type="pct"/>
            <w:tcBorders>
              <w:top w:val="single" w:color="000000" w:sz="4" w:space="0"/>
              <w:left w:val="single" w:color="000000" w:sz="4" w:space="0"/>
              <w:bottom w:val="single" w:color="000000" w:sz="4" w:space="0"/>
              <w:right w:val="single" w:color="000000" w:sz="4" w:space="0"/>
            </w:tcBorders>
            <w:vAlign w:val="center"/>
          </w:tcPr>
          <w:p w14:paraId="603BD045">
            <w:pPr>
              <w:jc w:val="both"/>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选用健康、检疫合格鸡，皮肤完整、无破损、无病变、无腐烂、无异味。</w:t>
            </w:r>
          </w:p>
        </w:tc>
        <w:tc>
          <w:tcPr>
            <w:tcW w:w="597" w:type="pct"/>
            <w:vMerge w:val="continue"/>
            <w:tcBorders>
              <w:left w:val="single" w:color="000000" w:sz="4" w:space="0"/>
              <w:right w:val="single" w:color="000000" w:sz="4" w:space="0"/>
            </w:tcBorders>
            <w:vAlign w:val="center"/>
          </w:tcPr>
          <w:p w14:paraId="71B1E1CC">
            <w:pPr>
              <w:jc w:val="center"/>
              <w:textAlignment w:val="center"/>
              <w:rPr>
                <w:rFonts w:ascii="仿宋" w:hAnsi="仿宋" w:eastAsia="仿宋" w:cs="仿宋"/>
                <w:color w:val="auto"/>
                <w:sz w:val="24"/>
                <w:szCs w:val="24"/>
                <w:highlight w:val="none"/>
                <w:lang w:eastAsia="zh-CN"/>
              </w:rPr>
            </w:pPr>
          </w:p>
        </w:tc>
        <w:tc>
          <w:tcPr>
            <w:tcW w:w="720" w:type="pct"/>
            <w:tcBorders>
              <w:top w:val="single" w:color="000000" w:sz="4" w:space="0"/>
              <w:left w:val="single" w:color="000000" w:sz="4" w:space="0"/>
              <w:bottom w:val="single" w:color="000000" w:sz="4" w:space="0"/>
              <w:right w:val="single" w:color="000000" w:sz="4" w:space="0"/>
            </w:tcBorders>
            <w:noWrap/>
            <w:vAlign w:val="center"/>
          </w:tcPr>
          <w:p w14:paraId="50303D2E">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公斤</w:t>
            </w:r>
          </w:p>
        </w:tc>
        <w:tc>
          <w:tcPr>
            <w:tcW w:w="670" w:type="pct"/>
            <w:vMerge w:val="continue"/>
            <w:tcBorders>
              <w:top w:val="single" w:color="000000" w:sz="4" w:space="0"/>
              <w:left w:val="single" w:color="000000" w:sz="4" w:space="0"/>
              <w:bottom w:val="single" w:color="000000" w:sz="4" w:space="0"/>
              <w:right w:val="single" w:color="000000" w:sz="4" w:space="0"/>
            </w:tcBorders>
            <w:vAlign w:val="center"/>
          </w:tcPr>
          <w:p w14:paraId="65A7E11B">
            <w:pPr>
              <w:jc w:val="center"/>
              <w:rPr>
                <w:rFonts w:ascii="宋体" w:hAnsi="宋体" w:eastAsia="宋体" w:cs="宋体"/>
                <w:color w:val="auto"/>
                <w:sz w:val="24"/>
                <w:szCs w:val="24"/>
                <w:highlight w:val="none"/>
              </w:rPr>
            </w:pPr>
          </w:p>
        </w:tc>
      </w:tr>
      <w:tr w14:paraId="34386C65">
        <w:tblPrEx>
          <w:tblCellMar>
            <w:top w:w="0" w:type="dxa"/>
            <w:left w:w="108" w:type="dxa"/>
            <w:bottom w:w="0" w:type="dxa"/>
            <w:right w:w="108" w:type="dxa"/>
          </w:tblCellMar>
        </w:tblPrEx>
        <w:trPr>
          <w:trHeight w:val="567" w:hRule="atLeast"/>
        </w:trPr>
        <w:tc>
          <w:tcPr>
            <w:tcW w:w="353" w:type="pct"/>
            <w:tcBorders>
              <w:top w:val="single" w:color="000000" w:sz="4" w:space="0"/>
              <w:left w:val="single" w:color="000000" w:sz="4" w:space="0"/>
              <w:bottom w:val="single" w:color="000000" w:sz="4" w:space="0"/>
              <w:right w:val="single" w:color="000000" w:sz="4" w:space="0"/>
            </w:tcBorders>
            <w:noWrap/>
            <w:vAlign w:val="center"/>
          </w:tcPr>
          <w:p w14:paraId="1427E0FD">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58EEF7FD">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鸭脯肉</w:t>
            </w:r>
          </w:p>
        </w:tc>
        <w:tc>
          <w:tcPr>
            <w:tcW w:w="2060" w:type="pct"/>
            <w:tcBorders>
              <w:top w:val="single" w:color="000000" w:sz="4" w:space="0"/>
              <w:left w:val="single" w:color="000000" w:sz="4" w:space="0"/>
              <w:bottom w:val="single" w:color="000000" w:sz="4" w:space="0"/>
              <w:right w:val="single" w:color="000000" w:sz="4" w:space="0"/>
            </w:tcBorders>
            <w:vAlign w:val="center"/>
          </w:tcPr>
          <w:p w14:paraId="62AC99F2">
            <w:pPr>
              <w:jc w:val="both"/>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选用健康、检疫合格鸭，无病变、无腐烂。</w:t>
            </w:r>
          </w:p>
        </w:tc>
        <w:tc>
          <w:tcPr>
            <w:tcW w:w="597" w:type="pct"/>
            <w:vMerge w:val="continue"/>
            <w:tcBorders>
              <w:left w:val="single" w:color="000000" w:sz="4" w:space="0"/>
              <w:right w:val="single" w:color="000000" w:sz="4" w:space="0"/>
            </w:tcBorders>
            <w:vAlign w:val="center"/>
          </w:tcPr>
          <w:p w14:paraId="129ACE7B">
            <w:pPr>
              <w:jc w:val="center"/>
              <w:textAlignment w:val="center"/>
              <w:rPr>
                <w:rFonts w:ascii="仿宋" w:hAnsi="仿宋" w:eastAsia="仿宋" w:cs="仿宋"/>
                <w:color w:val="auto"/>
                <w:sz w:val="24"/>
                <w:szCs w:val="24"/>
                <w:highlight w:val="none"/>
                <w:lang w:eastAsia="zh-CN"/>
              </w:rPr>
            </w:pPr>
          </w:p>
        </w:tc>
        <w:tc>
          <w:tcPr>
            <w:tcW w:w="720" w:type="pct"/>
            <w:tcBorders>
              <w:top w:val="single" w:color="000000" w:sz="4" w:space="0"/>
              <w:left w:val="single" w:color="000000" w:sz="4" w:space="0"/>
              <w:bottom w:val="single" w:color="000000" w:sz="4" w:space="0"/>
              <w:right w:val="single" w:color="000000" w:sz="4" w:space="0"/>
            </w:tcBorders>
            <w:noWrap/>
            <w:vAlign w:val="center"/>
          </w:tcPr>
          <w:p w14:paraId="57EFF7EF">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公斤</w:t>
            </w:r>
          </w:p>
        </w:tc>
        <w:tc>
          <w:tcPr>
            <w:tcW w:w="670" w:type="pct"/>
            <w:vMerge w:val="continue"/>
            <w:tcBorders>
              <w:top w:val="single" w:color="000000" w:sz="4" w:space="0"/>
              <w:left w:val="single" w:color="000000" w:sz="4" w:space="0"/>
              <w:bottom w:val="single" w:color="000000" w:sz="4" w:space="0"/>
              <w:right w:val="single" w:color="000000" w:sz="4" w:space="0"/>
            </w:tcBorders>
            <w:vAlign w:val="center"/>
          </w:tcPr>
          <w:p w14:paraId="2C076EF5">
            <w:pPr>
              <w:jc w:val="center"/>
              <w:rPr>
                <w:rFonts w:ascii="宋体" w:hAnsi="宋体" w:eastAsia="宋体" w:cs="宋体"/>
                <w:color w:val="auto"/>
                <w:sz w:val="24"/>
                <w:szCs w:val="24"/>
                <w:highlight w:val="none"/>
              </w:rPr>
            </w:pPr>
          </w:p>
        </w:tc>
      </w:tr>
      <w:tr w14:paraId="17927346">
        <w:tblPrEx>
          <w:tblCellMar>
            <w:top w:w="0" w:type="dxa"/>
            <w:left w:w="108" w:type="dxa"/>
            <w:bottom w:w="0" w:type="dxa"/>
            <w:right w:w="108" w:type="dxa"/>
          </w:tblCellMar>
        </w:tblPrEx>
        <w:trPr>
          <w:trHeight w:val="567" w:hRule="atLeast"/>
        </w:trPr>
        <w:tc>
          <w:tcPr>
            <w:tcW w:w="353" w:type="pct"/>
            <w:tcBorders>
              <w:top w:val="single" w:color="000000" w:sz="4" w:space="0"/>
              <w:left w:val="single" w:color="000000" w:sz="4" w:space="0"/>
              <w:bottom w:val="single" w:color="000000" w:sz="4" w:space="0"/>
              <w:right w:val="single" w:color="000000" w:sz="4" w:space="0"/>
            </w:tcBorders>
            <w:noWrap/>
            <w:vAlign w:val="center"/>
          </w:tcPr>
          <w:p w14:paraId="73A32BCA">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55D3E110">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鸭腿</w:t>
            </w:r>
          </w:p>
        </w:tc>
        <w:tc>
          <w:tcPr>
            <w:tcW w:w="2060" w:type="pct"/>
            <w:tcBorders>
              <w:top w:val="single" w:color="000000" w:sz="4" w:space="0"/>
              <w:left w:val="single" w:color="000000" w:sz="4" w:space="0"/>
              <w:bottom w:val="single" w:color="000000" w:sz="4" w:space="0"/>
              <w:right w:val="single" w:color="000000" w:sz="4" w:space="0"/>
            </w:tcBorders>
            <w:vAlign w:val="center"/>
          </w:tcPr>
          <w:p w14:paraId="3C6E063E">
            <w:pPr>
              <w:jc w:val="both"/>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选用健康、检疫合格鸭，鸭腿完整，表皮无破损、无病变、无腐烂、无异味。</w:t>
            </w:r>
          </w:p>
        </w:tc>
        <w:tc>
          <w:tcPr>
            <w:tcW w:w="597" w:type="pct"/>
            <w:vMerge w:val="continue"/>
            <w:tcBorders>
              <w:left w:val="single" w:color="000000" w:sz="4" w:space="0"/>
              <w:right w:val="single" w:color="000000" w:sz="4" w:space="0"/>
            </w:tcBorders>
            <w:vAlign w:val="center"/>
          </w:tcPr>
          <w:p w14:paraId="63F253C9">
            <w:pPr>
              <w:jc w:val="center"/>
              <w:textAlignment w:val="center"/>
              <w:rPr>
                <w:rFonts w:ascii="仿宋" w:hAnsi="仿宋" w:eastAsia="仿宋" w:cs="仿宋"/>
                <w:color w:val="auto"/>
                <w:sz w:val="24"/>
                <w:szCs w:val="24"/>
                <w:highlight w:val="none"/>
                <w:lang w:eastAsia="zh-CN"/>
              </w:rPr>
            </w:pPr>
          </w:p>
        </w:tc>
        <w:tc>
          <w:tcPr>
            <w:tcW w:w="720" w:type="pct"/>
            <w:tcBorders>
              <w:top w:val="single" w:color="000000" w:sz="4" w:space="0"/>
              <w:left w:val="single" w:color="000000" w:sz="4" w:space="0"/>
              <w:bottom w:val="single" w:color="000000" w:sz="4" w:space="0"/>
              <w:right w:val="single" w:color="000000" w:sz="4" w:space="0"/>
            </w:tcBorders>
            <w:noWrap/>
            <w:vAlign w:val="center"/>
          </w:tcPr>
          <w:p w14:paraId="628528FF">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公斤</w:t>
            </w:r>
          </w:p>
        </w:tc>
        <w:tc>
          <w:tcPr>
            <w:tcW w:w="670" w:type="pct"/>
            <w:vMerge w:val="continue"/>
            <w:tcBorders>
              <w:top w:val="single" w:color="000000" w:sz="4" w:space="0"/>
              <w:left w:val="single" w:color="000000" w:sz="4" w:space="0"/>
              <w:bottom w:val="single" w:color="000000" w:sz="4" w:space="0"/>
              <w:right w:val="single" w:color="000000" w:sz="4" w:space="0"/>
            </w:tcBorders>
            <w:vAlign w:val="center"/>
          </w:tcPr>
          <w:p w14:paraId="2982BCD1">
            <w:pPr>
              <w:jc w:val="center"/>
              <w:rPr>
                <w:rFonts w:ascii="宋体" w:hAnsi="宋体" w:eastAsia="宋体" w:cs="宋体"/>
                <w:color w:val="auto"/>
                <w:sz w:val="24"/>
                <w:szCs w:val="24"/>
                <w:highlight w:val="none"/>
              </w:rPr>
            </w:pPr>
          </w:p>
        </w:tc>
      </w:tr>
      <w:tr w14:paraId="2A3CF52D">
        <w:tblPrEx>
          <w:tblCellMar>
            <w:top w:w="0" w:type="dxa"/>
            <w:left w:w="108" w:type="dxa"/>
            <w:bottom w:w="0" w:type="dxa"/>
            <w:right w:w="108" w:type="dxa"/>
          </w:tblCellMar>
        </w:tblPrEx>
        <w:trPr>
          <w:trHeight w:val="567" w:hRule="atLeast"/>
        </w:trPr>
        <w:tc>
          <w:tcPr>
            <w:tcW w:w="353" w:type="pct"/>
            <w:tcBorders>
              <w:top w:val="single" w:color="000000" w:sz="4" w:space="0"/>
              <w:left w:val="single" w:color="000000" w:sz="4" w:space="0"/>
              <w:bottom w:val="single" w:color="000000" w:sz="4" w:space="0"/>
              <w:right w:val="single" w:color="000000" w:sz="4" w:space="0"/>
            </w:tcBorders>
            <w:noWrap/>
            <w:vAlign w:val="center"/>
          </w:tcPr>
          <w:p w14:paraId="685CF3A2">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50FB7853">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带鱼</w:t>
            </w:r>
          </w:p>
        </w:tc>
        <w:tc>
          <w:tcPr>
            <w:tcW w:w="2060" w:type="pct"/>
            <w:tcBorders>
              <w:top w:val="single" w:color="000000" w:sz="4" w:space="0"/>
              <w:left w:val="single" w:color="000000" w:sz="4" w:space="0"/>
              <w:bottom w:val="single" w:color="000000" w:sz="4" w:space="0"/>
              <w:right w:val="single" w:color="000000" w:sz="4" w:space="0"/>
            </w:tcBorders>
            <w:vAlign w:val="center"/>
          </w:tcPr>
          <w:p w14:paraId="5A43E643">
            <w:pPr>
              <w:jc w:val="both"/>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新鲜、无病变、无腐烂、无异味。</w:t>
            </w:r>
          </w:p>
        </w:tc>
        <w:tc>
          <w:tcPr>
            <w:tcW w:w="597" w:type="pct"/>
            <w:vMerge w:val="continue"/>
            <w:tcBorders>
              <w:left w:val="single" w:color="000000" w:sz="4" w:space="0"/>
              <w:right w:val="single" w:color="000000" w:sz="4" w:space="0"/>
            </w:tcBorders>
            <w:vAlign w:val="center"/>
          </w:tcPr>
          <w:p w14:paraId="79E57792">
            <w:pPr>
              <w:jc w:val="center"/>
              <w:textAlignment w:val="center"/>
              <w:rPr>
                <w:rFonts w:ascii="仿宋" w:hAnsi="仿宋" w:eastAsia="仿宋" w:cs="仿宋"/>
                <w:color w:val="auto"/>
                <w:sz w:val="24"/>
                <w:szCs w:val="24"/>
                <w:highlight w:val="none"/>
                <w:lang w:eastAsia="zh-CN"/>
              </w:rPr>
            </w:pPr>
          </w:p>
        </w:tc>
        <w:tc>
          <w:tcPr>
            <w:tcW w:w="720" w:type="pct"/>
            <w:tcBorders>
              <w:top w:val="single" w:color="000000" w:sz="4" w:space="0"/>
              <w:left w:val="single" w:color="000000" w:sz="4" w:space="0"/>
              <w:bottom w:val="single" w:color="000000" w:sz="4" w:space="0"/>
              <w:right w:val="single" w:color="000000" w:sz="4" w:space="0"/>
            </w:tcBorders>
            <w:noWrap/>
            <w:vAlign w:val="center"/>
          </w:tcPr>
          <w:p w14:paraId="73291712">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公斤</w:t>
            </w:r>
          </w:p>
        </w:tc>
        <w:tc>
          <w:tcPr>
            <w:tcW w:w="670" w:type="pct"/>
            <w:vMerge w:val="continue"/>
            <w:tcBorders>
              <w:top w:val="single" w:color="000000" w:sz="4" w:space="0"/>
              <w:left w:val="single" w:color="000000" w:sz="4" w:space="0"/>
              <w:bottom w:val="single" w:color="000000" w:sz="4" w:space="0"/>
              <w:right w:val="single" w:color="000000" w:sz="4" w:space="0"/>
            </w:tcBorders>
            <w:vAlign w:val="center"/>
          </w:tcPr>
          <w:p w14:paraId="0A66F11F">
            <w:pPr>
              <w:jc w:val="center"/>
              <w:rPr>
                <w:rFonts w:ascii="宋体" w:hAnsi="宋体" w:eastAsia="宋体" w:cs="宋体"/>
                <w:color w:val="auto"/>
                <w:sz w:val="24"/>
                <w:szCs w:val="24"/>
                <w:highlight w:val="none"/>
              </w:rPr>
            </w:pPr>
          </w:p>
        </w:tc>
      </w:tr>
      <w:tr w14:paraId="2C925671">
        <w:tblPrEx>
          <w:tblCellMar>
            <w:top w:w="0" w:type="dxa"/>
            <w:left w:w="108" w:type="dxa"/>
            <w:bottom w:w="0" w:type="dxa"/>
            <w:right w:w="108" w:type="dxa"/>
          </w:tblCellMar>
        </w:tblPrEx>
        <w:trPr>
          <w:trHeight w:val="567" w:hRule="atLeast"/>
        </w:trPr>
        <w:tc>
          <w:tcPr>
            <w:tcW w:w="353" w:type="pct"/>
            <w:tcBorders>
              <w:top w:val="single" w:color="000000" w:sz="4" w:space="0"/>
              <w:left w:val="single" w:color="000000" w:sz="4" w:space="0"/>
              <w:bottom w:val="single" w:color="000000" w:sz="4" w:space="0"/>
              <w:right w:val="single" w:color="000000" w:sz="4" w:space="0"/>
            </w:tcBorders>
            <w:noWrap/>
            <w:vAlign w:val="center"/>
          </w:tcPr>
          <w:p w14:paraId="7F967AB0">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4AEDACBF">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大黄花鱼</w:t>
            </w:r>
          </w:p>
        </w:tc>
        <w:tc>
          <w:tcPr>
            <w:tcW w:w="2060" w:type="pct"/>
            <w:tcBorders>
              <w:top w:val="single" w:color="000000" w:sz="4" w:space="0"/>
              <w:left w:val="single" w:color="000000" w:sz="4" w:space="0"/>
              <w:bottom w:val="single" w:color="000000" w:sz="4" w:space="0"/>
              <w:right w:val="single" w:color="000000" w:sz="4" w:space="0"/>
            </w:tcBorders>
            <w:vAlign w:val="center"/>
          </w:tcPr>
          <w:p w14:paraId="1B08EA24">
            <w:pPr>
              <w:jc w:val="both"/>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新鲜，无病变、无腐烂、无异味。</w:t>
            </w:r>
          </w:p>
        </w:tc>
        <w:tc>
          <w:tcPr>
            <w:tcW w:w="597" w:type="pct"/>
            <w:vMerge w:val="continue"/>
            <w:tcBorders>
              <w:left w:val="single" w:color="000000" w:sz="4" w:space="0"/>
              <w:right w:val="single" w:color="000000" w:sz="4" w:space="0"/>
            </w:tcBorders>
            <w:vAlign w:val="center"/>
          </w:tcPr>
          <w:p w14:paraId="400B16E2">
            <w:pPr>
              <w:jc w:val="center"/>
              <w:textAlignment w:val="center"/>
              <w:rPr>
                <w:rFonts w:ascii="仿宋" w:hAnsi="仿宋" w:eastAsia="仿宋" w:cs="仿宋"/>
                <w:color w:val="auto"/>
                <w:sz w:val="24"/>
                <w:szCs w:val="24"/>
                <w:highlight w:val="none"/>
                <w:lang w:eastAsia="zh-CN"/>
              </w:rPr>
            </w:pPr>
          </w:p>
        </w:tc>
        <w:tc>
          <w:tcPr>
            <w:tcW w:w="720" w:type="pct"/>
            <w:tcBorders>
              <w:top w:val="single" w:color="000000" w:sz="4" w:space="0"/>
              <w:left w:val="single" w:color="000000" w:sz="4" w:space="0"/>
              <w:bottom w:val="single" w:color="000000" w:sz="4" w:space="0"/>
              <w:right w:val="single" w:color="000000" w:sz="4" w:space="0"/>
            </w:tcBorders>
            <w:noWrap/>
            <w:vAlign w:val="center"/>
          </w:tcPr>
          <w:p w14:paraId="0479B199">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公斤</w:t>
            </w:r>
          </w:p>
        </w:tc>
        <w:tc>
          <w:tcPr>
            <w:tcW w:w="670" w:type="pct"/>
            <w:vMerge w:val="continue"/>
            <w:tcBorders>
              <w:top w:val="single" w:color="000000" w:sz="4" w:space="0"/>
              <w:left w:val="single" w:color="000000" w:sz="4" w:space="0"/>
              <w:bottom w:val="single" w:color="000000" w:sz="4" w:space="0"/>
              <w:right w:val="single" w:color="000000" w:sz="4" w:space="0"/>
            </w:tcBorders>
            <w:vAlign w:val="center"/>
          </w:tcPr>
          <w:p w14:paraId="4B9EF7B9">
            <w:pPr>
              <w:jc w:val="center"/>
              <w:rPr>
                <w:rFonts w:ascii="宋体" w:hAnsi="宋体" w:eastAsia="宋体" w:cs="宋体"/>
                <w:color w:val="auto"/>
                <w:sz w:val="24"/>
                <w:szCs w:val="24"/>
                <w:highlight w:val="none"/>
              </w:rPr>
            </w:pPr>
          </w:p>
        </w:tc>
      </w:tr>
      <w:tr w14:paraId="70E1EFC6">
        <w:tblPrEx>
          <w:tblCellMar>
            <w:top w:w="0" w:type="dxa"/>
            <w:left w:w="108" w:type="dxa"/>
            <w:bottom w:w="0" w:type="dxa"/>
            <w:right w:w="108" w:type="dxa"/>
          </w:tblCellMar>
        </w:tblPrEx>
        <w:trPr>
          <w:trHeight w:val="567" w:hRule="atLeast"/>
        </w:trPr>
        <w:tc>
          <w:tcPr>
            <w:tcW w:w="353" w:type="pct"/>
            <w:tcBorders>
              <w:top w:val="single" w:color="000000" w:sz="4" w:space="0"/>
              <w:left w:val="single" w:color="000000" w:sz="4" w:space="0"/>
              <w:bottom w:val="single" w:color="000000" w:sz="4" w:space="0"/>
              <w:right w:val="single" w:color="000000" w:sz="4" w:space="0"/>
            </w:tcBorders>
            <w:noWrap/>
            <w:vAlign w:val="center"/>
          </w:tcPr>
          <w:p w14:paraId="050AE58D">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0E15040E">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活鲤鱼</w:t>
            </w:r>
          </w:p>
        </w:tc>
        <w:tc>
          <w:tcPr>
            <w:tcW w:w="2060" w:type="pct"/>
            <w:tcBorders>
              <w:top w:val="single" w:color="000000" w:sz="4" w:space="0"/>
              <w:left w:val="single" w:color="000000" w:sz="4" w:space="0"/>
              <w:bottom w:val="single" w:color="000000" w:sz="4" w:space="0"/>
              <w:right w:val="single" w:color="000000" w:sz="4" w:space="0"/>
            </w:tcBorders>
            <w:vAlign w:val="center"/>
          </w:tcPr>
          <w:p w14:paraId="5749388B">
            <w:pPr>
              <w:jc w:val="both"/>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新鲜，无病变、无腐烂、无异味。</w:t>
            </w:r>
          </w:p>
        </w:tc>
        <w:tc>
          <w:tcPr>
            <w:tcW w:w="597" w:type="pct"/>
            <w:vMerge w:val="continue"/>
            <w:tcBorders>
              <w:left w:val="single" w:color="000000" w:sz="4" w:space="0"/>
              <w:right w:val="single" w:color="000000" w:sz="4" w:space="0"/>
            </w:tcBorders>
            <w:vAlign w:val="center"/>
          </w:tcPr>
          <w:p w14:paraId="2F0B13D3">
            <w:pPr>
              <w:jc w:val="center"/>
              <w:textAlignment w:val="center"/>
              <w:rPr>
                <w:rFonts w:ascii="仿宋" w:hAnsi="仿宋" w:eastAsia="仿宋" w:cs="仿宋"/>
                <w:color w:val="auto"/>
                <w:sz w:val="24"/>
                <w:szCs w:val="24"/>
                <w:highlight w:val="none"/>
                <w:lang w:eastAsia="zh-CN"/>
              </w:rPr>
            </w:pPr>
          </w:p>
        </w:tc>
        <w:tc>
          <w:tcPr>
            <w:tcW w:w="720" w:type="pct"/>
            <w:tcBorders>
              <w:top w:val="single" w:color="000000" w:sz="4" w:space="0"/>
              <w:left w:val="single" w:color="000000" w:sz="4" w:space="0"/>
              <w:bottom w:val="single" w:color="000000" w:sz="4" w:space="0"/>
              <w:right w:val="single" w:color="000000" w:sz="4" w:space="0"/>
            </w:tcBorders>
            <w:noWrap/>
            <w:vAlign w:val="center"/>
          </w:tcPr>
          <w:p w14:paraId="57044BA2">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公斤</w:t>
            </w:r>
          </w:p>
        </w:tc>
        <w:tc>
          <w:tcPr>
            <w:tcW w:w="670" w:type="pct"/>
            <w:vMerge w:val="continue"/>
            <w:tcBorders>
              <w:top w:val="single" w:color="000000" w:sz="4" w:space="0"/>
              <w:left w:val="single" w:color="000000" w:sz="4" w:space="0"/>
              <w:bottom w:val="single" w:color="000000" w:sz="4" w:space="0"/>
              <w:right w:val="single" w:color="000000" w:sz="4" w:space="0"/>
            </w:tcBorders>
            <w:vAlign w:val="center"/>
          </w:tcPr>
          <w:p w14:paraId="5AD678B7">
            <w:pPr>
              <w:jc w:val="center"/>
              <w:rPr>
                <w:rFonts w:ascii="宋体" w:hAnsi="宋体" w:eastAsia="宋体" w:cs="宋体"/>
                <w:color w:val="auto"/>
                <w:sz w:val="24"/>
                <w:szCs w:val="24"/>
                <w:highlight w:val="none"/>
              </w:rPr>
            </w:pPr>
          </w:p>
        </w:tc>
      </w:tr>
      <w:tr w14:paraId="34BD5E1F">
        <w:tblPrEx>
          <w:tblCellMar>
            <w:top w:w="0" w:type="dxa"/>
            <w:left w:w="108" w:type="dxa"/>
            <w:bottom w:w="0" w:type="dxa"/>
            <w:right w:w="108" w:type="dxa"/>
          </w:tblCellMar>
        </w:tblPrEx>
        <w:trPr>
          <w:trHeight w:val="567" w:hRule="atLeast"/>
        </w:trPr>
        <w:tc>
          <w:tcPr>
            <w:tcW w:w="353" w:type="pct"/>
            <w:tcBorders>
              <w:top w:val="single" w:color="000000" w:sz="4" w:space="0"/>
              <w:left w:val="single" w:color="000000" w:sz="4" w:space="0"/>
              <w:bottom w:val="single" w:color="000000" w:sz="4" w:space="0"/>
              <w:right w:val="single" w:color="000000" w:sz="4" w:space="0"/>
            </w:tcBorders>
            <w:noWrap/>
            <w:vAlign w:val="center"/>
          </w:tcPr>
          <w:p w14:paraId="26B88354">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0F9305DC">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活鲫鱼</w:t>
            </w:r>
          </w:p>
        </w:tc>
        <w:tc>
          <w:tcPr>
            <w:tcW w:w="2060" w:type="pct"/>
            <w:tcBorders>
              <w:top w:val="single" w:color="000000" w:sz="4" w:space="0"/>
              <w:left w:val="single" w:color="000000" w:sz="4" w:space="0"/>
              <w:bottom w:val="single" w:color="000000" w:sz="4" w:space="0"/>
              <w:right w:val="single" w:color="000000" w:sz="4" w:space="0"/>
            </w:tcBorders>
            <w:vAlign w:val="center"/>
          </w:tcPr>
          <w:p w14:paraId="16548252">
            <w:pPr>
              <w:jc w:val="both"/>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新鲜，无病变、无腐烂、无异味。</w:t>
            </w:r>
          </w:p>
        </w:tc>
        <w:tc>
          <w:tcPr>
            <w:tcW w:w="597" w:type="pct"/>
            <w:vMerge w:val="continue"/>
            <w:tcBorders>
              <w:left w:val="single" w:color="000000" w:sz="4" w:space="0"/>
              <w:right w:val="single" w:color="000000" w:sz="4" w:space="0"/>
            </w:tcBorders>
            <w:vAlign w:val="center"/>
          </w:tcPr>
          <w:p w14:paraId="43183C83">
            <w:pPr>
              <w:jc w:val="center"/>
              <w:textAlignment w:val="center"/>
              <w:rPr>
                <w:rFonts w:ascii="仿宋" w:hAnsi="仿宋" w:eastAsia="仿宋" w:cs="仿宋"/>
                <w:color w:val="auto"/>
                <w:sz w:val="24"/>
                <w:szCs w:val="24"/>
                <w:highlight w:val="none"/>
                <w:lang w:eastAsia="zh-CN"/>
              </w:rPr>
            </w:pPr>
          </w:p>
        </w:tc>
        <w:tc>
          <w:tcPr>
            <w:tcW w:w="720" w:type="pct"/>
            <w:tcBorders>
              <w:top w:val="single" w:color="000000" w:sz="4" w:space="0"/>
              <w:left w:val="single" w:color="000000" w:sz="4" w:space="0"/>
              <w:bottom w:val="single" w:color="000000" w:sz="4" w:space="0"/>
              <w:right w:val="single" w:color="000000" w:sz="4" w:space="0"/>
            </w:tcBorders>
            <w:noWrap/>
            <w:vAlign w:val="center"/>
          </w:tcPr>
          <w:p w14:paraId="13D63453">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公斤</w:t>
            </w:r>
          </w:p>
        </w:tc>
        <w:tc>
          <w:tcPr>
            <w:tcW w:w="670" w:type="pct"/>
            <w:vMerge w:val="continue"/>
            <w:tcBorders>
              <w:top w:val="single" w:color="000000" w:sz="4" w:space="0"/>
              <w:left w:val="single" w:color="000000" w:sz="4" w:space="0"/>
              <w:bottom w:val="single" w:color="000000" w:sz="4" w:space="0"/>
              <w:right w:val="single" w:color="000000" w:sz="4" w:space="0"/>
            </w:tcBorders>
            <w:vAlign w:val="center"/>
          </w:tcPr>
          <w:p w14:paraId="1BA2199D">
            <w:pPr>
              <w:jc w:val="center"/>
              <w:rPr>
                <w:rFonts w:ascii="宋体" w:hAnsi="宋体" w:eastAsia="宋体" w:cs="宋体"/>
                <w:color w:val="auto"/>
                <w:sz w:val="24"/>
                <w:szCs w:val="24"/>
                <w:highlight w:val="none"/>
              </w:rPr>
            </w:pPr>
          </w:p>
        </w:tc>
      </w:tr>
      <w:tr w14:paraId="0271D829">
        <w:tblPrEx>
          <w:tblCellMar>
            <w:top w:w="0" w:type="dxa"/>
            <w:left w:w="108" w:type="dxa"/>
            <w:bottom w:w="0" w:type="dxa"/>
            <w:right w:w="108" w:type="dxa"/>
          </w:tblCellMar>
        </w:tblPrEx>
        <w:trPr>
          <w:trHeight w:val="567" w:hRule="atLeast"/>
        </w:trPr>
        <w:tc>
          <w:tcPr>
            <w:tcW w:w="353" w:type="pct"/>
            <w:tcBorders>
              <w:top w:val="single" w:color="000000" w:sz="4" w:space="0"/>
              <w:left w:val="single" w:color="000000" w:sz="4" w:space="0"/>
              <w:bottom w:val="single" w:color="000000" w:sz="4" w:space="0"/>
              <w:right w:val="single" w:color="000000" w:sz="4" w:space="0"/>
            </w:tcBorders>
            <w:noWrap/>
            <w:vAlign w:val="center"/>
          </w:tcPr>
          <w:p w14:paraId="5FD0AD0B">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638B5A68">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活草鱼</w:t>
            </w:r>
          </w:p>
        </w:tc>
        <w:tc>
          <w:tcPr>
            <w:tcW w:w="2060" w:type="pct"/>
            <w:tcBorders>
              <w:top w:val="single" w:color="000000" w:sz="4" w:space="0"/>
              <w:left w:val="single" w:color="000000" w:sz="4" w:space="0"/>
              <w:bottom w:val="single" w:color="000000" w:sz="4" w:space="0"/>
              <w:right w:val="single" w:color="000000" w:sz="4" w:space="0"/>
            </w:tcBorders>
            <w:vAlign w:val="center"/>
          </w:tcPr>
          <w:p w14:paraId="741838B2">
            <w:pPr>
              <w:jc w:val="both"/>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新鲜，无病变、无腐烂、无异味。</w:t>
            </w:r>
          </w:p>
        </w:tc>
        <w:tc>
          <w:tcPr>
            <w:tcW w:w="597" w:type="pct"/>
            <w:vMerge w:val="continue"/>
            <w:tcBorders>
              <w:left w:val="single" w:color="000000" w:sz="4" w:space="0"/>
              <w:right w:val="single" w:color="000000" w:sz="4" w:space="0"/>
            </w:tcBorders>
            <w:vAlign w:val="center"/>
          </w:tcPr>
          <w:p w14:paraId="6043FA99">
            <w:pPr>
              <w:jc w:val="center"/>
              <w:textAlignment w:val="center"/>
              <w:rPr>
                <w:rFonts w:ascii="仿宋" w:hAnsi="仿宋" w:eastAsia="仿宋" w:cs="仿宋"/>
                <w:color w:val="auto"/>
                <w:sz w:val="24"/>
                <w:szCs w:val="24"/>
                <w:highlight w:val="none"/>
                <w:lang w:eastAsia="zh-CN"/>
              </w:rPr>
            </w:pPr>
          </w:p>
        </w:tc>
        <w:tc>
          <w:tcPr>
            <w:tcW w:w="720" w:type="pct"/>
            <w:tcBorders>
              <w:top w:val="single" w:color="000000" w:sz="4" w:space="0"/>
              <w:left w:val="single" w:color="000000" w:sz="4" w:space="0"/>
              <w:bottom w:val="single" w:color="000000" w:sz="4" w:space="0"/>
              <w:right w:val="single" w:color="000000" w:sz="4" w:space="0"/>
            </w:tcBorders>
            <w:noWrap/>
            <w:vAlign w:val="center"/>
          </w:tcPr>
          <w:p w14:paraId="2AF1BC0A">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公斤</w:t>
            </w:r>
          </w:p>
        </w:tc>
        <w:tc>
          <w:tcPr>
            <w:tcW w:w="670" w:type="pct"/>
            <w:vMerge w:val="continue"/>
            <w:tcBorders>
              <w:top w:val="single" w:color="000000" w:sz="4" w:space="0"/>
              <w:left w:val="single" w:color="000000" w:sz="4" w:space="0"/>
              <w:bottom w:val="single" w:color="000000" w:sz="4" w:space="0"/>
              <w:right w:val="single" w:color="000000" w:sz="4" w:space="0"/>
            </w:tcBorders>
            <w:vAlign w:val="center"/>
          </w:tcPr>
          <w:p w14:paraId="16C79A29">
            <w:pPr>
              <w:jc w:val="center"/>
              <w:rPr>
                <w:rFonts w:ascii="宋体" w:hAnsi="宋体" w:eastAsia="宋体" w:cs="宋体"/>
                <w:color w:val="auto"/>
                <w:sz w:val="24"/>
                <w:szCs w:val="24"/>
                <w:highlight w:val="none"/>
              </w:rPr>
            </w:pPr>
          </w:p>
        </w:tc>
      </w:tr>
      <w:tr w14:paraId="775FA854">
        <w:tblPrEx>
          <w:tblCellMar>
            <w:top w:w="0" w:type="dxa"/>
            <w:left w:w="108" w:type="dxa"/>
            <w:bottom w:w="0" w:type="dxa"/>
            <w:right w:w="108" w:type="dxa"/>
          </w:tblCellMar>
        </w:tblPrEx>
        <w:trPr>
          <w:trHeight w:val="567" w:hRule="atLeast"/>
        </w:trPr>
        <w:tc>
          <w:tcPr>
            <w:tcW w:w="353" w:type="pct"/>
            <w:tcBorders>
              <w:top w:val="single" w:color="000000" w:sz="4" w:space="0"/>
              <w:left w:val="single" w:color="000000" w:sz="4" w:space="0"/>
              <w:bottom w:val="single" w:color="000000" w:sz="4" w:space="0"/>
              <w:right w:val="single" w:color="000000" w:sz="4" w:space="0"/>
            </w:tcBorders>
            <w:noWrap/>
            <w:vAlign w:val="center"/>
          </w:tcPr>
          <w:p w14:paraId="647E5863">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5E11B059">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活花鲢</w:t>
            </w:r>
          </w:p>
        </w:tc>
        <w:tc>
          <w:tcPr>
            <w:tcW w:w="2060" w:type="pct"/>
            <w:tcBorders>
              <w:top w:val="single" w:color="000000" w:sz="4" w:space="0"/>
              <w:left w:val="single" w:color="000000" w:sz="4" w:space="0"/>
              <w:bottom w:val="single" w:color="000000" w:sz="4" w:space="0"/>
              <w:right w:val="single" w:color="000000" w:sz="4" w:space="0"/>
            </w:tcBorders>
            <w:vAlign w:val="center"/>
          </w:tcPr>
          <w:p w14:paraId="67A723C4">
            <w:pPr>
              <w:jc w:val="both"/>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新鲜，无病变、无腐烂、无异味。</w:t>
            </w:r>
          </w:p>
        </w:tc>
        <w:tc>
          <w:tcPr>
            <w:tcW w:w="597" w:type="pct"/>
            <w:vMerge w:val="continue"/>
            <w:tcBorders>
              <w:left w:val="single" w:color="000000" w:sz="4" w:space="0"/>
              <w:right w:val="single" w:color="000000" w:sz="4" w:space="0"/>
            </w:tcBorders>
            <w:vAlign w:val="center"/>
          </w:tcPr>
          <w:p w14:paraId="12140374">
            <w:pPr>
              <w:jc w:val="center"/>
              <w:textAlignment w:val="center"/>
              <w:rPr>
                <w:rFonts w:ascii="仿宋" w:hAnsi="仿宋" w:eastAsia="仿宋" w:cs="仿宋"/>
                <w:color w:val="auto"/>
                <w:sz w:val="24"/>
                <w:szCs w:val="24"/>
                <w:highlight w:val="none"/>
                <w:lang w:eastAsia="zh-CN"/>
              </w:rPr>
            </w:pPr>
          </w:p>
        </w:tc>
        <w:tc>
          <w:tcPr>
            <w:tcW w:w="720" w:type="pct"/>
            <w:tcBorders>
              <w:top w:val="single" w:color="000000" w:sz="4" w:space="0"/>
              <w:left w:val="single" w:color="000000" w:sz="4" w:space="0"/>
              <w:bottom w:val="single" w:color="000000" w:sz="4" w:space="0"/>
              <w:right w:val="single" w:color="000000" w:sz="4" w:space="0"/>
            </w:tcBorders>
            <w:noWrap/>
            <w:vAlign w:val="center"/>
          </w:tcPr>
          <w:p w14:paraId="24D5262D">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公斤</w:t>
            </w:r>
          </w:p>
        </w:tc>
        <w:tc>
          <w:tcPr>
            <w:tcW w:w="670" w:type="pct"/>
            <w:vMerge w:val="continue"/>
            <w:tcBorders>
              <w:top w:val="single" w:color="000000" w:sz="4" w:space="0"/>
              <w:left w:val="single" w:color="000000" w:sz="4" w:space="0"/>
              <w:bottom w:val="single" w:color="000000" w:sz="4" w:space="0"/>
              <w:right w:val="single" w:color="000000" w:sz="4" w:space="0"/>
            </w:tcBorders>
            <w:vAlign w:val="center"/>
          </w:tcPr>
          <w:p w14:paraId="20264632">
            <w:pPr>
              <w:jc w:val="center"/>
              <w:rPr>
                <w:rFonts w:ascii="宋体" w:hAnsi="宋体" w:eastAsia="宋体" w:cs="宋体"/>
                <w:color w:val="auto"/>
                <w:sz w:val="24"/>
                <w:szCs w:val="24"/>
                <w:highlight w:val="none"/>
              </w:rPr>
            </w:pPr>
          </w:p>
        </w:tc>
      </w:tr>
      <w:tr w14:paraId="40263CF0">
        <w:tblPrEx>
          <w:tblCellMar>
            <w:top w:w="0" w:type="dxa"/>
            <w:left w:w="108" w:type="dxa"/>
            <w:bottom w:w="0" w:type="dxa"/>
            <w:right w:w="108" w:type="dxa"/>
          </w:tblCellMar>
        </w:tblPrEx>
        <w:trPr>
          <w:trHeight w:val="567" w:hRule="atLeast"/>
        </w:trPr>
        <w:tc>
          <w:tcPr>
            <w:tcW w:w="353" w:type="pct"/>
            <w:tcBorders>
              <w:top w:val="single" w:color="000000" w:sz="4" w:space="0"/>
              <w:left w:val="single" w:color="000000" w:sz="4" w:space="0"/>
              <w:bottom w:val="single" w:color="000000" w:sz="4" w:space="0"/>
              <w:right w:val="single" w:color="000000" w:sz="4" w:space="0"/>
            </w:tcBorders>
            <w:noWrap/>
            <w:vAlign w:val="center"/>
          </w:tcPr>
          <w:p w14:paraId="2BC99940">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12</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7008F3F4">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罗非鱼</w:t>
            </w:r>
          </w:p>
        </w:tc>
        <w:tc>
          <w:tcPr>
            <w:tcW w:w="2060" w:type="pct"/>
            <w:tcBorders>
              <w:top w:val="single" w:color="000000" w:sz="4" w:space="0"/>
              <w:left w:val="single" w:color="000000" w:sz="4" w:space="0"/>
              <w:bottom w:val="single" w:color="000000" w:sz="4" w:space="0"/>
              <w:right w:val="single" w:color="000000" w:sz="4" w:space="0"/>
            </w:tcBorders>
            <w:vAlign w:val="center"/>
          </w:tcPr>
          <w:p w14:paraId="2283D154">
            <w:pPr>
              <w:jc w:val="both"/>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新鲜，无病变、无腐烂、无异味。</w:t>
            </w:r>
          </w:p>
        </w:tc>
        <w:tc>
          <w:tcPr>
            <w:tcW w:w="597" w:type="pct"/>
            <w:vMerge w:val="continue"/>
            <w:tcBorders>
              <w:left w:val="single" w:color="000000" w:sz="4" w:space="0"/>
              <w:right w:val="single" w:color="000000" w:sz="4" w:space="0"/>
            </w:tcBorders>
            <w:vAlign w:val="center"/>
          </w:tcPr>
          <w:p w14:paraId="36023665">
            <w:pPr>
              <w:jc w:val="center"/>
              <w:textAlignment w:val="center"/>
              <w:rPr>
                <w:rFonts w:ascii="仿宋" w:hAnsi="仿宋" w:eastAsia="仿宋" w:cs="仿宋"/>
                <w:color w:val="auto"/>
                <w:sz w:val="24"/>
                <w:szCs w:val="24"/>
                <w:highlight w:val="none"/>
                <w:lang w:eastAsia="zh-CN"/>
              </w:rPr>
            </w:pPr>
          </w:p>
        </w:tc>
        <w:tc>
          <w:tcPr>
            <w:tcW w:w="720" w:type="pct"/>
            <w:tcBorders>
              <w:top w:val="single" w:color="000000" w:sz="4" w:space="0"/>
              <w:left w:val="single" w:color="000000" w:sz="4" w:space="0"/>
              <w:bottom w:val="single" w:color="000000" w:sz="4" w:space="0"/>
              <w:right w:val="single" w:color="000000" w:sz="4" w:space="0"/>
            </w:tcBorders>
            <w:noWrap/>
            <w:vAlign w:val="center"/>
          </w:tcPr>
          <w:p w14:paraId="0DED80FC">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公斤</w:t>
            </w:r>
          </w:p>
        </w:tc>
        <w:tc>
          <w:tcPr>
            <w:tcW w:w="670" w:type="pct"/>
            <w:vMerge w:val="continue"/>
            <w:tcBorders>
              <w:top w:val="single" w:color="000000" w:sz="4" w:space="0"/>
              <w:left w:val="single" w:color="000000" w:sz="4" w:space="0"/>
              <w:bottom w:val="single" w:color="000000" w:sz="4" w:space="0"/>
              <w:right w:val="single" w:color="000000" w:sz="4" w:space="0"/>
            </w:tcBorders>
            <w:vAlign w:val="center"/>
          </w:tcPr>
          <w:p w14:paraId="6B79F12D">
            <w:pPr>
              <w:jc w:val="center"/>
              <w:rPr>
                <w:rFonts w:ascii="宋体" w:hAnsi="宋体" w:eastAsia="宋体" w:cs="宋体"/>
                <w:color w:val="auto"/>
                <w:sz w:val="24"/>
                <w:szCs w:val="24"/>
                <w:highlight w:val="none"/>
              </w:rPr>
            </w:pPr>
          </w:p>
        </w:tc>
      </w:tr>
      <w:tr w14:paraId="1CF42AF8">
        <w:tblPrEx>
          <w:tblCellMar>
            <w:top w:w="0" w:type="dxa"/>
            <w:left w:w="108" w:type="dxa"/>
            <w:bottom w:w="0" w:type="dxa"/>
            <w:right w:w="108" w:type="dxa"/>
          </w:tblCellMar>
        </w:tblPrEx>
        <w:trPr>
          <w:trHeight w:val="567" w:hRule="atLeast"/>
        </w:trPr>
        <w:tc>
          <w:tcPr>
            <w:tcW w:w="353" w:type="pct"/>
            <w:tcBorders>
              <w:top w:val="single" w:color="000000" w:sz="4" w:space="0"/>
              <w:left w:val="single" w:color="000000" w:sz="4" w:space="0"/>
              <w:bottom w:val="single" w:color="000000" w:sz="4" w:space="0"/>
              <w:right w:val="single" w:color="000000" w:sz="4" w:space="0"/>
            </w:tcBorders>
            <w:noWrap/>
            <w:vAlign w:val="center"/>
          </w:tcPr>
          <w:p w14:paraId="15FCAB1E">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13</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193D4EE7">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武昌鱼</w:t>
            </w:r>
          </w:p>
        </w:tc>
        <w:tc>
          <w:tcPr>
            <w:tcW w:w="2060" w:type="pct"/>
            <w:tcBorders>
              <w:top w:val="single" w:color="000000" w:sz="4" w:space="0"/>
              <w:left w:val="single" w:color="000000" w:sz="4" w:space="0"/>
              <w:bottom w:val="single" w:color="000000" w:sz="4" w:space="0"/>
              <w:right w:val="single" w:color="000000" w:sz="4" w:space="0"/>
            </w:tcBorders>
            <w:vAlign w:val="center"/>
          </w:tcPr>
          <w:p w14:paraId="6008C5D0">
            <w:pPr>
              <w:jc w:val="both"/>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新鲜，无病变、无腐烂、无异味。</w:t>
            </w:r>
          </w:p>
        </w:tc>
        <w:tc>
          <w:tcPr>
            <w:tcW w:w="597" w:type="pct"/>
            <w:vMerge w:val="continue"/>
            <w:tcBorders>
              <w:left w:val="single" w:color="000000" w:sz="4" w:space="0"/>
              <w:right w:val="single" w:color="000000" w:sz="4" w:space="0"/>
            </w:tcBorders>
            <w:vAlign w:val="center"/>
          </w:tcPr>
          <w:p w14:paraId="4B99AADB">
            <w:pPr>
              <w:jc w:val="center"/>
              <w:textAlignment w:val="center"/>
              <w:rPr>
                <w:rFonts w:ascii="仿宋" w:hAnsi="仿宋" w:eastAsia="仿宋" w:cs="仿宋"/>
                <w:color w:val="auto"/>
                <w:sz w:val="24"/>
                <w:szCs w:val="24"/>
                <w:highlight w:val="none"/>
                <w:lang w:eastAsia="zh-CN"/>
              </w:rPr>
            </w:pPr>
          </w:p>
        </w:tc>
        <w:tc>
          <w:tcPr>
            <w:tcW w:w="720" w:type="pct"/>
            <w:tcBorders>
              <w:top w:val="single" w:color="000000" w:sz="4" w:space="0"/>
              <w:left w:val="single" w:color="000000" w:sz="4" w:space="0"/>
              <w:bottom w:val="single" w:color="000000" w:sz="4" w:space="0"/>
              <w:right w:val="single" w:color="000000" w:sz="4" w:space="0"/>
            </w:tcBorders>
            <w:noWrap/>
            <w:vAlign w:val="center"/>
          </w:tcPr>
          <w:p w14:paraId="613C7BC8">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公斤</w:t>
            </w:r>
          </w:p>
        </w:tc>
        <w:tc>
          <w:tcPr>
            <w:tcW w:w="670" w:type="pct"/>
            <w:vMerge w:val="continue"/>
            <w:tcBorders>
              <w:top w:val="single" w:color="000000" w:sz="4" w:space="0"/>
              <w:left w:val="single" w:color="000000" w:sz="4" w:space="0"/>
              <w:bottom w:val="single" w:color="000000" w:sz="4" w:space="0"/>
              <w:right w:val="single" w:color="000000" w:sz="4" w:space="0"/>
            </w:tcBorders>
            <w:vAlign w:val="center"/>
          </w:tcPr>
          <w:p w14:paraId="68659AE5">
            <w:pPr>
              <w:jc w:val="center"/>
              <w:rPr>
                <w:rFonts w:ascii="宋体" w:hAnsi="宋体" w:eastAsia="宋体" w:cs="宋体"/>
                <w:color w:val="auto"/>
                <w:sz w:val="24"/>
                <w:szCs w:val="24"/>
                <w:highlight w:val="none"/>
              </w:rPr>
            </w:pPr>
          </w:p>
        </w:tc>
      </w:tr>
      <w:tr w14:paraId="644FAAC2">
        <w:tblPrEx>
          <w:tblCellMar>
            <w:top w:w="0" w:type="dxa"/>
            <w:left w:w="108" w:type="dxa"/>
            <w:bottom w:w="0" w:type="dxa"/>
            <w:right w:w="108" w:type="dxa"/>
          </w:tblCellMar>
        </w:tblPrEx>
        <w:trPr>
          <w:trHeight w:val="567" w:hRule="atLeast"/>
        </w:trPr>
        <w:tc>
          <w:tcPr>
            <w:tcW w:w="353" w:type="pct"/>
            <w:tcBorders>
              <w:top w:val="single" w:color="000000" w:sz="4" w:space="0"/>
              <w:left w:val="single" w:color="000000" w:sz="4" w:space="0"/>
              <w:bottom w:val="single" w:color="000000" w:sz="4" w:space="0"/>
              <w:right w:val="single" w:color="000000" w:sz="4" w:space="0"/>
            </w:tcBorders>
            <w:noWrap/>
            <w:vAlign w:val="center"/>
          </w:tcPr>
          <w:p w14:paraId="5E213586">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14</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3B0F2FD2">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活白鲢</w:t>
            </w:r>
          </w:p>
        </w:tc>
        <w:tc>
          <w:tcPr>
            <w:tcW w:w="2060" w:type="pct"/>
            <w:tcBorders>
              <w:top w:val="single" w:color="000000" w:sz="4" w:space="0"/>
              <w:left w:val="single" w:color="000000" w:sz="4" w:space="0"/>
              <w:bottom w:val="single" w:color="000000" w:sz="4" w:space="0"/>
              <w:right w:val="single" w:color="000000" w:sz="4" w:space="0"/>
            </w:tcBorders>
            <w:vAlign w:val="center"/>
          </w:tcPr>
          <w:p w14:paraId="50AA5278">
            <w:pPr>
              <w:jc w:val="both"/>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新鲜，无病变、无腐烂、无异味。</w:t>
            </w:r>
          </w:p>
        </w:tc>
        <w:tc>
          <w:tcPr>
            <w:tcW w:w="597" w:type="pct"/>
            <w:vMerge w:val="continue"/>
            <w:tcBorders>
              <w:left w:val="single" w:color="000000" w:sz="4" w:space="0"/>
              <w:right w:val="single" w:color="000000" w:sz="4" w:space="0"/>
            </w:tcBorders>
            <w:vAlign w:val="center"/>
          </w:tcPr>
          <w:p w14:paraId="312AB4DD">
            <w:pPr>
              <w:jc w:val="center"/>
              <w:textAlignment w:val="center"/>
              <w:rPr>
                <w:rFonts w:ascii="仿宋" w:hAnsi="仿宋" w:eastAsia="仿宋" w:cs="仿宋"/>
                <w:color w:val="auto"/>
                <w:sz w:val="24"/>
                <w:szCs w:val="24"/>
                <w:highlight w:val="none"/>
                <w:lang w:eastAsia="zh-CN"/>
              </w:rPr>
            </w:pPr>
          </w:p>
        </w:tc>
        <w:tc>
          <w:tcPr>
            <w:tcW w:w="720" w:type="pct"/>
            <w:tcBorders>
              <w:top w:val="single" w:color="000000" w:sz="4" w:space="0"/>
              <w:left w:val="single" w:color="000000" w:sz="4" w:space="0"/>
              <w:bottom w:val="single" w:color="000000" w:sz="4" w:space="0"/>
              <w:right w:val="single" w:color="000000" w:sz="4" w:space="0"/>
            </w:tcBorders>
            <w:noWrap/>
            <w:vAlign w:val="center"/>
          </w:tcPr>
          <w:p w14:paraId="4E695202">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公斤</w:t>
            </w:r>
          </w:p>
        </w:tc>
        <w:tc>
          <w:tcPr>
            <w:tcW w:w="670" w:type="pct"/>
            <w:vMerge w:val="continue"/>
            <w:tcBorders>
              <w:top w:val="single" w:color="000000" w:sz="4" w:space="0"/>
              <w:left w:val="single" w:color="000000" w:sz="4" w:space="0"/>
              <w:bottom w:val="single" w:color="000000" w:sz="4" w:space="0"/>
              <w:right w:val="single" w:color="000000" w:sz="4" w:space="0"/>
            </w:tcBorders>
            <w:vAlign w:val="center"/>
          </w:tcPr>
          <w:p w14:paraId="397BFAC2">
            <w:pPr>
              <w:jc w:val="center"/>
              <w:rPr>
                <w:rFonts w:ascii="宋体" w:hAnsi="宋体" w:eastAsia="宋体" w:cs="宋体"/>
                <w:color w:val="auto"/>
                <w:sz w:val="24"/>
                <w:szCs w:val="24"/>
                <w:highlight w:val="none"/>
              </w:rPr>
            </w:pPr>
          </w:p>
        </w:tc>
      </w:tr>
      <w:tr w14:paraId="4ABA7C1F">
        <w:tblPrEx>
          <w:tblCellMar>
            <w:top w:w="0" w:type="dxa"/>
            <w:left w:w="108" w:type="dxa"/>
            <w:bottom w:w="0" w:type="dxa"/>
            <w:right w:w="108" w:type="dxa"/>
          </w:tblCellMar>
        </w:tblPrEx>
        <w:trPr>
          <w:trHeight w:val="567" w:hRule="atLeast"/>
        </w:trPr>
        <w:tc>
          <w:tcPr>
            <w:tcW w:w="353" w:type="pct"/>
            <w:tcBorders>
              <w:top w:val="single" w:color="000000" w:sz="4" w:space="0"/>
              <w:left w:val="single" w:color="000000" w:sz="4" w:space="0"/>
              <w:bottom w:val="single" w:color="000000" w:sz="4" w:space="0"/>
              <w:right w:val="single" w:color="000000" w:sz="4" w:space="0"/>
            </w:tcBorders>
            <w:noWrap/>
            <w:vAlign w:val="center"/>
          </w:tcPr>
          <w:p w14:paraId="5F56BCDA">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15</w:t>
            </w:r>
          </w:p>
        </w:tc>
        <w:tc>
          <w:tcPr>
            <w:tcW w:w="597" w:type="pct"/>
            <w:tcBorders>
              <w:top w:val="single" w:color="000000" w:sz="4" w:space="0"/>
              <w:left w:val="single" w:color="000000" w:sz="4" w:space="0"/>
              <w:bottom w:val="single" w:color="000000" w:sz="4" w:space="0"/>
              <w:right w:val="single" w:color="000000" w:sz="4" w:space="0"/>
            </w:tcBorders>
            <w:noWrap/>
            <w:vAlign w:val="center"/>
          </w:tcPr>
          <w:p w14:paraId="1D97D203">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冻虾</w:t>
            </w:r>
          </w:p>
        </w:tc>
        <w:tc>
          <w:tcPr>
            <w:tcW w:w="2060" w:type="pct"/>
            <w:tcBorders>
              <w:top w:val="single" w:color="000000" w:sz="4" w:space="0"/>
              <w:left w:val="single" w:color="000000" w:sz="4" w:space="0"/>
              <w:bottom w:val="single" w:color="000000" w:sz="4" w:space="0"/>
              <w:right w:val="single" w:color="000000" w:sz="4" w:space="0"/>
            </w:tcBorders>
            <w:vAlign w:val="center"/>
          </w:tcPr>
          <w:p w14:paraId="64607642">
            <w:pPr>
              <w:jc w:val="both"/>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新鲜，无病变、无腐烂、无异味。</w:t>
            </w:r>
          </w:p>
        </w:tc>
        <w:tc>
          <w:tcPr>
            <w:tcW w:w="597" w:type="pct"/>
            <w:vMerge w:val="continue"/>
            <w:tcBorders>
              <w:left w:val="single" w:color="000000" w:sz="4" w:space="0"/>
              <w:bottom w:val="single" w:color="000000" w:sz="4" w:space="0"/>
              <w:right w:val="single" w:color="000000" w:sz="4" w:space="0"/>
            </w:tcBorders>
            <w:vAlign w:val="center"/>
          </w:tcPr>
          <w:p w14:paraId="63A5B284">
            <w:pPr>
              <w:jc w:val="center"/>
              <w:textAlignment w:val="center"/>
              <w:rPr>
                <w:rFonts w:ascii="仿宋" w:hAnsi="仿宋" w:eastAsia="仿宋" w:cs="仿宋"/>
                <w:color w:val="auto"/>
                <w:sz w:val="24"/>
                <w:szCs w:val="24"/>
                <w:highlight w:val="none"/>
                <w:lang w:eastAsia="zh-CN"/>
              </w:rPr>
            </w:pPr>
          </w:p>
        </w:tc>
        <w:tc>
          <w:tcPr>
            <w:tcW w:w="720" w:type="pct"/>
            <w:tcBorders>
              <w:top w:val="single" w:color="000000" w:sz="4" w:space="0"/>
              <w:left w:val="single" w:color="000000" w:sz="4" w:space="0"/>
              <w:bottom w:val="single" w:color="000000" w:sz="4" w:space="0"/>
              <w:right w:val="single" w:color="000000" w:sz="4" w:space="0"/>
            </w:tcBorders>
            <w:noWrap/>
            <w:vAlign w:val="center"/>
          </w:tcPr>
          <w:p w14:paraId="66BE6B69">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公斤</w:t>
            </w:r>
          </w:p>
        </w:tc>
        <w:tc>
          <w:tcPr>
            <w:tcW w:w="670" w:type="pct"/>
            <w:vMerge w:val="continue"/>
            <w:tcBorders>
              <w:top w:val="single" w:color="000000" w:sz="4" w:space="0"/>
              <w:left w:val="single" w:color="000000" w:sz="4" w:space="0"/>
              <w:bottom w:val="single" w:color="000000" w:sz="4" w:space="0"/>
              <w:right w:val="single" w:color="000000" w:sz="4" w:space="0"/>
            </w:tcBorders>
            <w:vAlign w:val="center"/>
          </w:tcPr>
          <w:p w14:paraId="322B85D8">
            <w:pPr>
              <w:jc w:val="center"/>
              <w:rPr>
                <w:rFonts w:ascii="宋体" w:hAnsi="宋体" w:eastAsia="宋体" w:cs="宋体"/>
                <w:color w:val="auto"/>
                <w:sz w:val="24"/>
                <w:szCs w:val="24"/>
                <w:highlight w:val="none"/>
              </w:rPr>
            </w:pPr>
          </w:p>
        </w:tc>
      </w:tr>
      <w:tr w14:paraId="6631E224">
        <w:tblPrEx>
          <w:tblCellMar>
            <w:top w:w="0" w:type="dxa"/>
            <w:left w:w="108" w:type="dxa"/>
            <w:bottom w:w="0" w:type="dxa"/>
            <w:right w:w="108" w:type="dxa"/>
          </w:tblCellMar>
        </w:tblPrEx>
        <w:trPr>
          <w:trHeight w:val="567"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6F388421">
            <w:pPr>
              <w:textAlignment w:val="center"/>
              <w:rPr>
                <w:rFonts w:ascii="宋体" w:hAnsi="宋体" w:eastAsia="宋体" w:cs="宋体"/>
                <w:color w:val="auto"/>
                <w:sz w:val="24"/>
                <w:szCs w:val="24"/>
                <w:highlight w:val="none"/>
                <w:lang w:eastAsia="zh-CN"/>
              </w:rPr>
            </w:pPr>
            <w:r>
              <w:rPr>
                <w:rFonts w:hint="eastAsia" w:ascii="仿宋" w:hAnsi="仿宋" w:eastAsia="仿宋" w:cs="仿宋"/>
                <w:color w:val="auto"/>
                <w:sz w:val="24"/>
                <w:szCs w:val="24"/>
                <w:highlight w:val="none"/>
                <w:lang w:eastAsia="zh-CN"/>
              </w:rPr>
              <w:t>备注：招标以上货物含但不仅限于，所有肉具有动物检疫合格证，鲜肉必须是前三日宰杀，自产自销，保证新鲜、无异味、所有水产类必须具备质量合格证明，还需提供检疫合格证明，确保其未受病原污染。</w:t>
            </w:r>
          </w:p>
        </w:tc>
      </w:tr>
    </w:tbl>
    <w:p w14:paraId="22BD7E89">
      <w:pPr>
        <w:pStyle w:val="94"/>
        <w:spacing w:line="360" w:lineRule="auto"/>
        <w:ind w:firstLine="482" w:firstLineChars="200"/>
        <w:jc w:val="center"/>
        <w:rPr>
          <w:rFonts w:ascii="仿宋" w:hAnsi="仿宋" w:eastAsia="仿宋" w:cs="仿宋"/>
          <w:b/>
          <w:bCs/>
          <w:color w:val="auto"/>
          <w:highlight w:val="none"/>
        </w:rPr>
      </w:pPr>
    </w:p>
    <w:p w14:paraId="5AAC001F">
      <w:pPr>
        <w:rPr>
          <w:rFonts w:ascii="仿宋_GB2312" w:hAnsi="仿宋_GB2312" w:eastAsia="仿宋_GB2312" w:cs="仿宋_GB2312"/>
          <w:bCs/>
          <w:snapToGrid/>
          <w:color w:val="auto"/>
          <w:kern w:val="2"/>
          <w:sz w:val="24"/>
          <w:szCs w:val="24"/>
          <w:highlight w:val="none"/>
          <w:lang w:eastAsia="zh-CN"/>
        </w:rPr>
      </w:pPr>
      <w:r>
        <w:rPr>
          <w:rFonts w:hint="eastAsia" w:ascii="仿宋_GB2312" w:hAnsi="仿宋_GB2312" w:eastAsia="仿宋_GB2312" w:cs="仿宋_GB2312"/>
          <w:bCs/>
          <w:snapToGrid/>
          <w:color w:val="auto"/>
          <w:kern w:val="2"/>
          <w:sz w:val="24"/>
          <w:szCs w:val="24"/>
          <w:highlight w:val="none"/>
          <w:lang w:val="zh-TW" w:eastAsia="zh-TW"/>
        </w:rPr>
        <w:t>备注：</w:t>
      </w:r>
      <w:r>
        <w:rPr>
          <w:rFonts w:hint="eastAsia" w:ascii="仿宋_GB2312" w:hAnsi="仿宋_GB2312" w:eastAsia="仿宋_GB2312" w:cs="仿宋_GB2312"/>
          <w:bCs/>
          <w:snapToGrid/>
          <w:color w:val="auto"/>
          <w:kern w:val="2"/>
          <w:sz w:val="24"/>
          <w:szCs w:val="24"/>
          <w:highlight w:val="none"/>
          <w:lang w:eastAsia="zh-CN"/>
        </w:rPr>
        <w:t>1、</w:t>
      </w:r>
      <w:r>
        <w:rPr>
          <w:rFonts w:hint="eastAsia" w:ascii="仿宋_GB2312" w:hAnsi="仿宋_GB2312" w:eastAsia="仿宋_GB2312" w:cs="仿宋_GB2312"/>
          <w:bCs/>
          <w:snapToGrid/>
          <w:color w:val="auto"/>
          <w:kern w:val="2"/>
          <w:sz w:val="24"/>
          <w:szCs w:val="24"/>
          <w:highlight w:val="none"/>
          <w:lang w:val="zh-TW" w:eastAsia="zh-TW"/>
        </w:rPr>
        <w:t>所有产品品目基准价统一按照北园春集团网站（http</w:t>
      </w:r>
      <w:r>
        <w:rPr>
          <w:rFonts w:hint="eastAsia" w:ascii="仿宋_GB2312" w:hAnsi="仿宋_GB2312" w:eastAsia="仿宋_GB2312" w:cs="仿宋_GB2312"/>
          <w:bCs/>
          <w:snapToGrid/>
          <w:color w:val="auto"/>
          <w:kern w:val="2"/>
          <w:sz w:val="24"/>
          <w:szCs w:val="24"/>
          <w:highlight w:val="none"/>
          <w:lang w:val="zh-TW" w:eastAsia="zh-CN"/>
        </w:rPr>
        <w:t>：</w:t>
      </w:r>
      <w:r>
        <w:rPr>
          <w:rFonts w:hint="eastAsia" w:ascii="仿宋_GB2312" w:hAnsi="仿宋_GB2312" w:eastAsia="仿宋_GB2312" w:cs="仿宋_GB2312"/>
          <w:bCs/>
          <w:snapToGrid/>
          <w:color w:val="auto"/>
          <w:kern w:val="2"/>
          <w:sz w:val="24"/>
          <w:szCs w:val="24"/>
          <w:highlight w:val="none"/>
          <w:lang w:val="zh-TW" w:eastAsia="zh-TW"/>
        </w:rPr>
        <w:t>//www.beiyuanchun.com）公布的价格（中间价）为基准价</w:t>
      </w:r>
      <w:r>
        <w:rPr>
          <w:rFonts w:hint="eastAsia" w:ascii="仿宋_GB2312" w:hAnsi="仿宋_GB2312" w:eastAsia="仿宋_GB2312" w:cs="仿宋_GB2312"/>
          <w:bCs/>
          <w:snapToGrid/>
          <w:color w:val="auto"/>
          <w:kern w:val="2"/>
          <w:sz w:val="24"/>
          <w:szCs w:val="24"/>
          <w:highlight w:val="none"/>
          <w:lang w:val="zh-TW" w:eastAsia="zh-CN"/>
        </w:rPr>
        <w:t>，</w:t>
      </w:r>
      <w:r>
        <w:rPr>
          <w:rFonts w:hint="eastAsia" w:ascii="仿宋_GB2312" w:hAnsi="仿宋_GB2312" w:eastAsia="仿宋_GB2312" w:cs="仿宋_GB2312"/>
          <w:bCs/>
          <w:snapToGrid/>
          <w:color w:val="auto"/>
          <w:kern w:val="2"/>
          <w:sz w:val="24"/>
          <w:szCs w:val="24"/>
          <w:highlight w:val="none"/>
          <w:lang w:val="zh-TW" w:eastAsia="zh-TW"/>
        </w:rPr>
        <w:t>结算价=基准价×</w:t>
      </w:r>
      <w:r>
        <w:rPr>
          <w:rFonts w:hint="eastAsia" w:ascii="仿宋_GB2312" w:hAnsi="仿宋_GB2312" w:eastAsia="仿宋_GB2312" w:cs="仿宋_GB2312"/>
          <w:bCs/>
          <w:snapToGrid/>
          <w:color w:val="auto"/>
          <w:kern w:val="2"/>
          <w:sz w:val="24"/>
          <w:szCs w:val="24"/>
          <w:highlight w:val="none"/>
          <w:lang w:eastAsia="zh-CN"/>
        </w:rPr>
        <w:t>报价折扣。</w:t>
      </w:r>
    </w:p>
    <w:p w14:paraId="138D8180">
      <w:pPr>
        <w:rPr>
          <w:rFonts w:ascii="仿宋_GB2312" w:hAnsi="仿宋_GB2312" w:eastAsia="仿宋_GB2312" w:cs="仿宋_GB2312"/>
          <w:bCs/>
          <w:snapToGrid/>
          <w:color w:val="auto"/>
          <w:kern w:val="2"/>
          <w:sz w:val="24"/>
          <w:szCs w:val="24"/>
          <w:highlight w:val="none"/>
          <w:lang w:eastAsia="zh-CN"/>
        </w:rPr>
      </w:pPr>
      <w:r>
        <w:rPr>
          <w:rFonts w:hint="eastAsia" w:ascii="仿宋_GB2312" w:hAnsi="仿宋_GB2312" w:eastAsia="仿宋_GB2312" w:cs="仿宋_GB2312"/>
          <w:bCs/>
          <w:snapToGrid/>
          <w:color w:val="auto"/>
          <w:kern w:val="2"/>
          <w:sz w:val="24"/>
          <w:szCs w:val="24"/>
          <w:highlight w:val="none"/>
          <w:lang w:eastAsia="zh-CN"/>
        </w:rPr>
        <w:t>2</w:t>
      </w:r>
      <w:r>
        <w:rPr>
          <w:rFonts w:hint="eastAsia" w:ascii="仿宋_GB2312" w:hAnsi="仿宋_GB2312" w:eastAsia="仿宋_GB2312" w:cs="仿宋_GB2312"/>
          <w:bCs/>
          <w:snapToGrid/>
          <w:color w:val="auto"/>
          <w:kern w:val="2"/>
          <w:sz w:val="24"/>
          <w:szCs w:val="24"/>
          <w:highlight w:val="none"/>
          <w:lang w:val="zh-TW" w:eastAsia="zh-CN"/>
        </w:rPr>
        <w:t>、</w:t>
      </w:r>
      <w:r>
        <w:rPr>
          <w:rFonts w:hint="eastAsia" w:ascii="仿宋_GB2312" w:hAnsi="仿宋_GB2312" w:eastAsia="仿宋_GB2312" w:cs="仿宋_GB2312"/>
          <w:bCs/>
          <w:snapToGrid/>
          <w:color w:val="auto"/>
          <w:kern w:val="2"/>
          <w:sz w:val="24"/>
          <w:szCs w:val="24"/>
          <w:highlight w:val="none"/>
          <w:lang w:eastAsia="zh-CN"/>
        </w:rPr>
        <w:t>甲方已给定最高限价的商品，</w:t>
      </w:r>
      <w:r>
        <w:rPr>
          <w:rFonts w:hint="eastAsia" w:ascii="仿宋_GB2312" w:hAnsi="仿宋_GB2312" w:eastAsia="仿宋_GB2312" w:cs="仿宋_GB2312"/>
          <w:bCs/>
          <w:snapToGrid/>
          <w:color w:val="auto"/>
          <w:kern w:val="2"/>
          <w:sz w:val="24"/>
          <w:szCs w:val="24"/>
          <w:highlight w:val="none"/>
          <w:lang w:val="zh-TW" w:eastAsia="zh-TW"/>
        </w:rPr>
        <w:t>需参照甲方提前公布的品目最高限价为基准价</w:t>
      </w:r>
      <w:r>
        <w:rPr>
          <w:rFonts w:hint="eastAsia" w:ascii="仿宋_GB2312" w:hAnsi="仿宋_GB2312" w:eastAsia="仿宋_GB2312" w:cs="仿宋_GB2312"/>
          <w:bCs/>
          <w:snapToGrid/>
          <w:color w:val="auto"/>
          <w:kern w:val="2"/>
          <w:sz w:val="24"/>
          <w:szCs w:val="24"/>
          <w:highlight w:val="none"/>
          <w:lang w:eastAsia="zh-CN"/>
        </w:rPr>
        <w:t>为基准价，进行报价折扣，</w:t>
      </w:r>
      <w:r>
        <w:rPr>
          <w:rFonts w:hint="eastAsia" w:ascii="仿宋_GB2312" w:hAnsi="仿宋_GB2312" w:eastAsia="仿宋_GB2312" w:cs="仿宋_GB2312"/>
          <w:bCs/>
          <w:snapToGrid/>
          <w:color w:val="auto"/>
          <w:kern w:val="2"/>
          <w:sz w:val="24"/>
          <w:szCs w:val="24"/>
          <w:highlight w:val="none"/>
          <w:lang w:val="zh-TW" w:eastAsia="zh-TW"/>
        </w:rPr>
        <w:t>结算价=基准价×</w:t>
      </w:r>
      <w:r>
        <w:rPr>
          <w:rFonts w:hint="eastAsia" w:ascii="仿宋_GB2312" w:hAnsi="仿宋_GB2312" w:eastAsia="仿宋_GB2312" w:cs="仿宋_GB2312"/>
          <w:bCs/>
          <w:snapToGrid/>
          <w:color w:val="auto"/>
          <w:kern w:val="2"/>
          <w:sz w:val="24"/>
          <w:szCs w:val="24"/>
          <w:highlight w:val="none"/>
          <w:lang w:eastAsia="zh-CN"/>
        </w:rPr>
        <w:t>报价折扣。</w:t>
      </w:r>
      <w:r>
        <w:rPr>
          <w:rFonts w:hint="eastAsia" w:ascii="仿宋_GB2312" w:hAnsi="仿宋_GB2312" w:eastAsia="仿宋_GB2312" w:cs="仿宋_GB2312"/>
          <w:bCs/>
          <w:snapToGrid/>
          <w:color w:val="auto"/>
          <w:kern w:val="2"/>
          <w:sz w:val="24"/>
          <w:szCs w:val="24"/>
          <w:highlight w:val="none"/>
          <w:lang w:val="zh-TW" w:eastAsia="zh-TW"/>
        </w:rPr>
        <w:t>经报价的品目，价格经双方确定后，合同期间内，不因市场行情波动、季节更迭、原材料涨跌及其他外部因素调整变动，定价固定不变。</w:t>
      </w:r>
    </w:p>
    <w:p w14:paraId="36ADD5FB">
      <w:pPr>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Cs/>
          <w:snapToGrid/>
          <w:color w:val="auto"/>
          <w:kern w:val="2"/>
          <w:sz w:val="24"/>
          <w:szCs w:val="24"/>
          <w:highlight w:val="none"/>
          <w:lang w:eastAsia="zh-CN"/>
        </w:rPr>
        <w:t>3、</w:t>
      </w:r>
      <w:r>
        <w:rPr>
          <w:rFonts w:hint="eastAsia" w:ascii="仿宋_GB2312" w:hAnsi="仿宋_GB2312" w:eastAsia="仿宋_GB2312" w:cs="仿宋_GB2312"/>
          <w:bCs/>
          <w:snapToGrid/>
          <w:color w:val="auto"/>
          <w:kern w:val="2"/>
          <w:sz w:val="24"/>
          <w:szCs w:val="24"/>
          <w:highlight w:val="none"/>
          <w:lang w:val="zh-TW" w:eastAsia="zh-TW"/>
        </w:rPr>
        <w:t>北园春市场没有公示价格的产品，也不在甲方列出的最高限价品目中</w:t>
      </w:r>
      <w:r>
        <w:rPr>
          <w:rFonts w:hint="eastAsia" w:ascii="仿宋_GB2312" w:hAnsi="仿宋_GB2312" w:eastAsia="仿宋_GB2312" w:cs="仿宋_GB2312"/>
          <w:bCs/>
          <w:snapToGrid/>
          <w:color w:val="auto"/>
          <w:kern w:val="2"/>
          <w:sz w:val="24"/>
          <w:szCs w:val="24"/>
          <w:highlight w:val="none"/>
          <w:lang w:val="zh-TW" w:eastAsia="zh-CN"/>
        </w:rPr>
        <w:t>，</w:t>
      </w:r>
      <w:r>
        <w:rPr>
          <w:rFonts w:hint="eastAsia" w:ascii="仿宋_GB2312" w:hAnsi="仿宋_GB2312" w:eastAsia="仿宋_GB2312" w:cs="仿宋_GB2312"/>
          <w:bCs/>
          <w:snapToGrid/>
          <w:color w:val="auto"/>
          <w:kern w:val="2"/>
          <w:sz w:val="24"/>
          <w:szCs w:val="24"/>
          <w:highlight w:val="none"/>
          <w:lang w:val="zh-TW" w:eastAsia="zh-TW"/>
        </w:rPr>
        <w:t>市场价为甲方（乙方可一并参加）在本周期内（周期为季度）对乌鲁木齐市新联市场、九鼎农贸市场或大型专业批发市场、大中型商超市场或者吐鲁番市的大型专业批发市场或大中型商超市场的</w:t>
      </w:r>
      <w:r>
        <w:rPr>
          <w:rFonts w:hint="eastAsia" w:ascii="仿宋_GB2312" w:hAnsi="仿宋_GB2312" w:eastAsia="仿宋_GB2312" w:cs="仿宋_GB2312"/>
          <w:bCs/>
          <w:snapToGrid/>
          <w:color w:val="auto"/>
          <w:kern w:val="2"/>
          <w:sz w:val="24"/>
          <w:szCs w:val="24"/>
          <w:highlight w:val="none"/>
          <w:lang w:val="zh-TW" w:eastAsia="zh-CN"/>
        </w:rPr>
        <w:t>三家及以上</w:t>
      </w:r>
      <w:r>
        <w:rPr>
          <w:rFonts w:hint="eastAsia" w:ascii="仿宋_GB2312" w:hAnsi="仿宋_GB2312" w:eastAsia="仿宋_GB2312" w:cs="仿宋_GB2312"/>
          <w:bCs/>
          <w:snapToGrid/>
          <w:color w:val="auto"/>
          <w:kern w:val="2"/>
          <w:sz w:val="24"/>
          <w:szCs w:val="24"/>
          <w:highlight w:val="none"/>
          <w:lang w:val="zh-TW" w:eastAsia="zh-TW"/>
        </w:rPr>
        <w:t>询价，经</w:t>
      </w:r>
      <w:r>
        <w:rPr>
          <w:rFonts w:hint="eastAsia" w:ascii="仿宋_GB2312" w:hAnsi="仿宋_GB2312" w:eastAsia="仿宋_GB2312" w:cs="仿宋_GB2312"/>
          <w:bCs/>
          <w:snapToGrid/>
          <w:color w:val="auto"/>
          <w:kern w:val="2"/>
          <w:sz w:val="24"/>
          <w:szCs w:val="24"/>
          <w:highlight w:val="none"/>
          <w:lang w:eastAsia="zh-CN"/>
        </w:rPr>
        <w:t>甲乙</w:t>
      </w:r>
      <w:r>
        <w:rPr>
          <w:rFonts w:hint="eastAsia" w:ascii="仿宋_GB2312" w:hAnsi="仿宋_GB2312" w:eastAsia="仿宋_GB2312" w:cs="仿宋_GB2312"/>
          <w:bCs/>
          <w:snapToGrid/>
          <w:color w:val="auto"/>
          <w:kern w:val="2"/>
          <w:sz w:val="24"/>
          <w:szCs w:val="24"/>
          <w:highlight w:val="none"/>
          <w:lang w:val="zh-TW" w:eastAsia="zh-TW"/>
        </w:rPr>
        <w:t>双方共同确认后</w:t>
      </w:r>
      <w:r>
        <w:rPr>
          <w:rFonts w:hint="eastAsia" w:ascii="仿宋_GB2312" w:hAnsi="仿宋_GB2312" w:eastAsia="仿宋_GB2312" w:cs="仿宋_GB2312"/>
          <w:bCs/>
          <w:snapToGrid/>
          <w:color w:val="auto"/>
          <w:kern w:val="2"/>
          <w:sz w:val="24"/>
          <w:szCs w:val="24"/>
          <w:highlight w:val="none"/>
          <w:lang w:val="zh-TW" w:eastAsia="zh-CN"/>
        </w:rPr>
        <w:t>，</w:t>
      </w:r>
      <w:r>
        <w:rPr>
          <w:rFonts w:hint="eastAsia" w:ascii="仿宋_GB2312" w:hAnsi="仿宋_GB2312" w:eastAsia="仿宋_GB2312" w:cs="仿宋_GB2312"/>
          <w:bCs/>
          <w:snapToGrid/>
          <w:color w:val="auto"/>
          <w:kern w:val="2"/>
          <w:sz w:val="24"/>
          <w:szCs w:val="24"/>
          <w:highlight w:val="none"/>
          <w:lang w:eastAsia="zh-CN"/>
        </w:rPr>
        <w:t>以书面形式</w:t>
      </w:r>
      <w:r>
        <w:rPr>
          <w:rFonts w:hint="eastAsia" w:ascii="仿宋_GB2312" w:hAnsi="仿宋_GB2312" w:eastAsia="仿宋_GB2312" w:cs="仿宋_GB2312"/>
          <w:bCs/>
          <w:snapToGrid/>
          <w:color w:val="auto"/>
          <w:kern w:val="2"/>
          <w:sz w:val="24"/>
          <w:szCs w:val="24"/>
          <w:highlight w:val="none"/>
          <w:lang w:val="zh-TW" w:eastAsia="zh-CN"/>
        </w:rPr>
        <w:t>确定最低价</w:t>
      </w:r>
      <w:r>
        <w:rPr>
          <w:rFonts w:hint="eastAsia" w:ascii="仿宋_GB2312" w:hAnsi="仿宋_GB2312" w:eastAsia="仿宋_GB2312" w:cs="仿宋_GB2312"/>
          <w:bCs/>
          <w:snapToGrid/>
          <w:color w:val="auto"/>
          <w:kern w:val="2"/>
          <w:sz w:val="24"/>
          <w:szCs w:val="24"/>
          <w:highlight w:val="none"/>
          <w:lang w:eastAsia="zh-CN"/>
        </w:rPr>
        <w:t>为基准价；</w:t>
      </w:r>
      <w:r>
        <w:rPr>
          <w:rFonts w:hint="eastAsia" w:ascii="仿宋_GB2312" w:hAnsi="仿宋_GB2312" w:eastAsia="仿宋_GB2312" w:cs="仿宋_GB2312"/>
          <w:bCs/>
          <w:snapToGrid/>
          <w:color w:val="auto"/>
          <w:kern w:val="2"/>
          <w:sz w:val="24"/>
          <w:szCs w:val="24"/>
          <w:highlight w:val="none"/>
          <w:lang w:val="zh-TW" w:eastAsia="zh-TW"/>
        </w:rPr>
        <w:t>甲乙双方</w:t>
      </w:r>
      <w:r>
        <w:rPr>
          <w:rFonts w:hint="eastAsia" w:ascii="仿宋_GB2312" w:hAnsi="仿宋_GB2312" w:eastAsia="仿宋_GB2312" w:cs="仿宋_GB2312"/>
          <w:bCs/>
          <w:snapToGrid/>
          <w:color w:val="auto"/>
          <w:kern w:val="2"/>
          <w:sz w:val="24"/>
          <w:szCs w:val="24"/>
          <w:highlight w:val="none"/>
          <w:lang w:eastAsia="zh-CN"/>
        </w:rPr>
        <w:t>以书面确认的</w:t>
      </w:r>
      <w:r>
        <w:rPr>
          <w:rFonts w:hint="eastAsia" w:ascii="仿宋_GB2312" w:hAnsi="仿宋_GB2312" w:eastAsia="仿宋_GB2312" w:cs="仿宋_GB2312"/>
          <w:bCs/>
          <w:snapToGrid/>
          <w:color w:val="auto"/>
          <w:kern w:val="2"/>
          <w:sz w:val="24"/>
          <w:szCs w:val="24"/>
          <w:highlight w:val="none"/>
          <w:lang w:val="zh-TW" w:eastAsia="zh-TW"/>
        </w:rPr>
        <w:t>基准价进行</w:t>
      </w:r>
      <w:r>
        <w:rPr>
          <w:rFonts w:hint="eastAsia" w:ascii="仿宋_GB2312" w:hAnsi="仿宋_GB2312" w:eastAsia="仿宋_GB2312" w:cs="仿宋_GB2312"/>
          <w:bCs/>
          <w:snapToGrid/>
          <w:color w:val="auto"/>
          <w:kern w:val="2"/>
          <w:sz w:val="24"/>
          <w:szCs w:val="24"/>
          <w:highlight w:val="none"/>
          <w:lang w:eastAsia="zh-CN"/>
        </w:rPr>
        <w:t>折扣报价</w:t>
      </w:r>
      <w:r>
        <w:rPr>
          <w:rFonts w:hint="eastAsia" w:ascii="仿宋_GB2312" w:hAnsi="仿宋_GB2312" w:eastAsia="仿宋_GB2312" w:cs="仿宋_GB2312"/>
          <w:bCs/>
          <w:snapToGrid/>
          <w:color w:val="auto"/>
          <w:kern w:val="2"/>
          <w:sz w:val="24"/>
          <w:szCs w:val="24"/>
          <w:highlight w:val="none"/>
          <w:lang w:val="zh-TW" w:eastAsia="zh-TW"/>
        </w:rPr>
        <w:t>后确定结算价。即：结算价=基准价（市场价）×</w:t>
      </w:r>
      <w:r>
        <w:rPr>
          <w:rFonts w:hint="eastAsia" w:ascii="仿宋_GB2312" w:hAnsi="仿宋_GB2312" w:eastAsia="仿宋_GB2312" w:cs="仿宋_GB2312"/>
          <w:bCs/>
          <w:snapToGrid/>
          <w:color w:val="auto"/>
          <w:kern w:val="2"/>
          <w:sz w:val="24"/>
          <w:szCs w:val="24"/>
          <w:highlight w:val="none"/>
          <w:lang w:eastAsia="zh-CN"/>
        </w:rPr>
        <w:t>报价折扣</w:t>
      </w:r>
      <w:r>
        <w:rPr>
          <w:rFonts w:hint="eastAsia" w:ascii="仿宋_GB2312" w:hAnsi="仿宋_GB2312" w:eastAsia="仿宋_GB2312" w:cs="仿宋_GB2312"/>
          <w:bCs/>
          <w:snapToGrid/>
          <w:color w:val="auto"/>
          <w:kern w:val="2"/>
          <w:sz w:val="24"/>
          <w:szCs w:val="24"/>
          <w:highlight w:val="none"/>
          <w:lang w:val="zh-TW" w:eastAsia="zh-TW"/>
        </w:rPr>
        <w:t>。</w:t>
      </w:r>
    </w:p>
    <w:p w14:paraId="45F6C6CA">
      <w:pPr>
        <w:pStyle w:val="24"/>
        <w:ind w:firstLine="558"/>
        <w:rPr>
          <w:rFonts w:hAnsi="仿宋_GB2312" w:cs="仿宋_GB2312"/>
          <w:b/>
          <w:bCs/>
          <w:color w:val="auto"/>
          <w:spacing w:val="-1"/>
          <w:sz w:val="28"/>
          <w:szCs w:val="28"/>
          <w:highlight w:val="none"/>
          <w:lang w:eastAsia="zh-CN"/>
        </w:rPr>
      </w:pPr>
      <w:r>
        <w:rPr>
          <w:rFonts w:hint="eastAsia" w:hAnsi="仿宋_GB2312" w:cs="仿宋_GB2312"/>
          <w:b/>
          <w:bCs/>
          <w:color w:val="auto"/>
          <w:spacing w:val="-1"/>
          <w:sz w:val="28"/>
          <w:szCs w:val="28"/>
          <w:highlight w:val="none"/>
          <w:lang w:eastAsia="zh-CN"/>
        </w:rPr>
        <w:t>二、技术要求</w:t>
      </w:r>
    </w:p>
    <w:p w14:paraId="27350D99">
      <w:pPr>
        <w:pStyle w:val="68"/>
        <w:tabs>
          <w:tab w:val="left" w:pos="1560"/>
        </w:tabs>
        <w:spacing w:line="360" w:lineRule="auto"/>
        <w:ind w:firstLine="480" w:firstLineChars="200"/>
        <w:rPr>
          <w:rFonts w:ascii="仿宋_GB2312" w:hAnsi="仿宋_GB2312" w:eastAsia="仿宋_GB2312" w:cs="仿宋_GB2312"/>
          <w:bCs/>
          <w:color w:val="auto"/>
          <w:sz w:val="24"/>
          <w:szCs w:val="24"/>
          <w:highlight w:val="none"/>
          <w:lang w:val="zh-TW" w:eastAsia="zh-TW"/>
        </w:rPr>
      </w:pPr>
      <w:r>
        <w:rPr>
          <w:rFonts w:hint="eastAsia" w:ascii="仿宋_GB2312" w:hAnsi="仿宋_GB2312" w:eastAsia="仿宋_GB2312" w:cs="仿宋_GB2312"/>
          <w:bCs/>
          <w:color w:val="auto"/>
          <w:sz w:val="24"/>
          <w:szCs w:val="24"/>
          <w:highlight w:val="none"/>
        </w:rPr>
        <w:t>1、</w:t>
      </w:r>
      <w:r>
        <w:rPr>
          <w:rFonts w:hint="eastAsia" w:ascii="仿宋_GB2312" w:hAnsi="仿宋_GB2312" w:eastAsia="仿宋_GB2312" w:cs="仿宋_GB2312"/>
          <w:bCs/>
          <w:color w:val="auto"/>
          <w:sz w:val="24"/>
          <w:szCs w:val="24"/>
          <w:highlight w:val="none"/>
          <w:lang w:val="zh-TW"/>
        </w:rPr>
        <w:t>总体要求：</w:t>
      </w:r>
      <w:r>
        <w:rPr>
          <w:rFonts w:hint="eastAsia" w:ascii="仿宋_GB2312" w:hAnsi="仿宋_GB2312" w:eastAsia="仿宋_GB2312" w:cs="仿宋_GB2312"/>
          <w:bCs/>
          <w:color w:val="auto"/>
          <w:sz w:val="24"/>
          <w:szCs w:val="24"/>
          <w:highlight w:val="none"/>
          <w:lang w:val="zh-TW" w:eastAsia="zh-TW"/>
        </w:rPr>
        <w:t>投标人所提供的产品</w:t>
      </w:r>
      <w:r>
        <w:rPr>
          <w:rFonts w:hint="eastAsia" w:ascii="仿宋_GB2312" w:hAnsi="仿宋_GB2312" w:eastAsia="仿宋_GB2312" w:cs="仿宋_GB2312"/>
          <w:bCs/>
          <w:color w:val="auto"/>
          <w:sz w:val="24"/>
          <w:szCs w:val="24"/>
          <w:highlight w:val="none"/>
          <w:lang w:val="zh-TW"/>
        </w:rPr>
        <w:t>，</w:t>
      </w:r>
      <w:r>
        <w:rPr>
          <w:rFonts w:hint="eastAsia" w:ascii="仿宋_GB2312" w:hAnsi="仿宋_GB2312" w:eastAsia="仿宋_GB2312" w:cs="仿宋_GB2312"/>
          <w:bCs/>
          <w:color w:val="auto"/>
          <w:sz w:val="24"/>
          <w:szCs w:val="24"/>
          <w:highlight w:val="none"/>
          <w:lang w:val="zh-TW" w:eastAsia="zh-TW"/>
        </w:rPr>
        <w:t>各项指标必须符合中华人民共和国食品安全国家标准。</w:t>
      </w:r>
    </w:p>
    <w:p w14:paraId="395774BC">
      <w:pPr>
        <w:pStyle w:val="68"/>
        <w:tabs>
          <w:tab w:val="left" w:pos="1560"/>
        </w:tabs>
        <w:spacing w:line="360" w:lineRule="auto"/>
        <w:ind w:firstLine="480" w:firstLineChars="200"/>
        <w:rPr>
          <w:rFonts w:ascii="仿宋_GB2312" w:hAnsi="仿宋_GB2312" w:eastAsia="仿宋_GB2312" w:cs="仿宋_GB2312"/>
          <w:bCs/>
          <w:color w:val="auto"/>
          <w:sz w:val="24"/>
          <w:szCs w:val="24"/>
          <w:highlight w:val="none"/>
          <w:lang w:val="zh-TW" w:eastAsia="zh-TW"/>
        </w:rPr>
      </w:pPr>
      <w:r>
        <w:rPr>
          <w:rFonts w:hint="eastAsia" w:ascii="仿宋_GB2312" w:hAnsi="仿宋_GB2312" w:eastAsia="仿宋_GB2312" w:cs="仿宋_GB2312"/>
          <w:bCs/>
          <w:color w:val="auto"/>
          <w:sz w:val="24"/>
          <w:szCs w:val="24"/>
          <w:highlight w:val="none"/>
          <w:lang w:val="zh-TW" w:eastAsia="zh-TW"/>
        </w:rPr>
        <w:t>2</w:t>
      </w:r>
      <w:r>
        <w:rPr>
          <w:rFonts w:hint="eastAsia" w:ascii="仿宋_GB2312" w:hAnsi="仿宋_GB2312" w:eastAsia="仿宋_GB2312" w:cs="仿宋_GB2312"/>
          <w:bCs/>
          <w:color w:val="auto"/>
          <w:sz w:val="24"/>
          <w:szCs w:val="24"/>
          <w:highlight w:val="none"/>
          <w:lang w:val="zh-TW"/>
        </w:rPr>
        <w:t>、</w:t>
      </w:r>
      <w:r>
        <w:rPr>
          <w:rFonts w:hint="eastAsia" w:ascii="仿宋_GB2312" w:hAnsi="仿宋_GB2312" w:eastAsia="仿宋_GB2312" w:cs="仿宋_GB2312"/>
          <w:bCs/>
          <w:color w:val="auto"/>
          <w:sz w:val="24"/>
          <w:szCs w:val="24"/>
          <w:highlight w:val="none"/>
          <w:lang w:val="zh-TW" w:eastAsia="zh-TW"/>
        </w:rPr>
        <w:t>卫生指标：卫生指标应符合</w:t>
      </w:r>
      <w:r>
        <w:rPr>
          <w:rFonts w:hint="eastAsia" w:ascii="仿宋_GB2312" w:hAnsi="仿宋_GB2312" w:eastAsia="仿宋_GB2312" w:cs="仿宋_GB2312"/>
          <w:bCs/>
          <w:color w:val="auto"/>
          <w:sz w:val="24"/>
          <w:szCs w:val="24"/>
          <w:highlight w:val="none"/>
          <w:lang w:val="zh-TW"/>
        </w:rPr>
        <w:t>《食品安全国家标准鲜（冻）畜、禽产品》</w:t>
      </w:r>
      <w:r>
        <w:rPr>
          <w:rFonts w:hint="eastAsia" w:ascii="仿宋_GB2312" w:hAnsi="仿宋_GB2312" w:eastAsia="仿宋_GB2312" w:cs="仿宋_GB2312"/>
          <w:bCs/>
          <w:color w:val="auto"/>
          <w:sz w:val="24"/>
          <w:szCs w:val="24"/>
          <w:highlight w:val="none"/>
        </w:rPr>
        <w:t>等相关标准，新鲜牛羊肉提供动物检疫合格证明，冷冻肉提供入境货物检验检疫证明</w:t>
      </w:r>
      <w:r>
        <w:rPr>
          <w:rFonts w:hint="eastAsia" w:ascii="仿宋_GB2312" w:hAnsi="仿宋_GB2312" w:eastAsia="仿宋_GB2312" w:cs="仿宋_GB2312"/>
          <w:bCs/>
          <w:color w:val="auto"/>
          <w:sz w:val="24"/>
          <w:szCs w:val="24"/>
          <w:highlight w:val="none"/>
          <w:lang w:val="zh-TW" w:eastAsia="zh-TW"/>
        </w:rPr>
        <w:t>。</w:t>
      </w:r>
    </w:p>
    <w:p w14:paraId="6B261514">
      <w:pPr>
        <w:pStyle w:val="68"/>
        <w:tabs>
          <w:tab w:val="left" w:pos="1560"/>
        </w:tabs>
        <w:spacing w:line="360" w:lineRule="auto"/>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3、质量要求：</w:t>
      </w:r>
    </w:p>
    <w:p w14:paraId="2F0396BB">
      <w:pPr>
        <w:pStyle w:val="68"/>
        <w:tabs>
          <w:tab w:val="left" w:pos="1560"/>
        </w:tabs>
        <w:spacing w:line="360" w:lineRule="auto"/>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（一）鲜肉类：</w:t>
      </w:r>
    </w:p>
    <w:p w14:paraId="37BA3E27">
      <w:pPr>
        <w:pStyle w:val="68"/>
        <w:tabs>
          <w:tab w:val="left" w:pos="1560"/>
        </w:tabs>
        <w:spacing w:line="360"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（1）</w:t>
      </w:r>
      <w:r>
        <w:rPr>
          <w:rFonts w:hint="eastAsia" w:ascii="仿宋_GB2312" w:hAnsi="仿宋_GB2312" w:eastAsia="仿宋_GB2312" w:cs="仿宋_GB2312"/>
          <w:bCs/>
          <w:color w:val="auto"/>
          <w:sz w:val="24"/>
          <w:szCs w:val="24"/>
          <w:highlight w:val="none"/>
        </w:rPr>
        <w:t>鸡鸭肉类：选用健康、检疫合格鸡/鸭、去除鸡/鸭毛，鸡/鸭体洁净，表皮无破损，无病变、无腐烂，无异味、无肉眼可见杂质。</w:t>
      </w:r>
    </w:p>
    <w:p w14:paraId="7EEF3D2C">
      <w:pPr>
        <w:pStyle w:val="68"/>
        <w:tabs>
          <w:tab w:val="left" w:pos="1560"/>
        </w:tabs>
        <w:spacing w:line="360" w:lineRule="auto"/>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（2）水产</w:t>
      </w:r>
      <w:r>
        <w:rPr>
          <w:rFonts w:ascii="仿宋_GB2312" w:hAnsi="仿宋_GB2312" w:eastAsia="仿宋_GB2312" w:cs="仿宋_GB2312"/>
          <w:bCs/>
          <w:color w:val="auto"/>
          <w:sz w:val="24"/>
          <w:szCs w:val="24"/>
          <w:highlight w:val="none"/>
        </w:rPr>
        <w:t>类：</w:t>
      </w:r>
      <w:r>
        <w:rPr>
          <w:rFonts w:hint="eastAsia" w:ascii="仿宋" w:hAnsi="仿宋" w:eastAsia="仿宋" w:cs="仿宋"/>
          <w:color w:val="auto"/>
          <w:sz w:val="24"/>
          <w:szCs w:val="24"/>
          <w:highlight w:val="none"/>
        </w:rPr>
        <w:t>新鲜，无病变、无腐烂、无异味。</w:t>
      </w:r>
    </w:p>
    <w:p w14:paraId="3B0ACD7A">
      <w:pPr>
        <w:pStyle w:val="68"/>
        <w:tabs>
          <w:tab w:val="left" w:pos="1560"/>
        </w:tabs>
        <w:spacing w:line="360"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rPr>
        <w:t>3</w:t>
      </w:r>
      <w:r>
        <w:rPr>
          <w:rFonts w:ascii="仿宋_GB2312" w:hAnsi="仿宋_GB2312" w:eastAsia="仿宋_GB2312" w:cs="仿宋_GB2312"/>
          <w:bCs/>
          <w:color w:val="auto"/>
          <w:sz w:val="24"/>
          <w:szCs w:val="24"/>
          <w:highlight w:val="none"/>
        </w:rPr>
        <w:t>）肉质鲜嫩，具备《动物卫生防疫合格证》等相关资质必须齐全，有检疫标识，冷链配送，质量保证按国家最新的食品验收标准严格执行。</w:t>
      </w:r>
    </w:p>
    <w:p w14:paraId="28798AFA">
      <w:pPr>
        <w:pStyle w:val="68"/>
        <w:tabs>
          <w:tab w:val="left" w:pos="1560"/>
        </w:tabs>
        <w:spacing w:line="360"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rPr>
        <w:t>4</w:t>
      </w:r>
      <w:r>
        <w:rPr>
          <w:rFonts w:ascii="仿宋_GB2312" w:hAnsi="仿宋_GB2312" w:eastAsia="仿宋_GB2312" w:cs="仿宋_GB2312"/>
          <w:bCs/>
          <w:color w:val="auto"/>
          <w:sz w:val="24"/>
          <w:szCs w:val="24"/>
          <w:highlight w:val="none"/>
        </w:rPr>
        <w:t>）所供物资的计量方式为净重</w:t>
      </w:r>
    </w:p>
    <w:p w14:paraId="59D56180">
      <w:pPr>
        <w:pStyle w:val="68"/>
        <w:tabs>
          <w:tab w:val="left" w:pos="1560"/>
        </w:tabs>
        <w:spacing w:line="360"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注：严禁使用注水肉。鸡鸭鱼肉，无血水、无残骨、无余冰、无异味。</w:t>
      </w:r>
    </w:p>
    <w:p w14:paraId="6A0A4CAE">
      <w:pPr>
        <w:pStyle w:val="68"/>
        <w:tabs>
          <w:tab w:val="left" w:pos="1560"/>
        </w:tabs>
        <w:spacing w:line="360"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rPr>
        <w:t>5</w:t>
      </w:r>
      <w:r>
        <w:rPr>
          <w:rFonts w:ascii="仿宋_GB2312" w:hAnsi="仿宋_GB2312" w:eastAsia="仿宋_GB2312" w:cs="仿宋_GB2312"/>
          <w:bCs/>
          <w:color w:val="auto"/>
          <w:sz w:val="24"/>
          <w:szCs w:val="24"/>
          <w:highlight w:val="none"/>
        </w:rPr>
        <w:t>）分割要求：按甲方加工需求进行初步分割、清洗、去毛、去骨处理。</w:t>
      </w:r>
    </w:p>
    <w:p w14:paraId="282C9F9B">
      <w:pPr>
        <w:pStyle w:val="68"/>
        <w:tabs>
          <w:tab w:val="left" w:pos="1560"/>
        </w:tabs>
        <w:spacing w:line="360"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包装要求：真空包装或食品级塑料袋密封，外贴标签注明品名、重量、生产日期、保质期。</w:t>
      </w:r>
    </w:p>
    <w:p w14:paraId="52F3C277">
      <w:pPr>
        <w:pStyle w:val="68"/>
        <w:tabs>
          <w:tab w:val="left" w:pos="1560"/>
        </w:tabs>
        <w:spacing w:line="360"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rPr>
        <w:t>6</w:t>
      </w:r>
      <w:r>
        <w:rPr>
          <w:rFonts w:ascii="仿宋_GB2312" w:hAnsi="仿宋_GB2312" w:eastAsia="仿宋_GB2312" w:cs="仿宋_GB2312"/>
          <w:bCs/>
          <w:color w:val="auto"/>
          <w:sz w:val="24"/>
          <w:szCs w:val="24"/>
          <w:highlight w:val="none"/>
        </w:rPr>
        <w:t>）所有食材必须符合《中华人民共和国食品安全法》《食品安全国家标准鲜（冻）畜、禽产品》（GB 2707-2016）、《食品安全国家标准鲜、冻动物性水产品》（GB 2733-2015）等国家现行法律法规及食品安全标准，严禁供应不合格、过期、变质、检疫不合格食材。。</w:t>
      </w:r>
    </w:p>
    <w:p w14:paraId="6C78422B">
      <w:pPr>
        <w:pStyle w:val="68"/>
        <w:tabs>
          <w:tab w:val="left" w:pos="1560"/>
        </w:tabs>
        <w:spacing w:line="360"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rPr>
        <w:t>7</w:t>
      </w:r>
      <w:r>
        <w:rPr>
          <w:rFonts w:ascii="仿宋_GB2312" w:hAnsi="仿宋_GB2312" w:eastAsia="仿宋_GB2312" w:cs="仿宋_GB2312"/>
          <w:bCs/>
          <w:color w:val="auto"/>
          <w:sz w:val="24"/>
          <w:szCs w:val="24"/>
          <w:highlight w:val="none"/>
        </w:rPr>
        <w:t>）追溯体系：具备完整的来源可追溯机制。</w:t>
      </w:r>
    </w:p>
    <w:p w14:paraId="5C8F5DE3">
      <w:pPr>
        <w:pStyle w:val="68"/>
        <w:tabs>
          <w:tab w:val="left" w:pos="1560"/>
        </w:tabs>
        <w:spacing w:line="360"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rPr>
        <w:t>8</w:t>
      </w:r>
      <w:r>
        <w:rPr>
          <w:rFonts w:ascii="仿宋_GB2312" w:hAnsi="仿宋_GB2312" w:eastAsia="仿宋_GB2312" w:cs="仿宋_GB2312"/>
          <w:bCs/>
          <w:color w:val="auto"/>
          <w:sz w:val="24"/>
          <w:szCs w:val="24"/>
          <w:highlight w:val="none"/>
        </w:rPr>
        <w:t>） 食材来源于政府定点、资质齐全的屠宰企业，为当日屠宰新鲜食材，屠宰至配送不超过24小时，非注水、非注胶、非病死、无淤血、无异味、无病变、无淋巴残留。</w:t>
      </w:r>
    </w:p>
    <w:p w14:paraId="0311A775">
      <w:pPr>
        <w:pStyle w:val="68"/>
        <w:tabs>
          <w:tab w:val="left" w:pos="1560"/>
        </w:tabs>
        <w:spacing w:line="360"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rPr>
        <w:t>9</w:t>
      </w:r>
      <w:r>
        <w:rPr>
          <w:rFonts w:ascii="仿宋_GB2312" w:hAnsi="仿宋_GB2312" w:eastAsia="仿宋_GB2312" w:cs="仿宋_GB2312"/>
          <w:bCs/>
          <w:color w:val="auto"/>
          <w:sz w:val="24"/>
          <w:szCs w:val="24"/>
          <w:highlight w:val="none"/>
        </w:rPr>
        <w:t>） 每批次随货提供动物检疫合格证明、肉品品质检验合格证明，加盖正规检疫验讫印章，证件与货物批次一致。</w:t>
      </w:r>
    </w:p>
    <w:p w14:paraId="5751ECBF">
      <w:pPr>
        <w:pStyle w:val="68"/>
        <w:tabs>
          <w:tab w:val="left" w:pos="1560"/>
        </w:tabs>
        <w:spacing w:line="360"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（1</w:t>
      </w:r>
      <w:r>
        <w:rPr>
          <w:rFonts w:hint="eastAsia" w:ascii="仿宋_GB2312" w:hAnsi="仿宋_GB2312" w:eastAsia="仿宋_GB2312" w:cs="仿宋_GB2312"/>
          <w:bCs/>
          <w:color w:val="auto"/>
          <w:sz w:val="24"/>
          <w:szCs w:val="24"/>
          <w:highlight w:val="none"/>
        </w:rPr>
        <w:t>0</w:t>
      </w:r>
      <w:r>
        <w:rPr>
          <w:rFonts w:ascii="仿宋_GB2312" w:hAnsi="仿宋_GB2312" w:eastAsia="仿宋_GB2312" w:cs="仿宋_GB2312"/>
          <w:bCs/>
          <w:color w:val="auto"/>
          <w:sz w:val="24"/>
          <w:szCs w:val="24"/>
          <w:highlight w:val="none"/>
        </w:rPr>
        <w:t>） 分割规整，去除多余边角、杂质、碎骨，净肉率达标，无过期、变质、冷冻返鲜食材。</w:t>
      </w:r>
    </w:p>
    <w:p w14:paraId="7CF452E5">
      <w:pPr>
        <w:pStyle w:val="68"/>
        <w:tabs>
          <w:tab w:val="left" w:pos="1560"/>
        </w:tabs>
        <w:spacing w:line="360" w:lineRule="auto"/>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4、包装要求：</w:t>
      </w:r>
    </w:p>
    <w:p w14:paraId="441D2788">
      <w:pPr>
        <w:pStyle w:val="68"/>
        <w:tabs>
          <w:tab w:val="left" w:pos="1560"/>
        </w:tabs>
        <w:spacing w:line="360" w:lineRule="auto"/>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（1）包装使用塑料薄膜、纸制品、泡沫箱等，材料无毒、无害、无异味，具有一定透气性；</w:t>
      </w:r>
    </w:p>
    <w:p w14:paraId="2D826E7D">
      <w:pPr>
        <w:pStyle w:val="68"/>
        <w:tabs>
          <w:tab w:val="left" w:pos="1560"/>
        </w:tabs>
        <w:spacing w:line="360" w:lineRule="auto"/>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（2）包装材料应清洁、干燥，不得含有害物质，也不能对肉品造成污染。</w:t>
      </w:r>
    </w:p>
    <w:p w14:paraId="7FD58254">
      <w:pPr>
        <w:spacing w:line="360" w:lineRule="auto"/>
        <w:ind w:right="14" w:firstLine="562" w:firstLineChars="200"/>
        <w:rPr>
          <w:rFonts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三、商务要求</w:t>
      </w:r>
    </w:p>
    <w:bookmarkEnd w:id="124"/>
    <w:bookmarkEnd w:id="125"/>
    <w:bookmarkEnd w:id="126"/>
    <w:p w14:paraId="3CF5D750">
      <w:pPr>
        <w:pStyle w:val="68"/>
        <w:tabs>
          <w:tab w:val="left" w:pos="1560"/>
        </w:tabs>
        <w:spacing w:line="440" w:lineRule="exact"/>
        <w:ind w:firstLine="480" w:firstLineChars="200"/>
        <w:rPr>
          <w:rFonts w:ascii="仿宋_GB2312" w:hAnsi="仿宋_GB2312" w:eastAsia="仿宋_GB2312" w:cs="仿宋_GB2312"/>
          <w:b/>
          <w:color w:val="auto"/>
          <w:sz w:val="24"/>
          <w:szCs w:val="24"/>
          <w:highlight w:val="none"/>
        </w:rPr>
      </w:pPr>
      <w:r>
        <w:rPr>
          <w:rFonts w:hint="eastAsia" w:ascii="仿宋_GB2312" w:hAnsi="仿宋_GB2312" w:eastAsia="仿宋_GB2312" w:cs="仿宋_GB2312"/>
          <w:bCs/>
          <w:color w:val="auto"/>
          <w:sz w:val="24"/>
          <w:szCs w:val="24"/>
          <w:highlight w:val="none"/>
          <w:lang w:val="zh-TW" w:eastAsia="zh-TW"/>
        </w:rPr>
        <w:t>★</w:t>
      </w:r>
      <w:r>
        <w:rPr>
          <w:rFonts w:hint="eastAsia" w:ascii="仿宋_GB2312" w:hAnsi="仿宋_GB2312" w:eastAsia="仿宋_GB2312" w:cs="仿宋_GB2312"/>
          <w:bCs/>
          <w:color w:val="auto"/>
          <w:sz w:val="24"/>
          <w:szCs w:val="24"/>
          <w:highlight w:val="none"/>
        </w:rPr>
        <w:t>1、供货时间：采购人提前1个工作日下达订单，供应商按指定时间配送至指定地点，紧急订单4小时内送达，不得延迟、漏送、错送。（</w:t>
      </w:r>
      <w:r>
        <w:rPr>
          <w:rFonts w:hint="eastAsia" w:ascii="仿宋_GB2312" w:hAnsi="仿宋_GB2312" w:eastAsia="仿宋_GB2312" w:cs="仿宋_GB2312"/>
          <w:b/>
          <w:color w:val="auto"/>
          <w:sz w:val="24"/>
          <w:szCs w:val="24"/>
          <w:highlight w:val="none"/>
        </w:rPr>
        <w:t>实质性条款</w:t>
      </w:r>
      <w:r>
        <w:rPr>
          <w:rFonts w:hint="eastAsia" w:ascii="仿宋_GB2312" w:hAnsi="仿宋_GB2312" w:eastAsia="仿宋_GB2312" w:cs="仿宋_GB2312"/>
          <w:bCs/>
          <w:color w:val="auto"/>
          <w:sz w:val="24"/>
          <w:szCs w:val="24"/>
          <w:highlight w:val="none"/>
        </w:rPr>
        <w:t>）</w:t>
      </w:r>
    </w:p>
    <w:p w14:paraId="3E51E936">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zh-TW" w:eastAsia="zh-TW"/>
        </w:rPr>
        <w:t>★</w:t>
      </w:r>
      <w:r>
        <w:rPr>
          <w:rFonts w:hint="eastAsia" w:ascii="仿宋_GB2312" w:hAnsi="仿宋_GB2312" w:eastAsia="仿宋_GB2312" w:cs="仿宋_GB2312"/>
          <w:bCs/>
          <w:color w:val="auto"/>
          <w:sz w:val="24"/>
          <w:szCs w:val="24"/>
          <w:highlight w:val="none"/>
        </w:rPr>
        <w:t>2、交货地点：</w:t>
      </w:r>
      <w:r>
        <w:rPr>
          <w:rFonts w:hint="eastAsia" w:ascii="仿宋_GB2312" w:hAnsi="仿宋_GB2312" w:eastAsia="仿宋_GB2312" w:cs="仿宋_GB2312"/>
          <w:bCs/>
          <w:color w:val="auto"/>
          <w:sz w:val="24"/>
          <w:szCs w:val="24"/>
          <w:highlight w:val="none"/>
          <w:lang w:eastAsia="zh-CN"/>
        </w:rPr>
        <w:t>采购人指定地点</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
          <w:color w:val="auto"/>
          <w:sz w:val="24"/>
          <w:szCs w:val="24"/>
          <w:highlight w:val="none"/>
        </w:rPr>
        <w:t>实质性条款</w:t>
      </w:r>
      <w:r>
        <w:rPr>
          <w:rFonts w:hint="eastAsia" w:ascii="仿宋_GB2312" w:hAnsi="仿宋_GB2312" w:eastAsia="仿宋_GB2312" w:cs="仿宋_GB2312"/>
          <w:bCs/>
          <w:color w:val="auto"/>
          <w:sz w:val="24"/>
          <w:szCs w:val="24"/>
          <w:highlight w:val="none"/>
        </w:rPr>
        <w:t>）</w:t>
      </w:r>
    </w:p>
    <w:p w14:paraId="676C8B97">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zh-TW" w:eastAsia="zh-TW"/>
        </w:rPr>
        <w:t>★</w:t>
      </w:r>
      <w:r>
        <w:rPr>
          <w:rFonts w:hint="eastAsia" w:ascii="仿宋_GB2312" w:hAnsi="仿宋_GB2312" w:eastAsia="仿宋_GB2312" w:cs="仿宋_GB2312"/>
          <w:bCs/>
          <w:color w:val="auto"/>
          <w:sz w:val="24"/>
          <w:szCs w:val="24"/>
          <w:highlight w:val="none"/>
        </w:rPr>
        <w:t>3、质保期：</w:t>
      </w:r>
      <w:r>
        <w:rPr>
          <w:rFonts w:hint="eastAsia" w:ascii="仿宋_GB2312" w:hAnsi="仿宋_GB2312" w:eastAsia="仿宋_GB2312" w:cs="仿宋_GB2312"/>
          <w:color w:val="auto"/>
          <w:sz w:val="24"/>
          <w:szCs w:val="24"/>
          <w:highlight w:val="none"/>
          <w:lang w:eastAsia="zh-CN"/>
        </w:rPr>
        <w:t>供应商保证所供货物质量新鲜，有保质期约定的货品，配送的货品质保期应在80%以上，否则采购人有权按照不符合合同约定要求退换货物。（例：如质保期为10个月的，供货时剩余的质保期应当大于或等于8个月）。</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
          <w:color w:val="auto"/>
          <w:sz w:val="24"/>
          <w:szCs w:val="24"/>
          <w:highlight w:val="none"/>
        </w:rPr>
        <w:t>实质性条款</w:t>
      </w:r>
      <w:r>
        <w:rPr>
          <w:rFonts w:hint="eastAsia" w:ascii="仿宋_GB2312" w:hAnsi="仿宋_GB2312" w:eastAsia="仿宋_GB2312" w:cs="仿宋_GB2312"/>
          <w:bCs/>
          <w:color w:val="auto"/>
          <w:sz w:val="24"/>
          <w:szCs w:val="24"/>
          <w:highlight w:val="none"/>
        </w:rPr>
        <w:t>）</w:t>
      </w:r>
    </w:p>
    <w:p w14:paraId="4A340AED">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4、配送服务要求</w:t>
      </w:r>
    </w:p>
    <w:p w14:paraId="49941597">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（1）配送时效：采购人提前1个工作日下达订单，供应商按指定时间配送至指定地点，紧急订单4小时内送达，不得延迟、漏送、错送。</w:t>
      </w:r>
    </w:p>
    <w:p w14:paraId="510D267C">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 配送规范：采用专用冷链车辆，全程温控达标，车辆清洁卫生、定期消毒，从业人员持有效健康证，食材分类分拣、密封包装，杜绝交叉污染。</w:t>
      </w:r>
    </w:p>
    <w:p w14:paraId="008A3AB8">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 随货资料：每批次货物必须附带送货单、对应检疫检验报告、合格证明、进货凭证，资料齐全、真实有效，方可验收。</w:t>
      </w:r>
    </w:p>
    <w:p w14:paraId="51FB45E3">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（4）退换货处理：验收不合格产品，供应商需在2小时内响应，8小时内完成退换、补货，产生的全部费用由供应商自行承担，不得影响采购方正常使用。</w:t>
      </w:r>
    </w:p>
    <w:p w14:paraId="2FB4F347">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5、验收标准</w:t>
      </w:r>
    </w:p>
    <w:p w14:paraId="4BE5B99E">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（1）采购方按照本采购文件内列出的采购需求及验收标准需求及国家食品安全标准，对食材的品种、规格、数量、质量、包装、资质文件进行现场逐批次验收。</w:t>
      </w:r>
    </w:p>
    <w:p w14:paraId="470EBF89">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（2）验收不合格的食材，采购方有权拒收、退货、终止合作，供应商需承担全部损失及法律责任。</w:t>
      </w:r>
    </w:p>
    <w:p w14:paraId="1BD6BC25">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（3）若食材存在质量超标、检疫不合格、假冒伪劣等问题，一经查实，扣除全部履约保证金，取消中标资格，并上报监管部门处理。</w:t>
      </w:r>
    </w:p>
    <w:p w14:paraId="17FC94F6">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（4）验收合格后双方签字确认，送货单作为结算依据。</w:t>
      </w:r>
    </w:p>
    <w:p w14:paraId="4FEB59B6">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6、其他要求</w:t>
      </w:r>
    </w:p>
    <w:p w14:paraId="12DD8BBD">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（1）供应商需建立完善的食材采购、储存、配送、溯源管理制度，配合采购方及监管部门的质量抽检。</w:t>
      </w:r>
    </w:p>
    <w:p w14:paraId="5846855C">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（2）履约期间，供应商需保障食材供应稳定，不得无故断供、涨价。</w:t>
      </w:r>
    </w:p>
    <w:p w14:paraId="24770100">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p>
    <w:p w14:paraId="6B065B5F">
      <w:pPr>
        <w:rPr>
          <w:rFonts w:ascii="仿宋_GB2312" w:hAnsi="仿宋_GB2312" w:eastAsia="仿宋_GB2312" w:cs="仿宋_GB2312"/>
          <w:b/>
          <w:bCs/>
          <w:color w:val="auto"/>
          <w:spacing w:val="4"/>
          <w:sz w:val="31"/>
          <w:szCs w:val="31"/>
          <w:highlight w:val="none"/>
          <w:lang w:eastAsia="zh-CN"/>
        </w:rPr>
      </w:pPr>
      <w:r>
        <w:rPr>
          <w:rFonts w:hint="eastAsia" w:ascii="仿宋_GB2312" w:hAnsi="仿宋_GB2312" w:eastAsia="仿宋_GB2312" w:cs="仿宋_GB2312"/>
          <w:b/>
          <w:bCs/>
          <w:color w:val="auto"/>
          <w:spacing w:val="4"/>
          <w:sz w:val="31"/>
          <w:szCs w:val="31"/>
          <w:highlight w:val="none"/>
          <w:lang w:eastAsia="zh-CN"/>
        </w:rPr>
        <w:br w:type="page"/>
      </w:r>
    </w:p>
    <w:p w14:paraId="6DEC468B">
      <w:pPr>
        <w:pStyle w:val="2"/>
        <w:rPr>
          <w:rFonts w:ascii="仿宋_GB2312" w:hAnsi="仿宋_GB2312" w:eastAsia="仿宋_GB2312" w:cs="仿宋_GB2312"/>
          <w:color w:val="auto"/>
          <w:szCs w:val="31"/>
          <w:highlight w:val="none"/>
          <w:lang w:eastAsia="zh-CN"/>
        </w:rPr>
      </w:pPr>
      <w:bookmarkStart w:id="128" w:name="_Toc24165"/>
      <w:r>
        <w:rPr>
          <w:rFonts w:hint="eastAsia"/>
          <w:b/>
          <w:bCs/>
          <w:color w:val="auto"/>
          <w:highlight w:val="none"/>
          <w:lang w:eastAsia="zh-CN"/>
        </w:rPr>
        <w:t>第五章  投标文件格式</w:t>
      </w:r>
      <w:bookmarkEnd w:id="127"/>
      <w:bookmarkEnd w:id="128"/>
    </w:p>
    <w:p w14:paraId="1C5B2614">
      <w:pPr>
        <w:spacing w:line="389" w:lineRule="auto"/>
        <w:rPr>
          <w:rFonts w:ascii="仿宋_GB2312" w:hAnsi="仿宋_GB2312" w:eastAsia="仿宋_GB2312" w:cs="仿宋_GB2312"/>
          <w:color w:val="auto"/>
          <w:highlight w:val="none"/>
          <w:lang w:eastAsia="zh-CN"/>
        </w:rPr>
      </w:pPr>
    </w:p>
    <w:p w14:paraId="6FD0902D">
      <w:pPr>
        <w:pStyle w:val="10"/>
        <w:spacing w:before="114" w:line="231" w:lineRule="auto"/>
        <w:ind w:left="4484"/>
        <w:rPr>
          <w:rFonts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spacing w:val="-6"/>
          <w:highlight w:val="none"/>
          <w:lang w:eastAsia="zh-CN"/>
        </w:rPr>
        <w:t>封面</w:t>
      </w:r>
    </w:p>
    <w:p w14:paraId="2F37F00E">
      <w:pPr>
        <w:spacing w:line="296" w:lineRule="auto"/>
        <w:rPr>
          <w:rFonts w:ascii="仿宋_GB2312" w:hAnsi="仿宋_GB2312" w:eastAsia="仿宋_GB2312" w:cs="仿宋_GB2312"/>
          <w:color w:val="auto"/>
          <w:highlight w:val="none"/>
          <w:lang w:eastAsia="zh-CN"/>
        </w:rPr>
      </w:pPr>
    </w:p>
    <w:p w14:paraId="10011D89">
      <w:pPr>
        <w:spacing w:line="296" w:lineRule="auto"/>
        <w:rPr>
          <w:rFonts w:ascii="仿宋_GB2312" w:hAnsi="仿宋_GB2312" w:eastAsia="仿宋_GB2312" w:cs="仿宋_GB2312"/>
          <w:color w:val="auto"/>
          <w:highlight w:val="none"/>
          <w:lang w:eastAsia="zh-CN"/>
        </w:rPr>
      </w:pPr>
    </w:p>
    <w:p w14:paraId="15D6B915">
      <w:pPr>
        <w:spacing w:line="297" w:lineRule="auto"/>
        <w:rPr>
          <w:rFonts w:ascii="仿宋_GB2312" w:hAnsi="仿宋_GB2312" w:eastAsia="仿宋_GB2312" w:cs="仿宋_GB2312"/>
          <w:color w:val="auto"/>
          <w:highlight w:val="none"/>
          <w:lang w:eastAsia="zh-CN"/>
        </w:rPr>
      </w:pPr>
    </w:p>
    <w:p w14:paraId="698729D3">
      <w:pPr>
        <w:pStyle w:val="10"/>
        <w:spacing w:before="270" w:line="225" w:lineRule="auto"/>
        <w:ind w:left="2571"/>
        <w:rPr>
          <w:rFonts w:ascii="仿宋_GB2312" w:hAnsi="仿宋_GB2312" w:eastAsia="仿宋_GB2312" w:cs="仿宋_GB2312"/>
          <w:color w:val="auto"/>
          <w:sz w:val="83"/>
          <w:szCs w:val="83"/>
          <w:highlight w:val="none"/>
          <w:lang w:eastAsia="zh-CN"/>
        </w:rPr>
      </w:pPr>
      <w:r>
        <w:rPr>
          <w:rFonts w:hint="eastAsia" w:ascii="仿宋_GB2312" w:hAnsi="仿宋_GB2312" w:eastAsia="仿宋_GB2312" w:cs="仿宋_GB2312"/>
          <w:color w:val="auto"/>
          <w:spacing w:val="-33"/>
          <w:sz w:val="83"/>
          <w:szCs w:val="83"/>
          <w:highlight w:val="none"/>
          <w:lang w:eastAsia="zh-CN"/>
        </w:rPr>
        <w:t>投</w:t>
      </w:r>
      <w:r>
        <w:rPr>
          <w:rFonts w:hint="eastAsia" w:ascii="仿宋_GB2312" w:hAnsi="仿宋_GB2312" w:eastAsia="仿宋_GB2312" w:cs="仿宋_GB2312"/>
          <w:color w:val="auto"/>
          <w:spacing w:val="57"/>
          <w:sz w:val="83"/>
          <w:szCs w:val="83"/>
          <w:highlight w:val="none"/>
          <w:lang w:eastAsia="zh-CN"/>
        </w:rPr>
        <w:t xml:space="preserve"> </w:t>
      </w:r>
      <w:r>
        <w:rPr>
          <w:rFonts w:hint="eastAsia" w:ascii="仿宋_GB2312" w:hAnsi="仿宋_GB2312" w:eastAsia="仿宋_GB2312" w:cs="仿宋_GB2312"/>
          <w:color w:val="auto"/>
          <w:spacing w:val="-33"/>
          <w:sz w:val="83"/>
          <w:szCs w:val="83"/>
          <w:highlight w:val="none"/>
          <w:lang w:eastAsia="zh-CN"/>
        </w:rPr>
        <w:t>标</w:t>
      </w:r>
      <w:r>
        <w:rPr>
          <w:rFonts w:hint="eastAsia" w:ascii="仿宋_GB2312" w:hAnsi="仿宋_GB2312" w:eastAsia="仿宋_GB2312" w:cs="仿宋_GB2312"/>
          <w:color w:val="auto"/>
          <w:spacing w:val="61"/>
          <w:sz w:val="83"/>
          <w:szCs w:val="83"/>
          <w:highlight w:val="none"/>
          <w:lang w:eastAsia="zh-CN"/>
        </w:rPr>
        <w:t xml:space="preserve"> </w:t>
      </w:r>
      <w:r>
        <w:rPr>
          <w:rFonts w:hint="eastAsia" w:ascii="仿宋_GB2312" w:hAnsi="仿宋_GB2312" w:eastAsia="仿宋_GB2312" w:cs="仿宋_GB2312"/>
          <w:color w:val="auto"/>
          <w:spacing w:val="-33"/>
          <w:sz w:val="83"/>
          <w:szCs w:val="83"/>
          <w:highlight w:val="none"/>
          <w:lang w:eastAsia="zh-CN"/>
        </w:rPr>
        <w:t>文</w:t>
      </w:r>
      <w:r>
        <w:rPr>
          <w:rFonts w:hint="eastAsia" w:ascii="仿宋_GB2312" w:hAnsi="仿宋_GB2312" w:eastAsia="仿宋_GB2312" w:cs="仿宋_GB2312"/>
          <w:color w:val="auto"/>
          <w:spacing w:val="60"/>
          <w:sz w:val="83"/>
          <w:szCs w:val="83"/>
          <w:highlight w:val="none"/>
          <w:lang w:eastAsia="zh-CN"/>
        </w:rPr>
        <w:t xml:space="preserve"> </w:t>
      </w:r>
      <w:r>
        <w:rPr>
          <w:rFonts w:hint="eastAsia" w:ascii="仿宋_GB2312" w:hAnsi="仿宋_GB2312" w:eastAsia="仿宋_GB2312" w:cs="仿宋_GB2312"/>
          <w:color w:val="auto"/>
          <w:spacing w:val="-33"/>
          <w:sz w:val="83"/>
          <w:szCs w:val="83"/>
          <w:highlight w:val="none"/>
          <w:lang w:eastAsia="zh-CN"/>
        </w:rPr>
        <w:t>件</w:t>
      </w:r>
    </w:p>
    <w:p w14:paraId="015C83A2">
      <w:pPr>
        <w:spacing w:line="254" w:lineRule="auto"/>
        <w:rPr>
          <w:rFonts w:ascii="仿宋_GB2312" w:hAnsi="仿宋_GB2312" w:eastAsia="仿宋_GB2312" w:cs="仿宋_GB2312"/>
          <w:color w:val="auto"/>
          <w:highlight w:val="none"/>
          <w:lang w:eastAsia="zh-CN"/>
        </w:rPr>
      </w:pPr>
    </w:p>
    <w:p w14:paraId="55329A9E">
      <w:pPr>
        <w:spacing w:line="254" w:lineRule="auto"/>
        <w:rPr>
          <w:rFonts w:ascii="仿宋_GB2312" w:hAnsi="仿宋_GB2312" w:eastAsia="仿宋_GB2312" w:cs="仿宋_GB2312"/>
          <w:color w:val="auto"/>
          <w:highlight w:val="none"/>
          <w:lang w:eastAsia="zh-CN"/>
        </w:rPr>
      </w:pPr>
    </w:p>
    <w:p w14:paraId="11628528">
      <w:pPr>
        <w:spacing w:line="254" w:lineRule="auto"/>
        <w:rPr>
          <w:rFonts w:ascii="仿宋_GB2312" w:hAnsi="仿宋_GB2312" w:eastAsia="仿宋_GB2312" w:cs="仿宋_GB2312"/>
          <w:color w:val="auto"/>
          <w:highlight w:val="none"/>
          <w:lang w:eastAsia="zh-CN"/>
        </w:rPr>
      </w:pPr>
    </w:p>
    <w:p w14:paraId="0B9B01BD">
      <w:pPr>
        <w:spacing w:line="254" w:lineRule="auto"/>
        <w:rPr>
          <w:rFonts w:ascii="仿宋_GB2312" w:hAnsi="仿宋_GB2312" w:eastAsia="仿宋_GB2312" w:cs="仿宋_GB2312"/>
          <w:color w:val="auto"/>
          <w:highlight w:val="none"/>
          <w:lang w:eastAsia="zh-CN"/>
        </w:rPr>
      </w:pPr>
    </w:p>
    <w:p w14:paraId="549E5799">
      <w:pPr>
        <w:spacing w:line="255" w:lineRule="auto"/>
        <w:jc w:val="center"/>
        <w:rPr>
          <w:rFonts w:ascii="仿宋_GB2312" w:hAnsi="仿宋_GB2312" w:eastAsia="仿宋_GB2312" w:cs="仿宋_GB2312"/>
          <w:b/>
          <w:bCs/>
          <w:color w:val="auto"/>
          <w:highlight w:val="none"/>
          <w:lang w:eastAsia="zh-CN"/>
        </w:rPr>
      </w:pPr>
    </w:p>
    <w:p w14:paraId="59935B4D">
      <w:pPr>
        <w:spacing w:line="255" w:lineRule="auto"/>
        <w:rPr>
          <w:rFonts w:ascii="仿宋_GB2312" w:hAnsi="仿宋_GB2312" w:eastAsia="仿宋_GB2312" w:cs="仿宋_GB2312"/>
          <w:color w:val="auto"/>
          <w:highlight w:val="none"/>
          <w:lang w:eastAsia="zh-CN"/>
        </w:rPr>
      </w:pPr>
    </w:p>
    <w:p w14:paraId="05228732">
      <w:pPr>
        <w:pStyle w:val="10"/>
        <w:spacing w:before="91" w:line="360" w:lineRule="auto"/>
        <w:ind w:left="856" w:right="7181" w:firstLine="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采购人名称：</w:t>
      </w:r>
      <w:r>
        <w:rPr>
          <w:rFonts w:hint="eastAsia" w:ascii="仿宋_GB2312" w:hAnsi="仿宋_GB2312" w:eastAsia="仿宋_GB2312" w:cs="仿宋_GB2312"/>
          <w:color w:val="auto"/>
          <w:sz w:val="28"/>
          <w:szCs w:val="28"/>
          <w:highlight w:val="none"/>
          <w:lang w:eastAsia="zh-CN"/>
        </w:rPr>
        <w:t xml:space="preserve"> 标项</w:t>
      </w:r>
      <w:r>
        <w:rPr>
          <w:rFonts w:hint="eastAsia" w:ascii="仿宋_GB2312" w:hAnsi="仿宋_GB2312" w:eastAsia="仿宋_GB2312" w:cs="仿宋_GB2312"/>
          <w:color w:val="auto"/>
          <w:spacing w:val="-12"/>
          <w:sz w:val="28"/>
          <w:szCs w:val="28"/>
          <w:highlight w:val="none"/>
          <w:lang w:eastAsia="zh-CN"/>
        </w:rPr>
        <w:t>名称：</w:t>
      </w:r>
    </w:p>
    <w:p w14:paraId="18A9440F">
      <w:pPr>
        <w:spacing w:line="360" w:lineRule="auto"/>
        <w:ind w:firstLine="834" w:firstLineChars="300"/>
        <w:rPr>
          <w:rFonts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项目编号：</w:t>
      </w:r>
    </w:p>
    <w:p w14:paraId="30A4C473">
      <w:pPr>
        <w:pStyle w:val="10"/>
        <w:spacing w:before="46" w:line="360" w:lineRule="auto"/>
        <w:ind w:left="859" w:right="4318" w:hanging="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采购代理机构名称：</w:t>
      </w:r>
    </w:p>
    <w:p w14:paraId="3C1130D1">
      <w:pPr>
        <w:pStyle w:val="10"/>
        <w:spacing w:before="46" w:line="360" w:lineRule="auto"/>
        <w:ind w:left="856" w:right="180"/>
        <w:rPr>
          <w:rFonts w:ascii="仿宋_GB2312" w:hAnsi="仿宋_GB2312" w:eastAsia="仿宋_GB2312" w:cs="仿宋_GB2312"/>
          <w:color w:val="auto"/>
          <w:spacing w:val="4"/>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投标单位名称（加盖公章）：</w:t>
      </w:r>
      <w:r>
        <w:rPr>
          <w:rFonts w:hint="eastAsia" w:ascii="仿宋_GB2312" w:hAnsi="仿宋_GB2312" w:eastAsia="仿宋_GB2312" w:cs="仿宋_GB2312"/>
          <w:color w:val="auto"/>
          <w:spacing w:val="4"/>
          <w:sz w:val="28"/>
          <w:szCs w:val="28"/>
          <w:highlight w:val="none"/>
          <w:lang w:eastAsia="zh-CN"/>
        </w:rPr>
        <w:t xml:space="preserve"> </w:t>
      </w:r>
    </w:p>
    <w:p w14:paraId="7A8A8EE0">
      <w:pPr>
        <w:pStyle w:val="10"/>
        <w:spacing w:before="46" w:line="360" w:lineRule="auto"/>
        <w:ind w:left="856" w:right="18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投标单位地址：</w:t>
      </w:r>
    </w:p>
    <w:p w14:paraId="3098161F">
      <w:pPr>
        <w:pStyle w:val="10"/>
        <w:spacing w:before="46" w:line="360" w:lineRule="auto"/>
        <w:ind w:left="854" w:right="-660" w:firstLine="12"/>
        <w:rPr>
          <w:rFonts w:ascii="仿宋_GB2312" w:hAnsi="仿宋_GB2312" w:eastAsia="仿宋_GB2312" w:cs="仿宋_GB2312"/>
          <w:color w:val="auto"/>
          <w:spacing w:val="2"/>
          <w:sz w:val="28"/>
          <w:szCs w:val="28"/>
          <w:highlight w:val="none"/>
          <w:lang w:eastAsia="zh-CN"/>
        </w:rPr>
      </w:pPr>
      <w:r>
        <w:rPr>
          <w:rFonts w:hint="eastAsia" w:ascii="仿宋_GB2312" w:hAnsi="仿宋_GB2312" w:eastAsia="仿宋_GB2312" w:cs="仿宋_GB2312"/>
          <w:color w:val="auto"/>
          <w:spacing w:val="-7"/>
          <w:sz w:val="28"/>
          <w:szCs w:val="28"/>
          <w:highlight w:val="none"/>
          <w:lang w:eastAsia="zh-CN"/>
        </w:rPr>
        <w:t>法定代表人或授权代表姓名（签字或盖章）：</w:t>
      </w:r>
      <w:r>
        <w:rPr>
          <w:rFonts w:hint="eastAsia" w:ascii="仿宋_GB2312" w:hAnsi="仿宋_GB2312" w:eastAsia="仿宋_GB2312" w:cs="仿宋_GB2312"/>
          <w:color w:val="auto"/>
          <w:spacing w:val="2"/>
          <w:sz w:val="28"/>
          <w:szCs w:val="28"/>
          <w:highlight w:val="none"/>
          <w:lang w:eastAsia="zh-CN"/>
        </w:rPr>
        <w:t xml:space="preserve"> </w:t>
      </w:r>
    </w:p>
    <w:p w14:paraId="55956892">
      <w:pPr>
        <w:pStyle w:val="10"/>
        <w:spacing w:before="46" w:line="360" w:lineRule="auto"/>
        <w:ind w:left="854" w:right="-660" w:firstLine="12"/>
        <w:rPr>
          <w:rFonts w:ascii="仿宋_GB2312" w:hAnsi="仿宋_GB2312" w:eastAsia="仿宋_GB2312" w:cs="仿宋_GB2312"/>
          <w:color w:val="auto"/>
          <w:sz w:val="28"/>
          <w:szCs w:val="28"/>
          <w:highlight w:val="none"/>
          <w:lang w:eastAsia="zh-CN"/>
        </w:rPr>
        <w:sectPr>
          <w:headerReference r:id="rId18" w:type="default"/>
          <w:footerReference r:id="rId19" w:type="default"/>
          <w:pgSz w:w="11906" w:h="16838"/>
          <w:pgMar w:top="1134" w:right="1133" w:bottom="1135" w:left="1133" w:header="712" w:footer="855" w:gutter="0"/>
          <w:pgNumType w:fmt="numberInDash"/>
          <w:cols w:space="720" w:num="1"/>
        </w:sectPr>
      </w:pPr>
      <w:r>
        <w:rPr>
          <w:rFonts w:hint="eastAsia" w:ascii="仿宋_GB2312" w:hAnsi="仿宋_GB2312" w:eastAsia="仿宋_GB2312" w:cs="仿宋_GB2312"/>
          <w:color w:val="auto"/>
          <w:spacing w:val="-12"/>
          <w:sz w:val="28"/>
          <w:szCs w:val="28"/>
          <w:highlight w:val="none"/>
          <w:lang w:eastAsia="zh-CN"/>
        </w:rPr>
        <w:t>联系电话：</w:t>
      </w:r>
    </w:p>
    <w:p w14:paraId="5FD9838D">
      <w:pPr>
        <w:tabs>
          <w:tab w:val="center" w:pos="4832"/>
          <w:tab w:val="left" w:pos="7140"/>
        </w:tabs>
        <w:jc w:val="center"/>
        <w:rPr>
          <w:rFonts w:ascii="仿宋" w:hAnsi="仿宋" w:eastAsia="仿宋" w:cs="仿宋"/>
          <w:b/>
          <w:color w:val="auto"/>
          <w:sz w:val="24"/>
          <w:szCs w:val="24"/>
          <w:highlight w:val="none"/>
          <w:lang w:eastAsia="zh-CN"/>
        </w:rPr>
      </w:pPr>
      <w:bookmarkStart w:id="129" w:name="_Toc130252613"/>
      <w:r>
        <w:rPr>
          <w:rFonts w:hint="eastAsia" w:ascii="仿宋" w:hAnsi="仿宋" w:eastAsia="仿宋" w:cs="仿宋"/>
          <w:b/>
          <w:color w:val="auto"/>
          <w:sz w:val="24"/>
          <w:szCs w:val="24"/>
          <w:highlight w:val="none"/>
          <w:lang w:eastAsia="zh-CN"/>
        </w:rPr>
        <w:t>目 录</w:t>
      </w:r>
      <w:bookmarkEnd w:id="129"/>
    </w:p>
    <w:p w14:paraId="3698A23F">
      <w:pPr>
        <w:spacing w:line="280" w:lineRule="exact"/>
        <w:ind w:firstLine="240" w:firstLineChars="100"/>
        <w:rPr>
          <w:rFonts w:ascii="仿宋" w:hAnsi="仿宋" w:eastAsia="仿宋" w:cs="仿宋"/>
          <w:bCs/>
          <w:color w:val="auto"/>
          <w:sz w:val="24"/>
          <w:szCs w:val="24"/>
          <w:highlight w:val="none"/>
          <w:lang w:eastAsia="zh-CN"/>
        </w:rPr>
      </w:pPr>
    </w:p>
    <w:p w14:paraId="1895258D">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（1）、投标函</w:t>
      </w:r>
      <w:r>
        <w:rPr>
          <w:rFonts w:hint="eastAsia" w:ascii="仿宋" w:hAnsi="仿宋" w:eastAsia="仿宋" w:cs="仿宋"/>
          <w:color w:val="auto"/>
          <w:sz w:val="24"/>
          <w:szCs w:val="24"/>
          <w:highlight w:val="none"/>
          <w:lang w:eastAsia="zh-CN"/>
        </w:rPr>
        <w:tab/>
      </w:r>
    </w:p>
    <w:p w14:paraId="2CCE63D2">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（2）、投标价格明细表</w:t>
      </w:r>
    </w:p>
    <w:p w14:paraId="04D841B7">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（3）、商务条款偏离表</w:t>
      </w:r>
    </w:p>
    <w:p w14:paraId="775DB576">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（4）、技术条款偏离表</w:t>
      </w:r>
    </w:p>
    <w:p w14:paraId="6107619B">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（5）、法定代表人身份证明书</w:t>
      </w:r>
    </w:p>
    <w:p w14:paraId="73386D2B">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（6）、法定代表人授权委托书</w:t>
      </w:r>
    </w:p>
    <w:p w14:paraId="56C1001C">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（7）、供应商资格条件证明材料</w:t>
      </w:r>
      <w:r>
        <w:rPr>
          <w:rFonts w:hint="eastAsia" w:ascii="仿宋" w:hAnsi="仿宋" w:eastAsia="仿宋" w:cs="仿宋"/>
          <w:color w:val="auto"/>
          <w:sz w:val="24"/>
          <w:szCs w:val="24"/>
          <w:highlight w:val="none"/>
          <w:lang w:eastAsia="zh-CN"/>
        </w:rPr>
        <w:tab/>
      </w:r>
    </w:p>
    <w:p w14:paraId="452E04D1">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（8）、供应商近年类似项目情况表</w:t>
      </w:r>
    </w:p>
    <w:p w14:paraId="117BAD2E">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（9）、拟派主要服务人员情况表</w:t>
      </w:r>
    </w:p>
    <w:p w14:paraId="50AF7CBA">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（10）、服务方案</w:t>
      </w:r>
    </w:p>
    <w:p w14:paraId="7750BC31">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（11）、其他需要提交的资料</w:t>
      </w:r>
    </w:p>
    <w:p w14:paraId="6F508EB9">
      <w:pPr>
        <w:spacing w:line="280" w:lineRule="exact"/>
        <w:ind w:firstLine="240" w:firstLineChars="100"/>
        <w:rPr>
          <w:rFonts w:ascii="仿宋" w:hAnsi="仿宋" w:eastAsia="仿宋" w:cs="仿宋"/>
          <w:color w:val="auto"/>
          <w:sz w:val="24"/>
          <w:szCs w:val="24"/>
          <w:highlight w:val="none"/>
          <w:lang w:eastAsia="zh-CN"/>
        </w:rPr>
      </w:pPr>
    </w:p>
    <w:p w14:paraId="008030D8">
      <w:pPr>
        <w:spacing w:line="280" w:lineRule="exact"/>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注：为了便于查找，请按上述顺序编制投标文件内容，并在目录中标明每项内容的起始页码。</w:t>
      </w:r>
    </w:p>
    <w:p w14:paraId="50DE75A8">
      <w:pPr>
        <w:tabs>
          <w:tab w:val="center" w:pos="4832"/>
          <w:tab w:val="left" w:pos="7140"/>
        </w:tabs>
        <w:jc w:val="center"/>
        <w:outlineLvl w:val="1"/>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bookmarkStart w:id="130" w:name="_Toc109941764"/>
      <w:bookmarkStart w:id="131" w:name="_Toc110707964"/>
      <w:bookmarkStart w:id="132" w:name="_Toc130252614"/>
      <w:bookmarkStart w:id="133" w:name="_Toc1580"/>
      <w:r>
        <w:rPr>
          <w:rFonts w:hint="eastAsia" w:ascii="仿宋" w:hAnsi="仿宋" w:eastAsia="仿宋" w:cs="仿宋"/>
          <w:b/>
          <w:color w:val="auto"/>
          <w:sz w:val="24"/>
          <w:szCs w:val="24"/>
          <w:highlight w:val="none"/>
          <w:lang w:eastAsia="zh-CN"/>
        </w:rPr>
        <w:t>一、投标函</w:t>
      </w:r>
      <w:bookmarkEnd w:id="130"/>
      <w:bookmarkEnd w:id="131"/>
      <w:bookmarkEnd w:id="132"/>
      <w:bookmarkEnd w:id="133"/>
    </w:p>
    <w:p w14:paraId="015487CD">
      <w:pPr>
        <w:shd w:val="clear" w:color="auto" w:fill="FFFFFF"/>
        <w:spacing w:line="384" w:lineRule="auto"/>
        <w:rPr>
          <w:rFonts w:ascii="仿宋" w:hAnsi="仿宋" w:eastAsia="仿宋" w:cs="仿宋"/>
          <w:color w:val="auto"/>
          <w:sz w:val="24"/>
          <w:szCs w:val="24"/>
          <w:highlight w:val="none"/>
          <w:lang w:eastAsia="zh-CN"/>
        </w:rPr>
      </w:pPr>
    </w:p>
    <w:p w14:paraId="22EA7347">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（采购人名称）</w:t>
      </w:r>
    </w:p>
    <w:p w14:paraId="1755404A">
      <w:pPr>
        <w:shd w:val="clear" w:color="auto" w:fill="FFFFFF"/>
        <w:spacing w:line="384" w:lineRule="auto"/>
        <w:rPr>
          <w:rFonts w:ascii="仿宋" w:hAnsi="仿宋" w:eastAsia="仿宋" w:cs="仿宋"/>
          <w:color w:val="auto"/>
          <w:sz w:val="24"/>
          <w:szCs w:val="24"/>
          <w:highlight w:val="none"/>
          <w:lang w:eastAsia="zh-CN"/>
        </w:rPr>
      </w:pPr>
    </w:p>
    <w:p w14:paraId="3C901F87">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根据已收到的</w:t>
      </w:r>
      <w:r>
        <w:rPr>
          <w:rFonts w:hint="eastAsia" w:ascii="仿宋" w:hAnsi="仿宋" w:eastAsia="仿宋" w:cs="仿宋"/>
          <w:color w:val="auto"/>
          <w:sz w:val="24"/>
          <w:szCs w:val="24"/>
          <w:highlight w:val="none"/>
          <w:u w:val="single"/>
          <w:lang w:eastAsia="zh-CN"/>
        </w:rPr>
        <w:t xml:space="preserve">     （标项名称）        </w:t>
      </w:r>
      <w:r>
        <w:rPr>
          <w:rFonts w:hint="eastAsia" w:ascii="仿宋" w:hAnsi="仿宋" w:eastAsia="仿宋" w:cs="仿宋"/>
          <w:color w:val="auto"/>
          <w:sz w:val="24"/>
          <w:szCs w:val="24"/>
          <w:highlight w:val="none"/>
          <w:lang w:eastAsia="zh-CN"/>
        </w:rPr>
        <w:t>项目的采购文件，遵照《中华人民共和国政府采购法》等有关法律法规的规定，经考察现场和充分研究贵方的采购文件的全部内容后，我方郑重承诺如下：</w:t>
      </w:r>
    </w:p>
    <w:p w14:paraId="00164890">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1.如果我方中标，我方将在采购文件规定的时间内签订合同。如果我方违约，除没收投标保证金外，贵方有权终止我方中标并选择其它中标供应商。</w:t>
      </w:r>
    </w:p>
    <w:p w14:paraId="71EA7541">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2.本投标文件在采购文件规定的投标有效期内对我方具有约束力，如果我方在投标有效期内撤销投标，其投标保证金将被贵方没收。</w:t>
      </w:r>
    </w:p>
    <w:p w14:paraId="4AA1409D">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3.我方已详细阅读采购文件全部内容且完全理解，同意放弃对这方面有不明及误解的权力。若有违反，同意被废除投标资格并接受处罚。</w:t>
      </w:r>
    </w:p>
    <w:p w14:paraId="2738B435">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4.我方保证投标文件内容无任何虚假、未侵犯他人知识产权。如有虚假，同意废除中标资格并被没收投标担保，承担因侵犯他人知识产权而由此引起的全部法律责任和经济责任。</w:t>
      </w:r>
    </w:p>
    <w:p w14:paraId="456621AE">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5.我方愿意提供贵方可能要求的与投标有关的一切数据或资料，完全理解贵方不一定接受最低投标报价的投标或收到的任何投标。</w:t>
      </w:r>
    </w:p>
    <w:p w14:paraId="7A26F489">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6.我方派法定代表人或其授权委托人作为我方代表，负责按时参加开标会并签署与投标有关的相关文件等。</w:t>
      </w:r>
    </w:p>
    <w:p w14:paraId="4380344A">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7.如我方中标，我方自愿向采购代理机构支付咨询费，并在合同签订后3个工作日内向采购代理机构提供采购合同原件一份用于采购资料备案工作。</w:t>
      </w:r>
    </w:p>
    <w:p w14:paraId="2862D2C7">
      <w:pPr>
        <w:shd w:val="clear" w:color="auto" w:fill="FFFFFF"/>
        <w:spacing w:line="384" w:lineRule="auto"/>
        <w:rPr>
          <w:rFonts w:ascii="仿宋" w:hAnsi="仿宋" w:eastAsia="仿宋" w:cs="仿宋"/>
          <w:color w:val="auto"/>
          <w:sz w:val="24"/>
          <w:szCs w:val="24"/>
          <w:highlight w:val="none"/>
          <w:lang w:eastAsia="zh-CN"/>
        </w:rPr>
      </w:pPr>
    </w:p>
    <w:p w14:paraId="723CD23D">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225A65F9">
      <w:pPr>
        <w:shd w:val="clear" w:color="auto" w:fill="FFFFFF"/>
        <w:spacing w:line="384" w:lineRule="auto"/>
        <w:rPr>
          <w:rFonts w:ascii="仿宋" w:hAnsi="仿宋" w:eastAsia="仿宋" w:cs="仿宋"/>
          <w:color w:val="auto"/>
          <w:sz w:val="24"/>
          <w:szCs w:val="24"/>
          <w:highlight w:val="none"/>
          <w:lang w:eastAsia="zh-CN"/>
        </w:rPr>
      </w:pPr>
    </w:p>
    <w:p w14:paraId="0106C605">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7BE76902">
      <w:pPr>
        <w:shd w:val="clear" w:color="auto" w:fill="FFFFFF"/>
        <w:wordWrap w:val="0"/>
        <w:spacing w:line="384" w:lineRule="auto"/>
        <w:ind w:firstLine="420"/>
        <w:jc w:val="righ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日期：     年   月   日</w:t>
      </w:r>
    </w:p>
    <w:p w14:paraId="77B45E98">
      <w:pPr>
        <w:pStyle w:val="95"/>
        <w:keepNext w:val="0"/>
        <w:pageBreakBefore w:val="0"/>
        <w:tabs>
          <w:tab w:val="clear" w:pos="720"/>
        </w:tabs>
        <w:ind w:firstLine="640"/>
        <w:outlineLvl w:val="2"/>
        <w:rPr>
          <w:rFonts w:ascii="仿宋" w:hAnsi="仿宋" w:eastAsia="仿宋" w:cs="仿宋"/>
          <w:color w:val="auto"/>
          <w:kern w:val="2"/>
          <w:sz w:val="32"/>
          <w:szCs w:val="32"/>
          <w:highlight w:val="none"/>
          <w:lang w:eastAsia="zh-CN"/>
        </w:rPr>
      </w:pPr>
      <w:r>
        <w:rPr>
          <w:rFonts w:hint="eastAsia" w:ascii="仿宋" w:hAnsi="仿宋" w:eastAsia="仿宋" w:cs="仿宋"/>
          <w:color w:val="auto"/>
          <w:kern w:val="0"/>
          <w:sz w:val="24"/>
          <w:szCs w:val="24"/>
          <w:highlight w:val="none"/>
          <w:lang w:eastAsia="zh-CN"/>
        </w:rPr>
        <w:br w:type="page"/>
      </w:r>
      <w:bookmarkStart w:id="134" w:name="_Toc14171"/>
      <w:bookmarkStart w:id="135" w:name="_Toc130252615"/>
      <w:bookmarkStart w:id="136" w:name="_Toc109921158"/>
      <w:bookmarkStart w:id="137" w:name="_Toc109941765"/>
      <w:bookmarkStart w:id="138" w:name="_Toc2798"/>
      <w:bookmarkStart w:id="139" w:name="_Toc110707965"/>
      <w:r>
        <w:rPr>
          <w:rFonts w:hint="eastAsia" w:ascii="仿宋" w:hAnsi="仿宋" w:eastAsia="仿宋" w:cs="仿宋"/>
          <w:color w:val="auto"/>
          <w:kern w:val="2"/>
          <w:sz w:val="32"/>
          <w:szCs w:val="32"/>
          <w:highlight w:val="none"/>
          <w:lang w:eastAsia="zh-CN"/>
        </w:rPr>
        <w:t>报价一览表</w:t>
      </w:r>
      <w:bookmarkEnd w:id="134"/>
    </w:p>
    <w:p w14:paraId="5D9DF5F6">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（采购人名称）</w:t>
      </w:r>
    </w:p>
    <w:p w14:paraId="0FF1CB3E">
      <w:pPr>
        <w:spacing w:line="360" w:lineRule="auto"/>
        <w:ind w:firstLine="72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按你方</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lang w:val="zh-CN" w:eastAsia="zh-CN"/>
        </w:rPr>
        <w:t>要求，</w:t>
      </w:r>
      <w:r>
        <w:rPr>
          <w:rFonts w:hint="eastAsia" w:ascii="仿宋" w:hAnsi="仿宋" w:eastAsia="仿宋" w:cs="仿宋"/>
          <w:color w:val="auto"/>
          <w:sz w:val="24"/>
          <w:highlight w:val="none"/>
          <w:lang w:eastAsia="zh-CN"/>
        </w:rPr>
        <w:t>我们即</w:t>
      </w:r>
      <w:r>
        <w:rPr>
          <w:rFonts w:hint="eastAsia" w:ascii="仿宋" w:hAnsi="仿宋" w:eastAsia="仿宋" w:cs="仿宋"/>
          <w:color w:val="auto"/>
          <w:sz w:val="24"/>
          <w:highlight w:val="none"/>
          <w:lang w:val="zh-CN" w:eastAsia="zh-CN"/>
        </w:rPr>
        <w:t>本</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lang w:val="zh-CN" w:eastAsia="zh-CN"/>
        </w:rPr>
        <w:t>文件签字方，谨此向你方发出要约如下：如你方接受本响应，我方承诺</w:t>
      </w:r>
      <w:r>
        <w:rPr>
          <w:rFonts w:hint="eastAsia" w:ascii="仿宋" w:hAnsi="仿宋" w:eastAsia="仿宋" w:cs="仿宋"/>
          <w:color w:val="auto"/>
          <w:sz w:val="24"/>
          <w:highlight w:val="none"/>
          <w:u w:val="single"/>
          <w:lang w:eastAsia="zh-CN"/>
        </w:rPr>
        <w:t>（标项名称）【项目编号：（采购编号）】</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lang w:val="zh-CN" w:eastAsia="zh-CN"/>
        </w:rPr>
        <w:t>报价</w:t>
      </w:r>
      <w:r>
        <w:rPr>
          <w:rFonts w:hint="eastAsia" w:ascii="仿宋" w:hAnsi="仿宋" w:eastAsia="仿宋" w:cs="仿宋"/>
          <w:color w:val="auto"/>
          <w:sz w:val="24"/>
          <w:highlight w:val="none"/>
          <w:lang w:eastAsia="zh-CN"/>
        </w:rPr>
        <w:t>为报价</w:t>
      </w:r>
      <w:r>
        <w:rPr>
          <w:rFonts w:hint="eastAsia" w:ascii="仿宋" w:hAnsi="仿宋" w:eastAsia="仿宋" w:cs="仿宋"/>
          <w:color w:val="auto"/>
          <w:sz w:val="24"/>
          <w:highlight w:val="none"/>
          <w:lang w:val="zh-CN" w:eastAsia="zh-CN"/>
        </w:rPr>
        <w:t>一览表</w:t>
      </w:r>
      <w:r>
        <w:rPr>
          <w:rFonts w:hint="eastAsia" w:ascii="仿宋" w:hAnsi="仿宋" w:eastAsia="仿宋" w:cs="仿宋"/>
          <w:color w:val="auto"/>
          <w:sz w:val="24"/>
          <w:highlight w:val="none"/>
          <w:lang w:eastAsia="zh-CN"/>
        </w:rPr>
        <w:t>内容：</w:t>
      </w:r>
    </w:p>
    <w:tbl>
      <w:tblPr>
        <w:tblStyle w:val="2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295"/>
      </w:tblGrid>
      <w:tr w14:paraId="1335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85" w:type="dxa"/>
            <w:tcBorders>
              <w:bottom w:val="single" w:color="auto" w:sz="4" w:space="0"/>
            </w:tcBorders>
            <w:vAlign w:val="center"/>
          </w:tcPr>
          <w:p w14:paraId="4A0EBA14">
            <w:pPr>
              <w:pStyle w:val="96"/>
              <w:tabs>
                <w:tab w:val="left" w:pos="1337"/>
              </w:tabs>
              <w:spacing w:line="360" w:lineRule="auto"/>
              <w:jc w:val="lef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标项名称</w:t>
            </w:r>
          </w:p>
        </w:tc>
        <w:tc>
          <w:tcPr>
            <w:tcW w:w="7295" w:type="dxa"/>
            <w:tcBorders>
              <w:bottom w:val="single" w:color="auto" w:sz="4" w:space="0"/>
            </w:tcBorders>
            <w:vAlign w:val="center"/>
          </w:tcPr>
          <w:p w14:paraId="32055FB7">
            <w:pPr>
              <w:pStyle w:val="96"/>
              <w:tabs>
                <w:tab w:val="left" w:pos="1337"/>
              </w:tabs>
              <w:spacing w:line="360" w:lineRule="auto"/>
              <w:jc w:val="left"/>
              <w:rPr>
                <w:rFonts w:ascii="仿宋" w:hAnsi="仿宋" w:eastAsia="仿宋" w:cs="仿宋"/>
                <w:bCs/>
                <w:color w:val="auto"/>
                <w:sz w:val="24"/>
                <w:szCs w:val="24"/>
                <w:highlight w:val="none"/>
              </w:rPr>
            </w:pPr>
          </w:p>
        </w:tc>
      </w:tr>
      <w:tr w14:paraId="2E38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885" w:type="dxa"/>
            <w:vAlign w:val="center"/>
          </w:tcPr>
          <w:p w14:paraId="127EB4B2">
            <w:pPr>
              <w:pStyle w:val="96"/>
              <w:tabs>
                <w:tab w:val="left" w:pos="1337"/>
              </w:tabs>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报价折扣</w:t>
            </w:r>
          </w:p>
        </w:tc>
        <w:tc>
          <w:tcPr>
            <w:tcW w:w="7295" w:type="dxa"/>
            <w:vAlign w:val="center"/>
          </w:tcPr>
          <w:p w14:paraId="21E6CC4F">
            <w:pPr>
              <w:pStyle w:val="96"/>
              <w:tabs>
                <w:tab w:val="left" w:pos="1337"/>
              </w:tabs>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折扣：</w:t>
            </w:r>
            <w:r>
              <w:rPr>
                <w:rFonts w:hint="eastAsia" w:ascii="仿宋" w:hAnsi="仿宋" w:eastAsia="仿宋" w:cs="仿宋"/>
                <w:color w:val="auto"/>
                <w:sz w:val="24"/>
                <w:szCs w:val="24"/>
                <w:highlight w:val="none"/>
                <w:u w:val="single"/>
              </w:rPr>
              <w:t xml:space="preserve">     %</w:t>
            </w:r>
          </w:p>
        </w:tc>
      </w:tr>
      <w:tr w14:paraId="6FA0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85" w:type="dxa"/>
            <w:vAlign w:val="center"/>
          </w:tcPr>
          <w:p w14:paraId="51AA3739">
            <w:pPr>
              <w:pStyle w:val="96"/>
              <w:tabs>
                <w:tab w:val="left" w:pos="1337"/>
              </w:tabs>
              <w:spacing w:line="360" w:lineRule="auto"/>
              <w:jc w:val="lef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合同履约期限</w:t>
            </w:r>
          </w:p>
        </w:tc>
        <w:tc>
          <w:tcPr>
            <w:tcW w:w="7295" w:type="dxa"/>
            <w:vAlign w:val="center"/>
          </w:tcPr>
          <w:p w14:paraId="0A155669">
            <w:pPr>
              <w:pStyle w:val="96"/>
              <w:tabs>
                <w:tab w:val="left" w:pos="1337"/>
              </w:tabs>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自采购合同签订日期起，服务期限一年（365天）</w:t>
            </w:r>
          </w:p>
        </w:tc>
      </w:tr>
      <w:tr w14:paraId="2414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885" w:type="dxa"/>
            <w:vAlign w:val="center"/>
          </w:tcPr>
          <w:p w14:paraId="000C7724">
            <w:pPr>
              <w:pStyle w:val="96"/>
              <w:tabs>
                <w:tab w:val="left" w:pos="1337"/>
              </w:tabs>
              <w:spacing w:line="360" w:lineRule="auto"/>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保质期</w:t>
            </w:r>
          </w:p>
        </w:tc>
        <w:tc>
          <w:tcPr>
            <w:tcW w:w="7295" w:type="dxa"/>
            <w:vAlign w:val="center"/>
          </w:tcPr>
          <w:p w14:paraId="794340AB">
            <w:pPr>
              <w:pStyle w:val="96"/>
              <w:tabs>
                <w:tab w:val="left" w:pos="1337"/>
              </w:tabs>
              <w:spacing w:line="360" w:lineRule="auto"/>
              <w:jc w:val="left"/>
              <w:rPr>
                <w:rFonts w:ascii="仿宋" w:hAnsi="仿宋" w:eastAsia="仿宋" w:cs="仿宋"/>
                <w:color w:val="auto"/>
                <w:sz w:val="24"/>
                <w:szCs w:val="24"/>
                <w:highlight w:val="none"/>
              </w:rPr>
            </w:pPr>
          </w:p>
        </w:tc>
      </w:tr>
      <w:tr w14:paraId="1F64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885" w:type="dxa"/>
            <w:vAlign w:val="center"/>
          </w:tcPr>
          <w:p w14:paraId="5002CE8E">
            <w:pPr>
              <w:pStyle w:val="96"/>
              <w:tabs>
                <w:tab w:val="left" w:pos="1337"/>
              </w:tabs>
              <w:spacing w:line="360" w:lineRule="auto"/>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交货</w:t>
            </w:r>
            <w:r>
              <w:rPr>
                <w:rFonts w:hint="eastAsia" w:ascii="仿宋" w:hAnsi="仿宋" w:eastAsia="仿宋" w:cs="仿宋"/>
                <w:bCs/>
                <w:color w:val="auto"/>
                <w:sz w:val="24"/>
                <w:szCs w:val="24"/>
                <w:highlight w:val="none"/>
              </w:rPr>
              <w:t>地点</w:t>
            </w:r>
          </w:p>
        </w:tc>
        <w:tc>
          <w:tcPr>
            <w:tcW w:w="7295" w:type="dxa"/>
            <w:vAlign w:val="center"/>
          </w:tcPr>
          <w:p w14:paraId="16BB02BE">
            <w:pPr>
              <w:pStyle w:val="96"/>
              <w:tabs>
                <w:tab w:val="left" w:pos="1337"/>
              </w:tabs>
              <w:spacing w:line="360" w:lineRule="auto"/>
              <w:jc w:val="left"/>
              <w:rPr>
                <w:rFonts w:ascii="仿宋" w:hAnsi="仿宋" w:eastAsia="仿宋" w:cs="仿宋"/>
                <w:color w:val="auto"/>
                <w:sz w:val="24"/>
                <w:szCs w:val="24"/>
                <w:highlight w:val="none"/>
              </w:rPr>
            </w:pPr>
          </w:p>
        </w:tc>
      </w:tr>
      <w:tr w14:paraId="17B5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9180" w:type="dxa"/>
            <w:gridSpan w:val="2"/>
            <w:vAlign w:val="center"/>
          </w:tcPr>
          <w:p w14:paraId="7E27BFF1">
            <w:pPr>
              <w:pStyle w:val="96"/>
              <w:tabs>
                <w:tab w:val="left" w:pos="1337"/>
              </w:tabs>
              <w:spacing w:line="360" w:lineRule="auto"/>
              <w:jc w:val="left"/>
              <w:rPr>
                <w:rFonts w:ascii="仿宋" w:hAnsi="仿宋" w:eastAsia="仿宋" w:cs="仿宋"/>
                <w:color w:val="auto"/>
                <w:sz w:val="22"/>
                <w:highlight w:val="none"/>
              </w:rPr>
            </w:pPr>
            <w:r>
              <w:rPr>
                <w:rFonts w:hint="eastAsia" w:ascii="仿宋" w:hAnsi="仿宋" w:eastAsia="仿宋" w:cs="仿宋"/>
                <w:color w:val="auto"/>
                <w:sz w:val="22"/>
                <w:highlight w:val="none"/>
              </w:rPr>
              <w:t>备注：☑固定单价，要求：1、本项目投标报价采用折扣方式。</w:t>
            </w:r>
          </w:p>
          <w:p w14:paraId="55FB8759">
            <w:pPr>
              <w:pStyle w:val="96"/>
              <w:tabs>
                <w:tab w:val="left" w:pos="1337"/>
              </w:tabs>
              <w:spacing w:line="360" w:lineRule="auto"/>
              <w:jc w:val="left"/>
              <w:rPr>
                <w:rFonts w:ascii="仿宋" w:hAnsi="仿宋" w:eastAsia="仿宋" w:cs="仿宋"/>
                <w:color w:val="auto"/>
                <w:sz w:val="22"/>
                <w:highlight w:val="none"/>
              </w:rPr>
            </w:pPr>
            <w:r>
              <w:rPr>
                <w:rFonts w:hint="eastAsia" w:ascii="仿宋" w:hAnsi="仿宋" w:eastAsia="仿宋" w:cs="仿宋"/>
                <w:color w:val="auto"/>
                <w:sz w:val="22"/>
                <w:highlight w:val="none"/>
              </w:rPr>
              <w:t>2、所有产品品目基准价统一按照北园春集团网站（http：//www.beiyuanchun.com）公布的价格（中间价）为基准价，结算价=基准价×报价折扣。</w:t>
            </w:r>
          </w:p>
          <w:p w14:paraId="2D84327B">
            <w:pPr>
              <w:pStyle w:val="96"/>
              <w:tabs>
                <w:tab w:val="left" w:pos="1337"/>
              </w:tabs>
              <w:spacing w:line="360" w:lineRule="auto"/>
              <w:jc w:val="left"/>
              <w:rPr>
                <w:rFonts w:ascii="仿宋" w:hAnsi="仿宋" w:eastAsia="仿宋" w:cs="仿宋"/>
                <w:color w:val="auto"/>
                <w:sz w:val="22"/>
                <w:highlight w:val="none"/>
              </w:rPr>
            </w:pPr>
            <w:r>
              <w:rPr>
                <w:rFonts w:hint="eastAsia" w:ascii="仿宋" w:hAnsi="仿宋" w:eastAsia="仿宋" w:cs="仿宋"/>
                <w:color w:val="auto"/>
                <w:sz w:val="22"/>
                <w:highlight w:val="none"/>
              </w:rPr>
              <w:t>3、甲方已给定最高限价的冻货类商品，需参照甲方提前公布的品目最高限价为基准价为基准价，进行报价折扣，结算价=基准价×报价折扣。经报价的品目，价格经双方确定后，合同期间内，不因市场行情波动、季节更迭、原材料涨跌及其他外部因素调整变动，定价固定不变。</w:t>
            </w:r>
          </w:p>
          <w:p w14:paraId="439167A8">
            <w:pPr>
              <w:pStyle w:val="96"/>
              <w:tabs>
                <w:tab w:val="left" w:pos="1337"/>
              </w:tabs>
              <w:spacing w:line="360" w:lineRule="auto"/>
              <w:jc w:val="left"/>
              <w:rPr>
                <w:rFonts w:ascii="仿宋" w:hAnsi="仿宋" w:eastAsia="仿宋" w:cs="仿宋"/>
                <w:color w:val="auto"/>
                <w:sz w:val="22"/>
                <w:highlight w:val="none"/>
              </w:rPr>
            </w:pPr>
            <w:r>
              <w:rPr>
                <w:rFonts w:hint="eastAsia" w:ascii="仿宋" w:hAnsi="仿宋" w:eastAsia="仿宋" w:cs="仿宋"/>
                <w:color w:val="auto"/>
                <w:sz w:val="22"/>
                <w:highlight w:val="none"/>
              </w:rPr>
              <w:t>4、北园春市场没有公示价格的产品，也不在甲方列出的最高限价品目中，市场价为甲方（乙方可一并参加）在本周期内（周期为季度）对乌鲁木齐市新联市场、九鼎农贸市场或大型专业批发市场、大中型商超市场或者吐鲁番市的大型专业批发市场或大中型商超市场的三家及以上询价，经甲乙双方共同确认后，以书面形式确定最低价为基准价；甲乙双方以书面确认的基准价进行折扣报价后确定结算价。即：结算价=基准价（市场价）×报价折扣。</w:t>
            </w:r>
          </w:p>
          <w:p w14:paraId="3C42831B">
            <w:pPr>
              <w:pStyle w:val="96"/>
              <w:tabs>
                <w:tab w:val="left" w:pos="1337"/>
              </w:tabs>
              <w:spacing w:line="360" w:lineRule="auto"/>
              <w:jc w:val="left"/>
              <w:rPr>
                <w:rFonts w:ascii="仿宋" w:hAnsi="仿宋" w:eastAsia="仿宋" w:cs="仿宋"/>
                <w:color w:val="auto"/>
                <w:sz w:val="22"/>
                <w:highlight w:val="none"/>
              </w:rPr>
            </w:pPr>
            <w:r>
              <w:rPr>
                <w:rFonts w:hint="eastAsia" w:ascii="仿宋" w:hAnsi="仿宋" w:eastAsia="仿宋" w:cs="仿宋"/>
                <w:color w:val="auto"/>
                <w:sz w:val="22"/>
                <w:highlight w:val="none"/>
              </w:rPr>
              <w:t>5、本项目投标报价包括货物到达招标人指定地点的全部费用，包括但不限于项目实施所需的货物费、包装运输费、配送费、人工费、装卸费、管理费、利润、税费等一切费用。</w:t>
            </w:r>
          </w:p>
          <w:p w14:paraId="5EAC6BF0">
            <w:pPr>
              <w:pStyle w:val="96"/>
              <w:tabs>
                <w:tab w:val="left" w:pos="1337"/>
              </w:tabs>
              <w:spacing w:line="360" w:lineRule="auto"/>
              <w:jc w:val="left"/>
              <w:rPr>
                <w:rFonts w:ascii="仿宋" w:hAnsi="仿宋" w:eastAsia="仿宋" w:cs="仿宋"/>
                <w:color w:val="auto"/>
                <w:highlight w:val="none"/>
              </w:rPr>
            </w:pPr>
            <w:r>
              <w:rPr>
                <w:rFonts w:hint="eastAsia" w:ascii="仿宋" w:hAnsi="仿宋" w:eastAsia="仿宋" w:cs="仿宋"/>
                <w:color w:val="auto"/>
                <w:sz w:val="22"/>
                <w:highlight w:val="none"/>
              </w:rPr>
              <w:t xml:space="preserve">6、严格开具税务发票，投标报价为含税价格，供应商应按含税金额开具增值税普通发票。  </w:t>
            </w:r>
          </w:p>
        </w:tc>
      </w:tr>
    </w:tbl>
    <w:p w14:paraId="31CCBB98">
      <w:pPr>
        <w:ind w:left="-2" w:leftChars="-1" w:firstLine="480" w:firstLineChars="20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注：</w:t>
      </w:r>
      <w:r>
        <w:rPr>
          <w:rFonts w:hint="eastAsia" w:ascii="仿宋" w:hAnsi="仿宋" w:eastAsia="仿宋" w:cs="仿宋"/>
          <w:color w:val="auto"/>
          <w:sz w:val="24"/>
          <w:highlight w:val="none"/>
          <w:lang w:val="zh-CN" w:eastAsia="zh-CN"/>
        </w:rPr>
        <w:t>1、供应商需按本表格式填写</w:t>
      </w:r>
      <w:r>
        <w:rPr>
          <w:rFonts w:hint="eastAsia" w:ascii="仿宋" w:hAnsi="仿宋" w:eastAsia="仿宋" w:cs="仿宋"/>
          <w:b/>
          <w:color w:val="auto"/>
          <w:sz w:val="24"/>
          <w:highlight w:val="none"/>
          <w:lang w:val="zh-CN" w:eastAsia="zh-CN"/>
        </w:rPr>
        <w:t>，</w:t>
      </w:r>
      <w:r>
        <w:rPr>
          <w:rFonts w:hint="eastAsia" w:ascii="仿宋" w:hAnsi="仿宋" w:eastAsia="仿宋" w:cs="仿宋"/>
          <w:b/>
          <w:color w:val="auto"/>
          <w:sz w:val="24"/>
          <w:highlight w:val="none"/>
          <w:lang w:eastAsia="zh-CN"/>
        </w:rPr>
        <w:t>否则视为投标文件含有采购人不能接受的附加条件，响应无效</w:t>
      </w:r>
      <w:r>
        <w:rPr>
          <w:rFonts w:hint="eastAsia" w:ascii="仿宋" w:hAnsi="仿宋" w:eastAsia="仿宋" w:cs="仿宋"/>
          <w:color w:val="auto"/>
          <w:sz w:val="24"/>
          <w:highlight w:val="none"/>
          <w:lang w:val="zh-CN" w:eastAsia="zh-CN"/>
        </w:rPr>
        <w:t>。</w:t>
      </w:r>
    </w:p>
    <w:p w14:paraId="16457DA1">
      <w:pPr>
        <w:ind w:firstLine="480" w:firstLineChars="20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2、有关本项目实施所涉及的一切费用均计入报价。</w:t>
      </w:r>
      <w:r>
        <w:rPr>
          <w:rFonts w:hint="eastAsia" w:ascii="仿宋" w:hAnsi="仿宋" w:eastAsia="仿宋" w:cs="仿宋"/>
          <w:b/>
          <w:color w:val="auto"/>
          <w:sz w:val="24"/>
          <w:highlight w:val="none"/>
          <w:lang w:val="zh-CN" w:eastAsia="zh-CN"/>
        </w:rPr>
        <w:t>采购人将以合同形式有偿取得货物或服务，不接受供应商给予的赠品、回扣或者与采购无关的其他商品、服务</w:t>
      </w:r>
      <w:r>
        <w:rPr>
          <w:rFonts w:hint="eastAsia" w:ascii="仿宋" w:hAnsi="仿宋" w:eastAsia="仿宋" w:cs="仿宋"/>
          <w:color w:val="auto"/>
          <w:sz w:val="24"/>
          <w:highlight w:val="none"/>
          <w:lang w:val="zh-CN" w:eastAsia="zh-CN"/>
        </w:rPr>
        <w:t>，</w:t>
      </w:r>
      <w:r>
        <w:rPr>
          <w:rFonts w:hint="eastAsia" w:ascii="仿宋" w:hAnsi="仿宋" w:eastAsia="仿宋" w:cs="仿宋"/>
          <w:b/>
          <w:color w:val="auto"/>
          <w:sz w:val="24"/>
          <w:highlight w:val="none"/>
          <w:lang w:val="zh-CN" w:eastAsia="zh-CN"/>
        </w:rPr>
        <w:t>不得出现“0元”“免费赠送”等形式的无偿报价，</w:t>
      </w:r>
      <w:r>
        <w:rPr>
          <w:rFonts w:hint="eastAsia" w:ascii="仿宋" w:hAnsi="仿宋" w:eastAsia="仿宋" w:cs="仿宋"/>
          <w:b/>
          <w:color w:val="auto"/>
          <w:sz w:val="24"/>
          <w:highlight w:val="none"/>
          <w:lang w:eastAsia="zh-CN"/>
        </w:rPr>
        <w:t>否则视为报价文件含有采购人不能接受的附加条件，响应无效。</w:t>
      </w:r>
    </w:p>
    <w:p w14:paraId="02F140F0">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7C54FA8B">
      <w:pPr>
        <w:shd w:val="clear" w:color="auto" w:fill="FFFFFF"/>
        <w:spacing w:line="384" w:lineRule="auto"/>
        <w:jc w:val="righ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631CB203">
      <w:pPr>
        <w:shd w:val="clear" w:color="auto" w:fill="FFFFFF"/>
        <w:wordWrap w:val="0"/>
        <w:spacing w:line="384" w:lineRule="auto"/>
        <w:ind w:firstLine="420"/>
        <w:jc w:val="righ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日期：     年   月   日</w:t>
      </w:r>
    </w:p>
    <w:bookmarkEnd w:id="135"/>
    <w:bookmarkEnd w:id="136"/>
    <w:bookmarkEnd w:id="137"/>
    <w:bookmarkEnd w:id="138"/>
    <w:bookmarkEnd w:id="139"/>
    <w:p w14:paraId="06847F36">
      <w:pPr>
        <w:pStyle w:val="10"/>
        <w:spacing w:before="100" w:line="223" w:lineRule="auto"/>
        <w:jc w:val="center"/>
        <w:rPr>
          <w:rFonts w:ascii="仿宋_GB2312" w:hAnsi="仿宋_GB2312" w:eastAsia="仿宋_GB2312" w:cs="仿宋_GB2312"/>
          <w:color w:val="auto"/>
          <w:sz w:val="28"/>
          <w:szCs w:val="28"/>
          <w:highlight w:val="none"/>
          <w:lang w:eastAsia="zh-CN"/>
        </w:rPr>
      </w:pPr>
      <w:bookmarkStart w:id="140" w:name="_Toc130252618"/>
      <w:bookmarkStart w:id="141" w:name="_Toc109941768"/>
      <w:bookmarkStart w:id="142" w:name="_Toc110707968"/>
      <w:bookmarkStart w:id="143" w:name="_Toc109921161"/>
      <w:r>
        <w:rPr>
          <w:rFonts w:hint="eastAsia" w:ascii="仿宋_GB2312" w:hAnsi="仿宋_GB2312" w:eastAsia="仿宋_GB2312" w:cs="仿宋_GB2312"/>
          <w:b/>
          <w:bCs/>
          <w:color w:val="auto"/>
          <w:spacing w:val="-5"/>
          <w:sz w:val="28"/>
          <w:szCs w:val="28"/>
          <w:highlight w:val="none"/>
          <w:lang w:eastAsia="zh-CN"/>
        </w:rPr>
        <w:t>分项报价明细表</w:t>
      </w:r>
    </w:p>
    <w:p w14:paraId="5B13ADA3">
      <w:pPr>
        <w:spacing w:before="190"/>
        <w:rPr>
          <w:rFonts w:ascii="仿宋_GB2312" w:hAnsi="仿宋_GB2312" w:eastAsia="仿宋_GB2312" w:cs="仿宋_GB2312"/>
          <w:color w:val="auto"/>
          <w:highlight w:val="none"/>
          <w:lang w:eastAsia="zh-CN"/>
        </w:rPr>
      </w:pPr>
    </w:p>
    <w:p w14:paraId="613B9991">
      <w:pPr>
        <w:pStyle w:val="83"/>
        <w:spacing w:line="360" w:lineRule="auto"/>
        <w:ind w:left="0" w:leftChars="0" w:firstLine="0" w:firstLineChars="0"/>
        <w:rPr>
          <w:rFonts w:ascii="仿宋_GB2312" w:hAnsi="仿宋_GB2312" w:eastAsia="仿宋_GB2312" w:cs="仿宋_GB2312"/>
          <w:color w:val="auto"/>
          <w:highlight w:val="none"/>
          <w:lang w:bidi="ar"/>
        </w:rPr>
      </w:pPr>
      <w:r>
        <w:rPr>
          <w:rFonts w:hint="eastAsia" w:ascii="仿宋_GB2312" w:hAnsi="仿宋_GB2312" w:eastAsia="仿宋_GB2312" w:cs="仿宋_GB2312"/>
          <w:bCs/>
          <w:color w:val="auto"/>
          <w:highlight w:val="none"/>
        </w:rPr>
        <w:t>项目名称</w:t>
      </w:r>
      <w:r>
        <w:rPr>
          <w:rFonts w:hint="eastAsia" w:ascii="仿宋_GB2312" w:hAnsi="仿宋_GB2312" w:eastAsia="仿宋_GB2312" w:cs="仿宋_GB2312"/>
          <w:color w:val="auto"/>
          <w:highlight w:val="none"/>
          <w:lang w:bidi="ar"/>
        </w:rPr>
        <w:t>：</w:t>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bCs/>
          <w:color w:val="auto"/>
          <w:highlight w:val="none"/>
        </w:rPr>
        <w:t>项目编号：</w:t>
      </w:r>
    </w:p>
    <w:p w14:paraId="33DA0B64">
      <w:pPr>
        <w:pStyle w:val="83"/>
        <w:spacing w:line="360" w:lineRule="auto"/>
        <w:ind w:left="0" w:leftChars="0" w:firstLine="0" w:firstLineChars="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bidi="ar"/>
        </w:rPr>
        <w:t>投标单位名称：</w:t>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836"/>
        <w:gridCol w:w="1679"/>
        <w:gridCol w:w="1679"/>
        <w:gridCol w:w="919"/>
        <w:gridCol w:w="915"/>
        <w:gridCol w:w="1695"/>
        <w:gridCol w:w="1102"/>
      </w:tblGrid>
      <w:tr w14:paraId="48D4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0" w:type="pct"/>
            <w:vAlign w:val="center"/>
          </w:tcPr>
          <w:p w14:paraId="2B797BAB">
            <w:pPr>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bidi="ar"/>
              </w:rPr>
              <w:t>序号</w:t>
            </w:r>
          </w:p>
        </w:tc>
        <w:tc>
          <w:tcPr>
            <w:tcW w:w="424" w:type="pct"/>
            <w:vAlign w:val="center"/>
          </w:tcPr>
          <w:p w14:paraId="7182FEC6">
            <w:pPr>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bidi="ar"/>
              </w:rPr>
              <w:t>品名</w:t>
            </w:r>
          </w:p>
        </w:tc>
        <w:tc>
          <w:tcPr>
            <w:tcW w:w="852" w:type="pct"/>
            <w:vAlign w:val="center"/>
          </w:tcPr>
          <w:p w14:paraId="0FD30C73">
            <w:pPr>
              <w:jc w:val="center"/>
              <w:textAlignment w:val="center"/>
              <w:rPr>
                <w:rFonts w:hint="eastAsia" w:ascii="仿宋_GB2312" w:hAnsi="仿宋_GB2312" w:eastAsia="仿宋_GB2312" w:cs="仿宋_GB2312"/>
                <w:b/>
                <w:bCs/>
                <w:color w:val="auto"/>
                <w:sz w:val="24"/>
                <w:szCs w:val="24"/>
                <w:highlight w:val="none"/>
                <w:lang w:val="en-US" w:eastAsia="zh-CN" w:bidi="ar"/>
              </w:rPr>
            </w:pPr>
            <w:r>
              <w:rPr>
                <w:rFonts w:hint="eastAsia" w:ascii="仿宋_GB2312" w:hAnsi="仿宋_GB2312" w:eastAsia="仿宋_GB2312" w:cs="仿宋_GB2312"/>
                <w:b/>
                <w:bCs/>
                <w:color w:val="auto"/>
                <w:sz w:val="24"/>
                <w:szCs w:val="24"/>
                <w:highlight w:val="none"/>
                <w:lang w:eastAsia="zh-CN" w:bidi="ar"/>
              </w:rPr>
              <w:t>品牌</w:t>
            </w:r>
          </w:p>
        </w:tc>
        <w:tc>
          <w:tcPr>
            <w:tcW w:w="852" w:type="pct"/>
            <w:vAlign w:val="center"/>
          </w:tcPr>
          <w:p w14:paraId="536CEDA9">
            <w:pPr>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bidi="ar"/>
              </w:rPr>
              <w:t>规格型号</w:t>
            </w:r>
          </w:p>
        </w:tc>
        <w:tc>
          <w:tcPr>
            <w:tcW w:w="466" w:type="pct"/>
            <w:vAlign w:val="center"/>
          </w:tcPr>
          <w:p w14:paraId="303701E9">
            <w:pPr>
              <w:jc w:val="center"/>
              <w:textAlignment w:val="center"/>
              <w:rPr>
                <w:rFonts w:hint="eastAsia" w:ascii="仿宋_GB2312" w:hAnsi="仿宋_GB2312" w:eastAsia="仿宋_GB2312" w:cs="仿宋_GB2312"/>
                <w:b/>
                <w:bCs/>
                <w:color w:val="auto"/>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bidi="ar"/>
              </w:rPr>
              <w:t>数量</w:t>
            </w:r>
          </w:p>
          <w:p w14:paraId="2DC20722">
            <w:pPr>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16"/>
                <w:szCs w:val="16"/>
                <w:highlight w:val="none"/>
                <w:lang w:val="en-US" w:eastAsia="zh-CN" w:bidi="ar"/>
              </w:rPr>
              <w:t>（同时填写单位）</w:t>
            </w:r>
          </w:p>
        </w:tc>
        <w:tc>
          <w:tcPr>
            <w:tcW w:w="464" w:type="pct"/>
            <w:vAlign w:val="center"/>
          </w:tcPr>
          <w:p w14:paraId="65815428">
            <w:pPr>
              <w:jc w:val="center"/>
              <w:textAlignment w:val="center"/>
              <w:rPr>
                <w:rFonts w:hint="default" w:ascii="仿宋_GB2312" w:hAnsi="仿宋_GB2312" w:eastAsia="仿宋_GB2312" w:cs="仿宋_GB2312"/>
                <w:b/>
                <w:bCs/>
                <w:color w:val="auto"/>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bidi="ar"/>
              </w:rPr>
              <w:t>制造商</w:t>
            </w:r>
          </w:p>
        </w:tc>
        <w:tc>
          <w:tcPr>
            <w:tcW w:w="860" w:type="pct"/>
            <w:vAlign w:val="center"/>
          </w:tcPr>
          <w:p w14:paraId="38263241">
            <w:pPr>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投标报价（</w:t>
            </w:r>
            <w:r>
              <w:rPr>
                <w:rFonts w:hint="eastAsia" w:ascii="仿宋_GB2312" w:hAnsi="仿宋_GB2312" w:eastAsia="仿宋_GB2312" w:cs="仿宋_GB2312"/>
                <w:b/>
                <w:bCs/>
                <w:color w:val="auto"/>
                <w:sz w:val="24"/>
                <w:szCs w:val="24"/>
                <w:highlight w:val="none"/>
                <w:lang w:val="en-US" w:eastAsia="zh-CN"/>
              </w:rPr>
              <w:t>折扣</w:t>
            </w:r>
            <w:r>
              <w:rPr>
                <w:rFonts w:hint="eastAsia" w:ascii="仿宋_GB2312" w:hAnsi="仿宋_GB2312" w:eastAsia="仿宋_GB2312" w:cs="仿宋_GB2312"/>
                <w:b/>
                <w:bCs/>
                <w:color w:val="auto"/>
                <w:sz w:val="24"/>
                <w:szCs w:val="24"/>
                <w:highlight w:val="none"/>
                <w:lang w:eastAsia="zh-CN"/>
              </w:rPr>
              <w:t>率）</w:t>
            </w:r>
          </w:p>
        </w:tc>
        <w:tc>
          <w:tcPr>
            <w:tcW w:w="559" w:type="pct"/>
            <w:vAlign w:val="center"/>
          </w:tcPr>
          <w:p w14:paraId="4640D298">
            <w:pPr>
              <w:jc w:val="center"/>
              <w:textAlignment w:val="center"/>
              <w:rPr>
                <w:rFonts w:ascii="仿宋_GB2312" w:hAnsi="仿宋_GB2312" w:eastAsia="仿宋_GB2312" w:cs="仿宋_GB2312"/>
                <w:b/>
                <w:bCs/>
                <w:color w:val="auto"/>
                <w:sz w:val="24"/>
                <w:szCs w:val="24"/>
                <w:highlight w:val="none"/>
                <w:lang w:eastAsia="zh-CN" w:bidi="ar"/>
              </w:rPr>
            </w:pPr>
            <w:r>
              <w:rPr>
                <w:rFonts w:hint="eastAsia" w:ascii="仿宋_GB2312" w:hAnsi="仿宋_GB2312" w:eastAsia="仿宋_GB2312" w:cs="仿宋_GB2312"/>
                <w:b/>
                <w:bCs/>
                <w:color w:val="auto"/>
                <w:sz w:val="24"/>
                <w:szCs w:val="24"/>
                <w:highlight w:val="none"/>
                <w:lang w:eastAsia="zh-CN" w:bidi="ar"/>
              </w:rPr>
              <w:t>备注</w:t>
            </w:r>
          </w:p>
        </w:tc>
      </w:tr>
      <w:tr w14:paraId="0532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0" w:type="pct"/>
            <w:vAlign w:val="center"/>
          </w:tcPr>
          <w:p w14:paraId="1F0F0799">
            <w:pPr>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bidi="ar"/>
              </w:rPr>
              <w:t>1</w:t>
            </w:r>
          </w:p>
        </w:tc>
        <w:tc>
          <w:tcPr>
            <w:tcW w:w="424" w:type="pct"/>
            <w:vAlign w:val="center"/>
          </w:tcPr>
          <w:p w14:paraId="6A6F0784">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10DB0035">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6B967042">
            <w:pPr>
              <w:jc w:val="center"/>
              <w:textAlignment w:val="center"/>
              <w:rPr>
                <w:rFonts w:ascii="仿宋_GB2312" w:hAnsi="仿宋_GB2312" w:eastAsia="仿宋_GB2312" w:cs="仿宋_GB2312"/>
                <w:color w:val="auto"/>
                <w:sz w:val="24"/>
                <w:szCs w:val="24"/>
                <w:highlight w:val="none"/>
              </w:rPr>
            </w:pPr>
          </w:p>
        </w:tc>
        <w:tc>
          <w:tcPr>
            <w:tcW w:w="466" w:type="pct"/>
            <w:vAlign w:val="center"/>
          </w:tcPr>
          <w:p w14:paraId="45BEC42C">
            <w:pPr>
              <w:jc w:val="center"/>
              <w:textAlignment w:val="center"/>
              <w:rPr>
                <w:rFonts w:ascii="仿宋_GB2312" w:hAnsi="仿宋_GB2312" w:eastAsia="仿宋_GB2312" w:cs="仿宋_GB2312"/>
                <w:color w:val="auto"/>
                <w:sz w:val="24"/>
                <w:szCs w:val="24"/>
                <w:highlight w:val="none"/>
              </w:rPr>
            </w:pPr>
          </w:p>
        </w:tc>
        <w:tc>
          <w:tcPr>
            <w:tcW w:w="464" w:type="pct"/>
            <w:vAlign w:val="center"/>
          </w:tcPr>
          <w:p w14:paraId="2926B854">
            <w:pPr>
              <w:jc w:val="center"/>
              <w:textAlignment w:val="center"/>
              <w:rPr>
                <w:rFonts w:ascii="仿宋_GB2312" w:hAnsi="仿宋_GB2312" w:eastAsia="仿宋_GB2312" w:cs="仿宋_GB2312"/>
                <w:color w:val="auto"/>
                <w:sz w:val="24"/>
                <w:szCs w:val="24"/>
                <w:highlight w:val="none"/>
                <w:lang w:eastAsia="zh-CN" w:bidi="ar"/>
              </w:rPr>
            </w:pPr>
          </w:p>
        </w:tc>
        <w:tc>
          <w:tcPr>
            <w:tcW w:w="860" w:type="pct"/>
            <w:vMerge w:val="restart"/>
            <w:vAlign w:val="center"/>
          </w:tcPr>
          <w:p w14:paraId="3111D898">
            <w:pPr>
              <w:jc w:val="center"/>
              <w:rPr>
                <w:rFonts w:ascii="仿宋_GB2312" w:hAnsi="仿宋_GB2312" w:eastAsia="仿宋_GB2312" w:cs="仿宋_GB2312"/>
                <w:b/>
                <w:bCs/>
                <w:color w:val="auto"/>
                <w:sz w:val="24"/>
                <w:szCs w:val="24"/>
                <w:highlight w:val="none"/>
                <w:lang w:eastAsia="zh-CN"/>
              </w:rPr>
            </w:pPr>
          </w:p>
        </w:tc>
        <w:tc>
          <w:tcPr>
            <w:tcW w:w="559" w:type="pct"/>
            <w:vMerge w:val="restart"/>
            <w:vAlign w:val="center"/>
          </w:tcPr>
          <w:p w14:paraId="0CB9084F">
            <w:pPr>
              <w:jc w:val="center"/>
              <w:rPr>
                <w:rFonts w:ascii="仿宋_GB2312" w:hAnsi="仿宋_GB2312" w:eastAsia="仿宋_GB2312" w:cs="仿宋_GB2312"/>
                <w:b/>
                <w:bCs/>
                <w:color w:val="auto"/>
                <w:sz w:val="24"/>
                <w:szCs w:val="24"/>
                <w:highlight w:val="none"/>
                <w:lang w:eastAsia="zh-CN"/>
              </w:rPr>
            </w:pPr>
          </w:p>
        </w:tc>
      </w:tr>
      <w:tr w14:paraId="3EE6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0" w:type="pct"/>
            <w:vAlign w:val="center"/>
          </w:tcPr>
          <w:p w14:paraId="645851FF">
            <w:pPr>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lang w:eastAsia="zh-CN" w:bidi="ar"/>
              </w:rPr>
              <w:t>2</w:t>
            </w:r>
          </w:p>
        </w:tc>
        <w:tc>
          <w:tcPr>
            <w:tcW w:w="424" w:type="pct"/>
            <w:vAlign w:val="center"/>
          </w:tcPr>
          <w:p w14:paraId="2CF67A1B">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7A826411">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509A7DED">
            <w:pPr>
              <w:jc w:val="center"/>
              <w:textAlignment w:val="center"/>
              <w:rPr>
                <w:rFonts w:ascii="仿宋_GB2312" w:hAnsi="仿宋_GB2312" w:eastAsia="仿宋_GB2312" w:cs="仿宋_GB2312"/>
                <w:color w:val="auto"/>
                <w:sz w:val="24"/>
                <w:szCs w:val="24"/>
                <w:highlight w:val="none"/>
              </w:rPr>
            </w:pPr>
          </w:p>
        </w:tc>
        <w:tc>
          <w:tcPr>
            <w:tcW w:w="466" w:type="pct"/>
            <w:vAlign w:val="center"/>
          </w:tcPr>
          <w:p w14:paraId="3114BEB2">
            <w:pPr>
              <w:jc w:val="center"/>
              <w:textAlignment w:val="center"/>
              <w:rPr>
                <w:rFonts w:ascii="仿宋_GB2312" w:hAnsi="仿宋_GB2312" w:eastAsia="仿宋_GB2312" w:cs="仿宋_GB2312"/>
                <w:color w:val="auto"/>
                <w:sz w:val="24"/>
                <w:szCs w:val="24"/>
                <w:highlight w:val="none"/>
              </w:rPr>
            </w:pPr>
          </w:p>
        </w:tc>
        <w:tc>
          <w:tcPr>
            <w:tcW w:w="464" w:type="pct"/>
            <w:vAlign w:val="center"/>
          </w:tcPr>
          <w:p w14:paraId="326F405E">
            <w:pPr>
              <w:jc w:val="center"/>
              <w:textAlignment w:val="center"/>
              <w:rPr>
                <w:rFonts w:ascii="仿宋_GB2312" w:hAnsi="仿宋_GB2312" w:eastAsia="仿宋_GB2312" w:cs="仿宋_GB2312"/>
                <w:color w:val="auto"/>
                <w:sz w:val="24"/>
                <w:szCs w:val="24"/>
                <w:highlight w:val="none"/>
                <w:lang w:eastAsia="zh-CN" w:bidi="ar"/>
              </w:rPr>
            </w:pPr>
          </w:p>
        </w:tc>
        <w:tc>
          <w:tcPr>
            <w:tcW w:w="860" w:type="pct"/>
            <w:vMerge w:val="continue"/>
            <w:vAlign w:val="center"/>
          </w:tcPr>
          <w:p w14:paraId="4089CE7F">
            <w:pPr>
              <w:jc w:val="center"/>
              <w:textAlignment w:val="center"/>
              <w:rPr>
                <w:rFonts w:ascii="仿宋_GB2312" w:hAnsi="仿宋_GB2312" w:eastAsia="仿宋_GB2312" w:cs="仿宋_GB2312"/>
                <w:b/>
                <w:bCs/>
                <w:color w:val="auto"/>
                <w:sz w:val="24"/>
                <w:szCs w:val="24"/>
                <w:highlight w:val="none"/>
                <w:lang w:eastAsia="zh-CN"/>
              </w:rPr>
            </w:pPr>
          </w:p>
        </w:tc>
        <w:tc>
          <w:tcPr>
            <w:tcW w:w="559" w:type="pct"/>
            <w:vMerge w:val="continue"/>
            <w:vAlign w:val="center"/>
          </w:tcPr>
          <w:p w14:paraId="50FF2CF0">
            <w:pPr>
              <w:jc w:val="center"/>
              <w:textAlignment w:val="center"/>
              <w:rPr>
                <w:rFonts w:ascii="仿宋_GB2312" w:hAnsi="仿宋_GB2312" w:eastAsia="仿宋_GB2312" w:cs="仿宋_GB2312"/>
                <w:b/>
                <w:bCs/>
                <w:color w:val="auto"/>
                <w:sz w:val="24"/>
                <w:szCs w:val="24"/>
                <w:highlight w:val="none"/>
                <w:lang w:eastAsia="zh-CN" w:bidi="ar"/>
              </w:rPr>
            </w:pPr>
          </w:p>
        </w:tc>
      </w:tr>
      <w:tr w14:paraId="1F75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0" w:type="pct"/>
            <w:vAlign w:val="center"/>
          </w:tcPr>
          <w:p w14:paraId="1545B34A">
            <w:pPr>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lang w:eastAsia="zh-CN" w:bidi="ar"/>
              </w:rPr>
              <w:t>3</w:t>
            </w:r>
          </w:p>
        </w:tc>
        <w:tc>
          <w:tcPr>
            <w:tcW w:w="424" w:type="pct"/>
            <w:vAlign w:val="center"/>
          </w:tcPr>
          <w:p w14:paraId="64997D02">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1016AB05">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0CEFCC5B">
            <w:pPr>
              <w:jc w:val="center"/>
              <w:textAlignment w:val="center"/>
              <w:rPr>
                <w:rFonts w:ascii="仿宋_GB2312" w:hAnsi="仿宋_GB2312" w:eastAsia="仿宋_GB2312" w:cs="仿宋_GB2312"/>
                <w:color w:val="auto"/>
                <w:sz w:val="24"/>
                <w:szCs w:val="24"/>
                <w:highlight w:val="none"/>
              </w:rPr>
            </w:pPr>
          </w:p>
        </w:tc>
        <w:tc>
          <w:tcPr>
            <w:tcW w:w="466" w:type="pct"/>
            <w:vAlign w:val="center"/>
          </w:tcPr>
          <w:p w14:paraId="55E9E5D8">
            <w:pPr>
              <w:jc w:val="center"/>
              <w:textAlignment w:val="center"/>
              <w:rPr>
                <w:rFonts w:ascii="仿宋_GB2312" w:hAnsi="仿宋_GB2312" w:eastAsia="仿宋_GB2312" w:cs="仿宋_GB2312"/>
                <w:color w:val="auto"/>
                <w:sz w:val="24"/>
                <w:szCs w:val="24"/>
                <w:highlight w:val="none"/>
              </w:rPr>
            </w:pPr>
          </w:p>
        </w:tc>
        <w:tc>
          <w:tcPr>
            <w:tcW w:w="464" w:type="pct"/>
            <w:vAlign w:val="center"/>
          </w:tcPr>
          <w:p w14:paraId="702656AB">
            <w:pPr>
              <w:jc w:val="center"/>
              <w:textAlignment w:val="center"/>
              <w:rPr>
                <w:rFonts w:ascii="仿宋_GB2312" w:hAnsi="仿宋_GB2312" w:eastAsia="仿宋_GB2312" w:cs="仿宋_GB2312"/>
                <w:color w:val="auto"/>
                <w:sz w:val="24"/>
                <w:szCs w:val="24"/>
                <w:highlight w:val="none"/>
                <w:lang w:eastAsia="zh-CN" w:bidi="ar"/>
              </w:rPr>
            </w:pPr>
          </w:p>
        </w:tc>
        <w:tc>
          <w:tcPr>
            <w:tcW w:w="860" w:type="pct"/>
            <w:vMerge w:val="continue"/>
            <w:vAlign w:val="center"/>
          </w:tcPr>
          <w:p w14:paraId="0E44793F">
            <w:pPr>
              <w:jc w:val="center"/>
              <w:textAlignment w:val="center"/>
              <w:rPr>
                <w:rFonts w:ascii="仿宋_GB2312" w:hAnsi="仿宋_GB2312" w:eastAsia="仿宋_GB2312" w:cs="仿宋_GB2312"/>
                <w:b/>
                <w:bCs/>
                <w:color w:val="auto"/>
                <w:sz w:val="24"/>
                <w:szCs w:val="24"/>
                <w:highlight w:val="none"/>
                <w:lang w:eastAsia="zh-CN"/>
              </w:rPr>
            </w:pPr>
          </w:p>
        </w:tc>
        <w:tc>
          <w:tcPr>
            <w:tcW w:w="559" w:type="pct"/>
            <w:vMerge w:val="continue"/>
            <w:vAlign w:val="center"/>
          </w:tcPr>
          <w:p w14:paraId="5DF2E8DB">
            <w:pPr>
              <w:jc w:val="center"/>
              <w:textAlignment w:val="center"/>
              <w:rPr>
                <w:rFonts w:ascii="仿宋_GB2312" w:hAnsi="仿宋_GB2312" w:eastAsia="仿宋_GB2312" w:cs="仿宋_GB2312"/>
                <w:b/>
                <w:bCs/>
                <w:color w:val="auto"/>
                <w:sz w:val="24"/>
                <w:szCs w:val="24"/>
                <w:highlight w:val="none"/>
                <w:lang w:eastAsia="zh-CN" w:bidi="ar"/>
              </w:rPr>
            </w:pPr>
          </w:p>
        </w:tc>
      </w:tr>
      <w:tr w14:paraId="7347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0" w:type="pct"/>
            <w:vAlign w:val="center"/>
          </w:tcPr>
          <w:p w14:paraId="775CE51D">
            <w:pPr>
              <w:jc w:val="center"/>
              <w:textAlignment w:val="center"/>
              <w:rPr>
                <w:rFonts w:hint="default" w:ascii="仿宋_GB2312" w:hAnsi="仿宋_GB2312" w:eastAsia="仿宋_GB2312" w:cs="仿宋_GB2312"/>
                <w:b/>
                <w:bCs/>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bidi="ar"/>
              </w:rPr>
              <w:t>...</w:t>
            </w:r>
          </w:p>
        </w:tc>
        <w:tc>
          <w:tcPr>
            <w:tcW w:w="424" w:type="pct"/>
            <w:vAlign w:val="center"/>
          </w:tcPr>
          <w:p w14:paraId="2BD6C2AF">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37C0F14E">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3F3145C8">
            <w:pPr>
              <w:jc w:val="center"/>
              <w:textAlignment w:val="center"/>
              <w:rPr>
                <w:rFonts w:ascii="仿宋_GB2312" w:hAnsi="仿宋_GB2312" w:eastAsia="仿宋_GB2312" w:cs="仿宋_GB2312"/>
                <w:color w:val="auto"/>
                <w:sz w:val="24"/>
                <w:szCs w:val="24"/>
                <w:highlight w:val="none"/>
              </w:rPr>
            </w:pPr>
          </w:p>
        </w:tc>
        <w:tc>
          <w:tcPr>
            <w:tcW w:w="466" w:type="pct"/>
            <w:vAlign w:val="center"/>
          </w:tcPr>
          <w:p w14:paraId="30301DFF">
            <w:pPr>
              <w:jc w:val="center"/>
              <w:textAlignment w:val="center"/>
              <w:rPr>
                <w:rFonts w:ascii="仿宋_GB2312" w:hAnsi="仿宋_GB2312" w:eastAsia="仿宋_GB2312" w:cs="仿宋_GB2312"/>
                <w:color w:val="auto"/>
                <w:sz w:val="24"/>
                <w:szCs w:val="24"/>
                <w:highlight w:val="none"/>
              </w:rPr>
            </w:pPr>
          </w:p>
        </w:tc>
        <w:tc>
          <w:tcPr>
            <w:tcW w:w="464" w:type="pct"/>
            <w:vAlign w:val="center"/>
          </w:tcPr>
          <w:p w14:paraId="07351CBF">
            <w:pPr>
              <w:jc w:val="center"/>
              <w:textAlignment w:val="center"/>
              <w:rPr>
                <w:rFonts w:ascii="仿宋_GB2312" w:hAnsi="仿宋_GB2312" w:eastAsia="仿宋_GB2312" w:cs="仿宋_GB2312"/>
                <w:color w:val="auto"/>
                <w:sz w:val="24"/>
                <w:szCs w:val="24"/>
                <w:highlight w:val="none"/>
                <w:lang w:eastAsia="zh-CN" w:bidi="ar"/>
              </w:rPr>
            </w:pPr>
          </w:p>
        </w:tc>
        <w:tc>
          <w:tcPr>
            <w:tcW w:w="860" w:type="pct"/>
            <w:vMerge w:val="continue"/>
            <w:vAlign w:val="center"/>
          </w:tcPr>
          <w:p w14:paraId="2B9A294C">
            <w:pPr>
              <w:jc w:val="center"/>
              <w:rPr>
                <w:rFonts w:ascii="仿宋_GB2312" w:hAnsi="仿宋_GB2312" w:eastAsia="仿宋_GB2312" w:cs="仿宋_GB2312"/>
                <w:b/>
                <w:bCs/>
                <w:color w:val="auto"/>
                <w:sz w:val="24"/>
                <w:szCs w:val="24"/>
                <w:highlight w:val="none"/>
                <w:lang w:eastAsia="zh-CN"/>
              </w:rPr>
            </w:pPr>
          </w:p>
        </w:tc>
        <w:tc>
          <w:tcPr>
            <w:tcW w:w="559" w:type="pct"/>
            <w:vMerge w:val="continue"/>
            <w:vAlign w:val="center"/>
          </w:tcPr>
          <w:p w14:paraId="5F52C493">
            <w:pPr>
              <w:jc w:val="center"/>
              <w:rPr>
                <w:rFonts w:ascii="仿宋_GB2312" w:hAnsi="仿宋_GB2312" w:eastAsia="仿宋_GB2312" w:cs="仿宋_GB2312"/>
                <w:b/>
                <w:bCs/>
                <w:color w:val="auto"/>
                <w:sz w:val="24"/>
                <w:szCs w:val="24"/>
                <w:highlight w:val="none"/>
                <w:lang w:eastAsia="zh-CN"/>
              </w:rPr>
            </w:pPr>
          </w:p>
        </w:tc>
      </w:tr>
    </w:tbl>
    <w:p w14:paraId="59F8C032">
      <w:pPr>
        <w:pStyle w:val="85"/>
        <w:widowControl/>
        <w:spacing w:line="360" w:lineRule="auto"/>
        <w:ind w:left="101" w:leftChars="48" w:firstLine="361" w:firstLineChars="150"/>
        <w:rPr>
          <w:rFonts w:ascii="仿宋_GB2312" w:hAnsi="仿宋_GB2312" w:eastAsia="仿宋_GB2312" w:cs="仿宋_GB2312"/>
          <w:b/>
          <w:color w:val="auto"/>
          <w:sz w:val="24"/>
          <w:highlight w:val="none"/>
        </w:rPr>
      </w:pPr>
    </w:p>
    <w:p w14:paraId="59440631">
      <w:pPr>
        <w:pStyle w:val="85"/>
        <w:widowControl/>
        <w:spacing w:line="360" w:lineRule="auto"/>
        <w:ind w:left="101" w:leftChars="48" w:firstLine="361" w:firstLineChars="15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投标人法定代表人电子签字或盖章：</w:t>
      </w:r>
    </w:p>
    <w:p w14:paraId="58B32C0B">
      <w:pPr>
        <w:pStyle w:val="85"/>
        <w:widowControl/>
        <w:spacing w:line="360" w:lineRule="auto"/>
        <w:ind w:left="0" w:leftChars="0" w:firstLine="482" w:firstLineChars="20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投标人公章：</w:t>
      </w:r>
    </w:p>
    <w:p w14:paraId="60280047">
      <w:pPr>
        <w:pStyle w:val="85"/>
        <w:widowControl/>
        <w:spacing w:line="360" w:lineRule="auto"/>
        <w:ind w:left="0" w:leftChars="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b/>
          <w:bCs/>
          <w:color w:val="auto"/>
          <w:sz w:val="24"/>
          <w:highlight w:val="none"/>
        </w:rPr>
        <w:t>日　期：</w:t>
      </w:r>
    </w:p>
    <w:p w14:paraId="4F5E0241">
      <w:pPr>
        <w:pStyle w:val="85"/>
        <w:widowControl/>
        <w:spacing w:line="360" w:lineRule="auto"/>
        <w:ind w:left="101" w:leftChars="48" w:firstLine="360" w:firstLineChars="150"/>
        <w:rPr>
          <w:rFonts w:ascii="仿宋_GB2312" w:hAnsi="仿宋_GB2312" w:eastAsia="仿宋_GB2312" w:cs="仿宋_GB2312"/>
          <w:color w:val="auto"/>
          <w:sz w:val="24"/>
          <w:szCs w:val="24"/>
          <w:highlight w:val="none"/>
        </w:rPr>
      </w:pPr>
    </w:p>
    <w:p w14:paraId="0190413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说明：1、</w:t>
      </w:r>
      <w:r>
        <w:rPr>
          <w:rFonts w:hint="eastAsia" w:ascii="仿宋_GB2312" w:hAnsi="仿宋_GB2312" w:eastAsia="仿宋_GB2312" w:cs="仿宋_GB2312"/>
          <w:color w:val="auto"/>
          <w:sz w:val="24"/>
          <w:szCs w:val="24"/>
          <w:highlight w:val="none"/>
          <w:lang w:val="en-US" w:eastAsia="zh-CN"/>
        </w:rPr>
        <w:t>供应商报价为对应标包的整体折扣率。</w:t>
      </w:r>
    </w:p>
    <w:p w14:paraId="461A7335">
      <w:pPr>
        <w:pStyle w:val="85"/>
        <w:widowControl/>
        <w:numPr>
          <w:ilvl w:val="0"/>
          <w:numId w:val="3"/>
        </w:numPr>
        <w:spacing w:line="360" w:lineRule="auto"/>
        <w:ind w:left="0" w:leftChars="0" w:firstLine="720" w:firstLineChars="3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sz w:val="24"/>
          <w:highlight w:val="none"/>
        </w:rPr>
        <w:t>投标人必须按</w:t>
      </w:r>
      <w:r>
        <w:rPr>
          <w:rFonts w:hint="eastAsia" w:ascii="仿宋_GB2312" w:hAnsi="仿宋_GB2312" w:eastAsia="仿宋_GB2312" w:cs="仿宋_GB2312"/>
          <w:bCs/>
          <w:color w:val="auto"/>
          <w:sz w:val="24"/>
          <w:highlight w:val="none"/>
          <w:lang w:val="en-US" w:eastAsia="zh-CN"/>
        </w:rPr>
        <w:t>第四章《采购需求》中列明的产品清单</w:t>
      </w:r>
      <w:r>
        <w:rPr>
          <w:rFonts w:hint="eastAsia" w:ascii="仿宋_GB2312" w:hAnsi="仿宋_GB2312" w:eastAsia="仿宋_GB2312" w:cs="仿宋_GB2312"/>
          <w:bCs/>
          <w:color w:val="auto"/>
          <w:sz w:val="24"/>
          <w:highlight w:val="none"/>
        </w:rPr>
        <w:t>完整填写报价明细表，</w:t>
      </w:r>
      <w:r>
        <w:rPr>
          <w:rFonts w:hint="eastAsia" w:ascii="仿宋_GB2312" w:hAnsi="仿宋_GB2312" w:eastAsia="仿宋_GB2312" w:cs="仿宋_GB2312"/>
          <w:bCs/>
          <w:color w:val="auto"/>
          <w:sz w:val="24"/>
          <w:highlight w:val="none"/>
          <w:lang w:val="en-US" w:eastAsia="zh-CN"/>
        </w:rPr>
        <w:t>不得</w:t>
      </w:r>
      <w:r>
        <w:rPr>
          <w:rFonts w:hint="eastAsia" w:ascii="仿宋_GB2312" w:hAnsi="仿宋_GB2312" w:eastAsia="仿宋_GB2312" w:cs="仿宋_GB2312"/>
          <w:bCs/>
          <w:color w:val="auto"/>
          <w:sz w:val="24"/>
          <w:highlight w:val="none"/>
        </w:rPr>
        <w:t>缺失或变动表格相关内容。</w:t>
      </w:r>
      <w:r>
        <w:rPr>
          <w:rFonts w:hint="eastAsia" w:ascii="仿宋_GB2312" w:hAnsi="仿宋_GB2312" w:eastAsia="仿宋_GB2312" w:cs="仿宋_GB2312"/>
          <w:color w:val="auto"/>
          <w:sz w:val="24"/>
          <w:szCs w:val="24"/>
          <w:highlight w:val="none"/>
          <w:lang w:val="en-US" w:eastAsia="zh-CN"/>
        </w:rPr>
        <w:t xml:space="preserve">      </w:t>
      </w:r>
    </w:p>
    <w:p w14:paraId="09A70CBC">
      <w:pPr>
        <w:ind w:firstLine="480" w:firstLineChars="200"/>
        <w:rPr>
          <w:rFonts w:ascii="仿宋" w:hAnsi="仿宋" w:eastAsia="仿宋" w:cs="仿宋"/>
          <w:b/>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3、分项报价明细表中内容须填写明确，</w:t>
      </w:r>
      <w:r>
        <w:rPr>
          <w:rFonts w:hint="eastAsia" w:ascii="仿宋_GB2312" w:hAnsi="仿宋_GB2312" w:eastAsia="仿宋_GB2312" w:cs="仿宋_GB2312"/>
          <w:b/>
          <w:bCs/>
          <w:color w:val="auto"/>
          <w:sz w:val="24"/>
          <w:szCs w:val="24"/>
          <w:highlight w:val="none"/>
          <w:lang w:val="en-US" w:eastAsia="zh-CN"/>
        </w:rPr>
        <w:t>不得填写“按照甲方要求”等类似不明确的字样。</w:t>
      </w:r>
      <w:r>
        <w:rPr>
          <w:rFonts w:hint="eastAsia" w:ascii="仿宋_GB2312" w:hAnsi="仿宋_GB2312" w:eastAsia="仿宋_GB2312" w:cs="仿宋_GB2312"/>
          <w:color w:val="auto"/>
          <w:sz w:val="28"/>
          <w:szCs w:val="28"/>
          <w:highlight w:val="none"/>
          <w:lang w:eastAsia="zh-CN"/>
        </w:rPr>
        <w:br w:type="page"/>
      </w:r>
    </w:p>
    <w:p w14:paraId="3BEAA455">
      <w:pPr>
        <w:rPr>
          <w:rFonts w:ascii="仿宋" w:hAnsi="仿宋" w:eastAsia="仿宋" w:cs="仿宋"/>
          <w:b/>
          <w:color w:val="auto"/>
          <w:sz w:val="24"/>
          <w:szCs w:val="24"/>
          <w:highlight w:val="none"/>
          <w:lang w:eastAsia="zh-CN"/>
        </w:rPr>
      </w:pPr>
      <w:bookmarkStart w:id="144" w:name="_Toc18934"/>
      <w:r>
        <w:rPr>
          <w:rFonts w:hint="eastAsia" w:ascii="仿宋" w:hAnsi="仿宋" w:eastAsia="仿宋" w:cs="仿宋"/>
          <w:b/>
          <w:color w:val="auto"/>
          <w:sz w:val="24"/>
          <w:szCs w:val="24"/>
          <w:highlight w:val="none"/>
          <w:lang w:eastAsia="zh-CN"/>
        </w:rPr>
        <w:br w:type="page"/>
      </w:r>
    </w:p>
    <w:p w14:paraId="33AF3642">
      <w:pPr>
        <w:tabs>
          <w:tab w:val="center" w:pos="4832"/>
          <w:tab w:val="left" w:pos="7140"/>
        </w:tabs>
        <w:jc w:val="center"/>
        <w:outlineLvl w:val="1"/>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二、商务条款偏离表</w:t>
      </w:r>
      <w:bookmarkEnd w:id="140"/>
      <w:bookmarkEnd w:id="141"/>
      <w:bookmarkEnd w:id="142"/>
      <w:bookmarkEnd w:id="143"/>
      <w:bookmarkEnd w:id="144"/>
    </w:p>
    <w:tbl>
      <w:tblPr>
        <w:tblStyle w:val="26"/>
        <w:tblW w:w="9741" w:type="dxa"/>
        <w:tblInd w:w="-316" w:type="dxa"/>
        <w:tblLayout w:type="fixed"/>
        <w:tblCellMar>
          <w:top w:w="0" w:type="dxa"/>
          <w:left w:w="0" w:type="dxa"/>
          <w:bottom w:w="0" w:type="dxa"/>
          <w:right w:w="0" w:type="dxa"/>
        </w:tblCellMar>
      </w:tblPr>
      <w:tblGrid>
        <w:gridCol w:w="413"/>
        <w:gridCol w:w="683"/>
        <w:gridCol w:w="5045"/>
        <w:gridCol w:w="1167"/>
        <w:gridCol w:w="917"/>
        <w:gridCol w:w="1516"/>
      </w:tblGrid>
      <w:tr w14:paraId="051A1F03">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C15299">
            <w:pPr>
              <w:jc w:val="center"/>
              <w:textAlignment w:val="center"/>
              <w:rPr>
                <w:rStyle w:val="104"/>
                <w:rFonts w:hint="default" w:ascii="仿宋" w:hAnsi="仿宋" w:eastAsia="仿宋" w:cs="仿宋"/>
                <w:color w:val="auto"/>
                <w:sz w:val="21"/>
                <w:szCs w:val="21"/>
                <w:highlight w:val="none"/>
                <w:lang w:bidi="ar"/>
              </w:rPr>
            </w:pPr>
            <w:r>
              <w:rPr>
                <w:rStyle w:val="104"/>
                <w:rFonts w:ascii="仿宋" w:hAnsi="仿宋" w:eastAsia="仿宋" w:cs="仿宋"/>
                <w:color w:val="auto"/>
                <w:sz w:val="21"/>
                <w:szCs w:val="21"/>
                <w:highlight w:val="none"/>
                <w:lang w:bidi="ar"/>
              </w:rPr>
              <w:t>序号</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8AA282">
            <w:pPr>
              <w:jc w:val="center"/>
              <w:textAlignment w:val="center"/>
              <w:rPr>
                <w:rStyle w:val="104"/>
                <w:rFonts w:hint="default" w:ascii="仿宋" w:hAnsi="仿宋" w:eastAsia="仿宋" w:cs="仿宋"/>
                <w:color w:val="auto"/>
                <w:sz w:val="21"/>
                <w:szCs w:val="21"/>
                <w:highlight w:val="none"/>
                <w:lang w:bidi="ar"/>
              </w:rPr>
            </w:pPr>
            <w:r>
              <w:rPr>
                <w:rStyle w:val="104"/>
                <w:rFonts w:ascii="仿宋" w:hAnsi="仿宋" w:eastAsia="仿宋" w:cs="仿宋"/>
                <w:color w:val="auto"/>
                <w:sz w:val="21"/>
                <w:szCs w:val="21"/>
                <w:highlight w:val="none"/>
                <w:lang w:bidi="ar"/>
              </w:rPr>
              <w:t>名称</w:t>
            </w: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89106D">
            <w:pPr>
              <w:jc w:val="center"/>
              <w:textAlignment w:val="center"/>
              <w:rPr>
                <w:rStyle w:val="104"/>
                <w:rFonts w:hint="default" w:ascii="仿宋" w:hAnsi="仿宋" w:eastAsia="仿宋" w:cs="仿宋"/>
                <w:color w:val="auto"/>
                <w:sz w:val="21"/>
                <w:szCs w:val="21"/>
                <w:highlight w:val="none"/>
                <w:lang w:bidi="ar"/>
              </w:rPr>
            </w:pPr>
            <w:r>
              <w:rPr>
                <w:rStyle w:val="104"/>
                <w:rFonts w:ascii="仿宋" w:hAnsi="仿宋" w:eastAsia="仿宋" w:cs="仿宋"/>
                <w:color w:val="auto"/>
                <w:sz w:val="21"/>
                <w:szCs w:val="21"/>
                <w:highlight w:val="none"/>
                <w:lang w:bidi="ar"/>
              </w:rPr>
              <w:t>商务指标要求</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47C5BE">
            <w:pPr>
              <w:jc w:val="center"/>
              <w:textAlignment w:val="center"/>
              <w:rPr>
                <w:rStyle w:val="104"/>
                <w:rFonts w:hint="default" w:ascii="仿宋" w:hAnsi="仿宋" w:eastAsia="仿宋" w:cs="仿宋"/>
                <w:color w:val="auto"/>
                <w:sz w:val="21"/>
                <w:szCs w:val="21"/>
                <w:highlight w:val="none"/>
                <w:lang w:eastAsia="zh-CN" w:bidi="ar"/>
              </w:rPr>
            </w:pPr>
            <w:r>
              <w:rPr>
                <w:rStyle w:val="104"/>
                <w:rFonts w:ascii="仿宋" w:hAnsi="仿宋" w:eastAsia="仿宋" w:cs="仿宋"/>
                <w:color w:val="auto"/>
                <w:sz w:val="21"/>
                <w:szCs w:val="21"/>
                <w:highlight w:val="none"/>
                <w:lang w:eastAsia="zh-CN" w:bidi="ar"/>
              </w:rPr>
              <w:t>偏离情况</w:t>
            </w:r>
          </w:p>
          <w:p w14:paraId="2879E0F1">
            <w:pPr>
              <w:jc w:val="center"/>
              <w:textAlignment w:val="center"/>
              <w:rPr>
                <w:rStyle w:val="104"/>
                <w:rFonts w:hint="default" w:ascii="仿宋" w:hAnsi="仿宋" w:eastAsia="仿宋" w:cs="仿宋"/>
                <w:color w:val="auto"/>
                <w:sz w:val="21"/>
                <w:szCs w:val="21"/>
                <w:highlight w:val="none"/>
                <w:lang w:eastAsia="zh-CN" w:bidi="ar"/>
              </w:rPr>
            </w:pPr>
            <w:r>
              <w:rPr>
                <w:rStyle w:val="104"/>
                <w:rFonts w:ascii="仿宋" w:hAnsi="仿宋" w:eastAsia="仿宋" w:cs="仿宋"/>
                <w:color w:val="auto"/>
                <w:sz w:val="21"/>
                <w:szCs w:val="21"/>
                <w:highlight w:val="none"/>
                <w:lang w:eastAsia="zh-CN" w:bidi="ar"/>
              </w:rPr>
              <w:t>（正偏离/负偏离/无偏离）</w:t>
            </w: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B74C00">
            <w:pPr>
              <w:jc w:val="center"/>
              <w:textAlignment w:val="center"/>
              <w:rPr>
                <w:rStyle w:val="104"/>
                <w:rFonts w:hint="default" w:ascii="仿宋" w:hAnsi="仿宋" w:eastAsia="仿宋" w:cs="仿宋"/>
                <w:color w:val="auto"/>
                <w:sz w:val="21"/>
                <w:szCs w:val="21"/>
                <w:highlight w:val="none"/>
                <w:lang w:bidi="ar"/>
              </w:rPr>
            </w:pPr>
            <w:r>
              <w:rPr>
                <w:rStyle w:val="104"/>
                <w:rFonts w:ascii="仿宋" w:hAnsi="仿宋" w:eastAsia="仿宋" w:cs="仿宋"/>
                <w:color w:val="auto"/>
                <w:sz w:val="21"/>
                <w:szCs w:val="21"/>
                <w:highlight w:val="none"/>
                <w:lang w:bidi="ar"/>
              </w:rPr>
              <w:t>相关承诺或证明材料</w:t>
            </w: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EB7CA9">
            <w:pPr>
              <w:jc w:val="center"/>
              <w:textAlignment w:val="center"/>
              <w:rPr>
                <w:rStyle w:val="104"/>
                <w:rFonts w:hint="default" w:ascii="仿宋" w:hAnsi="仿宋" w:eastAsia="仿宋" w:cs="仿宋"/>
                <w:color w:val="auto"/>
                <w:sz w:val="21"/>
                <w:szCs w:val="21"/>
                <w:highlight w:val="none"/>
                <w:lang w:eastAsia="zh-CN" w:bidi="ar"/>
              </w:rPr>
            </w:pPr>
            <w:r>
              <w:rPr>
                <w:rStyle w:val="104"/>
                <w:rFonts w:ascii="仿宋" w:hAnsi="仿宋" w:eastAsia="仿宋" w:cs="仿宋"/>
                <w:color w:val="auto"/>
                <w:sz w:val="21"/>
                <w:szCs w:val="21"/>
                <w:highlight w:val="none"/>
                <w:lang w:eastAsia="zh-CN" w:bidi="ar"/>
              </w:rPr>
              <w:t>相关承诺或证明材料在投标文件中页码</w:t>
            </w:r>
          </w:p>
        </w:tc>
      </w:tr>
      <w:tr w14:paraId="7751F850">
        <w:tblPrEx>
          <w:tblCellMar>
            <w:top w:w="0" w:type="dxa"/>
            <w:left w:w="0" w:type="dxa"/>
            <w:bottom w:w="0" w:type="dxa"/>
            <w:right w:w="0" w:type="dxa"/>
          </w:tblCellMar>
        </w:tblPrEx>
        <w:trPr>
          <w:trHeight w:val="84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2471BB">
            <w:pPr>
              <w:jc w:val="center"/>
              <w:textAlignment w:val="center"/>
              <w:rPr>
                <w:rStyle w:val="104"/>
                <w:rFonts w:hint="default" w:ascii="仿宋" w:hAnsi="仿宋" w:eastAsia="仿宋" w:cs="仿宋"/>
                <w:color w:val="auto"/>
                <w:sz w:val="21"/>
                <w:szCs w:val="21"/>
                <w:highlight w:val="none"/>
                <w:lang w:bidi="ar"/>
              </w:rPr>
            </w:pPr>
            <w:r>
              <w:rPr>
                <w:rStyle w:val="104"/>
                <w:rFonts w:ascii="仿宋" w:hAnsi="仿宋" w:eastAsia="仿宋" w:cs="仿宋"/>
                <w:color w:val="auto"/>
                <w:sz w:val="21"/>
                <w:szCs w:val="21"/>
                <w:highlight w:val="none"/>
                <w:lang w:bidi="ar"/>
              </w:rPr>
              <w:t>1</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2C0340">
            <w:pPr>
              <w:jc w:val="center"/>
              <w:textAlignment w:val="center"/>
              <w:rPr>
                <w:rStyle w:val="104"/>
                <w:rFonts w:hint="default" w:ascii="仿宋" w:hAnsi="仿宋" w:eastAsia="仿宋" w:cs="仿宋"/>
                <w:color w:val="auto"/>
                <w:sz w:val="21"/>
                <w:szCs w:val="21"/>
                <w:highlight w:val="none"/>
                <w:lang w:eastAsia="zh-CN"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8592CD">
            <w:pPr>
              <w:textAlignment w:val="center"/>
              <w:rPr>
                <w:rStyle w:val="104"/>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5DB989">
            <w:pPr>
              <w:jc w:val="center"/>
              <w:textAlignment w:val="center"/>
              <w:rPr>
                <w:rStyle w:val="104"/>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A3884B">
            <w:pPr>
              <w:jc w:val="center"/>
              <w:textAlignment w:val="center"/>
              <w:rPr>
                <w:rStyle w:val="104"/>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B0A90C">
            <w:pPr>
              <w:jc w:val="center"/>
              <w:textAlignment w:val="center"/>
              <w:rPr>
                <w:rStyle w:val="104"/>
                <w:rFonts w:hint="default" w:ascii="仿宋" w:hAnsi="仿宋" w:eastAsia="仿宋" w:cs="仿宋"/>
                <w:color w:val="auto"/>
                <w:sz w:val="21"/>
                <w:szCs w:val="21"/>
                <w:highlight w:val="none"/>
                <w:lang w:bidi="ar"/>
              </w:rPr>
            </w:pPr>
          </w:p>
        </w:tc>
      </w:tr>
      <w:tr w14:paraId="56319CF7">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B015CB">
            <w:pPr>
              <w:jc w:val="center"/>
              <w:textAlignment w:val="center"/>
              <w:rPr>
                <w:rStyle w:val="104"/>
                <w:rFonts w:hint="default" w:ascii="仿宋" w:hAnsi="仿宋" w:eastAsia="仿宋" w:cs="仿宋"/>
                <w:color w:val="auto"/>
                <w:sz w:val="21"/>
                <w:szCs w:val="21"/>
                <w:highlight w:val="none"/>
                <w:lang w:bidi="ar"/>
              </w:rPr>
            </w:pPr>
            <w:r>
              <w:rPr>
                <w:rStyle w:val="104"/>
                <w:rFonts w:ascii="仿宋" w:hAnsi="仿宋" w:eastAsia="仿宋" w:cs="仿宋"/>
                <w:color w:val="auto"/>
                <w:sz w:val="21"/>
                <w:szCs w:val="21"/>
                <w:highlight w:val="none"/>
                <w:lang w:bidi="ar"/>
              </w:rPr>
              <w:t>2</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40C278">
            <w:pPr>
              <w:jc w:val="center"/>
              <w:textAlignment w:val="center"/>
              <w:rPr>
                <w:rStyle w:val="104"/>
                <w:rFonts w:hint="default" w:ascii="仿宋" w:hAnsi="仿宋" w:eastAsia="仿宋" w:cs="仿宋"/>
                <w:color w:val="auto"/>
                <w:sz w:val="21"/>
                <w:szCs w:val="21"/>
                <w:highlight w:val="none"/>
                <w:lang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715880">
            <w:pPr>
              <w:textAlignment w:val="center"/>
              <w:rPr>
                <w:rStyle w:val="104"/>
                <w:rFonts w:hint="default" w:ascii="仿宋" w:hAnsi="仿宋" w:eastAsia="仿宋" w:cs="仿宋"/>
                <w:color w:val="auto"/>
                <w:sz w:val="21"/>
                <w:szCs w:val="21"/>
                <w:highlight w:val="none"/>
                <w:lang w:eastAsia="zh-CN"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5CF759">
            <w:pPr>
              <w:jc w:val="center"/>
              <w:textAlignment w:val="center"/>
              <w:rPr>
                <w:rStyle w:val="104"/>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89EACB">
            <w:pPr>
              <w:jc w:val="center"/>
              <w:textAlignment w:val="center"/>
              <w:rPr>
                <w:rStyle w:val="104"/>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01694D">
            <w:pPr>
              <w:jc w:val="center"/>
              <w:textAlignment w:val="center"/>
              <w:rPr>
                <w:rStyle w:val="104"/>
                <w:rFonts w:hint="default" w:ascii="仿宋" w:hAnsi="仿宋" w:eastAsia="仿宋" w:cs="仿宋"/>
                <w:color w:val="auto"/>
                <w:sz w:val="21"/>
                <w:szCs w:val="21"/>
                <w:highlight w:val="none"/>
                <w:lang w:bidi="ar"/>
              </w:rPr>
            </w:pPr>
          </w:p>
        </w:tc>
      </w:tr>
      <w:tr w14:paraId="4CB14AC8">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5FA272">
            <w:pPr>
              <w:jc w:val="center"/>
              <w:textAlignment w:val="center"/>
              <w:rPr>
                <w:rStyle w:val="104"/>
                <w:rFonts w:hint="default" w:ascii="仿宋" w:hAnsi="仿宋" w:eastAsia="仿宋" w:cs="仿宋"/>
                <w:color w:val="auto"/>
                <w:sz w:val="21"/>
                <w:szCs w:val="21"/>
                <w:highlight w:val="none"/>
                <w:lang w:bidi="ar"/>
              </w:rPr>
            </w:pPr>
            <w:r>
              <w:rPr>
                <w:rStyle w:val="104"/>
                <w:rFonts w:ascii="仿宋" w:hAnsi="仿宋" w:eastAsia="仿宋" w:cs="仿宋"/>
                <w:color w:val="auto"/>
                <w:sz w:val="21"/>
                <w:szCs w:val="21"/>
                <w:highlight w:val="none"/>
                <w:lang w:bidi="ar"/>
              </w:rPr>
              <w:t>3</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E7CCC7">
            <w:pPr>
              <w:jc w:val="center"/>
              <w:textAlignment w:val="center"/>
              <w:rPr>
                <w:rStyle w:val="104"/>
                <w:rFonts w:hint="default" w:ascii="仿宋" w:hAnsi="仿宋" w:eastAsia="仿宋" w:cs="仿宋"/>
                <w:color w:val="auto"/>
                <w:sz w:val="21"/>
                <w:szCs w:val="21"/>
                <w:highlight w:val="none"/>
                <w:lang w:eastAsia="zh-CN"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A7AE35">
            <w:pPr>
              <w:textAlignment w:val="center"/>
              <w:rPr>
                <w:rStyle w:val="104"/>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D2FEC5">
            <w:pPr>
              <w:jc w:val="center"/>
              <w:textAlignment w:val="center"/>
              <w:rPr>
                <w:rStyle w:val="104"/>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84AB66">
            <w:pPr>
              <w:jc w:val="center"/>
              <w:textAlignment w:val="center"/>
              <w:rPr>
                <w:rStyle w:val="104"/>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B04E1B">
            <w:pPr>
              <w:jc w:val="center"/>
              <w:textAlignment w:val="center"/>
              <w:rPr>
                <w:rStyle w:val="104"/>
                <w:rFonts w:hint="default" w:ascii="仿宋" w:hAnsi="仿宋" w:eastAsia="仿宋" w:cs="仿宋"/>
                <w:color w:val="auto"/>
                <w:sz w:val="21"/>
                <w:szCs w:val="21"/>
                <w:highlight w:val="none"/>
                <w:lang w:bidi="ar"/>
              </w:rPr>
            </w:pPr>
          </w:p>
        </w:tc>
      </w:tr>
      <w:tr w14:paraId="74557EA4">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8EC6ED">
            <w:pPr>
              <w:jc w:val="center"/>
              <w:textAlignment w:val="center"/>
              <w:rPr>
                <w:rStyle w:val="104"/>
                <w:rFonts w:hint="default" w:ascii="仿宋" w:hAnsi="仿宋" w:eastAsia="仿宋" w:cs="仿宋"/>
                <w:color w:val="auto"/>
                <w:sz w:val="21"/>
                <w:szCs w:val="21"/>
                <w:highlight w:val="none"/>
                <w:lang w:bidi="ar"/>
              </w:rPr>
            </w:pPr>
            <w:r>
              <w:rPr>
                <w:rStyle w:val="104"/>
                <w:rFonts w:ascii="仿宋" w:hAnsi="仿宋" w:eastAsia="仿宋" w:cs="仿宋"/>
                <w:color w:val="auto"/>
                <w:sz w:val="21"/>
                <w:szCs w:val="21"/>
                <w:highlight w:val="none"/>
                <w:lang w:bidi="ar"/>
              </w:rPr>
              <w:t>4</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725DFF">
            <w:pPr>
              <w:jc w:val="center"/>
              <w:textAlignment w:val="center"/>
              <w:rPr>
                <w:rStyle w:val="104"/>
                <w:rFonts w:hint="default" w:ascii="仿宋" w:hAnsi="仿宋" w:eastAsia="仿宋" w:cs="仿宋"/>
                <w:color w:val="auto"/>
                <w:sz w:val="21"/>
                <w:szCs w:val="21"/>
                <w:highlight w:val="none"/>
                <w:lang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8CC8B1">
            <w:pPr>
              <w:textAlignment w:val="center"/>
              <w:rPr>
                <w:rStyle w:val="104"/>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FC0BF7">
            <w:pPr>
              <w:jc w:val="center"/>
              <w:textAlignment w:val="center"/>
              <w:rPr>
                <w:rStyle w:val="104"/>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63B827">
            <w:pPr>
              <w:jc w:val="center"/>
              <w:textAlignment w:val="center"/>
              <w:rPr>
                <w:rStyle w:val="104"/>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9C9D90">
            <w:pPr>
              <w:jc w:val="center"/>
              <w:textAlignment w:val="center"/>
              <w:rPr>
                <w:rStyle w:val="104"/>
                <w:rFonts w:hint="default" w:ascii="仿宋" w:hAnsi="仿宋" w:eastAsia="仿宋" w:cs="仿宋"/>
                <w:color w:val="auto"/>
                <w:sz w:val="21"/>
                <w:szCs w:val="21"/>
                <w:highlight w:val="none"/>
                <w:lang w:bidi="ar"/>
              </w:rPr>
            </w:pPr>
          </w:p>
        </w:tc>
      </w:tr>
      <w:tr w14:paraId="27C8855A">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E857E9">
            <w:pPr>
              <w:jc w:val="center"/>
              <w:textAlignment w:val="center"/>
              <w:rPr>
                <w:rStyle w:val="104"/>
                <w:rFonts w:hint="default" w:ascii="仿宋" w:hAnsi="仿宋" w:eastAsia="仿宋" w:cs="仿宋"/>
                <w:color w:val="auto"/>
                <w:sz w:val="21"/>
                <w:szCs w:val="21"/>
                <w:highlight w:val="none"/>
                <w:lang w:bidi="ar"/>
              </w:rPr>
            </w:pPr>
            <w:r>
              <w:rPr>
                <w:rStyle w:val="104"/>
                <w:rFonts w:ascii="仿宋" w:hAnsi="仿宋" w:eastAsia="仿宋" w:cs="仿宋"/>
                <w:color w:val="auto"/>
                <w:sz w:val="21"/>
                <w:szCs w:val="21"/>
                <w:highlight w:val="none"/>
                <w:lang w:bidi="ar"/>
              </w:rPr>
              <w:t>5</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814291">
            <w:pPr>
              <w:jc w:val="center"/>
              <w:textAlignment w:val="center"/>
              <w:rPr>
                <w:rStyle w:val="104"/>
                <w:rFonts w:hint="default" w:ascii="仿宋" w:hAnsi="仿宋" w:eastAsia="仿宋" w:cs="仿宋"/>
                <w:color w:val="auto"/>
                <w:sz w:val="21"/>
                <w:szCs w:val="21"/>
                <w:highlight w:val="none"/>
                <w:lang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E35BA4">
            <w:pPr>
              <w:textAlignment w:val="center"/>
              <w:rPr>
                <w:rStyle w:val="104"/>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3F6771">
            <w:pPr>
              <w:jc w:val="center"/>
              <w:textAlignment w:val="center"/>
              <w:rPr>
                <w:rStyle w:val="104"/>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7021C1">
            <w:pPr>
              <w:jc w:val="center"/>
              <w:textAlignment w:val="center"/>
              <w:rPr>
                <w:rStyle w:val="104"/>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CBE2CD">
            <w:pPr>
              <w:jc w:val="center"/>
              <w:textAlignment w:val="center"/>
              <w:rPr>
                <w:rStyle w:val="104"/>
                <w:rFonts w:hint="default" w:ascii="仿宋" w:hAnsi="仿宋" w:eastAsia="仿宋" w:cs="仿宋"/>
                <w:color w:val="auto"/>
                <w:sz w:val="21"/>
                <w:szCs w:val="21"/>
                <w:highlight w:val="none"/>
                <w:lang w:bidi="ar"/>
              </w:rPr>
            </w:pPr>
          </w:p>
        </w:tc>
      </w:tr>
      <w:tr w14:paraId="790229D8">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B08DFC">
            <w:pPr>
              <w:jc w:val="center"/>
              <w:textAlignment w:val="center"/>
              <w:rPr>
                <w:rStyle w:val="104"/>
                <w:rFonts w:hint="default" w:ascii="仿宋" w:hAnsi="仿宋" w:eastAsia="仿宋" w:cs="仿宋"/>
                <w:color w:val="auto"/>
                <w:sz w:val="21"/>
                <w:szCs w:val="21"/>
                <w:highlight w:val="none"/>
                <w:lang w:eastAsia="zh-CN" w:bidi="ar"/>
              </w:rPr>
            </w:pPr>
            <w:r>
              <w:rPr>
                <w:rStyle w:val="104"/>
                <w:rFonts w:ascii="仿宋" w:hAnsi="仿宋" w:eastAsia="仿宋" w:cs="仿宋"/>
                <w:color w:val="auto"/>
                <w:sz w:val="21"/>
                <w:szCs w:val="21"/>
                <w:highlight w:val="none"/>
                <w:lang w:eastAsia="zh-CN" w:bidi="ar"/>
              </w:rPr>
              <w:t>6</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43D08A">
            <w:pPr>
              <w:jc w:val="center"/>
              <w:textAlignment w:val="center"/>
              <w:rPr>
                <w:rStyle w:val="104"/>
                <w:rFonts w:hint="default" w:ascii="仿宋" w:hAnsi="仿宋" w:eastAsia="仿宋" w:cs="仿宋"/>
                <w:color w:val="auto"/>
                <w:sz w:val="21"/>
                <w:szCs w:val="21"/>
                <w:highlight w:val="none"/>
                <w:lang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A42FB9">
            <w:pPr>
              <w:textAlignment w:val="center"/>
              <w:rPr>
                <w:rStyle w:val="104"/>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C7B423">
            <w:pPr>
              <w:jc w:val="center"/>
              <w:textAlignment w:val="center"/>
              <w:rPr>
                <w:rStyle w:val="104"/>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5653CA">
            <w:pPr>
              <w:jc w:val="center"/>
              <w:textAlignment w:val="center"/>
              <w:rPr>
                <w:rStyle w:val="104"/>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D96B9C">
            <w:pPr>
              <w:jc w:val="center"/>
              <w:textAlignment w:val="center"/>
              <w:rPr>
                <w:rStyle w:val="104"/>
                <w:rFonts w:hint="default" w:ascii="仿宋" w:hAnsi="仿宋" w:eastAsia="仿宋" w:cs="仿宋"/>
                <w:color w:val="auto"/>
                <w:sz w:val="21"/>
                <w:szCs w:val="21"/>
                <w:highlight w:val="none"/>
                <w:lang w:bidi="ar"/>
              </w:rPr>
            </w:pPr>
          </w:p>
        </w:tc>
      </w:tr>
      <w:tr w14:paraId="14D4F364">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0C2C11">
            <w:pPr>
              <w:jc w:val="center"/>
              <w:textAlignment w:val="center"/>
              <w:rPr>
                <w:rStyle w:val="104"/>
                <w:rFonts w:hint="default" w:ascii="仿宋" w:hAnsi="仿宋" w:eastAsia="仿宋" w:cs="仿宋"/>
                <w:color w:val="auto"/>
                <w:sz w:val="21"/>
                <w:szCs w:val="21"/>
                <w:highlight w:val="none"/>
                <w:lang w:eastAsia="zh-CN" w:bidi="ar"/>
              </w:rPr>
            </w:pPr>
            <w:r>
              <w:rPr>
                <w:rStyle w:val="104"/>
                <w:rFonts w:ascii="仿宋" w:hAnsi="仿宋" w:eastAsia="仿宋" w:cs="仿宋"/>
                <w:color w:val="auto"/>
                <w:sz w:val="21"/>
                <w:szCs w:val="21"/>
                <w:highlight w:val="none"/>
                <w:lang w:eastAsia="zh-CN" w:bidi="ar"/>
              </w:rPr>
              <w:t>7</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0377E4">
            <w:pPr>
              <w:jc w:val="center"/>
              <w:textAlignment w:val="center"/>
              <w:rPr>
                <w:rStyle w:val="104"/>
                <w:rFonts w:hint="default" w:ascii="仿宋" w:hAnsi="仿宋" w:eastAsia="仿宋" w:cs="仿宋"/>
                <w:color w:val="auto"/>
                <w:sz w:val="21"/>
                <w:szCs w:val="21"/>
                <w:highlight w:val="none"/>
                <w:lang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1B5F5C">
            <w:pPr>
              <w:textAlignment w:val="center"/>
              <w:rPr>
                <w:rStyle w:val="104"/>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263E17">
            <w:pPr>
              <w:jc w:val="center"/>
              <w:textAlignment w:val="center"/>
              <w:rPr>
                <w:rStyle w:val="104"/>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28C0E3">
            <w:pPr>
              <w:jc w:val="center"/>
              <w:textAlignment w:val="center"/>
              <w:rPr>
                <w:rStyle w:val="104"/>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7C97B6">
            <w:pPr>
              <w:jc w:val="center"/>
              <w:textAlignment w:val="center"/>
              <w:rPr>
                <w:rStyle w:val="104"/>
                <w:rFonts w:hint="default" w:ascii="仿宋" w:hAnsi="仿宋" w:eastAsia="仿宋" w:cs="仿宋"/>
                <w:color w:val="auto"/>
                <w:sz w:val="21"/>
                <w:szCs w:val="21"/>
                <w:highlight w:val="none"/>
                <w:lang w:bidi="ar"/>
              </w:rPr>
            </w:pPr>
          </w:p>
        </w:tc>
      </w:tr>
      <w:tr w14:paraId="66777579">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8A07BD">
            <w:pPr>
              <w:jc w:val="center"/>
              <w:textAlignment w:val="center"/>
              <w:rPr>
                <w:rStyle w:val="104"/>
                <w:rFonts w:hint="default" w:ascii="仿宋" w:hAnsi="仿宋" w:eastAsia="仿宋" w:cs="仿宋"/>
                <w:color w:val="auto"/>
                <w:sz w:val="21"/>
                <w:szCs w:val="21"/>
                <w:highlight w:val="none"/>
                <w:lang w:eastAsia="zh-CN" w:bidi="ar"/>
              </w:rPr>
            </w:pPr>
            <w:r>
              <w:rPr>
                <w:rStyle w:val="104"/>
                <w:rFonts w:ascii="仿宋" w:hAnsi="仿宋" w:eastAsia="仿宋" w:cs="仿宋"/>
                <w:color w:val="auto"/>
                <w:sz w:val="21"/>
                <w:szCs w:val="21"/>
                <w:highlight w:val="none"/>
                <w:lang w:eastAsia="zh-CN" w:bidi="ar"/>
              </w:rPr>
              <w:t>8</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57B147">
            <w:pPr>
              <w:jc w:val="center"/>
              <w:textAlignment w:val="center"/>
              <w:rPr>
                <w:rStyle w:val="104"/>
                <w:rFonts w:hint="default" w:ascii="仿宋" w:hAnsi="仿宋" w:eastAsia="仿宋" w:cs="仿宋"/>
                <w:color w:val="auto"/>
                <w:sz w:val="21"/>
                <w:szCs w:val="21"/>
                <w:highlight w:val="none"/>
                <w:lang w:eastAsia="zh-CN"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38E5E8">
            <w:pPr>
              <w:textAlignment w:val="center"/>
              <w:rPr>
                <w:rStyle w:val="104"/>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D8CB87">
            <w:pPr>
              <w:jc w:val="center"/>
              <w:textAlignment w:val="center"/>
              <w:rPr>
                <w:rStyle w:val="104"/>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04B024">
            <w:pPr>
              <w:jc w:val="center"/>
              <w:textAlignment w:val="center"/>
              <w:rPr>
                <w:rStyle w:val="104"/>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E63476">
            <w:pPr>
              <w:jc w:val="center"/>
              <w:textAlignment w:val="center"/>
              <w:rPr>
                <w:rStyle w:val="104"/>
                <w:rFonts w:hint="default" w:ascii="仿宋" w:hAnsi="仿宋" w:eastAsia="仿宋" w:cs="仿宋"/>
                <w:color w:val="auto"/>
                <w:sz w:val="21"/>
                <w:szCs w:val="21"/>
                <w:highlight w:val="none"/>
                <w:lang w:bidi="ar"/>
              </w:rPr>
            </w:pPr>
          </w:p>
        </w:tc>
      </w:tr>
      <w:tr w14:paraId="453E4B76">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E27E4C">
            <w:pPr>
              <w:jc w:val="center"/>
              <w:textAlignment w:val="center"/>
              <w:rPr>
                <w:rStyle w:val="104"/>
                <w:rFonts w:hint="default" w:ascii="仿宋" w:hAnsi="仿宋" w:eastAsia="仿宋" w:cs="仿宋"/>
                <w:color w:val="auto"/>
                <w:sz w:val="21"/>
                <w:szCs w:val="21"/>
                <w:highlight w:val="none"/>
                <w:lang w:eastAsia="zh-CN" w:bidi="ar"/>
              </w:rPr>
            </w:pPr>
            <w:r>
              <w:rPr>
                <w:rStyle w:val="104"/>
                <w:rFonts w:ascii="仿宋" w:hAnsi="仿宋" w:eastAsia="仿宋" w:cs="仿宋"/>
                <w:color w:val="auto"/>
                <w:sz w:val="21"/>
                <w:szCs w:val="21"/>
                <w:highlight w:val="none"/>
                <w:lang w:eastAsia="zh-CN" w:bidi="ar"/>
              </w:rPr>
              <w:t>9</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13ED31">
            <w:pPr>
              <w:jc w:val="center"/>
              <w:textAlignment w:val="center"/>
              <w:rPr>
                <w:rStyle w:val="104"/>
                <w:rFonts w:hint="default" w:ascii="仿宋" w:hAnsi="仿宋" w:eastAsia="仿宋" w:cs="仿宋"/>
                <w:color w:val="auto"/>
                <w:sz w:val="21"/>
                <w:szCs w:val="21"/>
                <w:highlight w:val="none"/>
                <w:lang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7F6ADC">
            <w:pPr>
              <w:textAlignment w:val="center"/>
              <w:rPr>
                <w:rStyle w:val="104"/>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334FB7">
            <w:pPr>
              <w:jc w:val="center"/>
              <w:textAlignment w:val="center"/>
              <w:rPr>
                <w:rStyle w:val="104"/>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85F87E">
            <w:pPr>
              <w:jc w:val="center"/>
              <w:textAlignment w:val="center"/>
              <w:rPr>
                <w:rStyle w:val="104"/>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9AF1E3">
            <w:pPr>
              <w:jc w:val="center"/>
              <w:textAlignment w:val="center"/>
              <w:rPr>
                <w:rStyle w:val="104"/>
                <w:rFonts w:hint="default" w:ascii="仿宋" w:hAnsi="仿宋" w:eastAsia="仿宋" w:cs="仿宋"/>
                <w:color w:val="auto"/>
                <w:sz w:val="21"/>
                <w:szCs w:val="21"/>
                <w:highlight w:val="none"/>
                <w:lang w:bidi="ar"/>
              </w:rPr>
            </w:pPr>
          </w:p>
        </w:tc>
      </w:tr>
    </w:tbl>
    <w:p w14:paraId="01E1B7FA">
      <w:pPr>
        <w:rPr>
          <w:rFonts w:ascii="仿宋" w:hAnsi="仿宋" w:eastAsia="仿宋" w:cs="仿宋"/>
          <w:b/>
          <w:color w:val="auto"/>
          <w:sz w:val="24"/>
          <w:szCs w:val="24"/>
          <w:highlight w:val="none"/>
        </w:rPr>
      </w:pPr>
    </w:p>
    <w:p w14:paraId="4B5B9795">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1.投标人必须对应采购文件《第四章》内容逐条响应。如有缺漏，缺漏项视同响应招标要求。</w:t>
      </w:r>
    </w:p>
    <w:p w14:paraId="13D31DF4">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 采购文件《第四章》要求提供证明文件或承诺的，投标人需在本表后附相关证明文件或承诺，否则视为不响应采购文件要求。</w:t>
      </w:r>
    </w:p>
    <w:p w14:paraId="2530D68F">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3.投标人响应采购需求应具体、明确，含糊不清、不确切或伪造、变造证明材料的，按照不完全响应或者完全不响应处理。构成提供虚假材料的，移送监管部门查处。</w:t>
      </w:r>
    </w:p>
    <w:p w14:paraId="5DA3F946">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4.本表表头内容不得擅自修改。</w:t>
      </w:r>
    </w:p>
    <w:p w14:paraId="769EDDA6">
      <w:pPr>
        <w:spacing w:line="360" w:lineRule="auto"/>
        <w:rPr>
          <w:rFonts w:ascii="仿宋" w:hAnsi="仿宋" w:eastAsia="仿宋" w:cs="仿宋"/>
          <w:color w:val="auto"/>
          <w:sz w:val="24"/>
          <w:szCs w:val="24"/>
          <w:highlight w:val="none"/>
          <w:lang w:eastAsia="zh-CN"/>
        </w:rPr>
      </w:pPr>
    </w:p>
    <w:p w14:paraId="47AA26BC">
      <w:pPr>
        <w:spacing w:line="360" w:lineRule="auto"/>
        <w:rPr>
          <w:rFonts w:ascii="仿宋" w:hAnsi="仿宋" w:eastAsia="仿宋" w:cs="仿宋"/>
          <w:color w:val="auto"/>
          <w:sz w:val="24"/>
          <w:szCs w:val="24"/>
          <w:highlight w:val="none"/>
          <w:lang w:eastAsia="zh-CN"/>
        </w:rPr>
      </w:pPr>
    </w:p>
    <w:p w14:paraId="659CD6AE">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4CE4CFFD">
      <w:pPr>
        <w:shd w:val="clear" w:color="auto" w:fill="FFFFFF"/>
        <w:spacing w:line="384" w:lineRule="auto"/>
        <w:rPr>
          <w:rFonts w:ascii="仿宋" w:hAnsi="仿宋" w:eastAsia="仿宋" w:cs="仿宋"/>
          <w:color w:val="auto"/>
          <w:sz w:val="24"/>
          <w:szCs w:val="24"/>
          <w:highlight w:val="none"/>
          <w:lang w:eastAsia="zh-CN"/>
        </w:rPr>
      </w:pPr>
    </w:p>
    <w:p w14:paraId="010C03A4">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44F45F2E">
      <w:pPr>
        <w:shd w:val="clear" w:color="auto" w:fill="FFFFFF"/>
        <w:wordWrap w:val="0"/>
        <w:spacing w:line="384" w:lineRule="auto"/>
        <w:ind w:firstLine="420"/>
        <w:jc w:val="righ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日期：     年   月   日</w:t>
      </w:r>
    </w:p>
    <w:p w14:paraId="6DF42ED1">
      <w:pPr>
        <w:rPr>
          <w:rFonts w:ascii="仿宋" w:hAnsi="仿宋" w:eastAsia="仿宋" w:cs="仿宋"/>
          <w:color w:val="auto"/>
          <w:sz w:val="24"/>
          <w:szCs w:val="24"/>
          <w:highlight w:val="none"/>
          <w:lang w:eastAsia="zh-CN"/>
        </w:rPr>
      </w:pPr>
      <w:r>
        <w:rPr>
          <w:rFonts w:hint="eastAsia" w:ascii="仿宋" w:hAnsi="仿宋" w:eastAsia="仿宋" w:cs="仿宋"/>
          <w:b/>
          <w:bCs/>
          <w:color w:val="auto"/>
          <w:kern w:val="36"/>
          <w:sz w:val="24"/>
          <w:szCs w:val="24"/>
          <w:highlight w:val="none"/>
          <w:lang w:eastAsia="zh-CN"/>
        </w:rPr>
        <w:br w:type="page"/>
      </w:r>
    </w:p>
    <w:p w14:paraId="4BB4FBB1">
      <w:pPr>
        <w:rPr>
          <w:rFonts w:ascii="仿宋" w:hAnsi="仿宋" w:eastAsia="仿宋" w:cs="仿宋"/>
          <w:color w:val="auto"/>
          <w:sz w:val="24"/>
          <w:szCs w:val="24"/>
          <w:highlight w:val="none"/>
          <w:lang w:eastAsia="zh-CN"/>
        </w:rPr>
      </w:pPr>
    </w:p>
    <w:p w14:paraId="79288133">
      <w:pPr>
        <w:tabs>
          <w:tab w:val="center" w:pos="4832"/>
          <w:tab w:val="left" w:pos="7140"/>
        </w:tabs>
        <w:jc w:val="center"/>
        <w:outlineLvl w:val="1"/>
        <w:rPr>
          <w:rFonts w:ascii="仿宋" w:hAnsi="仿宋" w:eastAsia="仿宋" w:cs="仿宋"/>
          <w:b/>
          <w:color w:val="auto"/>
          <w:sz w:val="24"/>
          <w:szCs w:val="24"/>
          <w:highlight w:val="none"/>
          <w:lang w:eastAsia="zh-CN"/>
        </w:rPr>
      </w:pPr>
      <w:bookmarkStart w:id="145" w:name="_Toc109941767"/>
      <w:bookmarkStart w:id="146" w:name="_Toc110707967"/>
      <w:bookmarkStart w:id="147" w:name="_Toc109921160"/>
      <w:bookmarkStart w:id="148" w:name="_Toc20318"/>
      <w:bookmarkStart w:id="149" w:name="_Toc130252617"/>
      <w:r>
        <w:rPr>
          <w:rFonts w:hint="eastAsia" w:ascii="仿宋" w:hAnsi="仿宋" w:eastAsia="仿宋" w:cs="仿宋"/>
          <w:b/>
          <w:color w:val="auto"/>
          <w:sz w:val="24"/>
          <w:szCs w:val="24"/>
          <w:highlight w:val="none"/>
          <w:lang w:eastAsia="zh-CN"/>
        </w:rPr>
        <w:t>三、技术条款偏离表</w:t>
      </w:r>
      <w:bookmarkEnd w:id="145"/>
      <w:bookmarkEnd w:id="146"/>
      <w:bookmarkEnd w:id="147"/>
      <w:bookmarkEnd w:id="148"/>
      <w:bookmarkEnd w:id="149"/>
    </w:p>
    <w:tbl>
      <w:tblPr>
        <w:tblStyle w:val="26"/>
        <w:tblW w:w="4996" w:type="pct"/>
        <w:tblInd w:w="0" w:type="dxa"/>
        <w:tblLayout w:type="autofit"/>
        <w:tblCellMar>
          <w:top w:w="0" w:type="dxa"/>
          <w:left w:w="108" w:type="dxa"/>
          <w:bottom w:w="0" w:type="dxa"/>
          <w:right w:w="108" w:type="dxa"/>
        </w:tblCellMar>
      </w:tblPr>
      <w:tblGrid>
        <w:gridCol w:w="568"/>
        <w:gridCol w:w="4836"/>
        <w:gridCol w:w="786"/>
        <w:gridCol w:w="1281"/>
        <w:gridCol w:w="1340"/>
        <w:gridCol w:w="1037"/>
      </w:tblGrid>
      <w:tr w14:paraId="455833AB">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21F181CF">
            <w:pPr>
              <w:jc w:val="center"/>
              <w:textAlignment w:val="center"/>
              <w:rPr>
                <w:rStyle w:val="104"/>
                <w:rFonts w:hint="default" w:ascii="仿宋" w:hAnsi="仿宋" w:eastAsia="仿宋" w:cs="仿宋"/>
                <w:color w:val="auto"/>
                <w:sz w:val="18"/>
                <w:szCs w:val="18"/>
                <w:highlight w:val="none"/>
                <w:lang w:bidi="ar"/>
              </w:rPr>
            </w:pPr>
            <w:r>
              <w:rPr>
                <w:rStyle w:val="104"/>
                <w:rFonts w:ascii="仿宋" w:hAnsi="仿宋" w:eastAsia="仿宋" w:cs="仿宋"/>
                <w:color w:val="auto"/>
                <w:sz w:val="18"/>
                <w:szCs w:val="18"/>
                <w:highlight w:val="none"/>
                <w:lang w:bidi="ar"/>
              </w:rPr>
              <w:t>序号</w:t>
            </w:r>
          </w:p>
        </w:tc>
        <w:tc>
          <w:tcPr>
            <w:tcW w:w="2454" w:type="pct"/>
            <w:tcBorders>
              <w:top w:val="single" w:color="000000" w:sz="4" w:space="0"/>
              <w:left w:val="single" w:color="000000" w:sz="4" w:space="0"/>
              <w:bottom w:val="single" w:color="000000" w:sz="4" w:space="0"/>
              <w:right w:val="single" w:color="000000" w:sz="4" w:space="0"/>
            </w:tcBorders>
            <w:vAlign w:val="center"/>
          </w:tcPr>
          <w:p w14:paraId="490D947A">
            <w:pPr>
              <w:jc w:val="center"/>
              <w:textAlignment w:val="center"/>
              <w:rPr>
                <w:rStyle w:val="104"/>
                <w:rFonts w:hint="default" w:ascii="仿宋" w:hAnsi="仿宋" w:eastAsia="仿宋" w:cs="仿宋"/>
                <w:color w:val="auto"/>
                <w:sz w:val="18"/>
                <w:szCs w:val="18"/>
                <w:highlight w:val="none"/>
                <w:lang w:bidi="ar"/>
              </w:rPr>
            </w:pPr>
            <w:r>
              <w:rPr>
                <w:rStyle w:val="104"/>
                <w:rFonts w:ascii="仿宋" w:hAnsi="仿宋" w:eastAsia="仿宋" w:cs="仿宋"/>
                <w:color w:val="auto"/>
                <w:sz w:val="18"/>
                <w:szCs w:val="18"/>
                <w:highlight w:val="none"/>
                <w:lang w:bidi="ar"/>
              </w:rPr>
              <w:t>技术指标要求</w:t>
            </w:r>
          </w:p>
        </w:tc>
        <w:tc>
          <w:tcPr>
            <w:tcW w:w="399" w:type="pct"/>
            <w:tcBorders>
              <w:top w:val="single" w:color="000000" w:sz="4" w:space="0"/>
              <w:left w:val="single" w:color="000000" w:sz="4" w:space="0"/>
              <w:bottom w:val="single" w:color="000000" w:sz="4" w:space="0"/>
              <w:right w:val="single" w:color="000000" w:sz="4" w:space="0"/>
            </w:tcBorders>
            <w:vAlign w:val="center"/>
          </w:tcPr>
          <w:p w14:paraId="2905E197">
            <w:pPr>
              <w:jc w:val="center"/>
              <w:textAlignment w:val="center"/>
              <w:rPr>
                <w:rStyle w:val="104"/>
                <w:rFonts w:hint="default" w:ascii="仿宋" w:hAnsi="仿宋" w:eastAsia="仿宋" w:cs="仿宋"/>
                <w:color w:val="auto"/>
                <w:sz w:val="18"/>
                <w:szCs w:val="18"/>
                <w:highlight w:val="none"/>
                <w:lang w:bidi="ar"/>
              </w:rPr>
            </w:pPr>
            <w:r>
              <w:rPr>
                <w:rStyle w:val="104"/>
                <w:rFonts w:ascii="仿宋" w:hAnsi="仿宋" w:eastAsia="仿宋" w:cs="仿宋"/>
                <w:color w:val="auto"/>
                <w:sz w:val="18"/>
                <w:szCs w:val="18"/>
                <w:highlight w:val="none"/>
                <w:lang w:bidi="ar"/>
              </w:rPr>
              <w:t>证明材料要求</w:t>
            </w:r>
          </w:p>
        </w:tc>
        <w:tc>
          <w:tcPr>
            <w:tcW w:w="650" w:type="pct"/>
            <w:tcBorders>
              <w:top w:val="single" w:color="000000" w:sz="4" w:space="0"/>
              <w:left w:val="single" w:color="000000" w:sz="4" w:space="0"/>
              <w:bottom w:val="single" w:color="000000" w:sz="4" w:space="0"/>
              <w:right w:val="single" w:color="000000" w:sz="4" w:space="0"/>
            </w:tcBorders>
            <w:vAlign w:val="center"/>
          </w:tcPr>
          <w:p w14:paraId="61AC2C74">
            <w:pPr>
              <w:jc w:val="center"/>
              <w:textAlignment w:val="center"/>
              <w:rPr>
                <w:rStyle w:val="104"/>
                <w:rFonts w:hint="default" w:ascii="仿宋" w:hAnsi="仿宋" w:eastAsia="仿宋" w:cs="仿宋"/>
                <w:color w:val="auto"/>
                <w:sz w:val="18"/>
                <w:szCs w:val="18"/>
                <w:highlight w:val="none"/>
                <w:lang w:eastAsia="zh-CN" w:bidi="ar"/>
              </w:rPr>
            </w:pPr>
            <w:r>
              <w:rPr>
                <w:rStyle w:val="104"/>
                <w:rFonts w:ascii="仿宋" w:hAnsi="仿宋" w:eastAsia="仿宋" w:cs="仿宋"/>
                <w:color w:val="auto"/>
                <w:sz w:val="18"/>
                <w:szCs w:val="18"/>
                <w:highlight w:val="none"/>
                <w:lang w:eastAsia="zh-CN" w:bidi="ar"/>
              </w:rPr>
              <w:t>提供证明材料在投标文件中页码</w:t>
            </w:r>
          </w:p>
        </w:tc>
        <w:tc>
          <w:tcPr>
            <w:tcW w:w="680" w:type="pct"/>
            <w:tcBorders>
              <w:top w:val="single" w:color="000000" w:sz="4" w:space="0"/>
              <w:left w:val="single" w:color="000000" w:sz="4" w:space="0"/>
              <w:bottom w:val="single" w:color="000000" w:sz="4" w:space="0"/>
              <w:right w:val="single" w:color="000000" w:sz="4" w:space="0"/>
            </w:tcBorders>
            <w:vAlign w:val="center"/>
          </w:tcPr>
          <w:p w14:paraId="25324CBD">
            <w:pPr>
              <w:jc w:val="center"/>
              <w:textAlignment w:val="center"/>
              <w:rPr>
                <w:rStyle w:val="104"/>
                <w:rFonts w:hint="default" w:ascii="仿宋" w:hAnsi="仿宋" w:eastAsia="仿宋" w:cs="仿宋"/>
                <w:color w:val="auto"/>
                <w:sz w:val="18"/>
                <w:szCs w:val="18"/>
                <w:highlight w:val="none"/>
                <w:lang w:eastAsia="zh-CN" w:bidi="ar"/>
              </w:rPr>
            </w:pPr>
            <w:r>
              <w:rPr>
                <w:rStyle w:val="104"/>
                <w:rFonts w:ascii="仿宋" w:hAnsi="仿宋" w:eastAsia="仿宋" w:cs="仿宋"/>
                <w:color w:val="auto"/>
                <w:sz w:val="18"/>
                <w:szCs w:val="18"/>
                <w:highlight w:val="none"/>
                <w:lang w:eastAsia="zh-CN" w:bidi="ar"/>
              </w:rPr>
              <w:t>偏离情况</w:t>
            </w:r>
          </w:p>
          <w:p w14:paraId="15B6A609">
            <w:pPr>
              <w:jc w:val="center"/>
              <w:textAlignment w:val="center"/>
              <w:rPr>
                <w:rStyle w:val="104"/>
                <w:rFonts w:hint="default" w:ascii="仿宋" w:hAnsi="仿宋" w:eastAsia="仿宋" w:cs="仿宋"/>
                <w:color w:val="auto"/>
                <w:sz w:val="18"/>
                <w:szCs w:val="18"/>
                <w:highlight w:val="none"/>
                <w:lang w:eastAsia="zh-CN" w:bidi="ar"/>
              </w:rPr>
            </w:pPr>
            <w:r>
              <w:rPr>
                <w:rStyle w:val="104"/>
                <w:rFonts w:ascii="仿宋" w:hAnsi="仿宋" w:eastAsia="仿宋" w:cs="仿宋"/>
                <w:color w:val="auto"/>
                <w:sz w:val="18"/>
                <w:szCs w:val="18"/>
                <w:highlight w:val="none"/>
                <w:lang w:eastAsia="zh-CN" w:bidi="ar"/>
              </w:rPr>
              <w:t>（正偏离/负偏离/无偏离）</w:t>
            </w:r>
          </w:p>
        </w:tc>
        <w:tc>
          <w:tcPr>
            <w:tcW w:w="526" w:type="pct"/>
            <w:tcBorders>
              <w:top w:val="single" w:color="000000" w:sz="4" w:space="0"/>
              <w:left w:val="single" w:color="000000" w:sz="4" w:space="0"/>
              <w:bottom w:val="single" w:color="000000" w:sz="4" w:space="0"/>
              <w:right w:val="single" w:color="000000" w:sz="4" w:space="0"/>
            </w:tcBorders>
            <w:vAlign w:val="center"/>
          </w:tcPr>
          <w:p w14:paraId="1B0C63AA">
            <w:pPr>
              <w:jc w:val="center"/>
              <w:textAlignment w:val="center"/>
              <w:rPr>
                <w:rStyle w:val="104"/>
                <w:rFonts w:hint="default" w:ascii="仿宋" w:hAnsi="仿宋" w:eastAsia="仿宋" w:cs="仿宋"/>
                <w:color w:val="auto"/>
                <w:sz w:val="18"/>
                <w:szCs w:val="18"/>
                <w:highlight w:val="none"/>
                <w:lang w:bidi="ar"/>
              </w:rPr>
            </w:pPr>
            <w:r>
              <w:rPr>
                <w:rStyle w:val="104"/>
                <w:rFonts w:ascii="仿宋" w:hAnsi="仿宋" w:eastAsia="仿宋" w:cs="仿宋"/>
                <w:color w:val="auto"/>
                <w:sz w:val="18"/>
                <w:szCs w:val="18"/>
                <w:highlight w:val="none"/>
                <w:lang w:bidi="ar"/>
              </w:rPr>
              <w:t>供应商的承诺或说明</w:t>
            </w:r>
          </w:p>
        </w:tc>
      </w:tr>
      <w:tr w14:paraId="5DF6D07C">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63C308D3">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1</w:t>
            </w:r>
          </w:p>
        </w:tc>
        <w:tc>
          <w:tcPr>
            <w:tcW w:w="2454" w:type="pct"/>
            <w:tcBorders>
              <w:top w:val="single" w:color="000000" w:sz="4" w:space="0"/>
              <w:left w:val="single" w:color="000000" w:sz="4" w:space="0"/>
              <w:bottom w:val="single" w:color="000000" w:sz="4" w:space="0"/>
              <w:right w:val="single" w:color="000000" w:sz="4" w:space="0"/>
            </w:tcBorders>
            <w:vAlign w:val="center"/>
          </w:tcPr>
          <w:p w14:paraId="4C368176">
            <w:pPr>
              <w:textAlignment w:val="center"/>
              <w:rPr>
                <w:rFonts w:ascii="仿宋" w:hAnsi="仿宋" w:eastAsia="仿宋" w:cs="仿宋"/>
                <w:color w:val="auto"/>
                <w:sz w:val="20"/>
                <w:szCs w:val="20"/>
                <w:highlight w:val="none"/>
                <w:lang w:bidi="ar"/>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62115A8A">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4ECB55B2">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69A36747">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3CBDF1EC">
            <w:pPr>
              <w:jc w:val="center"/>
              <w:rPr>
                <w:rFonts w:ascii="仿宋" w:hAnsi="仿宋" w:eastAsia="仿宋" w:cs="仿宋"/>
                <w:b/>
                <w:bCs/>
                <w:color w:val="auto"/>
                <w:sz w:val="20"/>
                <w:szCs w:val="20"/>
                <w:highlight w:val="none"/>
                <w:lang w:bidi="ar"/>
              </w:rPr>
            </w:pPr>
          </w:p>
        </w:tc>
      </w:tr>
      <w:tr w14:paraId="2914113D">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60A91882">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2</w:t>
            </w:r>
          </w:p>
        </w:tc>
        <w:tc>
          <w:tcPr>
            <w:tcW w:w="2454" w:type="pct"/>
            <w:tcBorders>
              <w:top w:val="single" w:color="000000" w:sz="4" w:space="0"/>
              <w:left w:val="single" w:color="000000" w:sz="4" w:space="0"/>
              <w:bottom w:val="single" w:color="000000" w:sz="4" w:space="0"/>
              <w:right w:val="single" w:color="000000" w:sz="4" w:space="0"/>
            </w:tcBorders>
            <w:vAlign w:val="center"/>
          </w:tcPr>
          <w:p w14:paraId="521E2FE8">
            <w:pPr>
              <w:rPr>
                <w:rFonts w:ascii="仿宋" w:hAnsi="仿宋" w:eastAsia="仿宋" w:cs="仿宋"/>
                <w:color w:val="auto"/>
                <w:highlight w:val="none"/>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6B20BAB5">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61A7B361">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79997337">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0EE6032A">
            <w:pPr>
              <w:jc w:val="center"/>
              <w:rPr>
                <w:rFonts w:ascii="仿宋" w:hAnsi="仿宋" w:eastAsia="仿宋" w:cs="仿宋"/>
                <w:b/>
                <w:bCs/>
                <w:color w:val="auto"/>
                <w:sz w:val="20"/>
                <w:szCs w:val="20"/>
                <w:highlight w:val="none"/>
                <w:lang w:bidi="ar"/>
              </w:rPr>
            </w:pPr>
          </w:p>
        </w:tc>
      </w:tr>
      <w:tr w14:paraId="3ED6507D">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01E626BB">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3</w:t>
            </w:r>
          </w:p>
        </w:tc>
        <w:tc>
          <w:tcPr>
            <w:tcW w:w="2454" w:type="pct"/>
            <w:tcBorders>
              <w:top w:val="single" w:color="000000" w:sz="4" w:space="0"/>
              <w:left w:val="single" w:color="000000" w:sz="4" w:space="0"/>
              <w:bottom w:val="single" w:color="000000" w:sz="4" w:space="0"/>
              <w:right w:val="single" w:color="000000" w:sz="4" w:space="0"/>
            </w:tcBorders>
            <w:vAlign w:val="center"/>
          </w:tcPr>
          <w:p w14:paraId="7568980A">
            <w:pPr>
              <w:rPr>
                <w:rFonts w:ascii="仿宋" w:hAnsi="仿宋" w:eastAsia="仿宋" w:cs="仿宋"/>
                <w:color w:val="auto"/>
                <w:highlight w:val="none"/>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489DBC1C">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66464DF8">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322A0E18">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126B70E2">
            <w:pPr>
              <w:jc w:val="center"/>
              <w:rPr>
                <w:rFonts w:ascii="仿宋" w:hAnsi="仿宋" w:eastAsia="仿宋" w:cs="仿宋"/>
                <w:b/>
                <w:bCs/>
                <w:color w:val="auto"/>
                <w:sz w:val="20"/>
                <w:szCs w:val="20"/>
                <w:highlight w:val="none"/>
                <w:lang w:bidi="ar"/>
              </w:rPr>
            </w:pPr>
          </w:p>
        </w:tc>
      </w:tr>
      <w:tr w14:paraId="78A8E26D">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3EDAA2B4">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4</w:t>
            </w:r>
          </w:p>
        </w:tc>
        <w:tc>
          <w:tcPr>
            <w:tcW w:w="2454" w:type="pct"/>
            <w:tcBorders>
              <w:top w:val="single" w:color="000000" w:sz="4" w:space="0"/>
              <w:left w:val="single" w:color="000000" w:sz="4" w:space="0"/>
              <w:bottom w:val="single" w:color="000000" w:sz="4" w:space="0"/>
              <w:right w:val="single" w:color="000000" w:sz="4" w:space="0"/>
            </w:tcBorders>
            <w:vAlign w:val="center"/>
          </w:tcPr>
          <w:p w14:paraId="64A09E51">
            <w:pPr>
              <w:rPr>
                <w:rFonts w:ascii="仿宋" w:hAnsi="仿宋" w:eastAsia="仿宋" w:cs="仿宋"/>
                <w:color w:val="auto"/>
                <w:highlight w:val="none"/>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00E67BD8">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2529CEF5">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4FF55D67">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130D19F1">
            <w:pPr>
              <w:jc w:val="center"/>
              <w:rPr>
                <w:rFonts w:ascii="仿宋" w:hAnsi="仿宋" w:eastAsia="仿宋" w:cs="仿宋"/>
                <w:b/>
                <w:bCs/>
                <w:color w:val="auto"/>
                <w:sz w:val="20"/>
                <w:szCs w:val="20"/>
                <w:highlight w:val="none"/>
                <w:lang w:bidi="ar"/>
              </w:rPr>
            </w:pPr>
          </w:p>
        </w:tc>
      </w:tr>
      <w:tr w14:paraId="62DAF6EB">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0203726D">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5</w:t>
            </w:r>
          </w:p>
        </w:tc>
        <w:tc>
          <w:tcPr>
            <w:tcW w:w="2454" w:type="pct"/>
            <w:tcBorders>
              <w:top w:val="single" w:color="000000" w:sz="4" w:space="0"/>
              <w:left w:val="single" w:color="000000" w:sz="4" w:space="0"/>
              <w:bottom w:val="single" w:color="000000" w:sz="4" w:space="0"/>
              <w:right w:val="single" w:color="000000" w:sz="4" w:space="0"/>
            </w:tcBorders>
            <w:vAlign w:val="center"/>
          </w:tcPr>
          <w:p w14:paraId="5949789E">
            <w:pPr>
              <w:numPr>
                <w:ilvl w:val="255"/>
                <w:numId w:val="0"/>
              </w:numPr>
              <w:rPr>
                <w:rFonts w:ascii="仿宋" w:hAnsi="仿宋" w:eastAsia="仿宋" w:cs="仿宋"/>
                <w:color w:val="auto"/>
                <w:highlight w:val="none"/>
                <w:lang w:eastAsia="zh-CN"/>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72A52801">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44FCA0B4">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2AADFA46">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6F6723F2">
            <w:pPr>
              <w:jc w:val="center"/>
              <w:rPr>
                <w:rFonts w:ascii="仿宋" w:hAnsi="仿宋" w:eastAsia="仿宋" w:cs="仿宋"/>
                <w:b/>
                <w:bCs/>
                <w:color w:val="auto"/>
                <w:sz w:val="20"/>
                <w:szCs w:val="20"/>
                <w:highlight w:val="none"/>
                <w:lang w:bidi="ar"/>
              </w:rPr>
            </w:pPr>
          </w:p>
        </w:tc>
      </w:tr>
      <w:tr w14:paraId="679EAF6B">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053F86E4">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6</w:t>
            </w:r>
          </w:p>
        </w:tc>
        <w:tc>
          <w:tcPr>
            <w:tcW w:w="2454" w:type="pct"/>
            <w:tcBorders>
              <w:top w:val="single" w:color="000000" w:sz="4" w:space="0"/>
              <w:left w:val="single" w:color="000000" w:sz="4" w:space="0"/>
              <w:bottom w:val="single" w:color="000000" w:sz="4" w:space="0"/>
              <w:right w:val="single" w:color="000000" w:sz="4" w:space="0"/>
            </w:tcBorders>
            <w:vAlign w:val="center"/>
          </w:tcPr>
          <w:p w14:paraId="7126936B">
            <w:pPr>
              <w:rPr>
                <w:rFonts w:ascii="仿宋" w:hAnsi="仿宋" w:eastAsia="仿宋" w:cs="仿宋"/>
                <w:color w:val="auto"/>
                <w:highlight w:val="none"/>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6FF271B8">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430197CE">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2F298C55">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67F97231">
            <w:pPr>
              <w:jc w:val="center"/>
              <w:rPr>
                <w:rFonts w:ascii="仿宋" w:hAnsi="仿宋" w:eastAsia="仿宋" w:cs="仿宋"/>
                <w:b/>
                <w:bCs/>
                <w:color w:val="auto"/>
                <w:sz w:val="20"/>
                <w:szCs w:val="20"/>
                <w:highlight w:val="none"/>
                <w:lang w:bidi="ar"/>
              </w:rPr>
            </w:pPr>
          </w:p>
        </w:tc>
      </w:tr>
      <w:tr w14:paraId="4A24E18F">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4DBC921C">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7</w:t>
            </w:r>
          </w:p>
        </w:tc>
        <w:tc>
          <w:tcPr>
            <w:tcW w:w="2454" w:type="pct"/>
            <w:tcBorders>
              <w:top w:val="single" w:color="000000" w:sz="4" w:space="0"/>
              <w:left w:val="single" w:color="000000" w:sz="4" w:space="0"/>
              <w:bottom w:val="single" w:color="000000" w:sz="4" w:space="0"/>
              <w:right w:val="single" w:color="000000" w:sz="4" w:space="0"/>
            </w:tcBorders>
            <w:vAlign w:val="center"/>
          </w:tcPr>
          <w:p w14:paraId="563E07C6">
            <w:pPr>
              <w:rPr>
                <w:rFonts w:ascii="仿宋" w:hAnsi="仿宋" w:eastAsia="仿宋" w:cs="仿宋"/>
                <w:color w:val="auto"/>
                <w:highlight w:val="none"/>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24BD1B56">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05CE7502">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5C6B7B22">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225FA40A">
            <w:pPr>
              <w:jc w:val="center"/>
              <w:rPr>
                <w:rFonts w:ascii="仿宋" w:hAnsi="仿宋" w:eastAsia="仿宋" w:cs="仿宋"/>
                <w:b/>
                <w:bCs/>
                <w:color w:val="auto"/>
                <w:sz w:val="20"/>
                <w:szCs w:val="20"/>
                <w:highlight w:val="none"/>
                <w:lang w:bidi="ar"/>
              </w:rPr>
            </w:pPr>
          </w:p>
        </w:tc>
      </w:tr>
      <w:tr w14:paraId="5303988F">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03EE0132">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8</w:t>
            </w:r>
          </w:p>
        </w:tc>
        <w:tc>
          <w:tcPr>
            <w:tcW w:w="2454" w:type="pct"/>
            <w:tcBorders>
              <w:top w:val="single" w:color="000000" w:sz="4" w:space="0"/>
              <w:left w:val="single" w:color="000000" w:sz="4" w:space="0"/>
              <w:bottom w:val="single" w:color="000000" w:sz="4" w:space="0"/>
              <w:right w:val="single" w:color="000000" w:sz="4" w:space="0"/>
            </w:tcBorders>
            <w:vAlign w:val="center"/>
          </w:tcPr>
          <w:p w14:paraId="5CB09143">
            <w:pPr>
              <w:rPr>
                <w:rFonts w:ascii="仿宋" w:hAnsi="仿宋" w:eastAsia="仿宋" w:cs="仿宋"/>
                <w:color w:val="auto"/>
                <w:highlight w:val="none"/>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7CC196B8">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29C019D0">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49AB1BE6">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445A3081">
            <w:pPr>
              <w:jc w:val="center"/>
              <w:rPr>
                <w:rFonts w:ascii="仿宋" w:hAnsi="仿宋" w:eastAsia="仿宋" w:cs="仿宋"/>
                <w:b/>
                <w:bCs/>
                <w:color w:val="auto"/>
                <w:sz w:val="20"/>
                <w:szCs w:val="20"/>
                <w:highlight w:val="none"/>
                <w:lang w:bidi="ar"/>
              </w:rPr>
            </w:pPr>
          </w:p>
        </w:tc>
      </w:tr>
    </w:tbl>
    <w:p w14:paraId="4C007BAB">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1.投标人必须对应采购文件《第四章》内容逐条响应。如有缺漏，缺漏项视同响应招标要求。</w:t>
      </w:r>
    </w:p>
    <w:p w14:paraId="4995212B">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 采购文件《第四章》要求提供证明文件或承诺的，投标人需在本表后附相关证明文件或承诺，否则视为不响应采购文件要求。</w:t>
      </w:r>
    </w:p>
    <w:p w14:paraId="7926447C">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3.投标人响应采购需求应具体、明确，含糊不清、不确切或伪造、变造证明材料的，按照不完全响应或者完全不响应处理。构成提供虚假材料的，移送监管部门查处。</w:t>
      </w:r>
    </w:p>
    <w:p w14:paraId="4C1E4F65">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4.本表表头内容不得擅自修改。</w:t>
      </w:r>
    </w:p>
    <w:p w14:paraId="41D8A364">
      <w:pPr>
        <w:spacing w:line="360" w:lineRule="auto"/>
        <w:ind w:firstLine="475" w:firstLineChars="198"/>
        <w:rPr>
          <w:rFonts w:ascii="仿宋" w:hAnsi="仿宋" w:eastAsia="仿宋" w:cs="仿宋"/>
          <w:color w:val="auto"/>
          <w:sz w:val="24"/>
          <w:szCs w:val="24"/>
          <w:highlight w:val="none"/>
          <w:lang w:eastAsia="zh-CN"/>
        </w:rPr>
      </w:pPr>
    </w:p>
    <w:p w14:paraId="2F011B08">
      <w:pPr>
        <w:shd w:val="clear" w:color="auto" w:fill="FFFFFF"/>
        <w:spacing w:line="384" w:lineRule="auto"/>
        <w:rPr>
          <w:rFonts w:ascii="仿宋" w:hAnsi="仿宋" w:eastAsia="仿宋" w:cs="仿宋"/>
          <w:color w:val="auto"/>
          <w:sz w:val="24"/>
          <w:szCs w:val="24"/>
          <w:highlight w:val="none"/>
          <w:lang w:eastAsia="zh-CN"/>
        </w:rPr>
      </w:pPr>
    </w:p>
    <w:p w14:paraId="5876C45E">
      <w:pPr>
        <w:shd w:val="clear" w:color="auto" w:fill="FFFFFF"/>
        <w:spacing w:line="384" w:lineRule="auto"/>
        <w:rPr>
          <w:rFonts w:ascii="仿宋" w:hAnsi="仿宋" w:eastAsia="仿宋" w:cs="仿宋"/>
          <w:color w:val="auto"/>
          <w:sz w:val="24"/>
          <w:szCs w:val="24"/>
          <w:highlight w:val="none"/>
          <w:lang w:eastAsia="zh-CN"/>
        </w:rPr>
      </w:pPr>
    </w:p>
    <w:p w14:paraId="5F582868">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54130AF3">
      <w:pPr>
        <w:shd w:val="clear" w:color="auto" w:fill="FFFFFF"/>
        <w:spacing w:line="384" w:lineRule="auto"/>
        <w:rPr>
          <w:rFonts w:ascii="仿宋" w:hAnsi="仿宋" w:eastAsia="仿宋" w:cs="仿宋"/>
          <w:color w:val="auto"/>
          <w:sz w:val="24"/>
          <w:szCs w:val="24"/>
          <w:highlight w:val="none"/>
          <w:lang w:eastAsia="zh-CN"/>
        </w:rPr>
      </w:pPr>
    </w:p>
    <w:p w14:paraId="7997FF10">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57211381">
      <w:pPr>
        <w:shd w:val="clear" w:color="auto" w:fill="FFFFFF"/>
        <w:wordWrap w:val="0"/>
        <w:spacing w:line="384" w:lineRule="auto"/>
        <w:ind w:firstLine="420"/>
        <w:jc w:val="righ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日期：     年   月   日</w:t>
      </w:r>
    </w:p>
    <w:p w14:paraId="2AF61E19">
      <w:pPr>
        <w:tabs>
          <w:tab w:val="center" w:pos="4832"/>
          <w:tab w:val="left" w:pos="7140"/>
        </w:tabs>
        <w:jc w:val="center"/>
        <w:outlineLvl w:val="1"/>
        <w:rPr>
          <w:rFonts w:ascii="仿宋" w:hAnsi="仿宋" w:eastAsia="仿宋" w:cs="仿宋"/>
          <w:b/>
          <w:color w:val="auto"/>
          <w:sz w:val="24"/>
          <w:szCs w:val="24"/>
          <w:highlight w:val="none"/>
          <w:lang w:eastAsia="zh-CN"/>
        </w:rPr>
      </w:pPr>
      <w:r>
        <w:rPr>
          <w:rFonts w:hint="eastAsia" w:ascii="仿宋" w:hAnsi="仿宋" w:eastAsia="仿宋" w:cs="仿宋"/>
          <w:b/>
          <w:bCs/>
          <w:color w:val="auto"/>
          <w:kern w:val="36"/>
          <w:sz w:val="24"/>
          <w:szCs w:val="24"/>
          <w:highlight w:val="none"/>
          <w:lang w:eastAsia="zh-CN"/>
        </w:rPr>
        <w:br w:type="page"/>
      </w:r>
      <w:bookmarkStart w:id="150" w:name="_Toc109921162"/>
      <w:bookmarkStart w:id="151" w:name="_Toc130252619"/>
      <w:bookmarkStart w:id="152" w:name="_Toc109941769"/>
      <w:bookmarkStart w:id="153" w:name="_Toc14448"/>
      <w:bookmarkStart w:id="154" w:name="_Toc110707969"/>
      <w:r>
        <w:rPr>
          <w:rFonts w:hint="eastAsia" w:ascii="仿宋" w:hAnsi="仿宋" w:eastAsia="仿宋" w:cs="仿宋"/>
          <w:b/>
          <w:color w:val="auto"/>
          <w:sz w:val="24"/>
          <w:szCs w:val="24"/>
          <w:highlight w:val="none"/>
          <w:lang w:eastAsia="zh-CN"/>
        </w:rPr>
        <w:t>四、法定代表人身份证明书</w:t>
      </w:r>
      <w:bookmarkEnd w:id="150"/>
      <w:bookmarkEnd w:id="151"/>
      <w:bookmarkEnd w:id="152"/>
      <w:bookmarkEnd w:id="153"/>
      <w:bookmarkEnd w:id="154"/>
    </w:p>
    <w:p w14:paraId="3EED5D94">
      <w:pPr>
        <w:shd w:val="clear" w:color="auto" w:fill="FFFFFF"/>
        <w:spacing w:line="384" w:lineRule="auto"/>
        <w:rPr>
          <w:rFonts w:ascii="仿宋" w:hAnsi="仿宋" w:eastAsia="仿宋" w:cs="仿宋"/>
          <w:color w:val="auto"/>
          <w:sz w:val="24"/>
          <w:szCs w:val="24"/>
          <w:highlight w:val="none"/>
          <w:lang w:eastAsia="zh-CN"/>
        </w:rPr>
      </w:pPr>
    </w:p>
    <w:p w14:paraId="332BCEF5">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 标 人：</w:t>
      </w:r>
      <w:r>
        <w:rPr>
          <w:rFonts w:hint="eastAsia" w:ascii="仿宋" w:hAnsi="仿宋" w:eastAsia="仿宋" w:cs="仿宋"/>
          <w:color w:val="auto"/>
          <w:sz w:val="24"/>
          <w:szCs w:val="24"/>
          <w:highlight w:val="none"/>
          <w:u w:val="single"/>
          <w:lang w:eastAsia="zh-CN"/>
        </w:rPr>
        <w:t xml:space="preserve">                              </w:t>
      </w:r>
    </w:p>
    <w:p w14:paraId="32AF5ED4">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单位性质：</w:t>
      </w:r>
      <w:r>
        <w:rPr>
          <w:rFonts w:hint="eastAsia" w:ascii="仿宋" w:hAnsi="仿宋" w:eastAsia="仿宋" w:cs="仿宋"/>
          <w:color w:val="auto"/>
          <w:sz w:val="24"/>
          <w:szCs w:val="24"/>
          <w:highlight w:val="none"/>
          <w:u w:val="single"/>
          <w:lang w:eastAsia="zh-CN"/>
        </w:rPr>
        <w:t xml:space="preserve">                              </w:t>
      </w:r>
    </w:p>
    <w:p w14:paraId="0CD5ABFB">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w:t>
      </w:r>
      <w:r>
        <w:rPr>
          <w:rFonts w:hint="eastAsia" w:ascii="仿宋" w:hAnsi="仿宋" w:eastAsia="仿宋" w:cs="仿宋"/>
          <w:color w:val="auto"/>
          <w:sz w:val="24"/>
          <w:szCs w:val="24"/>
          <w:highlight w:val="none"/>
          <w:u w:val="single"/>
          <w:lang w:eastAsia="zh-CN"/>
        </w:rPr>
        <w:t xml:space="preserve">                              </w:t>
      </w:r>
    </w:p>
    <w:p w14:paraId="7C33822A">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成立时间：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日</w:t>
      </w:r>
    </w:p>
    <w:p w14:paraId="5F15781F">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经营期限：</w:t>
      </w:r>
      <w:r>
        <w:rPr>
          <w:rFonts w:hint="eastAsia" w:ascii="仿宋" w:hAnsi="仿宋" w:eastAsia="仿宋" w:cs="仿宋"/>
          <w:color w:val="auto"/>
          <w:sz w:val="24"/>
          <w:szCs w:val="24"/>
          <w:highlight w:val="none"/>
          <w:u w:val="single"/>
          <w:lang w:eastAsia="zh-CN"/>
        </w:rPr>
        <w:t xml:space="preserve">                              </w:t>
      </w:r>
    </w:p>
    <w:p w14:paraId="55AE28A2">
      <w:pPr>
        <w:shd w:val="clear" w:color="auto" w:fill="FFFFFF"/>
        <w:spacing w:line="384" w:lineRule="auto"/>
        <w:rPr>
          <w:rFonts w:ascii="仿宋" w:hAnsi="仿宋" w:eastAsia="仿宋" w:cs="仿宋"/>
          <w:color w:val="auto"/>
          <w:sz w:val="24"/>
          <w:szCs w:val="24"/>
          <w:highlight w:val="none"/>
          <w:lang w:eastAsia="zh-CN"/>
        </w:rPr>
      </w:pPr>
    </w:p>
    <w:p w14:paraId="1559B3DC">
      <w:pPr>
        <w:shd w:val="clear" w:color="auto" w:fill="FFFFFF"/>
        <w:spacing w:line="384"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姓名：</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性别：</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年龄：</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职务：</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系</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（供应商名称）的法定代表人。</w:t>
      </w:r>
    </w:p>
    <w:p w14:paraId="2D55ACB4">
      <w:pPr>
        <w:shd w:val="clear" w:color="auto" w:fill="FFFFFF"/>
        <w:spacing w:line="384"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特此证明。</w:t>
      </w:r>
    </w:p>
    <w:p w14:paraId="4ACF4E8E">
      <w:pPr>
        <w:shd w:val="clear" w:color="auto" w:fill="FFFFFF"/>
        <w:spacing w:line="384" w:lineRule="auto"/>
        <w:rPr>
          <w:rFonts w:ascii="仿宋" w:hAnsi="仿宋" w:eastAsia="仿宋" w:cs="仿宋"/>
          <w:color w:val="auto"/>
          <w:sz w:val="24"/>
          <w:szCs w:val="24"/>
          <w:highlight w:val="none"/>
          <w:lang w:eastAsia="zh-CN"/>
        </w:rPr>
      </w:pPr>
    </w:p>
    <w:p w14:paraId="0E057D46">
      <w:pPr>
        <w:shd w:val="clear" w:color="auto" w:fill="FFFFFF"/>
        <w:spacing w:line="384"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附：法定代表人身份证明</w:t>
      </w:r>
    </w:p>
    <w:p w14:paraId="03A39830">
      <w:pPr>
        <w:shd w:val="clear" w:color="auto" w:fill="FFFFFF"/>
        <w:spacing w:line="384" w:lineRule="auto"/>
        <w:rPr>
          <w:rFonts w:ascii="仿宋" w:hAnsi="仿宋" w:eastAsia="仿宋" w:cs="仿宋"/>
          <w:color w:val="auto"/>
          <w:sz w:val="24"/>
          <w:szCs w:val="24"/>
          <w:highlight w:val="none"/>
          <w:lang w:eastAsia="zh-CN"/>
        </w:rPr>
      </w:pP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DAD2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36120DEE">
            <w:pPr>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法定代表人身份证复印件（正面）</w:t>
            </w:r>
          </w:p>
        </w:tc>
      </w:tr>
    </w:tbl>
    <w:p w14:paraId="26F94878">
      <w:pPr>
        <w:rPr>
          <w:rFonts w:ascii="仿宋" w:hAnsi="仿宋" w:eastAsia="仿宋" w:cs="仿宋"/>
          <w:vanish/>
          <w:color w:val="auto"/>
          <w:highlight w:val="none"/>
          <w:lang w:eastAsia="zh-CN"/>
        </w:rPr>
      </w:pPr>
    </w:p>
    <w:tbl>
      <w:tblPr>
        <w:tblStyle w:val="26"/>
        <w:tblpPr w:leftFromText="180" w:rightFromText="180" w:vertAnchor="text" w:horzAnchor="page" w:tblpX="5711" w:tblpY="-24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35AA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45DF3B1">
            <w:pPr>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法定代表人身份证复印件（反面）</w:t>
            </w:r>
          </w:p>
        </w:tc>
      </w:tr>
    </w:tbl>
    <w:p w14:paraId="28CAB63E">
      <w:pPr>
        <w:shd w:val="clear" w:color="auto" w:fill="FFFFFF"/>
        <w:spacing w:line="384" w:lineRule="auto"/>
        <w:rPr>
          <w:rFonts w:ascii="仿宋" w:hAnsi="仿宋" w:eastAsia="仿宋" w:cs="仿宋"/>
          <w:color w:val="auto"/>
          <w:sz w:val="24"/>
          <w:szCs w:val="24"/>
          <w:highlight w:val="none"/>
          <w:lang w:eastAsia="zh-CN"/>
        </w:rPr>
      </w:pPr>
    </w:p>
    <w:p w14:paraId="03BE2C6A">
      <w:pPr>
        <w:shd w:val="clear" w:color="auto" w:fill="FFFFFF"/>
        <w:spacing w:line="384" w:lineRule="auto"/>
        <w:rPr>
          <w:rFonts w:ascii="仿宋" w:hAnsi="仿宋" w:eastAsia="仿宋" w:cs="仿宋"/>
          <w:color w:val="auto"/>
          <w:sz w:val="24"/>
          <w:szCs w:val="24"/>
          <w:highlight w:val="none"/>
          <w:lang w:eastAsia="zh-CN"/>
        </w:rPr>
      </w:pPr>
    </w:p>
    <w:p w14:paraId="31BA815A">
      <w:pPr>
        <w:shd w:val="clear" w:color="auto" w:fill="FFFFFF"/>
        <w:spacing w:line="384" w:lineRule="auto"/>
        <w:rPr>
          <w:rFonts w:ascii="仿宋" w:hAnsi="仿宋" w:eastAsia="仿宋" w:cs="仿宋"/>
          <w:color w:val="auto"/>
          <w:sz w:val="24"/>
          <w:szCs w:val="24"/>
          <w:highlight w:val="none"/>
          <w:lang w:eastAsia="zh-CN"/>
        </w:rPr>
      </w:pPr>
    </w:p>
    <w:p w14:paraId="5B011EED">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550C6401">
      <w:pPr>
        <w:shd w:val="clear" w:color="auto" w:fill="FFFFFF"/>
        <w:wordWrap w:val="0"/>
        <w:jc w:val="righ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 xml:space="preserve">日 </w:t>
      </w:r>
    </w:p>
    <w:p w14:paraId="57656882">
      <w:pPr>
        <w:shd w:val="clear" w:color="auto" w:fill="FFFFFF"/>
        <w:jc w:val="right"/>
        <w:rPr>
          <w:rFonts w:ascii="仿宋" w:hAnsi="仿宋" w:eastAsia="仿宋" w:cs="仿宋"/>
          <w:color w:val="auto"/>
          <w:sz w:val="24"/>
          <w:szCs w:val="24"/>
          <w:highlight w:val="none"/>
          <w:lang w:eastAsia="zh-CN"/>
        </w:rPr>
      </w:pPr>
    </w:p>
    <w:p w14:paraId="68671D83">
      <w:pPr>
        <w:shd w:val="clear" w:color="auto" w:fill="FFFFFF"/>
        <w:jc w:val="right"/>
        <w:rPr>
          <w:rFonts w:ascii="仿宋" w:hAnsi="仿宋" w:eastAsia="仿宋" w:cs="仿宋"/>
          <w:color w:val="auto"/>
          <w:sz w:val="24"/>
          <w:szCs w:val="24"/>
          <w:highlight w:val="none"/>
          <w:lang w:eastAsia="zh-CN"/>
        </w:rPr>
      </w:pPr>
    </w:p>
    <w:p w14:paraId="56E42612">
      <w:pPr>
        <w:shd w:val="clear" w:color="auto" w:fill="FFFFFF"/>
        <w:jc w:val="right"/>
        <w:rPr>
          <w:rFonts w:ascii="仿宋" w:hAnsi="仿宋" w:eastAsia="仿宋" w:cs="仿宋"/>
          <w:color w:val="auto"/>
          <w:sz w:val="24"/>
          <w:szCs w:val="24"/>
          <w:highlight w:val="none"/>
          <w:lang w:eastAsia="zh-CN"/>
        </w:rPr>
      </w:pPr>
    </w:p>
    <w:p w14:paraId="09956792">
      <w:pPr>
        <w:tabs>
          <w:tab w:val="center" w:pos="4832"/>
          <w:tab w:val="left" w:pos="7140"/>
        </w:tabs>
        <w:jc w:val="center"/>
        <w:outlineLvl w:val="1"/>
        <w:rPr>
          <w:rFonts w:ascii="仿宋" w:hAnsi="仿宋" w:eastAsia="仿宋" w:cs="仿宋"/>
          <w:b/>
          <w:color w:val="auto"/>
          <w:sz w:val="24"/>
          <w:szCs w:val="24"/>
          <w:highlight w:val="none"/>
          <w:lang w:eastAsia="zh-CN"/>
        </w:rPr>
      </w:pPr>
      <w:r>
        <w:rPr>
          <w:rFonts w:hint="eastAsia" w:ascii="仿宋" w:hAnsi="仿宋" w:eastAsia="仿宋" w:cs="仿宋"/>
          <w:b/>
          <w:bCs/>
          <w:color w:val="auto"/>
          <w:sz w:val="24"/>
          <w:szCs w:val="24"/>
          <w:highlight w:val="none"/>
          <w:lang w:eastAsia="zh-CN"/>
        </w:rPr>
        <w:br w:type="page"/>
      </w:r>
      <w:bookmarkStart w:id="155" w:name="_Toc109941770"/>
      <w:bookmarkStart w:id="156" w:name="_Toc110707970"/>
      <w:bookmarkStart w:id="157" w:name="_Toc16013"/>
      <w:bookmarkStart w:id="158" w:name="_Toc130252620"/>
      <w:bookmarkStart w:id="159" w:name="_Toc109921163"/>
      <w:r>
        <w:rPr>
          <w:rFonts w:hint="eastAsia" w:ascii="仿宋" w:hAnsi="仿宋" w:eastAsia="仿宋" w:cs="仿宋"/>
          <w:b/>
          <w:color w:val="auto"/>
          <w:sz w:val="24"/>
          <w:szCs w:val="24"/>
          <w:highlight w:val="none"/>
          <w:lang w:eastAsia="zh-CN"/>
        </w:rPr>
        <w:t>五、法定代表人授权委托书</w:t>
      </w:r>
      <w:bookmarkEnd w:id="155"/>
      <w:bookmarkEnd w:id="156"/>
      <w:bookmarkEnd w:id="157"/>
      <w:bookmarkEnd w:id="158"/>
      <w:bookmarkEnd w:id="159"/>
    </w:p>
    <w:p w14:paraId="43B2F626">
      <w:pPr>
        <w:shd w:val="clear" w:color="auto" w:fill="FFFFFF"/>
        <w:spacing w:line="384" w:lineRule="auto"/>
        <w:rPr>
          <w:rFonts w:ascii="仿宋" w:hAnsi="仿宋" w:eastAsia="仿宋" w:cs="仿宋"/>
          <w:color w:val="auto"/>
          <w:sz w:val="24"/>
          <w:szCs w:val="24"/>
          <w:highlight w:val="none"/>
          <w:lang w:eastAsia="zh-CN"/>
        </w:rPr>
      </w:pPr>
    </w:p>
    <w:p w14:paraId="4399ECCA">
      <w:pPr>
        <w:shd w:val="clear" w:color="auto" w:fill="FFFFFF"/>
        <w:spacing w:line="384"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（姓名）系</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 xml:space="preserve"> （供应商名称）的法定代表人，现拟派我单位</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（姓名）为我方委托代理人。委托代理人根据授权，就</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lang w:eastAsia="zh-CN"/>
        </w:rPr>
        <w:t>标项名称</w:t>
      </w:r>
      <w:r>
        <w:rPr>
          <w:rFonts w:hint="eastAsia" w:ascii="仿宋" w:hAnsi="仿宋" w:eastAsia="仿宋" w:cs="仿宋"/>
          <w:color w:val="auto"/>
          <w:sz w:val="24"/>
          <w:szCs w:val="24"/>
          <w:highlight w:val="none"/>
          <w:lang w:eastAsia="zh-CN"/>
        </w:rPr>
        <w:t>）的投标，以本公司名义处理一切与之有关的事务，其法律后果由我方承担。</w:t>
      </w:r>
    </w:p>
    <w:p w14:paraId="031DEB30">
      <w:pPr>
        <w:shd w:val="clear" w:color="auto" w:fill="FFFFFF"/>
        <w:spacing w:line="384" w:lineRule="auto"/>
        <w:ind w:firstLine="480" w:firstLine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代理人：</w:t>
      </w:r>
      <w:r>
        <w:rPr>
          <w:rFonts w:hint="eastAsia" w:ascii="仿宋" w:hAnsi="仿宋" w:eastAsia="仿宋" w:cs="仿宋"/>
          <w:i/>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性别：</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 xml:space="preserve"> 年龄：</w:t>
      </w:r>
      <w:r>
        <w:rPr>
          <w:rFonts w:hint="eastAsia" w:ascii="仿宋" w:hAnsi="仿宋" w:eastAsia="仿宋" w:cs="仿宋"/>
          <w:color w:val="auto"/>
          <w:sz w:val="24"/>
          <w:szCs w:val="24"/>
          <w:highlight w:val="none"/>
          <w:u w:val="single"/>
          <w:lang w:eastAsia="zh-CN"/>
        </w:rPr>
        <w:t xml:space="preserve">                    </w:t>
      </w:r>
    </w:p>
    <w:p w14:paraId="2DD42FD5">
      <w:pPr>
        <w:shd w:val="clear" w:color="auto" w:fill="FFFFFF"/>
        <w:spacing w:line="384"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单  位：</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部门：</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 xml:space="preserve"> 职务：</w:t>
      </w:r>
      <w:r>
        <w:rPr>
          <w:rFonts w:hint="eastAsia" w:ascii="仿宋" w:hAnsi="仿宋" w:eastAsia="仿宋" w:cs="仿宋"/>
          <w:color w:val="auto"/>
          <w:sz w:val="24"/>
          <w:szCs w:val="24"/>
          <w:highlight w:val="none"/>
          <w:u w:val="single"/>
          <w:lang w:eastAsia="zh-CN"/>
        </w:rPr>
        <w:t xml:space="preserve">                    </w:t>
      </w:r>
    </w:p>
    <w:p w14:paraId="403BDC57">
      <w:pPr>
        <w:shd w:val="clear" w:color="auto" w:fill="FFFFFF"/>
        <w:spacing w:line="384"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代理人无转委权，特此申明。</w:t>
      </w:r>
    </w:p>
    <w:p w14:paraId="5380DDE8">
      <w:pPr>
        <w:shd w:val="clear" w:color="auto" w:fill="FFFFFF"/>
        <w:spacing w:line="384" w:lineRule="auto"/>
        <w:ind w:firstLine="480" w:firstLineChars="200"/>
        <w:rPr>
          <w:rFonts w:ascii="仿宋" w:hAnsi="仿宋" w:eastAsia="仿宋" w:cs="仿宋"/>
          <w:color w:val="auto"/>
          <w:sz w:val="24"/>
          <w:szCs w:val="24"/>
          <w:highlight w:val="none"/>
          <w:lang w:eastAsia="zh-CN"/>
        </w:rPr>
      </w:pPr>
    </w:p>
    <w:p w14:paraId="11CDE121">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附：授权委托人身份证明。</w:t>
      </w:r>
    </w:p>
    <w:tbl>
      <w:tblPr>
        <w:tblStyle w:val="26"/>
        <w:tblW w:w="0" w:type="auto"/>
        <w:tblInd w:w="5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940C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2426C48">
            <w:pPr>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代理人身份证复印件（正面）</w:t>
            </w:r>
          </w:p>
        </w:tc>
      </w:tr>
    </w:tbl>
    <w:p w14:paraId="7676E6FB">
      <w:pPr>
        <w:rPr>
          <w:rFonts w:ascii="仿宋" w:hAnsi="仿宋" w:eastAsia="仿宋" w:cs="仿宋"/>
          <w:vanish/>
          <w:color w:val="auto"/>
          <w:highlight w:val="none"/>
          <w:lang w:eastAsia="zh-CN"/>
        </w:rPr>
      </w:pPr>
    </w:p>
    <w:tbl>
      <w:tblPr>
        <w:tblStyle w:val="26"/>
        <w:tblpPr w:leftFromText="180" w:rightFromText="180" w:vertAnchor="text" w:horzAnchor="margin" w:tblpXSpec="right" w:tblpY="-24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4D2C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A882A7D">
            <w:pPr>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代理人身份证复印件（反面）</w:t>
            </w:r>
          </w:p>
        </w:tc>
      </w:tr>
    </w:tbl>
    <w:p w14:paraId="05599DCA">
      <w:pPr>
        <w:shd w:val="clear" w:color="auto" w:fill="FFFFFF"/>
        <w:spacing w:line="384" w:lineRule="auto"/>
        <w:rPr>
          <w:rFonts w:ascii="仿宋" w:hAnsi="仿宋" w:eastAsia="仿宋" w:cs="仿宋"/>
          <w:color w:val="auto"/>
          <w:sz w:val="24"/>
          <w:szCs w:val="24"/>
          <w:highlight w:val="none"/>
          <w:lang w:eastAsia="zh-CN"/>
        </w:rPr>
      </w:pPr>
    </w:p>
    <w:p w14:paraId="5A0713FD">
      <w:pPr>
        <w:shd w:val="clear" w:color="auto" w:fill="FFFFFF"/>
        <w:spacing w:line="384" w:lineRule="auto"/>
        <w:rPr>
          <w:rFonts w:ascii="仿宋" w:hAnsi="仿宋" w:eastAsia="仿宋" w:cs="仿宋"/>
          <w:color w:val="auto"/>
          <w:sz w:val="24"/>
          <w:szCs w:val="24"/>
          <w:highlight w:val="none"/>
          <w:lang w:eastAsia="zh-CN"/>
        </w:rPr>
      </w:pPr>
    </w:p>
    <w:p w14:paraId="5C96C74C">
      <w:pPr>
        <w:shd w:val="clear" w:color="auto" w:fill="FFFFFF"/>
        <w:spacing w:line="384" w:lineRule="auto"/>
        <w:rPr>
          <w:rFonts w:ascii="仿宋" w:hAnsi="仿宋" w:eastAsia="仿宋" w:cs="仿宋"/>
          <w:color w:val="auto"/>
          <w:sz w:val="24"/>
          <w:szCs w:val="24"/>
          <w:highlight w:val="none"/>
          <w:lang w:eastAsia="zh-CN"/>
        </w:rPr>
      </w:pPr>
    </w:p>
    <w:p w14:paraId="1F688827">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083BF5F8">
      <w:pPr>
        <w:shd w:val="clear" w:color="auto" w:fill="FFFFFF"/>
        <w:spacing w:line="384" w:lineRule="auto"/>
        <w:rPr>
          <w:rFonts w:ascii="仿宋" w:hAnsi="仿宋" w:eastAsia="仿宋" w:cs="仿宋"/>
          <w:color w:val="auto"/>
          <w:sz w:val="24"/>
          <w:szCs w:val="24"/>
          <w:highlight w:val="none"/>
          <w:lang w:eastAsia="zh-CN"/>
        </w:rPr>
      </w:pPr>
    </w:p>
    <w:p w14:paraId="7F57EE9A">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6B697D08">
      <w:pPr>
        <w:shd w:val="clear" w:color="auto" w:fill="FFFFFF"/>
        <w:wordWrap w:val="0"/>
        <w:spacing w:line="384" w:lineRule="auto"/>
        <w:ind w:firstLine="420"/>
        <w:jc w:val="righ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日期：     年   月   日</w:t>
      </w:r>
    </w:p>
    <w:p w14:paraId="48EE9C1C">
      <w:pPr>
        <w:shd w:val="clear" w:color="auto" w:fill="FFFFFF"/>
        <w:spacing w:line="384" w:lineRule="auto"/>
        <w:rPr>
          <w:rFonts w:ascii="仿宋" w:hAnsi="仿宋" w:eastAsia="仿宋" w:cs="仿宋"/>
          <w:color w:val="auto"/>
          <w:sz w:val="24"/>
          <w:szCs w:val="24"/>
          <w:highlight w:val="none"/>
          <w:lang w:eastAsia="zh-CN"/>
        </w:rPr>
      </w:pPr>
    </w:p>
    <w:p w14:paraId="04E7AFEC">
      <w:pPr>
        <w:shd w:val="clear" w:color="auto" w:fill="FFFFFF"/>
        <w:spacing w:line="384" w:lineRule="auto"/>
        <w:rPr>
          <w:rFonts w:ascii="仿宋" w:hAnsi="仿宋" w:eastAsia="仿宋" w:cs="仿宋"/>
          <w:color w:val="auto"/>
          <w:sz w:val="24"/>
          <w:szCs w:val="24"/>
          <w:highlight w:val="none"/>
          <w:lang w:eastAsia="zh-CN"/>
        </w:rPr>
      </w:pPr>
    </w:p>
    <w:p w14:paraId="4754AABB">
      <w:pPr>
        <w:tabs>
          <w:tab w:val="center" w:pos="4832"/>
          <w:tab w:val="left" w:pos="7140"/>
        </w:tabs>
        <w:jc w:val="center"/>
        <w:outlineLvl w:val="1"/>
        <w:rPr>
          <w:rFonts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lang w:eastAsia="zh-CN"/>
        </w:rPr>
        <w:br w:type="page"/>
      </w:r>
      <w:bookmarkStart w:id="160" w:name="_Toc109941771"/>
      <w:bookmarkStart w:id="161" w:name="_Toc110707971"/>
      <w:bookmarkStart w:id="162" w:name="_Toc109921164"/>
      <w:bookmarkStart w:id="163" w:name="_Toc8364"/>
      <w:bookmarkStart w:id="164" w:name="_Toc130252621"/>
      <w:r>
        <w:rPr>
          <w:rFonts w:hint="eastAsia" w:ascii="仿宋" w:hAnsi="仿宋" w:eastAsia="仿宋" w:cs="仿宋"/>
          <w:b/>
          <w:color w:val="auto"/>
          <w:sz w:val="24"/>
          <w:szCs w:val="24"/>
          <w:highlight w:val="none"/>
          <w:lang w:eastAsia="zh-CN"/>
        </w:rPr>
        <w:t>六、</w:t>
      </w:r>
      <w:bookmarkEnd w:id="160"/>
      <w:bookmarkEnd w:id="161"/>
      <w:bookmarkEnd w:id="162"/>
      <w:r>
        <w:rPr>
          <w:rFonts w:hint="eastAsia" w:ascii="仿宋" w:hAnsi="仿宋" w:eastAsia="仿宋" w:cs="仿宋"/>
          <w:b/>
          <w:bCs/>
          <w:color w:val="auto"/>
          <w:sz w:val="24"/>
          <w:szCs w:val="24"/>
          <w:highlight w:val="none"/>
          <w:lang w:eastAsia="zh-CN"/>
        </w:rPr>
        <w:t>供应商资格条件证明材料</w:t>
      </w:r>
      <w:bookmarkEnd w:id="163"/>
      <w:bookmarkEnd w:id="164"/>
    </w:p>
    <w:p w14:paraId="1626920A">
      <w:pPr>
        <w:rPr>
          <w:rFonts w:ascii="仿宋" w:hAnsi="仿宋" w:eastAsia="仿宋" w:cs="仿宋"/>
          <w:color w:val="auto"/>
          <w:highlight w:val="none"/>
          <w:lang w:eastAsia="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5CE9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60BD55C2">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7300" w:type="dxa"/>
            <w:gridSpan w:val="3"/>
            <w:vAlign w:val="center"/>
          </w:tcPr>
          <w:p w14:paraId="5A8FE24B">
            <w:pPr>
              <w:spacing w:line="520" w:lineRule="exact"/>
              <w:jc w:val="center"/>
              <w:rPr>
                <w:rFonts w:ascii="仿宋" w:hAnsi="仿宋" w:eastAsia="仿宋" w:cs="仿宋"/>
                <w:color w:val="auto"/>
                <w:sz w:val="24"/>
                <w:szCs w:val="24"/>
                <w:highlight w:val="none"/>
              </w:rPr>
            </w:pPr>
          </w:p>
        </w:tc>
      </w:tr>
      <w:tr w14:paraId="3077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7CC45FDB">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165" w:type="dxa"/>
            <w:vAlign w:val="center"/>
          </w:tcPr>
          <w:p w14:paraId="149E3EF6">
            <w:pPr>
              <w:spacing w:line="520" w:lineRule="exact"/>
              <w:jc w:val="center"/>
              <w:rPr>
                <w:rFonts w:ascii="仿宋" w:hAnsi="仿宋" w:eastAsia="仿宋" w:cs="仿宋"/>
                <w:color w:val="auto"/>
                <w:sz w:val="24"/>
                <w:szCs w:val="24"/>
                <w:highlight w:val="none"/>
              </w:rPr>
            </w:pPr>
          </w:p>
        </w:tc>
        <w:tc>
          <w:tcPr>
            <w:tcW w:w="1995" w:type="dxa"/>
            <w:vAlign w:val="center"/>
          </w:tcPr>
          <w:p w14:paraId="15E21426">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140" w:type="dxa"/>
            <w:vAlign w:val="center"/>
          </w:tcPr>
          <w:p w14:paraId="1D2BB2CC">
            <w:pPr>
              <w:spacing w:line="520" w:lineRule="exact"/>
              <w:jc w:val="center"/>
              <w:rPr>
                <w:rFonts w:ascii="仿宋" w:hAnsi="仿宋" w:eastAsia="仿宋" w:cs="仿宋"/>
                <w:color w:val="auto"/>
                <w:sz w:val="24"/>
                <w:szCs w:val="24"/>
                <w:highlight w:val="none"/>
              </w:rPr>
            </w:pPr>
          </w:p>
        </w:tc>
      </w:tr>
      <w:tr w14:paraId="6054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62BD2684">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3165" w:type="dxa"/>
            <w:vAlign w:val="center"/>
          </w:tcPr>
          <w:p w14:paraId="0D7B93C3">
            <w:pPr>
              <w:spacing w:line="520" w:lineRule="exact"/>
              <w:jc w:val="center"/>
              <w:rPr>
                <w:rFonts w:ascii="仿宋" w:hAnsi="仿宋" w:eastAsia="仿宋" w:cs="仿宋"/>
                <w:color w:val="auto"/>
                <w:sz w:val="24"/>
                <w:szCs w:val="24"/>
                <w:highlight w:val="none"/>
              </w:rPr>
            </w:pPr>
          </w:p>
        </w:tc>
        <w:tc>
          <w:tcPr>
            <w:tcW w:w="1995" w:type="dxa"/>
            <w:vAlign w:val="center"/>
          </w:tcPr>
          <w:p w14:paraId="58E05257">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w:t>
            </w:r>
          </w:p>
        </w:tc>
        <w:tc>
          <w:tcPr>
            <w:tcW w:w="2140" w:type="dxa"/>
            <w:vAlign w:val="center"/>
          </w:tcPr>
          <w:p w14:paraId="30C3BDC8">
            <w:pPr>
              <w:spacing w:line="520" w:lineRule="exact"/>
              <w:jc w:val="center"/>
              <w:rPr>
                <w:rFonts w:ascii="仿宋" w:hAnsi="仿宋" w:eastAsia="仿宋" w:cs="仿宋"/>
                <w:color w:val="auto"/>
                <w:sz w:val="24"/>
                <w:szCs w:val="24"/>
                <w:highlight w:val="none"/>
              </w:rPr>
            </w:pPr>
          </w:p>
        </w:tc>
      </w:tr>
      <w:tr w14:paraId="2FC1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2089118C">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3165" w:type="dxa"/>
            <w:vAlign w:val="center"/>
          </w:tcPr>
          <w:p w14:paraId="4572FB08">
            <w:pPr>
              <w:spacing w:line="520" w:lineRule="exact"/>
              <w:jc w:val="center"/>
              <w:rPr>
                <w:rFonts w:ascii="仿宋" w:hAnsi="仿宋" w:eastAsia="仿宋" w:cs="仿宋"/>
                <w:color w:val="auto"/>
                <w:sz w:val="24"/>
                <w:szCs w:val="24"/>
                <w:highlight w:val="none"/>
              </w:rPr>
            </w:pPr>
          </w:p>
        </w:tc>
        <w:tc>
          <w:tcPr>
            <w:tcW w:w="1995" w:type="dxa"/>
            <w:vAlign w:val="center"/>
          </w:tcPr>
          <w:p w14:paraId="67152D35">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2140" w:type="dxa"/>
            <w:vAlign w:val="center"/>
          </w:tcPr>
          <w:p w14:paraId="32743926">
            <w:pPr>
              <w:spacing w:line="520" w:lineRule="exact"/>
              <w:jc w:val="center"/>
              <w:rPr>
                <w:rFonts w:ascii="仿宋" w:hAnsi="仿宋" w:eastAsia="仿宋" w:cs="仿宋"/>
                <w:color w:val="auto"/>
                <w:sz w:val="24"/>
                <w:szCs w:val="24"/>
                <w:highlight w:val="none"/>
              </w:rPr>
            </w:pPr>
          </w:p>
        </w:tc>
      </w:tr>
      <w:tr w14:paraId="70BC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22DCD6FF">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3165" w:type="dxa"/>
            <w:vAlign w:val="center"/>
          </w:tcPr>
          <w:p w14:paraId="0D30B90D">
            <w:pPr>
              <w:spacing w:line="520" w:lineRule="exact"/>
              <w:jc w:val="center"/>
              <w:rPr>
                <w:rFonts w:ascii="仿宋" w:hAnsi="仿宋" w:eastAsia="仿宋" w:cs="仿宋"/>
                <w:color w:val="auto"/>
                <w:sz w:val="24"/>
                <w:szCs w:val="24"/>
                <w:highlight w:val="none"/>
              </w:rPr>
            </w:pPr>
          </w:p>
        </w:tc>
        <w:tc>
          <w:tcPr>
            <w:tcW w:w="1995" w:type="dxa"/>
            <w:vAlign w:val="center"/>
          </w:tcPr>
          <w:p w14:paraId="2137D4FB">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140" w:type="dxa"/>
            <w:vAlign w:val="center"/>
          </w:tcPr>
          <w:p w14:paraId="75F26FEE">
            <w:pPr>
              <w:spacing w:line="520" w:lineRule="exact"/>
              <w:jc w:val="center"/>
              <w:rPr>
                <w:rFonts w:ascii="仿宋" w:hAnsi="仿宋" w:eastAsia="仿宋" w:cs="仿宋"/>
                <w:color w:val="auto"/>
                <w:sz w:val="24"/>
                <w:szCs w:val="24"/>
                <w:highlight w:val="none"/>
              </w:rPr>
            </w:pPr>
          </w:p>
        </w:tc>
      </w:tr>
      <w:tr w14:paraId="41E1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1CCF5AC5">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3165" w:type="dxa"/>
            <w:vAlign w:val="center"/>
          </w:tcPr>
          <w:p w14:paraId="59D9F4C8">
            <w:pPr>
              <w:spacing w:line="520" w:lineRule="exact"/>
              <w:rPr>
                <w:rFonts w:ascii="仿宋" w:hAnsi="仿宋" w:eastAsia="仿宋" w:cs="仿宋"/>
                <w:color w:val="auto"/>
                <w:sz w:val="24"/>
                <w:szCs w:val="24"/>
                <w:highlight w:val="none"/>
              </w:rPr>
            </w:pPr>
          </w:p>
        </w:tc>
        <w:tc>
          <w:tcPr>
            <w:tcW w:w="1995" w:type="dxa"/>
            <w:vAlign w:val="center"/>
          </w:tcPr>
          <w:p w14:paraId="199085DC">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140" w:type="dxa"/>
            <w:vAlign w:val="center"/>
          </w:tcPr>
          <w:p w14:paraId="586BFD4C">
            <w:pPr>
              <w:spacing w:line="520" w:lineRule="exact"/>
              <w:jc w:val="center"/>
              <w:rPr>
                <w:rFonts w:ascii="仿宋" w:hAnsi="仿宋" w:eastAsia="仿宋" w:cs="仿宋"/>
                <w:color w:val="auto"/>
                <w:sz w:val="24"/>
                <w:szCs w:val="24"/>
                <w:highlight w:val="none"/>
              </w:rPr>
            </w:pPr>
          </w:p>
        </w:tc>
      </w:tr>
      <w:tr w14:paraId="3968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755BFDA5">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3165" w:type="dxa"/>
            <w:vAlign w:val="center"/>
          </w:tcPr>
          <w:p w14:paraId="651E9C06">
            <w:pPr>
              <w:spacing w:line="520" w:lineRule="exact"/>
              <w:jc w:val="center"/>
              <w:rPr>
                <w:rFonts w:ascii="仿宋" w:hAnsi="仿宋" w:eastAsia="仿宋" w:cs="仿宋"/>
                <w:color w:val="auto"/>
                <w:sz w:val="24"/>
                <w:szCs w:val="24"/>
                <w:highlight w:val="none"/>
              </w:rPr>
            </w:pPr>
          </w:p>
        </w:tc>
        <w:tc>
          <w:tcPr>
            <w:tcW w:w="1995" w:type="dxa"/>
            <w:vAlign w:val="center"/>
          </w:tcPr>
          <w:p w14:paraId="62548066">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银行帐号</w:t>
            </w:r>
          </w:p>
        </w:tc>
        <w:tc>
          <w:tcPr>
            <w:tcW w:w="2140" w:type="dxa"/>
            <w:vAlign w:val="center"/>
          </w:tcPr>
          <w:p w14:paraId="5ECEAA4F">
            <w:pPr>
              <w:spacing w:line="520" w:lineRule="exact"/>
              <w:jc w:val="center"/>
              <w:rPr>
                <w:rFonts w:ascii="仿宋" w:hAnsi="仿宋" w:eastAsia="仿宋" w:cs="仿宋"/>
                <w:color w:val="auto"/>
                <w:sz w:val="24"/>
                <w:szCs w:val="24"/>
                <w:highlight w:val="none"/>
              </w:rPr>
            </w:pPr>
          </w:p>
        </w:tc>
      </w:tr>
      <w:tr w14:paraId="01E4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665" w:type="dxa"/>
            <w:vAlign w:val="center"/>
          </w:tcPr>
          <w:p w14:paraId="7B6B76D9">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职工概况</w:t>
            </w:r>
          </w:p>
        </w:tc>
        <w:tc>
          <w:tcPr>
            <w:tcW w:w="7300" w:type="dxa"/>
            <w:gridSpan w:val="3"/>
            <w:vAlign w:val="center"/>
          </w:tcPr>
          <w:p w14:paraId="64BB5625">
            <w:pPr>
              <w:spacing w:line="520" w:lineRule="exact"/>
              <w:jc w:val="center"/>
              <w:rPr>
                <w:rFonts w:ascii="仿宋" w:hAnsi="仿宋" w:eastAsia="仿宋" w:cs="仿宋"/>
                <w:color w:val="auto"/>
                <w:sz w:val="24"/>
                <w:szCs w:val="24"/>
                <w:highlight w:val="none"/>
              </w:rPr>
            </w:pPr>
          </w:p>
        </w:tc>
      </w:tr>
      <w:tr w14:paraId="0F04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665" w:type="dxa"/>
            <w:vAlign w:val="center"/>
          </w:tcPr>
          <w:p w14:paraId="3E7DAE9E">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7300" w:type="dxa"/>
            <w:gridSpan w:val="3"/>
            <w:vAlign w:val="center"/>
          </w:tcPr>
          <w:p w14:paraId="76A0B9CA">
            <w:pPr>
              <w:spacing w:line="520" w:lineRule="exact"/>
              <w:jc w:val="center"/>
              <w:rPr>
                <w:rFonts w:ascii="仿宋" w:hAnsi="仿宋" w:eastAsia="仿宋" w:cs="仿宋"/>
                <w:color w:val="auto"/>
                <w:sz w:val="24"/>
                <w:szCs w:val="24"/>
                <w:highlight w:val="none"/>
              </w:rPr>
            </w:pPr>
          </w:p>
        </w:tc>
      </w:tr>
    </w:tbl>
    <w:p w14:paraId="3A0D9C2C">
      <w:pPr>
        <w:spacing w:line="360" w:lineRule="auto"/>
        <w:rPr>
          <w:rFonts w:ascii="仿宋" w:hAnsi="仿宋" w:eastAsia="仿宋" w:cs="仿宋"/>
          <w:color w:val="auto"/>
          <w:sz w:val="24"/>
          <w:szCs w:val="24"/>
          <w:highlight w:val="none"/>
        </w:rPr>
      </w:pPr>
    </w:p>
    <w:p w14:paraId="372D08C5">
      <w:pPr>
        <w:spacing w:line="360" w:lineRule="auto"/>
        <w:jc w:val="center"/>
        <w:outlineLvl w:val="1"/>
        <w:rPr>
          <w:rFonts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lang w:eastAsia="zh-CN"/>
        </w:rPr>
        <w:br w:type="page"/>
      </w:r>
      <w:bookmarkStart w:id="165" w:name="_Toc26222"/>
      <w:bookmarkStart w:id="166" w:name="_Toc26160"/>
      <w:bookmarkStart w:id="167" w:name="_Toc128476878"/>
      <w:bookmarkStart w:id="168" w:name="_Toc29597"/>
      <w:bookmarkStart w:id="169" w:name="_Toc14445"/>
      <w:bookmarkStart w:id="170" w:name="_Toc8286"/>
      <w:bookmarkStart w:id="171" w:name="_Toc31890"/>
      <w:bookmarkStart w:id="172" w:name="_Toc56"/>
      <w:bookmarkStart w:id="173" w:name="_Toc13213"/>
      <w:bookmarkStart w:id="174" w:name="_Toc7909"/>
      <w:bookmarkStart w:id="175" w:name="_Toc130252622"/>
      <w:bookmarkStart w:id="176" w:name="_Toc141050515"/>
      <w:bookmarkStart w:id="177" w:name="_Toc27784"/>
      <w:bookmarkStart w:id="178" w:name="_Toc113901849"/>
      <w:r>
        <w:rPr>
          <w:rFonts w:hint="eastAsia" w:ascii="仿宋" w:hAnsi="仿宋" w:eastAsia="仿宋" w:cs="仿宋"/>
          <w:b/>
          <w:color w:val="auto"/>
          <w:sz w:val="24"/>
          <w:szCs w:val="24"/>
          <w:highlight w:val="none"/>
          <w:lang w:eastAsia="zh-CN"/>
        </w:rPr>
        <w:t>6.1、法人或者其他组织的营业执照等证明文件，自然人的身份证明</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55B63DAA">
      <w:pPr>
        <w:spacing w:line="360" w:lineRule="auto"/>
        <w:rPr>
          <w:rFonts w:ascii="仿宋" w:hAnsi="仿宋" w:eastAsia="仿宋" w:cs="仿宋"/>
          <w:color w:val="auto"/>
          <w:sz w:val="24"/>
          <w:szCs w:val="24"/>
          <w:highlight w:val="none"/>
          <w:lang w:eastAsia="zh-CN"/>
        </w:rPr>
      </w:pPr>
    </w:p>
    <w:p w14:paraId="4B688344">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一、如供应商是企业（包括合伙企业），应提供在工商部门注册的有效“企业法人营业执照”或“营业执照”；</w:t>
      </w:r>
    </w:p>
    <w:p w14:paraId="03809FBF">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二、如供应商是事业单位，应提供有效的“事业单位法人证书”；</w:t>
      </w:r>
    </w:p>
    <w:p w14:paraId="787D2645">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三、供应商是非企业专业服务机构的，应提供执业许可证等证明文件；</w:t>
      </w:r>
    </w:p>
    <w:p w14:paraId="743214A2">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四、如供应商是个体工商户，应提供有效的“个体工商户营业执照”；</w:t>
      </w:r>
    </w:p>
    <w:p w14:paraId="404E7686">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五、如供应商是自然人，应提供有效的自然人身份证明。</w:t>
      </w:r>
    </w:p>
    <w:p w14:paraId="1D25CD45">
      <w:pPr>
        <w:spacing w:line="360" w:lineRule="auto"/>
        <w:rPr>
          <w:rFonts w:ascii="仿宋" w:hAnsi="仿宋" w:eastAsia="仿宋" w:cs="仿宋"/>
          <w:color w:val="auto"/>
          <w:sz w:val="24"/>
          <w:szCs w:val="24"/>
          <w:highlight w:val="none"/>
          <w:lang w:eastAsia="zh-CN"/>
        </w:rPr>
      </w:pPr>
    </w:p>
    <w:p w14:paraId="4E409AB2">
      <w:pPr>
        <w:spacing w:line="360" w:lineRule="auto"/>
        <w:rPr>
          <w:rFonts w:ascii="仿宋" w:hAnsi="仿宋" w:eastAsia="仿宋" w:cs="仿宋"/>
          <w:color w:val="auto"/>
          <w:sz w:val="24"/>
          <w:szCs w:val="24"/>
          <w:highlight w:val="none"/>
          <w:lang w:eastAsia="zh-CN"/>
        </w:rPr>
      </w:pPr>
    </w:p>
    <w:p w14:paraId="1F7B7535">
      <w:pPr>
        <w:spacing w:line="360" w:lineRule="auto"/>
        <w:rPr>
          <w:rFonts w:ascii="仿宋" w:hAnsi="仿宋" w:eastAsia="仿宋" w:cs="仿宋"/>
          <w:color w:val="auto"/>
          <w:highlight w:val="none"/>
          <w:lang w:eastAsia="zh-CN"/>
        </w:rPr>
      </w:pPr>
      <w:r>
        <w:rPr>
          <w:rFonts w:hint="eastAsia" w:ascii="仿宋" w:hAnsi="仿宋" w:eastAsia="仿宋" w:cs="仿宋"/>
          <w:b/>
          <w:color w:val="auto"/>
          <w:sz w:val="24"/>
          <w:szCs w:val="24"/>
          <w:highlight w:val="none"/>
          <w:lang w:eastAsia="zh-CN"/>
        </w:rPr>
        <w:br w:type="page"/>
      </w:r>
    </w:p>
    <w:p w14:paraId="5E4C4439">
      <w:pPr>
        <w:spacing w:line="360" w:lineRule="auto"/>
        <w:jc w:val="center"/>
        <w:outlineLvl w:val="1"/>
        <w:rPr>
          <w:rFonts w:ascii="仿宋" w:hAnsi="仿宋" w:eastAsia="仿宋" w:cs="仿宋"/>
          <w:b/>
          <w:color w:val="auto"/>
          <w:sz w:val="24"/>
          <w:szCs w:val="24"/>
          <w:highlight w:val="none"/>
          <w:lang w:eastAsia="zh-CN"/>
        </w:rPr>
      </w:pPr>
      <w:bookmarkStart w:id="179" w:name="_Toc19961"/>
      <w:bookmarkStart w:id="180" w:name="_Toc14695"/>
      <w:bookmarkStart w:id="181" w:name="_Toc128476879"/>
      <w:bookmarkStart w:id="182" w:name="_Toc5489"/>
      <w:bookmarkStart w:id="183" w:name="_Toc7702"/>
      <w:bookmarkStart w:id="184" w:name="_Toc141050516"/>
      <w:bookmarkStart w:id="185" w:name="_Toc31943"/>
      <w:bookmarkStart w:id="186" w:name="_Toc643"/>
      <w:bookmarkStart w:id="187" w:name="_Toc13628"/>
      <w:bookmarkStart w:id="188" w:name="_Toc130252623"/>
      <w:bookmarkStart w:id="189" w:name="_Toc19152"/>
      <w:bookmarkStart w:id="190" w:name="_Toc30664"/>
      <w:bookmarkStart w:id="191" w:name="_Toc113901850"/>
      <w:bookmarkStart w:id="192" w:name="_Toc24317"/>
      <w:r>
        <w:rPr>
          <w:rFonts w:hint="eastAsia" w:ascii="仿宋" w:hAnsi="仿宋" w:eastAsia="仿宋" w:cs="仿宋"/>
          <w:b/>
          <w:color w:val="auto"/>
          <w:sz w:val="24"/>
          <w:szCs w:val="24"/>
          <w:highlight w:val="none"/>
          <w:lang w:eastAsia="zh-CN"/>
        </w:rPr>
        <w:t>6.2、财务状况报告，依法缴纳税收和社会保障资金的相关材料</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2EE233F9">
      <w:pPr>
        <w:spacing w:after="120" w:line="360" w:lineRule="auto"/>
        <w:rPr>
          <w:rFonts w:ascii="仿宋" w:hAnsi="仿宋" w:eastAsia="仿宋" w:cs="仿宋"/>
          <w:color w:val="auto"/>
          <w:spacing w:val="10"/>
          <w:sz w:val="24"/>
          <w:szCs w:val="24"/>
          <w:highlight w:val="none"/>
          <w:lang w:eastAsia="zh-CN"/>
        </w:rPr>
      </w:pPr>
    </w:p>
    <w:p w14:paraId="36F09533">
      <w:pPr>
        <w:spacing w:after="120" w:line="360" w:lineRule="auto"/>
        <w:ind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一、财务状况报告（</w:t>
      </w:r>
      <w:r>
        <w:rPr>
          <w:rFonts w:hint="eastAsia" w:ascii="仿宋" w:hAnsi="仿宋" w:eastAsia="仿宋" w:cs="仿宋"/>
          <w:color w:val="auto"/>
          <w:sz w:val="24"/>
          <w:szCs w:val="24"/>
          <w:highlight w:val="none"/>
          <w:lang w:eastAsia="zh-CN"/>
        </w:rPr>
        <w:t>满足下述一条要求即可</w:t>
      </w:r>
      <w:r>
        <w:rPr>
          <w:rFonts w:hint="eastAsia" w:ascii="仿宋" w:hAnsi="仿宋" w:eastAsia="仿宋" w:cs="仿宋"/>
          <w:color w:val="auto"/>
          <w:spacing w:val="10"/>
          <w:sz w:val="24"/>
          <w:szCs w:val="24"/>
          <w:highlight w:val="none"/>
          <w:lang w:eastAsia="zh-CN"/>
        </w:rPr>
        <w:t>）：</w:t>
      </w:r>
    </w:p>
    <w:p w14:paraId="469892C7">
      <w:pPr>
        <w:spacing w:after="120" w:line="360" w:lineRule="auto"/>
        <w:ind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应提供本单位2024年度或2025年度经会计师事务所出具的审计报告复印件（报告中须包括资产负债表、利润表、现金流量表及财务报表附注）。如供应商注册不满1年提供具有良好的商业信誉和健全的财务会计制度承诺函；二、依法缴纳税收和社会保障资金的相关材料</w:t>
      </w:r>
    </w:p>
    <w:p w14:paraId="6643C08C">
      <w:pPr>
        <w:spacing w:after="120" w:line="360" w:lineRule="auto"/>
        <w:ind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2.1、依法缴纳税收的证明材料：</w:t>
      </w:r>
    </w:p>
    <w:p w14:paraId="503E960C">
      <w:pPr>
        <w:spacing w:after="120" w:line="360" w:lineRule="auto"/>
        <w:ind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本项目开标前6个月内（至少提供1个月）缴纳税收的凭据（完税证、缴款书、印花税票、银行代扣（代缴）转账凭证等均可）</w:t>
      </w:r>
    </w:p>
    <w:p w14:paraId="0C0F2660">
      <w:pPr>
        <w:spacing w:after="120" w:line="360" w:lineRule="auto"/>
        <w:ind w:right="516"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2.2、依法缴纳社会保障资金的证明材料：</w:t>
      </w:r>
    </w:p>
    <w:p w14:paraId="3C3FE673">
      <w:pPr>
        <w:spacing w:after="120" w:line="360" w:lineRule="auto"/>
        <w:ind w:right="516"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 xml:space="preserve">本项目开标前 6个月内（至少提供1个月）缴纳社会保险的凭据（专用收据或社会保险交纳清单）； </w:t>
      </w:r>
    </w:p>
    <w:p w14:paraId="7A789EBE">
      <w:pPr>
        <w:spacing w:after="120" w:line="360" w:lineRule="auto"/>
        <w:ind w:right="516"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供应商为其他组织或自然人的，也需要按此项规定提供缴纳税收的凭据和交纳社会保险的凭据。如供应商的社会保险为委托第三方代缴，还需同时提供供应商与第三方服务机构签署的服务合同（合同中应明确写明第三方为供应商代缴其社会保险）；</w:t>
      </w:r>
    </w:p>
    <w:p w14:paraId="006EDE7B">
      <w:pPr>
        <w:spacing w:after="120" w:line="360" w:lineRule="auto"/>
        <w:ind w:right="516"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2.3、依法免税或不需要缴纳社会保障资金的供应商，应提供相应文件证明其依法免税或不需要缴纳社会保障资金。</w:t>
      </w:r>
    </w:p>
    <w:p w14:paraId="3859C71C">
      <w:pPr>
        <w:spacing w:after="120" w:line="360" w:lineRule="auto"/>
        <w:ind w:right="516"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三、注：</w:t>
      </w:r>
    </w:p>
    <w:p w14:paraId="67386060">
      <w:pPr>
        <w:spacing w:after="120" w:line="360" w:lineRule="auto"/>
        <w:ind w:right="516"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3.1、如因有关主管部门政策调整，部分证明材料有所增减，以最新政策要求为准；</w:t>
      </w:r>
    </w:p>
    <w:p w14:paraId="78D63B0F">
      <w:pPr>
        <w:spacing w:after="120" w:line="360" w:lineRule="auto"/>
        <w:ind w:right="516"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3.2、如供应商所在地有关主管部门反馈的证明材料与本文中要求不一致时，以当地要求为准，但须供应商提供文字说明。</w:t>
      </w:r>
    </w:p>
    <w:p w14:paraId="4DA495C6">
      <w:pPr>
        <w:tabs>
          <w:tab w:val="center" w:pos="4832"/>
          <w:tab w:val="left" w:pos="7140"/>
        </w:tabs>
        <w:spacing w:line="360" w:lineRule="auto"/>
        <w:jc w:val="center"/>
        <w:outlineLvl w:val="1"/>
        <w:rPr>
          <w:rFonts w:ascii="仿宋" w:hAnsi="仿宋" w:eastAsia="仿宋" w:cs="仿宋"/>
          <w:b/>
          <w:color w:val="auto"/>
          <w:sz w:val="24"/>
          <w:szCs w:val="24"/>
          <w:highlight w:val="none"/>
          <w:lang w:eastAsia="zh-CN"/>
        </w:rPr>
      </w:pPr>
      <w:bookmarkStart w:id="193" w:name="_Toc113901851"/>
      <w:bookmarkStart w:id="194" w:name="_Toc128476880"/>
      <w:bookmarkStart w:id="195" w:name="_Toc111556488"/>
      <w:r>
        <w:rPr>
          <w:rFonts w:hint="eastAsia" w:ascii="仿宋" w:hAnsi="仿宋" w:eastAsia="仿宋" w:cs="仿宋"/>
          <w:b/>
          <w:color w:val="auto"/>
          <w:sz w:val="24"/>
          <w:szCs w:val="24"/>
          <w:highlight w:val="none"/>
          <w:lang w:eastAsia="zh-CN"/>
        </w:rPr>
        <w:br w:type="page"/>
      </w:r>
      <w:bookmarkStart w:id="196" w:name="_Toc28756"/>
      <w:bookmarkStart w:id="197" w:name="_Toc20521"/>
      <w:bookmarkStart w:id="198" w:name="_Toc24817"/>
      <w:bookmarkStart w:id="199" w:name="_Toc3038"/>
      <w:bookmarkStart w:id="200" w:name="_Toc22195"/>
      <w:bookmarkStart w:id="201" w:name="_Toc29582"/>
      <w:bookmarkStart w:id="202" w:name="_Toc141050517"/>
      <w:bookmarkStart w:id="203" w:name="_Toc28397"/>
      <w:bookmarkStart w:id="204" w:name="_Toc8262"/>
      <w:bookmarkStart w:id="205" w:name="_Toc24919"/>
      <w:bookmarkStart w:id="206" w:name="_Toc130252624"/>
      <w:bookmarkStart w:id="207" w:name="_Toc23711"/>
      <w:r>
        <w:rPr>
          <w:rFonts w:hint="eastAsia" w:ascii="仿宋" w:hAnsi="仿宋" w:eastAsia="仿宋" w:cs="仿宋"/>
          <w:b/>
          <w:color w:val="auto"/>
          <w:sz w:val="24"/>
          <w:szCs w:val="24"/>
          <w:highlight w:val="none"/>
          <w:lang w:eastAsia="zh-CN"/>
        </w:rPr>
        <w:t>6.3、具备履行合同所必需的设备和专业技术能力的证明材料</w:t>
      </w:r>
      <w:bookmarkEnd w:id="193"/>
      <w:bookmarkEnd w:id="194"/>
      <w:bookmarkEnd w:id="196"/>
      <w:bookmarkEnd w:id="197"/>
      <w:bookmarkEnd w:id="198"/>
      <w:bookmarkEnd w:id="199"/>
      <w:bookmarkEnd w:id="200"/>
      <w:bookmarkEnd w:id="201"/>
      <w:bookmarkEnd w:id="202"/>
      <w:bookmarkEnd w:id="203"/>
      <w:bookmarkEnd w:id="204"/>
      <w:bookmarkEnd w:id="205"/>
      <w:bookmarkEnd w:id="206"/>
      <w:bookmarkEnd w:id="207"/>
    </w:p>
    <w:p w14:paraId="3E12B95A">
      <w:pPr>
        <w:spacing w:line="360" w:lineRule="auto"/>
        <w:jc w:val="center"/>
        <w:rPr>
          <w:rFonts w:ascii="仿宋" w:hAnsi="仿宋" w:eastAsia="仿宋" w:cs="仿宋"/>
          <w:b/>
          <w:color w:val="auto"/>
          <w:sz w:val="24"/>
          <w:szCs w:val="24"/>
          <w:highlight w:val="none"/>
          <w:lang w:eastAsia="zh-CN"/>
        </w:rPr>
      </w:pPr>
    </w:p>
    <w:p w14:paraId="6F5D852A">
      <w:pPr>
        <w:spacing w:line="360" w:lineRule="auto"/>
        <w:jc w:val="center"/>
        <w:rPr>
          <w:rFonts w:ascii="仿宋" w:hAnsi="仿宋" w:eastAsia="仿宋" w:cs="仿宋"/>
          <w:b/>
          <w:color w:val="auto"/>
          <w:sz w:val="24"/>
          <w:szCs w:val="24"/>
          <w:highlight w:val="none"/>
          <w:lang w:eastAsia="zh-CN"/>
        </w:rPr>
      </w:pPr>
    </w:p>
    <w:p w14:paraId="71CA836E">
      <w:pPr>
        <w:spacing w:line="360" w:lineRule="auto"/>
        <w:jc w:val="center"/>
        <w:rPr>
          <w:rFonts w:ascii="仿宋" w:hAnsi="仿宋" w:eastAsia="仿宋" w:cs="仿宋"/>
          <w:b/>
          <w:color w:val="auto"/>
          <w:sz w:val="24"/>
          <w:szCs w:val="24"/>
          <w:highlight w:val="none"/>
          <w:lang w:eastAsia="zh-CN"/>
        </w:rPr>
      </w:pPr>
    </w:p>
    <w:p w14:paraId="012117D0">
      <w:pPr>
        <w:spacing w:line="360" w:lineRule="auto"/>
        <w:jc w:val="cente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具有履行合同所必需的设备和专业技术能力的承诺</w:t>
      </w:r>
      <w:bookmarkEnd w:id="195"/>
      <w:r>
        <w:rPr>
          <w:rFonts w:hint="eastAsia" w:ascii="仿宋" w:hAnsi="仿宋" w:eastAsia="仿宋" w:cs="仿宋"/>
          <w:b/>
          <w:color w:val="auto"/>
          <w:sz w:val="24"/>
          <w:szCs w:val="24"/>
          <w:highlight w:val="none"/>
          <w:lang w:eastAsia="zh-CN"/>
        </w:rPr>
        <w:t>函</w:t>
      </w:r>
    </w:p>
    <w:p w14:paraId="6D9B3BFC">
      <w:pPr>
        <w:spacing w:line="360" w:lineRule="auto"/>
        <w:ind w:firstLine="480" w:firstLineChars="200"/>
        <w:jc w:val="center"/>
        <w:rPr>
          <w:rFonts w:ascii="仿宋" w:hAnsi="仿宋" w:eastAsia="仿宋" w:cs="仿宋"/>
          <w:color w:val="auto"/>
          <w:sz w:val="24"/>
          <w:szCs w:val="24"/>
          <w:highlight w:val="none"/>
          <w:lang w:eastAsia="zh-CN"/>
        </w:rPr>
      </w:pPr>
    </w:p>
    <w:p w14:paraId="77591FF1">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（采购人名称）</w:t>
      </w:r>
    </w:p>
    <w:p w14:paraId="312B4D6C">
      <w:pPr>
        <w:spacing w:line="360" w:lineRule="auto"/>
        <w:ind w:firstLine="480" w:firstLineChars="200"/>
        <w:rPr>
          <w:rFonts w:ascii="仿宋" w:hAnsi="仿宋" w:eastAsia="仿宋" w:cs="仿宋"/>
          <w:color w:val="auto"/>
          <w:sz w:val="24"/>
          <w:szCs w:val="24"/>
          <w:highlight w:val="none"/>
          <w:lang w:eastAsia="zh-CN"/>
        </w:rPr>
      </w:pPr>
    </w:p>
    <w:p w14:paraId="6545FF39">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我单位郑重承诺： </w:t>
      </w:r>
    </w:p>
    <w:p w14:paraId="495D297D">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我单位具备履行</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lang w:eastAsia="zh-CN"/>
        </w:rPr>
        <w:t>标项名称</w:t>
      </w:r>
      <w:r>
        <w:rPr>
          <w:rFonts w:hint="eastAsia" w:ascii="仿宋" w:hAnsi="仿宋" w:eastAsia="仿宋" w:cs="仿宋"/>
          <w:color w:val="auto"/>
          <w:sz w:val="24"/>
          <w:szCs w:val="24"/>
          <w:highlight w:val="none"/>
          <w:lang w:eastAsia="zh-CN"/>
        </w:rPr>
        <w:t>）合同所必需的设备和专业技术能力；</w:t>
      </w:r>
    </w:p>
    <w:p w14:paraId="160D7CF3">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特此承诺。 </w:t>
      </w:r>
    </w:p>
    <w:p w14:paraId="1E7F3645">
      <w:pPr>
        <w:spacing w:line="360" w:lineRule="auto"/>
        <w:rPr>
          <w:rFonts w:ascii="仿宋" w:hAnsi="仿宋" w:eastAsia="仿宋" w:cs="仿宋"/>
          <w:color w:val="auto"/>
          <w:sz w:val="24"/>
          <w:szCs w:val="24"/>
          <w:highlight w:val="none"/>
          <w:lang w:eastAsia="zh-CN"/>
        </w:rPr>
      </w:pPr>
    </w:p>
    <w:p w14:paraId="1151AD31">
      <w:pPr>
        <w:spacing w:line="360" w:lineRule="auto"/>
        <w:rPr>
          <w:rFonts w:ascii="仿宋" w:hAnsi="仿宋" w:eastAsia="仿宋" w:cs="仿宋"/>
          <w:color w:val="auto"/>
          <w:sz w:val="24"/>
          <w:szCs w:val="24"/>
          <w:highlight w:val="none"/>
          <w:lang w:eastAsia="zh-CN"/>
        </w:rPr>
      </w:pPr>
    </w:p>
    <w:p w14:paraId="056DE627">
      <w:pPr>
        <w:spacing w:line="360" w:lineRule="auto"/>
        <w:rPr>
          <w:rFonts w:ascii="仿宋" w:hAnsi="仿宋" w:eastAsia="仿宋" w:cs="仿宋"/>
          <w:color w:val="auto"/>
          <w:sz w:val="24"/>
          <w:szCs w:val="24"/>
          <w:highlight w:val="none"/>
          <w:lang w:eastAsia="zh-CN"/>
        </w:rPr>
      </w:pPr>
    </w:p>
    <w:p w14:paraId="6423263B">
      <w:pPr>
        <w:spacing w:line="360" w:lineRule="auto"/>
        <w:rPr>
          <w:rFonts w:ascii="仿宋" w:hAnsi="仿宋" w:eastAsia="仿宋" w:cs="仿宋"/>
          <w:color w:val="auto"/>
          <w:sz w:val="24"/>
          <w:szCs w:val="24"/>
          <w:highlight w:val="none"/>
          <w:lang w:eastAsia="zh-CN"/>
        </w:rPr>
      </w:pPr>
    </w:p>
    <w:p w14:paraId="337E8AE3">
      <w:pPr>
        <w:shd w:val="clear" w:color="auto" w:fill="FFFFFF"/>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18A2FE0F">
      <w:pPr>
        <w:shd w:val="clear" w:color="auto" w:fill="FFFFFF"/>
        <w:spacing w:line="360" w:lineRule="auto"/>
        <w:rPr>
          <w:rFonts w:ascii="仿宋" w:hAnsi="仿宋" w:eastAsia="仿宋" w:cs="仿宋"/>
          <w:color w:val="auto"/>
          <w:sz w:val="24"/>
          <w:szCs w:val="24"/>
          <w:highlight w:val="none"/>
          <w:lang w:eastAsia="zh-CN"/>
        </w:rPr>
      </w:pPr>
    </w:p>
    <w:p w14:paraId="3FF945E3">
      <w:pPr>
        <w:shd w:val="clear" w:color="auto" w:fill="FFFFFF"/>
        <w:spacing w:line="360" w:lineRule="auto"/>
        <w:rPr>
          <w:rFonts w:ascii="仿宋" w:hAnsi="仿宋" w:eastAsia="仿宋" w:cs="仿宋"/>
          <w:color w:val="auto"/>
          <w:sz w:val="24"/>
          <w:szCs w:val="24"/>
          <w:highlight w:val="none"/>
          <w:lang w:eastAsia="zh-CN"/>
        </w:rPr>
      </w:pPr>
    </w:p>
    <w:p w14:paraId="58FAF765">
      <w:pPr>
        <w:shd w:val="clear" w:color="auto" w:fill="FFFFFF"/>
        <w:spacing w:line="360" w:lineRule="auto"/>
        <w:ind w:firstLine="42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日期： 年  月  日</w:t>
      </w:r>
    </w:p>
    <w:p w14:paraId="2EF1C70B">
      <w:pPr>
        <w:spacing w:line="360" w:lineRule="auto"/>
        <w:rPr>
          <w:rFonts w:ascii="仿宋" w:hAnsi="仿宋" w:eastAsia="仿宋" w:cs="仿宋"/>
          <w:bCs/>
          <w:color w:val="auto"/>
          <w:sz w:val="24"/>
          <w:szCs w:val="24"/>
          <w:highlight w:val="none"/>
          <w:lang w:eastAsia="zh-CN"/>
        </w:rPr>
      </w:pPr>
    </w:p>
    <w:p w14:paraId="0C6DB350">
      <w:pPr>
        <w:spacing w:line="360" w:lineRule="auto"/>
        <w:rPr>
          <w:rFonts w:ascii="仿宋" w:hAnsi="仿宋" w:eastAsia="仿宋" w:cs="仿宋"/>
          <w:color w:val="auto"/>
          <w:sz w:val="24"/>
          <w:szCs w:val="24"/>
          <w:highlight w:val="none"/>
          <w:lang w:eastAsia="zh-CN"/>
        </w:rPr>
      </w:pPr>
    </w:p>
    <w:p w14:paraId="6784AE05">
      <w:pPr>
        <w:spacing w:line="360" w:lineRule="auto"/>
        <w:rPr>
          <w:rFonts w:ascii="仿宋" w:hAnsi="仿宋" w:eastAsia="仿宋" w:cs="仿宋"/>
          <w:color w:val="auto"/>
          <w:sz w:val="24"/>
          <w:szCs w:val="24"/>
          <w:highlight w:val="none"/>
          <w:lang w:eastAsia="zh-CN"/>
        </w:rPr>
      </w:pPr>
    </w:p>
    <w:p w14:paraId="6814EB3A">
      <w:pPr>
        <w:spacing w:line="360" w:lineRule="auto"/>
        <w:rPr>
          <w:rFonts w:ascii="仿宋" w:hAnsi="仿宋" w:eastAsia="仿宋" w:cs="仿宋"/>
          <w:color w:val="auto"/>
          <w:sz w:val="24"/>
          <w:szCs w:val="24"/>
          <w:highlight w:val="none"/>
          <w:lang w:eastAsia="zh-CN"/>
        </w:rPr>
      </w:pPr>
    </w:p>
    <w:p w14:paraId="0591021D">
      <w:pPr>
        <w:spacing w:line="360" w:lineRule="auto"/>
        <w:rPr>
          <w:rFonts w:ascii="仿宋" w:hAnsi="仿宋" w:eastAsia="仿宋" w:cs="仿宋"/>
          <w:color w:val="auto"/>
          <w:sz w:val="24"/>
          <w:szCs w:val="24"/>
          <w:highlight w:val="none"/>
          <w:lang w:eastAsia="zh-CN"/>
        </w:rPr>
      </w:pPr>
    </w:p>
    <w:p w14:paraId="270AD78C">
      <w:pPr>
        <w:spacing w:line="360" w:lineRule="auto"/>
        <w:rPr>
          <w:rFonts w:ascii="仿宋" w:hAnsi="仿宋" w:eastAsia="仿宋" w:cs="仿宋"/>
          <w:color w:val="auto"/>
          <w:sz w:val="24"/>
          <w:szCs w:val="24"/>
          <w:highlight w:val="none"/>
          <w:lang w:eastAsia="zh-CN"/>
        </w:rPr>
      </w:pPr>
    </w:p>
    <w:p w14:paraId="65FBD47F">
      <w:pPr>
        <w:spacing w:line="360" w:lineRule="auto"/>
        <w:rPr>
          <w:rFonts w:ascii="仿宋" w:hAnsi="仿宋" w:eastAsia="仿宋" w:cs="仿宋"/>
          <w:color w:val="auto"/>
          <w:sz w:val="24"/>
          <w:szCs w:val="24"/>
          <w:highlight w:val="none"/>
          <w:lang w:eastAsia="zh-CN"/>
        </w:rPr>
      </w:pPr>
    </w:p>
    <w:p w14:paraId="091406A6">
      <w:pPr>
        <w:tabs>
          <w:tab w:val="center" w:pos="4832"/>
          <w:tab w:val="left" w:pos="7140"/>
        </w:tabs>
        <w:spacing w:line="360" w:lineRule="auto"/>
        <w:jc w:val="center"/>
        <w:outlineLvl w:val="1"/>
        <w:rPr>
          <w:rFonts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lang w:eastAsia="zh-CN"/>
        </w:rPr>
        <w:br w:type="page"/>
      </w:r>
      <w:bookmarkStart w:id="208" w:name="_Toc128476881"/>
      <w:bookmarkStart w:id="209" w:name="_Toc16035"/>
      <w:bookmarkStart w:id="210" w:name="_Toc19260"/>
      <w:bookmarkStart w:id="211" w:name="_Toc12742"/>
      <w:bookmarkStart w:id="212" w:name="_Toc5472"/>
      <w:bookmarkStart w:id="213" w:name="_Toc23217"/>
      <w:bookmarkStart w:id="214" w:name="_Toc29127"/>
      <w:bookmarkStart w:id="215" w:name="_Toc113901852"/>
      <w:bookmarkStart w:id="216" w:name="_Toc154"/>
      <w:bookmarkStart w:id="217" w:name="_Toc130252625"/>
      <w:bookmarkStart w:id="218" w:name="_Toc27933"/>
      <w:bookmarkStart w:id="219" w:name="_Toc25809"/>
      <w:bookmarkStart w:id="220" w:name="_Toc9901"/>
      <w:bookmarkStart w:id="221" w:name="_Toc141050518"/>
      <w:bookmarkStart w:id="222" w:name="_Toc111556490"/>
      <w:r>
        <w:rPr>
          <w:rFonts w:hint="eastAsia" w:ascii="仿宋" w:hAnsi="仿宋" w:eastAsia="仿宋" w:cs="仿宋"/>
          <w:b/>
          <w:color w:val="auto"/>
          <w:sz w:val="24"/>
          <w:szCs w:val="24"/>
          <w:highlight w:val="none"/>
          <w:lang w:eastAsia="zh-CN"/>
        </w:rPr>
        <w:t>6.4、参加政府采购活动前3年内在经营活动中没有重大违法记录的书面声明</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bookmarkEnd w:id="222"/>
    <w:p w14:paraId="604FC11B">
      <w:pPr>
        <w:spacing w:line="360" w:lineRule="auto"/>
        <w:rPr>
          <w:rFonts w:ascii="仿宋" w:hAnsi="仿宋" w:eastAsia="仿宋" w:cs="仿宋"/>
          <w:color w:val="auto"/>
          <w:sz w:val="24"/>
          <w:szCs w:val="24"/>
          <w:highlight w:val="none"/>
          <w:lang w:eastAsia="zh-CN"/>
        </w:rPr>
      </w:pPr>
    </w:p>
    <w:p w14:paraId="6EB0087D">
      <w:pPr>
        <w:spacing w:line="360" w:lineRule="auto"/>
        <w:rPr>
          <w:rFonts w:ascii="仿宋" w:hAnsi="仿宋" w:eastAsia="仿宋" w:cs="仿宋"/>
          <w:color w:val="auto"/>
          <w:sz w:val="24"/>
          <w:szCs w:val="24"/>
          <w:highlight w:val="none"/>
          <w:lang w:eastAsia="zh-CN"/>
        </w:rPr>
      </w:pPr>
    </w:p>
    <w:p w14:paraId="7242A1E3">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（采购人名称）</w:t>
      </w:r>
    </w:p>
    <w:p w14:paraId="014972B0">
      <w:pPr>
        <w:spacing w:line="360" w:lineRule="auto"/>
        <w:ind w:firstLine="480" w:firstLineChars="200"/>
        <w:rPr>
          <w:rFonts w:ascii="仿宋" w:hAnsi="仿宋" w:eastAsia="仿宋" w:cs="仿宋"/>
          <w:color w:val="auto"/>
          <w:sz w:val="24"/>
          <w:szCs w:val="24"/>
          <w:highlight w:val="none"/>
          <w:lang w:eastAsia="zh-CN"/>
        </w:rPr>
      </w:pPr>
    </w:p>
    <w:p w14:paraId="79C168BB">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我单位在参与</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lang w:eastAsia="zh-CN"/>
        </w:rPr>
        <w:t>标项名称</w:t>
      </w:r>
      <w:r>
        <w:rPr>
          <w:rFonts w:hint="eastAsia" w:ascii="仿宋" w:hAnsi="仿宋" w:eastAsia="仿宋" w:cs="仿宋"/>
          <w:color w:val="auto"/>
          <w:sz w:val="24"/>
          <w:szCs w:val="24"/>
          <w:highlight w:val="none"/>
          <w:lang w:eastAsia="zh-CN"/>
        </w:rPr>
        <w:t>）前三年内（以投标文件递交截止之日为期限）在经营活动中没有重大违法记录。</w:t>
      </w:r>
    </w:p>
    <w:p w14:paraId="0BDBC0E1">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若贵方在本项目采购过程中发现我方参加政府采购活动前三年内有重大违法记录；我单位将无条件退出本项目的投标，并承担因此引起的一切后果。我方对此声明负全部法律责任。</w:t>
      </w:r>
    </w:p>
    <w:p w14:paraId="088328D2">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特此声明！</w:t>
      </w:r>
    </w:p>
    <w:p w14:paraId="2AC1B2CB">
      <w:pPr>
        <w:spacing w:line="360" w:lineRule="auto"/>
        <w:ind w:firstLine="480" w:firstLineChars="200"/>
        <w:rPr>
          <w:rFonts w:ascii="仿宋" w:hAnsi="仿宋" w:eastAsia="仿宋" w:cs="仿宋"/>
          <w:color w:val="auto"/>
          <w:sz w:val="24"/>
          <w:szCs w:val="24"/>
          <w:highlight w:val="none"/>
          <w:lang w:eastAsia="zh-CN"/>
        </w:rPr>
      </w:pPr>
    </w:p>
    <w:p w14:paraId="63F4D98E">
      <w:pPr>
        <w:spacing w:line="360" w:lineRule="auto"/>
        <w:ind w:firstLine="480" w:firstLineChars="200"/>
        <w:rPr>
          <w:rFonts w:ascii="仿宋" w:hAnsi="仿宋" w:eastAsia="仿宋" w:cs="仿宋"/>
          <w:color w:val="auto"/>
          <w:sz w:val="24"/>
          <w:szCs w:val="24"/>
          <w:highlight w:val="none"/>
          <w:lang w:eastAsia="zh-CN"/>
        </w:rPr>
      </w:pPr>
    </w:p>
    <w:p w14:paraId="434B0530">
      <w:pPr>
        <w:spacing w:line="360" w:lineRule="auto"/>
        <w:ind w:firstLine="420" w:firstLineChars="200"/>
        <w:rPr>
          <w:rFonts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备注：</w:t>
      </w:r>
    </w:p>
    <w:p w14:paraId="3012CBCB">
      <w:pPr>
        <w:spacing w:line="360" w:lineRule="auto"/>
        <w:ind w:firstLine="420" w:firstLineChars="200"/>
        <w:rPr>
          <w:rFonts w:ascii="仿宋" w:hAnsi="仿宋" w:eastAsia="仿宋" w:cs="仿宋"/>
          <w:color w:val="auto"/>
          <w:sz w:val="24"/>
          <w:szCs w:val="24"/>
          <w:highlight w:val="none"/>
          <w:lang w:eastAsia="zh-CN"/>
        </w:rPr>
      </w:pPr>
      <w:r>
        <w:rPr>
          <w:rFonts w:hint="eastAsia" w:ascii="仿宋" w:hAnsi="仿宋" w:eastAsia="仿宋" w:cs="仿宋"/>
          <w:color w:val="auto"/>
          <w:szCs w:val="24"/>
          <w:highlight w:val="none"/>
          <w:lang w:eastAsia="zh-CN"/>
        </w:rPr>
        <w:t>若供应商在投标文件递交截止之日成立时间不足三年，以自成立以来的时间计取。</w:t>
      </w:r>
    </w:p>
    <w:p w14:paraId="5C20FDEA">
      <w:pPr>
        <w:spacing w:line="360" w:lineRule="auto"/>
        <w:ind w:firstLine="480" w:firstLineChars="200"/>
        <w:rPr>
          <w:rFonts w:ascii="仿宋" w:hAnsi="仿宋" w:eastAsia="仿宋" w:cs="仿宋"/>
          <w:color w:val="auto"/>
          <w:sz w:val="24"/>
          <w:szCs w:val="24"/>
          <w:highlight w:val="none"/>
          <w:lang w:eastAsia="zh-CN"/>
        </w:rPr>
      </w:pPr>
    </w:p>
    <w:p w14:paraId="78B9EBAC">
      <w:pPr>
        <w:spacing w:line="360" w:lineRule="auto"/>
        <w:ind w:firstLine="3112" w:firstLineChars="1297"/>
        <w:rPr>
          <w:rFonts w:ascii="仿宋" w:hAnsi="仿宋" w:eastAsia="仿宋" w:cs="仿宋"/>
          <w:color w:val="auto"/>
          <w:sz w:val="24"/>
          <w:szCs w:val="24"/>
          <w:highlight w:val="none"/>
          <w:lang w:eastAsia="zh-CN"/>
        </w:rPr>
      </w:pPr>
    </w:p>
    <w:p w14:paraId="0F931462">
      <w:pPr>
        <w:shd w:val="clear" w:color="auto" w:fill="FFFFFF"/>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1881A07D">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3FF68752">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6FB21932">
      <w:pPr>
        <w:shd w:val="clear" w:color="auto" w:fill="FFFFFF"/>
        <w:spacing w:line="360" w:lineRule="auto"/>
        <w:ind w:firstLine="42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日期： 年  月  日</w:t>
      </w:r>
    </w:p>
    <w:p w14:paraId="1E7D8D26">
      <w:pPr>
        <w:shd w:val="clear" w:color="auto" w:fill="FFFFFF"/>
        <w:spacing w:line="360" w:lineRule="auto"/>
        <w:ind w:firstLine="420"/>
        <w:rPr>
          <w:rFonts w:ascii="仿宋" w:hAnsi="仿宋" w:eastAsia="仿宋" w:cs="仿宋"/>
          <w:color w:val="auto"/>
          <w:sz w:val="24"/>
          <w:szCs w:val="24"/>
          <w:highlight w:val="none"/>
          <w:lang w:eastAsia="zh-CN"/>
        </w:rPr>
      </w:pPr>
    </w:p>
    <w:p w14:paraId="519CB98E">
      <w:pPr>
        <w:tabs>
          <w:tab w:val="center" w:pos="4832"/>
          <w:tab w:val="left" w:pos="7140"/>
        </w:tabs>
        <w:spacing w:line="360" w:lineRule="auto"/>
        <w:jc w:val="center"/>
        <w:outlineLvl w:val="1"/>
        <w:rPr>
          <w:rFonts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lang w:eastAsia="zh-CN"/>
        </w:rPr>
        <w:br w:type="page"/>
      </w:r>
      <w:bookmarkStart w:id="223" w:name="_Toc4675"/>
      <w:bookmarkStart w:id="224" w:name="_Toc130252626"/>
      <w:bookmarkStart w:id="225" w:name="_Toc8192"/>
      <w:bookmarkStart w:id="226" w:name="_Toc128476882"/>
      <w:bookmarkStart w:id="227" w:name="_Toc31144"/>
      <w:bookmarkStart w:id="228" w:name="_Toc25108"/>
      <w:bookmarkStart w:id="229" w:name="_Toc13028"/>
      <w:bookmarkStart w:id="230" w:name="_Toc113901853"/>
      <w:bookmarkStart w:id="231" w:name="_Toc9385"/>
      <w:bookmarkStart w:id="232" w:name="_Toc14380"/>
      <w:bookmarkStart w:id="233" w:name="_Toc9134"/>
      <w:bookmarkStart w:id="234" w:name="_Toc141050519"/>
      <w:bookmarkStart w:id="235" w:name="_Toc30930"/>
      <w:bookmarkStart w:id="236" w:name="_Toc11867"/>
      <w:r>
        <w:rPr>
          <w:rFonts w:hint="eastAsia" w:ascii="仿宋" w:hAnsi="仿宋" w:eastAsia="仿宋" w:cs="仿宋"/>
          <w:b/>
          <w:color w:val="auto"/>
          <w:sz w:val="24"/>
          <w:szCs w:val="24"/>
          <w:highlight w:val="none"/>
          <w:lang w:eastAsia="zh-CN"/>
        </w:rPr>
        <w:t>6.5、具备法律、行政法规规定的其他条件的证明材料</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48752C2">
      <w:pPr>
        <w:spacing w:line="360" w:lineRule="auto"/>
        <w:rPr>
          <w:rFonts w:ascii="仿宋" w:hAnsi="仿宋" w:eastAsia="仿宋" w:cs="仿宋"/>
          <w:color w:val="auto"/>
          <w:sz w:val="24"/>
          <w:szCs w:val="24"/>
          <w:highlight w:val="none"/>
          <w:lang w:eastAsia="zh-CN"/>
        </w:rPr>
      </w:pPr>
    </w:p>
    <w:p w14:paraId="567E8B9B">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1、国家有关主管部门的行政许可（如有时）。</w:t>
      </w:r>
    </w:p>
    <w:p w14:paraId="4FBE9CD0">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2、中小企业声明函/残疾人福利性单位声明函/监狱企业证明文件（如有时）。</w:t>
      </w:r>
    </w:p>
    <w:p w14:paraId="5E92B9CB">
      <w:pP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14:paraId="3DEE7F9B">
      <w:pPr>
        <w:spacing w:line="360" w:lineRule="auto"/>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 xml:space="preserve">附件一、                  </w:t>
      </w:r>
    </w:p>
    <w:p w14:paraId="01A23581">
      <w:pPr>
        <w:spacing w:line="255" w:lineRule="auto"/>
        <w:jc w:val="center"/>
        <w:rPr>
          <w:rFonts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sz w:val="24"/>
          <w:szCs w:val="24"/>
          <w:highlight w:val="none"/>
          <w:lang w:eastAsia="zh-CN"/>
        </w:rPr>
        <w:t>中小企业声明函（货物）</w:t>
      </w:r>
      <w:r>
        <w:rPr>
          <w:rFonts w:hint="eastAsia" w:ascii="仿宋_GB2312" w:hAnsi="仿宋_GB2312" w:eastAsia="仿宋_GB2312" w:cs="仿宋_GB2312"/>
          <w:b/>
          <w:bCs/>
          <w:color w:val="auto"/>
          <w:highlight w:val="none"/>
          <w:lang w:eastAsia="zh-CN"/>
        </w:rPr>
        <w:t>（实质性格式）</w:t>
      </w:r>
    </w:p>
    <w:p w14:paraId="46EB4152">
      <w:pPr>
        <w:spacing w:line="440" w:lineRule="exact"/>
        <w:ind w:firstLine="480" w:firstLineChars="200"/>
        <w:jc w:val="center"/>
        <w:rPr>
          <w:rFonts w:ascii="仿宋_GB2312" w:hAnsi="仿宋_GB2312" w:eastAsia="仿宋_GB2312" w:cs="仿宋_GB2312"/>
          <w:color w:val="auto"/>
          <w:sz w:val="24"/>
          <w:szCs w:val="24"/>
          <w:highlight w:val="none"/>
          <w:lang w:eastAsia="zh-CN"/>
        </w:rPr>
      </w:pPr>
    </w:p>
    <w:p w14:paraId="4A35CE1E">
      <w:pPr>
        <w:spacing w:line="440" w:lineRule="exact"/>
        <w:ind w:firstLine="480" w:firstLineChars="20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本公司（联合体） 郑重声明，根据《政府采购促进中小企业发展管理办法》（财库﹝ 2020﹞ 46 号）的规定，本公司（联合体）参加</w:t>
      </w:r>
      <w:r>
        <w:rPr>
          <w:rFonts w:hint="eastAsia" w:ascii="仿宋_GB2312" w:hAnsi="仿宋_GB2312" w:eastAsia="仿宋_GB2312" w:cs="仿宋_GB2312"/>
          <w:color w:val="auto"/>
          <w:sz w:val="24"/>
          <w:szCs w:val="24"/>
          <w:highlight w:val="none"/>
          <w:u w:val="single"/>
          <w:lang w:eastAsia="zh-CN"/>
        </w:rPr>
        <w:t>（单位名称）</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u w:val="single"/>
          <w:lang w:eastAsia="zh-CN"/>
        </w:rPr>
        <w:t>（</w:t>
      </w:r>
      <w:r>
        <w:rPr>
          <w:rFonts w:hint="eastAsia" w:ascii="仿宋" w:hAnsi="仿宋" w:eastAsia="仿宋" w:cs="仿宋"/>
          <w:bCs/>
          <w:color w:val="auto"/>
          <w:sz w:val="24"/>
          <w:szCs w:val="24"/>
          <w:highlight w:val="none"/>
          <w:lang w:eastAsia="zh-CN"/>
        </w:rPr>
        <w:t>标项名称</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lang w:eastAsia="zh-CN"/>
        </w:rPr>
        <w:t>采购活动， 提供的货物全部由符合政策要求的中小企业制造。 相关企业（含联合体中的中小企业、 签订分包意向协议的中小企业）的具体情况如下：</w:t>
      </w:r>
    </w:p>
    <w:p w14:paraId="0D312659">
      <w:pPr>
        <w:spacing w:line="440" w:lineRule="exact"/>
        <w:ind w:firstLine="480" w:firstLineChars="20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1. </w:t>
      </w:r>
      <w:r>
        <w:rPr>
          <w:rFonts w:hint="eastAsia" w:ascii="仿宋_GB2312" w:hAnsi="仿宋_GB2312" w:eastAsia="仿宋_GB2312" w:cs="仿宋_GB2312"/>
          <w:color w:val="auto"/>
          <w:sz w:val="24"/>
          <w:szCs w:val="24"/>
          <w:highlight w:val="none"/>
          <w:u w:val="single"/>
          <w:lang w:eastAsia="zh-CN"/>
        </w:rPr>
        <w:t>（标的名称）</w:t>
      </w:r>
      <w:r>
        <w:rPr>
          <w:rFonts w:hint="eastAsia" w:ascii="仿宋_GB2312" w:hAnsi="仿宋_GB2312" w:eastAsia="仿宋_GB2312" w:cs="仿宋_GB2312"/>
          <w:color w:val="auto"/>
          <w:sz w:val="24"/>
          <w:szCs w:val="24"/>
          <w:highlight w:val="none"/>
          <w:lang w:eastAsia="zh-CN"/>
        </w:rPr>
        <w:t xml:space="preserve"> ， 属于</w:t>
      </w:r>
      <w:r>
        <w:rPr>
          <w:rFonts w:hint="eastAsia" w:ascii="仿宋_GB2312" w:hAnsi="仿宋_GB2312" w:eastAsia="仿宋_GB2312" w:cs="仿宋_GB2312"/>
          <w:color w:val="auto"/>
          <w:sz w:val="24"/>
          <w:szCs w:val="24"/>
          <w:highlight w:val="none"/>
          <w:u w:val="single"/>
          <w:lang w:eastAsia="zh-CN"/>
        </w:rPr>
        <w:t>（采购文件中明确的所属行业）行业</w:t>
      </w:r>
      <w:r>
        <w:rPr>
          <w:rFonts w:hint="eastAsia" w:ascii="仿宋_GB2312" w:hAnsi="仿宋_GB2312" w:eastAsia="仿宋_GB2312" w:cs="仿宋_GB2312"/>
          <w:color w:val="auto"/>
          <w:sz w:val="24"/>
          <w:szCs w:val="24"/>
          <w:highlight w:val="none"/>
          <w:lang w:eastAsia="zh-CN"/>
        </w:rPr>
        <w:t>； 制造商为</w:t>
      </w:r>
      <w:r>
        <w:rPr>
          <w:rFonts w:hint="eastAsia" w:ascii="仿宋_GB2312" w:hAnsi="仿宋_GB2312" w:eastAsia="仿宋_GB2312" w:cs="仿宋_GB2312"/>
          <w:color w:val="auto"/>
          <w:sz w:val="24"/>
          <w:szCs w:val="24"/>
          <w:highlight w:val="none"/>
          <w:u w:val="single"/>
          <w:lang w:eastAsia="zh-CN"/>
        </w:rPr>
        <w:t>（ 企业名称）</w:t>
      </w:r>
      <w:r>
        <w:rPr>
          <w:rFonts w:hint="eastAsia" w:ascii="仿宋_GB2312" w:hAnsi="仿宋_GB2312" w:eastAsia="仿宋_GB2312" w:cs="仿宋_GB2312"/>
          <w:color w:val="auto"/>
          <w:sz w:val="24"/>
          <w:szCs w:val="24"/>
          <w:highlight w:val="none"/>
          <w:lang w:eastAsia="zh-CN"/>
        </w:rPr>
        <w:t>， 从业人员</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eastAsia="zh-CN"/>
        </w:rPr>
        <w:t>人， 营业收入为</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eastAsia="zh-CN"/>
        </w:rPr>
        <w:t>万元， 资产总额为</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eastAsia="zh-CN"/>
        </w:rPr>
        <w:t>万元</w:t>
      </w:r>
      <w:r>
        <w:rPr>
          <w:rFonts w:hint="eastAsia" w:ascii="仿宋_GB2312" w:hAnsi="仿宋_GB2312" w:eastAsia="仿宋_GB2312" w:cs="仿宋_GB2312"/>
          <w:color w:val="auto"/>
          <w:sz w:val="24"/>
          <w:szCs w:val="24"/>
          <w:highlight w:val="none"/>
          <w:vertAlign w:val="superscript"/>
          <w:lang w:eastAsia="zh-CN"/>
        </w:rPr>
        <w:t>1</w:t>
      </w:r>
      <w:r>
        <w:rPr>
          <w:rFonts w:hint="eastAsia" w:ascii="仿宋_GB2312" w:hAnsi="仿宋_GB2312" w:eastAsia="仿宋_GB2312" w:cs="仿宋_GB2312"/>
          <w:color w:val="auto"/>
          <w:sz w:val="24"/>
          <w:szCs w:val="24"/>
          <w:highlight w:val="none"/>
          <w:lang w:eastAsia="zh-CN"/>
        </w:rPr>
        <w:t>， 属于（</w:t>
      </w:r>
      <w:r>
        <w:rPr>
          <w:rFonts w:hint="eastAsia" w:ascii="仿宋_GB2312" w:hAnsi="仿宋_GB2312" w:eastAsia="仿宋_GB2312" w:cs="仿宋_GB2312"/>
          <w:color w:val="auto"/>
          <w:sz w:val="24"/>
          <w:szCs w:val="24"/>
          <w:highlight w:val="none"/>
          <w:u w:val="single"/>
          <w:lang w:eastAsia="zh-CN"/>
        </w:rPr>
        <w:t>中型企业、 小型企业、 微型企业</w:t>
      </w:r>
      <w:r>
        <w:rPr>
          <w:rFonts w:hint="eastAsia" w:ascii="仿宋_GB2312" w:hAnsi="仿宋_GB2312" w:eastAsia="仿宋_GB2312" w:cs="仿宋_GB2312"/>
          <w:color w:val="auto"/>
          <w:sz w:val="24"/>
          <w:szCs w:val="24"/>
          <w:highlight w:val="none"/>
          <w:lang w:eastAsia="zh-CN"/>
        </w:rPr>
        <w:t>）；</w:t>
      </w:r>
    </w:p>
    <w:p w14:paraId="3198E8D1">
      <w:pPr>
        <w:spacing w:line="440" w:lineRule="exact"/>
        <w:ind w:firstLine="480" w:firstLineChars="20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2. </w:t>
      </w:r>
      <w:r>
        <w:rPr>
          <w:rFonts w:hint="eastAsia" w:ascii="仿宋_GB2312" w:hAnsi="仿宋_GB2312" w:eastAsia="仿宋_GB2312" w:cs="仿宋_GB2312"/>
          <w:color w:val="auto"/>
          <w:sz w:val="24"/>
          <w:szCs w:val="24"/>
          <w:highlight w:val="none"/>
          <w:u w:val="single"/>
          <w:lang w:eastAsia="zh-CN"/>
        </w:rPr>
        <w:t>（标的名称）</w:t>
      </w:r>
      <w:r>
        <w:rPr>
          <w:rFonts w:hint="eastAsia" w:ascii="仿宋_GB2312" w:hAnsi="仿宋_GB2312" w:eastAsia="仿宋_GB2312" w:cs="仿宋_GB2312"/>
          <w:color w:val="auto"/>
          <w:sz w:val="24"/>
          <w:szCs w:val="24"/>
          <w:highlight w:val="none"/>
          <w:lang w:eastAsia="zh-CN"/>
        </w:rPr>
        <w:t xml:space="preserve"> ， 属于</w:t>
      </w:r>
      <w:r>
        <w:rPr>
          <w:rFonts w:hint="eastAsia" w:ascii="仿宋_GB2312" w:hAnsi="仿宋_GB2312" w:eastAsia="仿宋_GB2312" w:cs="仿宋_GB2312"/>
          <w:color w:val="auto"/>
          <w:sz w:val="24"/>
          <w:szCs w:val="24"/>
          <w:highlight w:val="none"/>
          <w:u w:val="single"/>
          <w:lang w:eastAsia="zh-CN"/>
        </w:rPr>
        <w:t>（采购文件中明确的所属行业）</w:t>
      </w:r>
      <w:r>
        <w:rPr>
          <w:rFonts w:hint="eastAsia" w:ascii="仿宋_GB2312" w:hAnsi="仿宋_GB2312" w:eastAsia="仿宋_GB2312" w:cs="仿宋_GB2312"/>
          <w:color w:val="auto"/>
          <w:sz w:val="24"/>
          <w:szCs w:val="24"/>
          <w:highlight w:val="none"/>
          <w:lang w:eastAsia="zh-CN"/>
        </w:rPr>
        <w:t>行业； 制造商为</w:t>
      </w:r>
      <w:r>
        <w:rPr>
          <w:rFonts w:hint="eastAsia" w:ascii="仿宋_GB2312" w:hAnsi="仿宋_GB2312" w:eastAsia="仿宋_GB2312" w:cs="仿宋_GB2312"/>
          <w:color w:val="auto"/>
          <w:sz w:val="24"/>
          <w:szCs w:val="24"/>
          <w:highlight w:val="none"/>
          <w:u w:val="single"/>
          <w:lang w:eastAsia="zh-CN"/>
        </w:rPr>
        <w:t>（ 企业名称）</w:t>
      </w:r>
      <w:r>
        <w:rPr>
          <w:rFonts w:hint="eastAsia" w:ascii="仿宋_GB2312" w:hAnsi="仿宋_GB2312" w:eastAsia="仿宋_GB2312" w:cs="仿宋_GB2312"/>
          <w:color w:val="auto"/>
          <w:sz w:val="24"/>
          <w:szCs w:val="24"/>
          <w:highlight w:val="none"/>
          <w:lang w:eastAsia="zh-CN"/>
        </w:rPr>
        <w:t>， 从业人员</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eastAsia="zh-CN"/>
        </w:rPr>
        <w:t>人， 营业收为</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eastAsia="zh-CN"/>
        </w:rPr>
        <w:t>万元， 资产总额为</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eastAsia="zh-CN"/>
        </w:rPr>
        <w:t>万元， 属于</w:t>
      </w:r>
      <w:r>
        <w:rPr>
          <w:rFonts w:hint="eastAsia" w:ascii="仿宋_GB2312" w:hAnsi="仿宋_GB2312" w:eastAsia="仿宋_GB2312" w:cs="仿宋_GB2312"/>
          <w:color w:val="auto"/>
          <w:sz w:val="24"/>
          <w:szCs w:val="24"/>
          <w:highlight w:val="none"/>
          <w:u w:val="single"/>
          <w:lang w:eastAsia="zh-CN"/>
        </w:rPr>
        <w:t>（中型企业、 小型企业、 微型企业）</w:t>
      </w:r>
      <w:r>
        <w:rPr>
          <w:rFonts w:hint="eastAsia" w:ascii="仿宋_GB2312" w:hAnsi="仿宋_GB2312" w:eastAsia="仿宋_GB2312" w:cs="仿宋_GB2312"/>
          <w:color w:val="auto"/>
          <w:sz w:val="24"/>
          <w:szCs w:val="24"/>
          <w:highlight w:val="none"/>
          <w:lang w:eastAsia="zh-CN"/>
        </w:rPr>
        <w:t>；</w:t>
      </w:r>
    </w:p>
    <w:p w14:paraId="52287483">
      <w:pPr>
        <w:spacing w:line="440" w:lineRule="exact"/>
        <w:ind w:firstLine="480" w:firstLineChars="20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p w14:paraId="750AB694">
      <w:pPr>
        <w:spacing w:line="440" w:lineRule="exact"/>
        <w:ind w:firstLine="480" w:firstLineChars="20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以上企业， 不属于大企业的分支机构， 不存在控股股东为大企业的情形， 也不存在与大企业的负责人为同一人的情形。</w:t>
      </w:r>
    </w:p>
    <w:p w14:paraId="370B48AC">
      <w:pPr>
        <w:spacing w:line="440" w:lineRule="exact"/>
        <w:ind w:firstLine="480" w:firstLineChars="20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本企业对上述声明内容的真实性负责。 如有虚假， 将依法承担相应责任。</w:t>
      </w:r>
    </w:p>
    <w:p w14:paraId="46EFC088">
      <w:pPr>
        <w:spacing w:line="440" w:lineRule="exact"/>
        <w:ind w:firstLine="480" w:firstLineChars="200"/>
        <w:jc w:val="right"/>
        <w:rPr>
          <w:rFonts w:ascii="仿宋_GB2312" w:hAnsi="仿宋_GB2312" w:eastAsia="仿宋_GB2312" w:cs="仿宋_GB2312"/>
          <w:color w:val="auto"/>
          <w:sz w:val="24"/>
          <w:szCs w:val="24"/>
          <w:highlight w:val="none"/>
          <w:lang w:eastAsia="zh-CN"/>
        </w:rPr>
      </w:pPr>
    </w:p>
    <w:p w14:paraId="76B9F745">
      <w:pPr>
        <w:spacing w:line="440" w:lineRule="exact"/>
        <w:ind w:firstLine="480" w:firstLineChars="200"/>
        <w:jc w:val="righ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企业名称（盖章）：        </w:t>
      </w:r>
    </w:p>
    <w:p w14:paraId="57501869">
      <w:pPr>
        <w:pStyle w:val="10"/>
        <w:spacing w:before="75" w:line="236" w:lineRule="auto"/>
        <w:ind w:left="17" w:right="159" w:firstLine="485"/>
        <w:jc w:val="center"/>
        <w:rPr>
          <w:rFonts w:ascii="仿宋_GB2312" w:hAnsi="仿宋_GB2312" w:eastAsia="仿宋_GB2312" w:cs="仿宋_GB2312"/>
          <w:color w:val="auto"/>
          <w:spacing w:val="9"/>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                                                 日 期：  </w:t>
      </w:r>
    </w:p>
    <w:p w14:paraId="36C56836">
      <w:pPr>
        <w:pStyle w:val="10"/>
        <w:spacing w:before="75" w:line="236" w:lineRule="auto"/>
        <w:ind w:left="17" w:right="159" w:firstLine="485"/>
        <w:rPr>
          <w:rFonts w:ascii="仿宋_GB2312" w:hAnsi="仿宋_GB2312" w:eastAsia="仿宋_GB2312" w:cs="仿宋_GB2312"/>
          <w:color w:val="auto"/>
          <w:sz w:val="23"/>
          <w:szCs w:val="23"/>
          <w:highlight w:val="none"/>
          <w:lang w:eastAsia="zh-CN"/>
        </w:rPr>
      </w:pPr>
      <w:r>
        <w:rPr>
          <w:rFonts w:hint="eastAsia" w:ascii="仿宋_GB2312" w:hAnsi="仿宋_GB2312" w:eastAsia="仿宋_GB2312" w:cs="仿宋_GB2312"/>
          <w:color w:val="auto"/>
          <w:spacing w:val="9"/>
          <w:sz w:val="23"/>
          <w:szCs w:val="23"/>
          <w:highlight w:val="none"/>
          <w:lang w:eastAsia="zh-CN"/>
        </w:rPr>
        <w:t xml:space="preserve">注：1、从业人员、营业收入、资产总额填报上一年度数据，无上一年度数据的新成立 </w:t>
      </w:r>
      <w:r>
        <w:rPr>
          <w:rFonts w:hint="eastAsia" w:ascii="仿宋_GB2312" w:hAnsi="仿宋_GB2312" w:eastAsia="仿宋_GB2312" w:cs="仿宋_GB2312"/>
          <w:color w:val="auto"/>
          <w:spacing w:val="2"/>
          <w:sz w:val="23"/>
          <w:szCs w:val="23"/>
          <w:highlight w:val="none"/>
          <w:lang w:eastAsia="zh-CN"/>
        </w:rPr>
        <w:t>企业可不填报。</w:t>
      </w:r>
    </w:p>
    <w:p w14:paraId="4E3BA0F4">
      <w:pPr>
        <w:pStyle w:val="10"/>
        <w:spacing w:before="12" w:line="238" w:lineRule="auto"/>
        <w:ind w:left="15" w:right="39" w:firstLine="476"/>
        <w:rPr>
          <w:rFonts w:ascii="仿宋_GB2312" w:hAnsi="仿宋_GB2312" w:eastAsia="仿宋_GB2312" w:cs="仿宋_GB2312"/>
          <w:color w:val="auto"/>
          <w:sz w:val="23"/>
          <w:szCs w:val="23"/>
          <w:highlight w:val="none"/>
          <w:lang w:eastAsia="zh-CN"/>
        </w:rPr>
      </w:pPr>
      <w:r>
        <w:rPr>
          <w:rFonts w:hint="eastAsia" w:ascii="仿宋_GB2312" w:hAnsi="仿宋_GB2312" w:eastAsia="仿宋_GB2312" w:cs="仿宋_GB2312"/>
          <w:color w:val="auto"/>
          <w:spacing w:val="9"/>
          <w:sz w:val="23"/>
          <w:szCs w:val="23"/>
          <w:highlight w:val="none"/>
          <w:lang w:eastAsia="zh-CN"/>
        </w:rPr>
        <w:t>2、所有潜在投标供应商在做出以上声明前，需根据《关于印发中小企业划型标准规定</w:t>
      </w:r>
      <w:r>
        <w:rPr>
          <w:rFonts w:hint="eastAsia" w:ascii="仿宋_GB2312" w:hAnsi="仿宋_GB2312" w:eastAsia="仿宋_GB2312" w:cs="仿宋_GB2312"/>
          <w:color w:val="auto"/>
          <w:spacing w:val="1"/>
          <w:sz w:val="23"/>
          <w:szCs w:val="23"/>
          <w:highlight w:val="none"/>
          <w:lang w:eastAsia="zh-CN"/>
        </w:rPr>
        <w:t xml:space="preserve">  </w:t>
      </w:r>
      <w:r>
        <w:rPr>
          <w:rFonts w:hint="eastAsia" w:ascii="仿宋_GB2312" w:hAnsi="仿宋_GB2312" w:eastAsia="仿宋_GB2312" w:cs="仿宋_GB2312"/>
          <w:color w:val="auto"/>
          <w:spacing w:val="10"/>
          <w:sz w:val="23"/>
          <w:szCs w:val="23"/>
          <w:highlight w:val="none"/>
          <w:lang w:eastAsia="zh-CN"/>
        </w:rPr>
        <w:t>的通知》、《政府采购促进中小企业发展管理办法》</w:t>
      </w:r>
      <w:r>
        <w:rPr>
          <w:rFonts w:hint="eastAsia" w:ascii="仿宋_GB2312" w:hAnsi="仿宋_GB2312" w:eastAsia="仿宋_GB2312" w:cs="仿宋_GB2312"/>
          <w:color w:val="auto"/>
          <w:spacing w:val="9"/>
          <w:sz w:val="23"/>
          <w:szCs w:val="23"/>
          <w:highlight w:val="none"/>
          <w:lang w:eastAsia="zh-CN"/>
        </w:rPr>
        <w:t>的相应内容，确定自身是否可以享受中</w:t>
      </w:r>
      <w:r>
        <w:rPr>
          <w:rFonts w:hint="eastAsia" w:ascii="仿宋_GB2312" w:hAnsi="仿宋_GB2312" w:eastAsia="仿宋_GB2312" w:cs="仿宋_GB2312"/>
          <w:color w:val="auto"/>
          <w:sz w:val="23"/>
          <w:szCs w:val="23"/>
          <w:highlight w:val="none"/>
          <w:lang w:eastAsia="zh-CN"/>
        </w:rPr>
        <w:t xml:space="preserve"> </w:t>
      </w:r>
      <w:r>
        <w:rPr>
          <w:rFonts w:hint="eastAsia" w:ascii="仿宋_GB2312" w:hAnsi="仿宋_GB2312" w:eastAsia="仿宋_GB2312" w:cs="仿宋_GB2312"/>
          <w:color w:val="auto"/>
          <w:spacing w:val="10"/>
          <w:sz w:val="23"/>
          <w:szCs w:val="23"/>
          <w:highlight w:val="none"/>
          <w:lang w:eastAsia="zh-CN"/>
        </w:rPr>
        <w:t>小企业政策。如可以享受中小企业政策的供应商，按</w:t>
      </w:r>
      <w:r>
        <w:rPr>
          <w:rFonts w:hint="eastAsia" w:ascii="仿宋_GB2312" w:hAnsi="仿宋_GB2312" w:eastAsia="仿宋_GB2312" w:cs="仿宋_GB2312"/>
          <w:color w:val="auto"/>
          <w:spacing w:val="9"/>
          <w:sz w:val="23"/>
          <w:szCs w:val="23"/>
          <w:highlight w:val="none"/>
          <w:lang w:eastAsia="zh-CN"/>
        </w:rPr>
        <w:t>照如上声明函的内容如实填写，若不满</w:t>
      </w:r>
      <w:r>
        <w:rPr>
          <w:rFonts w:hint="eastAsia" w:ascii="仿宋_GB2312" w:hAnsi="仿宋_GB2312" w:eastAsia="仿宋_GB2312" w:cs="仿宋_GB2312"/>
          <w:color w:val="auto"/>
          <w:sz w:val="23"/>
          <w:szCs w:val="23"/>
          <w:highlight w:val="none"/>
          <w:lang w:eastAsia="zh-CN"/>
        </w:rPr>
        <w:t xml:space="preserve"> </w:t>
      </w:r>
      <w:r>
        <w:rPr>
          <w:rFonts w:hint="eastAsia" w:ascii="仿宋_GB2312" w:hAnsi="仿宋_GB2312" w:eastAsia="仿宋_GB2312" w:cs="仿宋_GB2312"/>
          <w:color w:val="auto"/>
          <w:spacing w:val="7"/>
          <w:sz w:val="23"/>
          <w:szCs w:val="23"/>
          <w:highlight w:val="none"/>
          <w:lang w:eastAsia="zh-CN"/>
        </w:rPr>
        <w:t>足中小企业政策的供应商，请不要填写。</w:t>
      </w:r>
    </w:p>
    <w:p w14:paraId="609A9977">
      <w:pPr>
        <w:pStyle w:val="10"/>
        <w:spacing w:before="17" w:line="237" w:lineRule="auto"/>
        <w:ind w:left="19" w:right="39" w:firstLine="474"/>
        <w:rPr>
          <w:rFonts w:ascii="仿宋_GB2312" w:hAnsi="仿宋_GB2312" w:eastAsia="仿宋_GB2312" w:cs="仿宋_GB2312"/>
          <w:color w:val="auto"/>
          <w:sz w:val="23"/>
          <w:szCs w:val="23"/>
          <w:highlight w:val="none"/>
          <w:lang w:eastAsia="zh-CN"/>
        </w:rPr>
      </w:pPr>
      <w:r>
        <w:rPr>
          <w:rFonts w:hint="eastAsia" w:ascii="仿宋_GB2312" w:hAnsi="仿宋_GB2312" w:eastAsia="仿宋_GB2312" w:cs="仿宋_GB2312"/>
          <w:color w:val="auto"/>
          <w:spacing w:val="8"/>
          <w:sz w:val="23"/>
          <w:szCs w:val="23"/>
          <w:highlight w:val="none"/>
          <w:lang w:eastAsia="zh-CN"/>
        </w:rPr>
        <w:t>3、如供应商属于监狱企业，需按照《财政部司法部关于政府采购支持监狱企业发展有</w:t>
      </w:r>
      <w:r>
        <w:rPr>
          <w:rFonts w:hint="eastAsia" w:ascii="仿宋_GB2312" w:hAnsi="仿宋_GB2312" w:eastAsia="仿宋_GB2312" w:cs="仿宋_GB2312"/>
          <w:color w:val="auto"/>
          <w:sz w:val="23"/>
          <w:szCs w:val="23"/>
          <w:highlight w:val="none"/>
          <w:lang w:eastAsia="zh-CN"/>
        </w:rPr>
        <w:t xml:space="preserve"> </w:t>
      </w:r>
      <w:r>
        <w:rPr>
          <w:rFonts w:hint="eastAsia" w:ascii="仿宋_GB2312" w:hAnsi="仿宋_GB2312" w:eastAsia="仿宋_GB2312" w:cs="仿宋_GB2312"/>
          <w:color w:val="auto"/>
          <w:spacing w:val="7"/>
          <w:sz w:val="23"/>
          <w:szCs w:val="23"/>
          <w:highlight w:val="none"/>
          <w:lang w:eastAsia="zh-CN"/>
        </w:rPr>
        <w:t>关问题的通知》规定， 提供由省级以上监</w:t>
      </w:r>
      <w:r>
        <w:rPr>
          <w:rFonts w:hint="eastAsia" w:ascii="仿宋_GB2312" w:hAnsi="仿宋_GB2312" w:eastAsia="仿宋_GB2312" w:cs="仿宋_GB2312"/>
          <w:color w:val="auto"/>
          <w:spacing w:val="6"/>
          <w:sz w:val="23"/>
          <w:szCs w:val="23"/>
          <w:highlight w:val="none"/>
          <w:lang w:eastAsia="zh-CN"/>
        </w:rPr>
        <w:t>狱管理局、戒毒管理局（含新疆生产建设兵团）出</w:t>
      </w:r>
      <w:r>
        <w:rPr>
          <w:rFonts w:hint="eastAsia" w:ascii="仿宋_GB2312" w:hAnsi="仿宋_GB2312" w:eastAsia="仿宋_GB2312" w:cs="仿宋_GB2312"/>
          <w:color w:val="auto"/>
          <w:sz w:val="23"/>
          <w:szCs w:val="23"/>
          <w:highlight w:val="none"/>
          <w:lang w:eastAsia="zh-CN"/>
        </w:rPr>
        <w:t xml:space="preserve"> </w:t>
      </w:r>
      <w:r>
        <w:rPr>
          <w:rFonts w:hint="eastAsia" w:ascii="仿宋_GB2312" w:hAnsi="仿宋_GB2312" w:eastAsia="仿宋_GB2312" w:cs="仿宋_GB2312"/>
          <w:color w:val="auto"/>
          <w:spacing w:val="7"/>
          <w:sz w:val="23"/>
          <w:szCs w:val="23"/>
          <w:highlight w:val="none"/>
          <w:lang w:eastAsia="zh-CN"/>
        </w:rPr>
        <w:t>具的属于监狱企业证明文件的，视同为小型和微型企业。</w:t>
      </w:r>
    </w:p>
    <w:p w14:paraId="25FE487E">
      <w:pPr>
        <w:pStyle w:val="10"/>
        <w:spacing w:before="11" w:line="235" w:lineRule="auto"/>
        <w:ind w:left="18" w:right="177" w:firstLine="469"/>
        <w:rPr>
          <w:rFonts w:ascii="仿宋_GB2312" w:hAnsi="仿宋_GB2312" w:eastAsia="仿宋_GB2312" w:cs="仿宋_GB2312"/>
          <w:color w:val="auto"/>
          <w:sz w:val="23"/>
          <w:szCs w:val="23"/>
          <w:highlight w:val="none"/>
          <w:lang w:eastAsia="zh-CN"/>
        </w:rPr>
      </w:pPr>
      <w:r>
        <w:rPr>
          <w:rFonts w:hint="eastAsia" w:ascii="仿宋_GB2312" w:hAnsi="仿宋_GB2312" w:eastAsia="仿宋_GB2312" w:cs="仿宋_GB2312"/>
          <w:color w:val="auto"/>
          <w:spacing w:val="9"/>
          <w:sz w:val="23"/>
          <w:szCs w:val="23"/>
          <w:highlight w:val="none"/>
          <w:lang w:eastAsia="zh-CN"/>
        </w:rPr>
        <w:t>4、如供应商属于残疾人福利性单位，需按照《关于促进残疾人就业政府采购政策的通</w:t>
      </w:r>
      <w:r>
        <w:rPr>
          <w:rFonts w:hint="eastAsia" w:ascii="仿宋_GB2312" w:hAnsi="仿宋_GB2312" w:eastAsia="仿宋_GB2312" w:cs="仿宋_GB2312"/>
          <w:color w:val="auto"/>
          <w:spacing w:val="5"/>
          <w:sz w:val="23"/>
          <w:szCs w:val="23"/>
          <w:highlight w:val="none"/>
          <w:lang w:eastAsia="zh-CN"/>
        </w:rPr>
        <w:t xml:space="preserve"> </w:t>
      </w:r>
      <w:r>
        <w:rPr>
          <w:rFonts w:hint="eastAsia" w:ascii="仿宋_GB2312" w:hAnsi="仿宋_GB2312" w:eastAsia="仿宋_GB2312" w:cs="仿宋_GB2312"/>
          <w:color w:val="auto"/>
          <w:spacing w:val="7"/>
          <w:sz w:val="23"/>
          <w:szCs w:val="23"/>
          <w:highlight w:val="none"/>
          <w:lang w:eastAsia="zh-CN"/>
        </w:rPr>
        <w:t>知》（财库〔2017〕141</w:t>
      </w:r>
      <w:r>
        <w:rPr>
          <w:rFonts w:hint="eastAsia" w:ascii="仿宋_GB2312" w:hAnsi="仿宋_GB2312" w:eastAsia="仿宋_GB2312" w:cs="仿宋_GB2312"/>
          <w:color w:val="auto"/>
          <w:spacing w:val="-31"/>
          <w:sz w:val="23"/>
          <w:szCs w:val="23"/>
          <w:highlight w:val="none"/>
          <w:lang w:eastAsia="zh-CN"/>
        </w:rPr>
        <w:t xml:space="preserve"> </w:t>
      </w:r>
      <w:r>
        <w:rPr>
          <w:rFonts w:hint="eastAsia" w:ascii="仿宋_GB2312" w:hAnsi="仿宋_GB2312" w:eastAsia="仿宋_GB2312" w:cs="仿宋_GB2312"/>
          <w:color w:val="auto"/>
          <w:spacing w:val="7"/>
          <w:sz w:val="23"/>
          <w:szCs w:val="23"/>
          <w:highlight w:val="none"/>
          <w:lang w:eastAsia="zh-CN"/>
        </w:rPr>
        <w:t>号）内容的要求，提供《残疾人福利性单位声明函》。</w:t>
      </w:r>
    </w:p>
    <w:p w14:paraId="272FD095">
      <w:pPr>
        <w:pStyle w:val="10"/>
        <w:spacing w:before="12" w:line="238" w:lineRule="auto"/>
        <w:ind w:left="15" w:right="39" w:firstLine="476"/>
        <w:rPr>
          <w:rFonts w:ascii="仿宋_GB2312" w:hAnsi="仿宋_GB2312" w:eastAsia="仿宋_GB2312" w:cs="仿宋_GB2312"/>
          <w:color w:val="auto"/>
          <w:spacing w:val="7"/>
          <w:sz w:val="23"/>
          <w:szCs w:val="23"/>
          <w:highlight w:val="none"/>
          <w:lang w:eastAsia="zh-CN"/>
        </w:rPr>
      </w:pPr>
      <w:r>
        <w:rPr>
          <w:rFonts w:hint="eastAsia" w:ascii="仿宋_GB2312" w:hAnsi="仿宋_GB2312" w:eastAsia="仿宋_GB2312" w:cs="仿宋_GB2312"/>
          <w:b/>
          <w:bCs/>
          <w:color w:val="auto"/>
          <w:spacing w:val="7"/>
          <w:sz w:val="23"/>
          <w:szCs w:val="23"/>
          <w:highlight w:val="none"/>
          <w:lang w:eastAsia="zh-CN"/>
        </w:rPr>
        <w:t>5、</w:t>
      </w:r>
      <w:r>
        <w:rPr>
          <w:rFonts w:hint="eastAsia" w:ascii="仿宋_GB2312" w:hAnsi="仿宋_GB2312" w:eastAsia="仿宋_GB2312" w:cs="仿宋_GB2312"/>
          <w:color w:val="auto"/>
          <w:spacing w:val="-60"/>
          <w:sz w:val="23"/>
          <w:szCs w:val="23"/>
          <w:highlight w:val="none"/>
          <w:lang w:eastAsia="zh-CN"/>
        </w:rPr>
        <w:t xml:space="preserve"> </w:t>
      </w:r>
      <w:r>
        <w:rPr>
          <w:rFonts w:hint="eastAsia" w:ascii="仿宋_GB2312" w:hAnsi="仿宋_GB2312" w:eastAsia="仿宋_GB2312" w:cs="仿宋_GB2312"/>
          <w:b/>
          <w:bCs/>
          <w:color w:val="auto"/>
          <w:spacing w:val="7"/>
          <w:sz w:val="23"/>
          <w:szCs w:val="23"/>
          <w:highlight w:val="none"/>
          <w:lang w:eastAsia="zh-CN"/>
        </w:rPr>
        <w:t>中小企业声明函务必按照采购文件给定格式</w:t>
      </w:r>
      <w:r>
        <w:rPr>
          <w:rFonts w:hint="eastAsia" w:ascii="仿宋_GB2312" w:hAnsi="仿宋_GB2312" w:eastAsia="仿宋_GB2312" w:cs="仿宋_GB2312"/>
          <w:b/>
          <w:bCs/>
          <w:color w:val="auto"/>
          <w:spacing w:val="6"/>
          <w:sz w:val="23"/>
          <w:szCs w:val="23"/>
          <w:highlight w:val="none"/>
          <w:lang w:eastAsia="zh-CN"/>
        </w:rPr>
        <w:t>提供，根据中小企业划型标准规定（工</w:t>
      </w:r>
      <w:r>
        <w:rPr>
          <w:rFonts w:hint="eastAsia" w:ascii="仿宋_GB2312" w:hAnsi="仿宋_GB2312" w:eastAsia="仿宋_GB2312" w:cs="仿宋_GB2312"/>
          <w:color w:val="auto"/>
          <w:sz w:val="23"/>
          <w:szCs w:val="23"/>
          <w:highlight w:val="none"/>
          <w:lang w:eastAsia="zh-CN"/>
        </w:rPr>
        <w:t xml:space="preserve"> </w:t>
      </w:r>
      <w:r>
        <w:rPr>
          <w:rFonts w:hint="eastAsia" w:ascii="仿宋_GB2312" w:hAnsi="仿宋_GB2312" w:eastAsia="仿宋_GB2312" w:cs="仿宋_GB2312"/>
          <w:b/>
          <w:bCs/>
          <w:color w:val="auto"/>
          <w:spacing w:val="6"/>
          <w:sz w:val="23"/>
          <w:szCs w:val="23"/>
          <w:highlight w:val="none"/>
          <w:lang w:eastAsia="zh-CN"/>
        </w:rPr>
        <w:t>信部联企业【2011】300</w:t>
      </w:r>
      <w:r>
        <w:rPr>
          <w:rFonts w:hint="eastAsia" w:ascii="仿宋_GB2312" w:hAnsi="仿宋_GB2312" w:eastAsia="仿宋_GB2312" w:cs="仿宋_GB2312"/>
          <w:color w:val="auto"/>
          <w:spacing w:val="-30"/>
          <w:sz w:val="23"/>
          <w:szCs w:val="23"/>
          <w:highlight w:val="none"/>
          <w:lang w:eastAsia="zh-CN"/>
        </w:rPr>
        <w:t xml:space="preserve"> </w:t>
      </w:r>
      <w:r>
        <w:rPr>
          <w:rFonts w:hint="eastAsia" w:ascii="仿宋_GB2312" w:hAnsi="仿宋_GB2312" w:eastAsia="仿宋_GB2312" w:cs="仿宋_GB2312"/>
          <w:b/>
          <w:bCs/>
          <w:color w:val="auto"/>
          <w:spacing w:val="6"/>
          <w:sz w:val="23"/>
          <w:szCs w:val="23"/>
          <w:highlight w:val="none"/>
          <w:lang w:eastAsia="zh-CN"/>
        </w:rPr>
        <w:t>号</w:t>
      </w:r>
      <w:r>
        <w:rPr>
          <w:rFonts w:hint="eastAsia" w:ascii="仿宋_GB2312" w:hAnsi="仿宋_GB2312" w:eastAsia="仿宋_GB2312" w:cs="仿宋_GB2312"/>
          <w:b/>
          <w:bCs/>
          <w:color w:val="auto"/>
          <w:spacing w:val="-9"/>
          <w:sz w:val="23"/>
          <w:szCs w:val="23"/>
          <w:highlight w:val="none"/>
          <w:lang w:eastAsia="zh-CN"/>
        </w:rPr>
        <w:t>），</w:t>
      </w:r>
      <w:r>
        <w:rPr>
          <w:rFonts w:hint="eastAsia" w:ascii="仿宋_GB2312" w:hAnsi="仿宋_GB2312" w:eastAsia="仿宋_GB2312" w:cs="仿宋_GB2312"/>
          <w:b/>
          <w:bCs/>
          <w:color w:val="auto"/>
          <w:spacing w:val="6"/>
          <w:sz w:val="23"/>
          <w:szCs w:val="23"/>
          <w:highlight w:val="none"/>
          <w:lang w:eastAsia="zh-CN"/>
        </w:rPr>
        <w:t>自行勾选企业类</w:t>
      </w:r>
      <w:r>
        <w:rPr>
          <w:rFonts w:hint="eastAsia" w:ascii="仿宋_GB2312" w:hAnsi="仿宋_GB2312" w:eastAsia="仿宋_GB2312" w:cs="仿宋_GB2312"/>
          <w:b/>
          <w:bCs/>
          <w:color w:val="auto"/>
          <w:spacing w:val="5"/>
          <w:sz w:val="23"/>
          <w:szCs w:val="23"/>
          <w:highlight w:val="none"/>
          <w:lang w:eastAsia="zh-CN"/>
        </w:rPr>
        <w:t>型。</w:t>
      </w:r>
      <w:r>
        <w:rPr>
          <w:rFonts w:hint="eastAsia" w:ascii="仿宋_GB2312" w:hAnsi="仿宋_GB2312" w:eastAsia="仿宋_GB2312" w:cs="仿宋_GB2312"/>
          <w:color w:val="auto"/>
          <w:spacing w:val="-65"/>
          <w:sz w:val="23"/>
          <w:szCs w:val="23"/>
          <w:highlight w:val="none"/>
          <w:lang w:eastAsia="zh-CN"/>
        </w:rPr>
        <w:t xml:space="preserve"> </w:t>
      </w:r>
      <w:r>
        <w:rPr>
          <w:rFonts w:hint="eastAsia" w:ascii="仿宋_GB2312" w:hAnsi="仿宋_GB2312" w:eastAsia="仿宋_GB2312" w:cs="仿宋_GB2312"/>
          <w:color w:val="auto"/>
          <w:spacing w:val="5"/>
          <w:sz w:val="23"/>
          <w:szCs w:val="23"/>
          <w:highlight w:val="none"/>
          <w:lang w:eastAsia="zh-CN"/>
        </w:rPr>
        <w:t>如存在虚假声明或未按实际内容填写，</w:t>
      </w:r>
      <w:r>
        <w:rPr>
          <w:rFonts w:hint="eastAsia" w:ascii="仿宋_GB2312" w:hAnsi="仿宋_GB2312" w:eastAsia="仿宋_GB2312" w:cs="仿宋_GB2312"/>
          <w:color w:val="auto"/>
          <w:sz w:val="23"/>
          <w:szCs w:val="23"/>
          <w:highlight w:val="none"/>
          <w:lang w:eastAsia="zh-CN"/>
        </w:rPr>
        <w:t xml:space="preserve"> </w:t>
      </w:r>
      <w:r>
        <w:rPr>
          <w:rFonts w:hint="eastAsia" w:ascii="仿宋_GB2312" w:hAnsi="仿宋_GB2312" w:eastAsia="仿宋_GB2312" w:cs="仿宋_GB2312"/>
          <w:color w:val="auto"/>
          <w:spacing w:val="7"/>
          <w:sz w:val="23"/>
          <w:szCs w:val="23"/>
          <w:highlight w:val="none"/>
          <w:lang w:eastAsia="zh-CN"/>
        </w:rPr>
        <w:t>供应商需承担由此产生的一切后果及相应的法律责任。</w:t>
      </w:r>
    </w:p>
    <w:p w14:paraId="7061B08E">
      <w:pPr>
        <w:pStyle w:val="10"/>
        <w:spacing w:before="12" w:line="238" w:lineRule="auto"/>
        <w:ind w:left="15" w:right="39" w:firstLine="476"/>
        <w:rPr>
          <w:rFonts w:ascii="仿宋_GB2312" w:hAnsi="仿宋_GB2312" w:eastAsia="仿宋_GB2312" w:cs="仿宋_GB2312"/>
          <w:color w:val="auto"/>
          <w:spacing w:val="7"/>
          <w:sz w:val="23"/>
          <w:szCs w:val="23"/>
          <w:highlight w:val="none"/>
          <w:lang w:eastAsia="zh-CN"/>
        </w:rPr>
      </w:pPr>
      <w:r>
        <w:rPr>
          <w:rFonts w:hint="eastAsia" w:ascii="仿宋_GB2312" w:hAnsi="仿宋_GB2312" w:eastAsia="仿宋_GB2312" w:cs="仿宋_GB2312"/>
          <w:color w:val="auto"/>
          <w:spacing w:val="7"/>
          <w:sz w:val="23"/>
          <w:szCs w:val="23"/>
          <w:highlight w:val="none"/>
          <w:lang w:eastAsia="zh-CN"/>
        </w:rPr>
        <w:t>6、后附中小企业划型标准的部分内容。</w:t>
      </w:r>
    </w:p>
    <w:p w14:paraId="6EBF1BEA">
      <w:pPr>
        <w:rPr>
          <w:rFonts w:ascii="仿宋" w:hAnsi="仿宋" w:eastAsia="仿宋" w:cs="仿宋"/>
          <w:b/>
          <w:color w:val="auto"/>
          <w:spacing w:val="6"/>
          <w:sz w:val="24"/>
          <w:szCs w:val="24"/>
          <w:highlight w:val="none"/>
          <w:shd w:val="clear" w:color="auto" w:fill="FFFFFF" w:themeFill="background1"/>
          <w:lang w:eastAsia="zh-CN"/>
        </w:rPr>
      </w:pPr>
      <w:r>
        <w:rPr>
          <w:rFonts w:hint="eastAsia" w:ascii="仿宋" w:hAnsi="仿宋" w:eastAsia="仿宋" w:cs="仿宋"/>
          <w:b/>
          <w:color w:val="auto"/>
          <w:spacing w:val="6"/>
          <w:sz w:val="24"/>
          <w:szCs w:val="24"/>
          <w:highlight w:val="none"/>
          <w:shd w:val="clear" w:color="auto" w:fill="FFFFFF" w:themeFill="background1"/>
          <w:lang w:eastAsia="zh-CN"/>
        </w:rPr>
        <w:br w:type="page"/>
      </w:r>
    </w:p>
    <w:p w14:paraId="349EC23D">
      <w:pPr>
        <w:spacing w:line="588" w:lineRule="exact"/>
        <w:rPr>
          <w:rFonts w:ascii="仿宋" w:hAnsi="仿宋" w:eastAsia="仿宋" w:cs="仿宋"/>
          <w:color w:val="auto"/>
          <w:spacing w:val="6"/>
          <w:sz w:val="24"/>
          <w:szCs w:val="24"/>
          <w:highlight w:val="none"/>
          <w:lang w:eastAsia="zh-CN"/>
        </w:rPr>
      </w:pPr>
      <w:r>
        <w:rPr>
          <w:rFonts w:hint="eastAsia" w:ascii="仿宋" w:hAnsi="仿宋" w:eastAsia="仿宋" w:cs="仿宋"/>
          <w:color w:val="auto"/>
          <w:sz w:val="24"/>
          <w:szCs w:val="24"/>
          <w:highlight w:val="none"/>
          <w:lang w:eastAsia="zh-CN"/>
        </w:rPr>
        <w:t xml:space="preserve"> </w:t>
      </w:r>
      <w:r>
        <w:rPr>
          <w:rFonts w:hint="eastAsia" w:ascii="仿宋" w:hAnsi="仿宋" w:eastAsia="仿宋" w:cs="仿宋"/>
          <w:b/>
          <w:color w:val="auto"/>
          <w:sz w:val="24"/>
          <w:szCs w:val="24"/>
          <w:highlight w:val="none"/>
          <w:lang w:eastAsia="zh-CN"/>
        </w:rPr>
        <w:t>附件二、</w:t>
      </w:r>
    </w:p>
    <w:p w14:paraId="498E7D18">
      <w:pPr>
        <w:spacing w:line="360" w:lineRule="auto"/>
        <w:jc w:val="center"/>
        <w:rPr>
          <w:rFonts w:ascii="仿宋" w:hAnsi="仿宋" w:eastAsia="仿宋" w:cs="仿宋"/>
          <w:b/>
          <w:color w:val="auto"/>
          <w:spacing w:val="6"/>
          <w:sz w:val="24"/>
          <w:szCs w:val="24"/>
          <w:highlight w:val="none"/>
          <w:lang w:eastAsia="zh-CN"/>
        </w:rPr>
      </w:pPr>
      <w:r>
        <w:rPr>
          <w:rFonts w:hint="eastAsia" w:ascii="仿宋" w:hAnsi="仿宋" w:eastAsia="仿宋" w:cs="仿宋"/>
          <w:b/>
          <w:color w:val="auto"/>
          <w:spacing w:val="6"/>
          <w:sz w:val="24"/>
          <w:szCs w:val="24"/>
          <w:highlight w:val="none"/>
          <w:lang w:eastAsia="zh-CN"/>
        </w:rPr>
        <w:t>残疾人福利性单位声明函</w:t>
      </w:r>
    </w:p>
    <w:p w14:paraId="7A61E0E0">
      <w:pPr>
        <w:spacing w:line="360" w:lineRule="auto"/>
        <w:rPr>
          <w:rFonts w:ascii="仿宋" w:hAnsi="仿宋" w:eastAsia="仿宋" w:cs="仿宋"/>
          <w:b/>
          <w:color w:val="auto"/>
          <w:spacing w:val="6"/>
          <w:sz w:val="24"/>
          <w:szCs w:val="24"/>
          <w:highlight w:val="none"/>
          <w:lang w:eastAsia="zh-CN"/>
        </w:rPr>
      </w:pPr>
    </w:p>
    <w:p w14:paraId="17FCE571">
      <w:pPr>
        <w:spacing w:line="360" w:lineRule="auto"/>
        <w:ind w:firstLine="504" w:firstLineChars="200"/>
        <w:rPr>
          <w:rFonts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lang w:eastAsia="zh-CN"/>
        </w:rPr>
        <w:t>〔2017〕 141</w:t>
      </w:r>
      <w:r>
        <w:rPr>
          <w:rFonts w:hint="eastAsia" w:ascii="仿宋" w:hAnsi="仿宋" w:eastAsia="仿宋" w:cs="仿宋"/>
          <w:color w:val="auto"/>
          <w:spacing w:val="6"/>
          <w:sz w:val="24"/>
          <w:szCs w:val="24"/>
          <w:highlight w:val="none"/>
          <w:lang w:eastAsia="zh-CN"/>
        </w:rPr>
        <w:t>号）的规定，本单位为符合条件的残疾人福利性单位，且本单位参加</w:t>
      </w:r>
      <w:r>
        <w:rPr>
          <w:rFonts w:hint="eastAsia" w:ascii="仿宋" w:hAnsi="仿宋" w:eastAsia="仿宋" w:cs="仿宋"/>
          <w:color w:val="auto"/>
          <w:sz w:val="24"/>
          <w:szCs w:val="24"/>
          <w:highlight w:val="none"/>
          <w:u w:val="single"/>
          <w:lang w:eastAsia="zh-CN"/>
        </w:rPr>
        <w:t xml:space="preserve">  /  </w:t>
      </w:r>
      <w:r>
        <w:rPr>
          <w:rFonts w:hint="eastAsia" w:ascii="仿宋" w:hAnsi="仿宋" w:eastAsia="仿宋" w:cs="仿宋"/>
          <w:color w:val="auto"/>
          <w:spacing w:val="6"/>
          <w:sz w:val="24"/>
          <w:szCs w:val="24"/>
          <w:highlight w:val="none"/>
          <w:lang w:eastAsia="zh-CN"/>
        </w:rPr>
        <w:t>单位的</w:t>
      </w:r>
      <w:r>
        <w:rPr>
          <w:rFonts w:hint="eastAsia" w:ascii="仿宋" w:hAnsi="仿宋" w:eastAsia="仿宋" w:cs="仿宋"/>
          <w:color w:val="auto"/>
          <w:sz w:val="24"/>
          <w:szCs w:val="24"/>
          <w:highlight w:val="none"/>
          <w:u w:val="single"/>
          <w:lang w:eastAsia="zh-CN"/>
        </w:rPr>
        <w:t xml:space="preserve">  /  </w:t>
      </w:r>
      <w:r>
        <w:rPr>
          <w:rFonts w:hint="eastAsia" w:ascii="仿宋" w:hAnsi="仿宋" w:eastAsia="仿宋" w:cs="仿宋"/>
          <w:color w:val="auto"/>
          <w:spacing w:val="6"/>
          <w:sz w:val="24"/>
          <w:szCs w:val="24"/>
          <w:highlight w:val="none"/>
          <w:lang w:eastAsia="zh-CN"/>
        </w:rPr>
        <w:t>项目采购活动提供本单位制造的货物（由本单位承担工程/提供服务），或者提供其他残疾人福利性单位制造的货物（不包括使用非残疾人福利性单位注册商标的货物）。</w:t>
      </w:r>
    </w:p>
    <w:p w14:paraId="5BFAE176">
      <w:pPr>
        <w:spacing w:line="360" w:lineRule="auto"/>
        <w:ind w:firstLine="504" w:firstLineChars="200"/>
        <w:rPr>
          <w:rFonts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本单位对上述声明的真实性负责。如有虚假，将依法承担相应责任。</w:t>
      </w:r>
    </w:p>
    <w:p w14:paraId="42A85BA9">
      <w:pPr>
        <w:spacing w:line="360" w:lineRule="auto"/>
        <w:ind w:firstLine="504" w:firstLineChars="200"/>
        <w:rPr>
          <w:rFonts w:ascii="仿宋" w:hAnsi="仿宋" w:eastAsia="仿宋" w:cs="仿宋"/>
          <w:color w:val="auto"/>
          <w:spacing w:val="6"/>
          <w:sz w:val="24"/>
          <w:szCs w:val="24"/>
          <w:highlight w:val="none"/>
          <w:lang w:eastAsia="zh-CN"/>
        </w:rPr>
      </w:pPr>
    </w:p>
    <w:p w14:paraId="4FD13C88">
      <w:pPr>
        <w:spacing w:line="360" w:lineRule="auto"/>
        <w:ind w:firstLine="504" w:firstLineChars="200"/>
        <w:rPr>
          <w:rFonts w:ascii="仿宋" w:hAnsi="仿宋" w:eastAsia="仿宋" w:cs="仿宋"/>
          <w:color w:val="auto"/>
          <w:spacing w:val="6"/>
          <w:sz w:val="24"/>
          <w:szCs w:val="24"/>
          <w:highlight w:val="none"/>
          <w:lang w:eastAsia="zh-CN"/>
        </w:rPr>
      </w:pPr>
    </w:p>
    <w:p w14:paraId="290C1AF4">
      <w:pPr>
        <w:tabs>
          <w:tab w:val="left" w:pos="4860"/>
        </w:tabs>
        <w:spacing w:line="360" w:lineRule="auto"/>
        <w:ind w:right="1560" w:firstLine="504" w:firstLineChars="200"/>
        <w:rPr>
          <w:rFonts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单位名称（盖章）：</w:t>
      </w:r>
    </w:p>
    <w:p w14:paraId="5072CB8C">
      <w:pPr>
        <w:tabs>
          <w:tab w:val="left" w:pos="4860"/>
        </w:tabs>
        <w:spacing w:line="360" w:lineRule="auto"/>
        <w:ind w:right="1560" w:firstLine="504" w:firstLineChars="200"/>
        <w:jc w:val="center"/>
        <w:rPr>
          <w:rFonts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 xml:space="preserve">                                           日  期：</w:t>
      </w:r>
    </w:p>
    <w:p w14:paraId="5EF78995">
      <w:pPr>
        <w:spacing w:line="360" w:lineRule="auto"/>
        <w:rPr>
          <w:rFonts w:ascii="仿宋" w:hAnsi="仿宋" w:eastAsia="仿宋" w:cs="仿宋"/>
          <w:color w:val="auto"/>
          <w:sz w:val="24"/>
          <w:szCs w:val="24"/>
          <w:highlight w:val="none"/>
          <w:lang w:eastAsia="zh-CN"/>
        </w:rPr>
      </w:pPr>
    </w:p>
    <w:p w14:paraId="5965FD28">
      <w:pPr>
        <w:spacing w:line="360" w:lineRule="auto"/>
        <w:rPr>
          <w:rFonts w:ascii="仿宋" w:hAnsi="仿宋" w:eastAsia="仿宋" w:cs="仿宋"/>
          <w:color w:val="auto"/>
          <w:sz w:val="24"/>
          <w:szCs w:val="24"/>
          <w:highlight w:val="none"/>
          <w:lang w:eastAsia="zh-CN"/>
        </w:rPr>
      </w:pPr>
    </w:p>
    <w:p w14:paraId="38ADD42E">
      <w:pPr>
        <w:spacing w:line="360" w:lineRule="auto"/>
        <w:rPr>
          <w:rFonts w:ascii="仿宋" w:hAnsi="仿宋" w:eastAsia="仿宋" w:cs="仿宋"/>
          <w:color w:val="auto"/>
          <w:sz w:val="24"/>
          <w:szCs w:val="24"/>
          <w:highlight w:val="none"/>
          <w:lang w:eastAsia="zh-CN"/>
        </w:rPr>
      </w:pPr>
    </w:p>
    <w:p w14:paraId="7FB1AAB8">
      <w:pPr>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w:t>
      </w:r>
      <w:r>
        <w:rPr>
          <w:rFonts w:hint="eastAsia" w:ascii="仿宋" w:hAnsi="仿宋" w:eastAsia="仿宋" w:cs="仿宋"/>
          <w:b/>
          <w:color w:val="auto"/>
          <w:sz w:val="24"/>
          <w:szCs w:val="24"/>
          <w:highlight w:val="none"/>
          <w:lang w:eastAsia="zh-CN"/>
        </w:rPr>
        <w:t>附件三、</w:t>
      </w:r>
    </w:p>
    <w:p w14:paraId="5DEF5605">
      <w:pPr>
        <w:spacing w:line="360" w:lineRule="auto"/>
        <w:jc w:val="center"/>
        <w:rPr>
          <w:rFonts w:ascii="仿宋" w:hAnsi="仿宋" w:eastAsia="仿宋" w:cs="仿宋"/>
          <w:color w:val="auto"/>
          <w:sz w:val="24"/>
          <w:szCs w:val="24"/>
          <w:highlight w:val="none"/>
          <w:lang w:eastAsia="zh-CN"/>
        </w:rPr>
      </w:pPr>
      <w:r>
        <w:rPr>
          <w:rFonts w:hint="eastAsia" w:ascii="仿宋" w:hAnsi="仿宋" w:eastAsia="仿宋" w:cs="仿宋"/>
          <w:b/>
          <w:color w:val="auto"/>
          <w:sz w:val="24"/>
          <w:szCs w:val="24"/>
          <w:highlight w:val="none"/>
          <w:lang w:eastAsia="zh-CN"/>
        </w:rPr>
        <w:t>监狱企业证明文件</w:t>
      </w:r>
    </w:p>
    <w:p w14:paraId="41C3DD5A">
      <w:pPr>
        <w:spacing w:line="360" w:lineRule="auto"/>
        <w:ind w:firstLine="504" w:firstLineChars="200"/>
        <w:rPr>
          <w:rFonts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监狱企业参加政府采购活动时，应当提供由省级以上监狱管理局、戒毒管理局（含新疆生产建设兵团）出具的属于监狱企业的证明文件。</w:t>
      </w:r>
    </w:p>
    <w:p w14:paraId="120F8FE1">
      <w:pPr>
        <w:spacing w:line="360" w:lineRule="auto"/>
        <w:rPr>
          <w:rFonts w:ascii="仿宋" w:hAnsi="仿宋" w:eastAsia="仿宋" w:cs="仿宋"/>
          <w:color w:val="auto"/>
          <w:sz w:val="24"/>
          <w:szCs w:val="24"/>
          <w:highlight w:val="none"/>
          <w:lang w:eastAsia="zh-CN"/>
        </w:rPr>
      </w:pPr>
    </w:p>
    <w:p w14:paraId="7A0F5778">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14:paraId="399B814B">
      <w:pPr>
        <w:tabs>
          <w:tab w:val="left" w:pos="0"/>
        </w:tabs>
        <w:spacing w:line="360" w:lineRule="auto"/>
        <w:ind w:firstLine="480"/>
        <w:rPr>
          <w:rFonts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附：中小微企业划型标准</w:t>
      </w:r>
    </w:p>
    <w:tbl>
      <w:tblPr>
        <w:tblStyle w:val="26"/>
        <w:tblW w:w="9438" w:type="dxa"/>
        <w:tblInd w:w="250" w:type="dxa"/>
        <w:tblLayout w:type="fixed"/>
        <w:tblCellMar>
          <w:top w:w="0" w:type="dxa"/>
          <w:left w:w="108" w:type="dxa"/>
          <w:bottom w:w="0" w:type="dxa"/>
          <w:right w:w="108" w:type="dxa"/>
        </w:tblCellMar>
      </w:tblPr>
      <w:tblGrid>
        <w:gridCol w:w="1833"/>
        <w:gridCol w:w="1680"/>
        <w:gridCol w:w="794"/>
        <w:gridCol w:w="1744"/>
        <w:gridCol w:w="2013"/>
        <w:gridCol w:w="1374"/>
      </w:tblGrid>
      <w:tr w14:paraId="02A9A337">
        <w:tblPrEx>
          <w:tblCellMar>
            <w:top w:w="0" w:type="dxa"/>
            <w:left w:w="108" w:type="dxa"/>
            <w:bottom w:w="0" w:type="dxa"/>
            <w:right w:w="108" w:type="dxa"/>
          </w:tblCellMar>
        </w:tblPrEx>
        <w:trPr>
          <w:trHeight w:val="607" w:hRule="atLeast"/>
        </w:trPr>
        <w:tc>
          <w:tcPr>
            <w:tcW w:w="1833" w:type="dxa"/>
            <w:tcBorders>
              <w:top w:val="single" w:color="auto" w:sz="4" w:space="0"/>
              <w:left w:val="single" w:color="auto" w:sz="4" w:space="0"/>
              <w:bottom w:val="single" w:color="auto" w:sz="4" w:space="0"/>
              <w:right w:val="single" w:color="auto" w:sz="4" w:space="0"/>
            </w:tcBorders>
            <w:vAlign w:val="center"/>
          </w:tcPr>
          <w:p w14:paraId="1DBBE6E6">
            <w:pP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行业名称</w:t>
            </w:r>
          </w:p>
        </w:tc>
        <w:tc>
          <w:tcPr>
            <w:tcW w:w="1680" w:type="dxa"/>
            <w:tcBorders>
              <w:top w:val="single" w:color="auto" w:sz="4" w:space="0"/>
              <w:left w:val="nil"/>
              <w:bottom w:val="single" w:color="auto" w:sz="4" w:space="0"/>
              <w:right w:val="single" w:color="auto" w:sz="4" w:space="0"/>
            </w:tcBorders>
            <w:vAlign w:val="center"/>
          </w:tcPr>
          <w:p w14:paraId="4C95D86D">
            <w:pP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指标名称</w:t>
            </w:r>
          </w:p>
        </w:tc>
        <w:tc>
          <w:tcPr>
            <w:tcW w:w="794" w:type="dxa"/>
            <w:tcBorders>
              <w:top w:val="single" w:color="auto" w:sz="4" w:space="0"/>
              <w:left w:val="nil"/>
              <w:bottom w:val="single" w:color="auto" w:sz="4" w:space="0"/>
              <w:right w:val="single" w:color="auto" w:sz="4" w:space="0"/>
            </w:tcBorders>
            <w:vAlign w:val="center"/>
          </w:tcPr>
          <w:p w14:paraId="2B9CA364">
            <w:pP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计量单位</w:t>
            </w:r>
          </w:p>
        </w:tc>
        <w:tc>
          <w:tcPr>
            <w:tcW w:w="1744" w:type="dxa"/>
            <w:tcBorders>
              <w:top w:val="single" w:color="auto" w:sz="4" w:space="0"/>
              <w:left w:val="nil"/>
              <w:bottom w:val="single" w:color="auto" w:sz="4" w:space="0"/>
              <w:right w:val="single" w:color="auto" w:sz="4" w:space="0"/>
            </w:tcBorders>
            <w:vAlign w:val="center"/>
          </w:tcPr>
          <w:p w14:paraId="33350C58">
            <w:pP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中型</w:t>
            </w:r>
          </w:p>
        </w:tc>
        <w:tc>
          <w:tcPr>
            <w:tcW w:w="2013" w:type="dxa"/>
            <w:tcBorders>
              <w:top w:val="single" w:color="auto" w:sz="4" w:space="0"/>
              <w:left w:val="nil"/>
              <w:bottom w:val="single" w:color="auto" w:sz="4" w:space="0"/>
              <w:right w:val="single" w:color="auto" w:sz="4" w:space="0"/>
            </w:tcBorders>
            <w:vAlign w:val="center"/>
          </w:tcPr>
          <w:p w14:paraId="15275DB8">
            <w:pP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小型</w:t>
            </w:r>
          </w:p>
        </w:tc>
        <w:tc>
          <w:tcPr>
            <w:tcW w:w="1374" w:type="dxa"/>
            <w:tcBorders>
              <w:top w:val="single" w:color="auto" w:sz="4" w:space="0"/>
              <w:left w:val="nil"/>
              <w:bottom w:val="single" w:color="auto" w:sz="4" w:space="0"/>
              <w:right w:val="single" w:color="auto" w:sz="4" w:space="0"/>
            </w:tcBorders>
            <w:vAlign w:val="center"/>
          </w:tcPr>
          <w:p w14:paraId="224315D7">
            <w:pP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微型</w:t>
            </w:r>
          </w:p>
        </w:tc>
      </w:tr>
      <w:tr w14:paraId="0E6745E5">
        <w:tblPrEx>
          <w:tblCellMar>
            <w:top w:w="0" w:type="dxa"/>
            <w:left w:w="108" w:type="dxa"/>
            <w:bottom w:w="0" w:type="dxa"/>
            <w:right w:w="108" w:type="dxa"/>
          </w:tblCellMar>
        </w:tblPrEx>
        <w:trPr>
          <w:trHeight w:val="308" w:hRule="atLeast"/>
        </w:trPr>
        <w:tc>
          <w:tcPr>
            <w:tcW w:w="1833" w:type="dxa"/>
            <w:tcBorders>
              <w:top w:val="nil"/>
              <w:left w:val="single" w:color="auto" w:sz="4" w:space="0"/>
              <w:bottom w:val="single" w:color="auto" w:sz="4" w:space="0"/>
              <w:right w:val="single" w:color="auto" w:sz="4" w:space="0"/>
            </w:tcBorders>
            <w:vAlign w:val="bottom"/>
          </w:tcPr>
          <w:p w14:paraId="40E71ABF">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农、林、牧、渔</w:t>
            </w:r>
          </w:p>
        </w:tc>
        <w:tc>
          <w:tcPr>
            <w:tcW w:w="1680" w:type="dxa"/>
            <w:tcBorders>
              <w:top w:val="nil"/>
              <w:left w:val="nil"/>
              <w:bottom w:val="single" w:color="auto" w:sz="4" w:space="0"/>
              <w:right w:val="single" w:color="auto" w:sz="4" w:space="0"/>
            </w:tcBorders>
            <w:vAlign w:val="center"/>
          </w:tcPr>
          <w:p w14:paraId="7CF9D9D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182716C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2EA0912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500≤Y＜20000</w:t>
            </w:r>
          </w:p>
        </w:tc>
        <w:tc>
          <w:tcPr>
            <w:tcW w:w="2013" w:type="dxa"/>
            <w:tcBorders>
              <w:top w:val="nil"/>
              <w:left w:val="nil"/>
              <w:bottom w:val="single" w:color="auto" w:sz="4" w:space="0"/>
              <w:right w:val="single" w:color="auto" w:sz="4" w:space="0"/>
            </w:tcBorders>
            <w:vAlign w:val="center"/>
          </w:tcPr>
          <w:p w14:paraId="60ED50F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50≤Y＜500</w:t>
            </w:r>
          </w:p>
        </w:tc>
        <w:tc>
          <w:tcPr>
            <w:tcW w:w="1374" w:type="dxa"/>
            <w:tcBorders>
              <w:top w:val="nil"/>
              <w:left w:val="nil"/>
              <w:bottom w:val="single" w:color="auto" w:sz="4" w:space="0"/>
              <w:right w:val="single" w:color="auto" w:sz="4" w:space="0"/>
            </w:tcBorders>
            <w:vAlign w:val="center"/>
          </w:tcPr>
          <w:p w14:paraId="0B49199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Y＜50</w:t>
            </w:r>
          </w:p>
        </w:tc>
      </w:tr>
      <w:tr w14:paraId="0CC2DBF5">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2AF110B9">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工业</w:t>
            </w:r>
          </w:p>
        </w:tc>
        <w:tc>
          <w:tcPr>
            <w:tcW w:w="1680" w:type="dxa"/>
            <w:tcBorders>
              <w:top w:val="nil"/>
              <w:left w:val="nil"/>
              <w:bottom w:val="single" w:color="auto" w:sz="4" w:space="0"/>
              <w:right w:val="single" w:color="auto" w:sz="4" w:space="0"/>
            </w:tcBorders>
            <w:vAlign w:val="center"/>
          </w:tcPr>
          <w:p w14:paraId="7D1B5B5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1D8B825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0C1492A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300≤X＜1000</w:t>
            </w:r>
          </w:p>
        </w:tc>
        <w:tc>
          <w:tcPr>
            <w:tcW w:w="2013" w:type="dxa"/>
            <w:tcBorders>
              <w:top w:val="nil"/>
              <w:left w:val="nil"/>
              <w:bottom w:val="single" w:color="auto" w:sz="4" w:space="0"/>
              <w:right w:val="single" w:color="auto" w:sz="4" w:space="0"/>
            </w:tcBorders>
            <w:vAlign w:val="center"/>
          </w:tcPr>
          <w:p w14:paraId="0C4A25D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20≤X＜300</w:t>
            </w:r>
          </w:p>
        </w:tc>
        <w:tc>
          <w:tcPr>
            <w:tcW w:w="1374" w:type="dxa"/>
            <w:tcBorders>
              <w:top w:val="nil"/>
              <w:left w:val="nil"/>
              <w:bottom w:val="single" w:color="auto" w:sz="4" w:space="0"/>
              <w:right w:val="single" w:color="auto" w:sz="4" w:space="0"/>
            </w:tcBorders>
            <w:vAlign w:val="center"/>
          </w:tcPr>
          <w:p w14:paraId="1399C26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X＜20</w:t>
            </w:r>
          </w:p>
        </w:tc>
      </w:tr>
      <w:tr w14:paraId="603A5A33">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2A7CFBE1">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17D7B13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48B679F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1B71397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2000≤Y＜40000</w:t>
            </w:r>
          </w:p>
        </w:tc>
        <w:tc>
          <w:tcPr>
            <w:tcW w:w="2013" w:type="dxa"/>
            <w:tcBorders>
              <w:top w:val="nil"/>
              <w:left w:val="nil"/>
              <w:bottom w:val="single" w:color="auto" w:sz="4" w:space="0"/>
              <w:right w:val="single" w:color="auto" w:sz="4" w:space="0"/>
            </w:tcBorders>
            <w:vAlign w:val="center"/>
          </w:tcPr>
          <w:p w14:paraId="61B764E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300≤Y＜2000</w:t>
            </w:r>
          </w:p>
        </w:tc>
        <w:tc>
          <w:tcPr>
            <w:tcW w:w="1374" w:type="dxa"/>
            <w:tcBorders>
              <w:top w:val="nil"/>
              <w:left w:val="nil"/>
              <w:bottom w:val="single" w:color="auto" w:sz="4" w:space="0"/>
              <w:right w:val="single" w:color="auto" w:sz="4" w:space="0"/>
            </w:tcBorders>
            <w:vAlign w:val="center"/>
          </w:tcPr>
          <w:p w14:paraId="53A79CE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Y＜300</w:t>
            </w:r>
          </w:p>
        </w:tc>
      </w:tr>
      <w:tr w14:paraId="371BEF2C">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39A33709">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建筑业</w:t>
            </w:r>
          </w:p>
        </w:tc>
        <w:tc>
          <w:tcPr>
            <w:tcW w:w="1680" w:type="dxa"/>
            <w:tcBorders>
              <w:top w:val="nil"/>
              <w:left w:val="nil"/>
              <w:bottom w:val="single" w:color="auto" w:sz="4" w:space="0"/>
              <w:right w:val="single" w:color="auto" w:sz="4" w:space="0"/>
            </w:tcBorders>
            <w:vAlign w:val="center"/>
          </w:tcPr>
          <w:p w14:paraId="45832C4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5447BCF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5F287F7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6000≤Y＜80000</w:t>
            </w:r>
          </w:p>
        </w:tc>
        <w:tc>
          <w:tcPr>
            <w:tcW w:w="2013" w:type="dxa"/>
            <w:tcBorders>
              <w:top w:val="nil"/>
              <w:left w:val="nil"/>
              <w:bottom w:val="single" w:color="auto" w:sz="4" w:space="0"/>
              <w:right w:val="single" w:color="auto" w:sz="4" w:space="0"/>
            </w:tcBorders>
            <w:vAlign w:val="center"/>
          </w:tcPr>
          <w:p w14:paraId="2FAF7D4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300≤Y＜6000</w:t>
            </w:r>
          </w:p>
        </w:tc>
        <w:tc>
          <w:tcPr>
            <w:tcW w:w="1374" w:type="dxa"/>
            <w:tcBorders>
              <w:top w:val="nil"/>
              <w:left w:val="nil"/>
              <w:bottom w:val="single" w:color="auto" w:sz="4" w:space="0"/>
              <w:right w:val="single" w:color="auto" w:sz="4" w:space="0"/>
            </w:tcBorders>
            <w:vAlign w:val="center"/>
          </w:tcPr>
          <w:p w14:paraId="7A6606B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Y＜300</w:t>
            </w:r>
          </w:p>
        </w:tc>
      </w:tr>
      <w:tr w14:paraId="6A5E91A5">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45B34546">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0975638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资产总额（Z）</w:t>
            </w:r>
          </w:p>
        </w:tc>
        <w:tc>
          <w:tcPr>
            <w:tcW w:w="794" w:type="dxa"/>
            <w:tcBorders>
              <w:top w:val="nil"/>
              <w:left w:val="nil"/>
              <w:bottom w:val="single" w:color="auto" w:sz="4" w:space="0"/>
              <w:right w:val="single" w:color="auto" w:sz="4" w:space="0"/>
            </w:tcBorders>
            <w:vAlign w:val="center"/>
          </w:tcPr>
          <w:p w14:paraId="7778D8E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72254CE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5000≤Z＜80000</w:t>
            </w:r>
          </w:p>
        </w:tc>
        <w:tc>
          <w:tcPr>
            <w:tcW w:w="2013" w:type="dxa"/>
            <w:tcBorders>
              <w:top w:val="nil"/>
              <w:left w:val="nil"/>
              <w:bottom w:val="single" w:color="auto" w:sz="4" w:space="0"/>
              <w:right w:val="single" w:color="auto" w:sz="4" w:space="0"/>
            </w:tcBorders>
            <w:vAlign w:val="center"/>
          </w:tcPr>
          <w:p w14:paraId="1C05702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300≤Z＜5000</w:t>
            </w:r>
          </w:p>
        </w:tc>
        <w:tc>
          <w:tcPr>
            <w:tcW w:w="1374" w:type="dxa"/>
            <w:tcBorders>
              <w:top w:val="nil"/>
              <w:left w:val="nil"/>
              <w:bottom w:val="single" w:color="auto" w:sz="4" w:space="0"/>
              <w:right w:val="single" w:color="auto" w:sz="4" w:space="0"/>
            </w:tcBorders>
            <w:vAlign w:val="center"/>
          </w:tcPr>
          <w:p w14:paraId="17AD31D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Z＜300</w:t>
            </w:r>
          </w:p>
        </w:tc>
      </w:tr>
      <w:tr w14:paraId="137A2ADD">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49066725">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批发业</w:t>
            </w:r>
          </w:p>
        </w:tc>
        <w:tc>
          <w:tcPr>
            <w:tcW w:w="1680" w:type="dxa"/>
            <w:tcBorders>
              <w:top w:val="nil"/>
              <w:left w:val="nil"/>
              <w:bottom w:val="single" w:color="auto" w:sz="4" w:space="0"/>
              <w:right w:val="single" w:color="auto" w:sz="4" w:space="0"/>
            </w:tcBorders>
            <w:vAlign w:val="center"/>
          </w:tcPr>
          <w:p w14:paraId="15AFC81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139CD9E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0361275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20≤X＜200</w:t>
            </w:r>
          </w:p>
        </w:tc>
        <w:tc>
          <w:tcPr>
            <w:tcW w:w="2013" w:type="dxa"/>
            <w:tcBorders>
              <w:top w:val="nil"/>
              <w:left w:val="nil"/>
              <w:bottom w:val="single" w:color="auto" w:sz="4" w:space="0"/>
              <w:right w:val="single" w:color="auto" w:sz="4" w:space="0"/>
            </w:tcBorders>
            <w:vAlign w:val="center"/>
          </w:tcPr>
          <w:p w14:paraId="412E66E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5≤X＜20</w:t>
            </w:r>
          </w:p>
        </w:tc>
        <w:tc>
          <w:tcPr>
            <w:tcW w:w="1374" w:type="dxa"/>
            <w:tcBorders>
              <w:top w:val="nil"/>
              <w:left w:val="nil"/>
              <w:bottom w:val="single" w:color="auto" w:sz="4" w:space="0"/>
              <w:right w:val="single" w:color="auto" w:sz="4" w:space="0"/>
            </w:tcBorders>
            <w:vAlign w:val="center"/>
          </w:tcPr>
          <w:p w14:paraId="2C2E9E4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X＜5</w:t>
            </w:r>
          </w:p>
        </w:tc>
      </w:tr>
      <w:tr w14:paraId="15441B53">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50CB0E71">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18F5DAB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2AD3A9B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1523B80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5000≤Y＜40000</w:t>
            </w:r>
          </w:p>
        </w:tc>
        <w:tc>
          <w:tcPr>
            <w:tcW w:w="2013" w:type="dxa"/>
            <w:tcBorders>
              <w:top w:val="nil"/>
              <w:left w:val="nil"/>
              <w:bottom w:val="single" w:color="auto" w:sz="4" w:space="0"/>
              <w:right w:val="single" w:color="auto" w:sz="4" w:space="0"/>
            </w:tcBorders>
            <w:vAlign w:val="center"/>
          </w:tcPr>
          <w:p w14:paraId="16572AB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1000≤Y＜5000</w:t>
            </w:r>
          </w:p>
        </w:tc>
        <w:tc>
          <w:tcPr>
            <w:tcW w:w="1374" w:type="dxa"/>
            <w:tcBorders>
              <w:top w:val="nil"/>
              <w:left w:val="nil"/>
              <w:bottom w:val="single" w:color="auto" w:sz="4" w:space="0"/>
              <w:right w:val="single" w:color="auto" w:sz="4" w:space="0"/>
            </w:tcBorders>
            <w:vAlign w:val="center"/>
          </w:tcPr>
          <w:p w14:paraId="290DE62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Y＜1000</w:t>
            </w:r>
          </w:p>
        </w:tc>
      </w:tr>
      <w:tr w14:paraId="646F2D7E">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70D903DC">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零售业</w:t>
            </w:r>
          </w:p>
        </w:tc>
        <w:tc>
          <w:tcPr>
            <w:tcW w:w="1680" w:type="dxa"/>
            <w:tcBorders>
              <w:top w:val="nil"/>
              <w:left w:val="nil"/>
              <w:bottom w:val="single" w:color="auto" w:sz="4" w:space="0"/>
              <w:right w:val="single" w:color="auto" w:sz="4" w:space="0"/>
            </w:tcBorders>
            <w:vAlign w:val="center"/>
          </w:tcPr>
          <w:p w14:paraId="5075FE6A">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59AE0D2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053ACF6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50≤X＜300</w:t>
            </w:r>
          </w:p>
        </w:tc>
        <w:tc>
          <w:tcPr>
            <w:tcW w:w="2013" w:type="dxa"/>
            <w:tcBorders>
              <w:top w:val="nil"/>
              <w:left w:val="nil"/>
              <w:bottom w:val="single" w:color="auto" w:sz="4" w:space="0"/>
              <w:right w:val="single" w:color="auto" w:sz="4" w:space="0"/>
            </w:tcBorders>
            <w:vAlign w:val="center"/>
          </w:tcPr>
          <w:p w14:paraId="3C32AA0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10≤X＜50</w:t>
            </w:r>
          </w:p>
        </w:tc>
        <w:tc>
          <w:tcPr>
            <w:tcW w:w="1374" w:type="dxa"/>
            <w:tcBorders>
              <w:top w:val="nil"/>
              <w:left w:val="nil"/>
              <w:bottom w:val="single" w:color="auto" w:sz="4" w:space="0"/>
              <w:right w:val="single" w:color="auto" w:sz="4" w:space="0"/>
            </w:tcBorders>
            <w:vAlign w:val="center"/>
          </w:tcPr>
          <w:p w14:paraId="7EB0EC89">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w:t>
            </w:r>
          </w:p>
        </w:tc>
      </w:tr>
      <w:tr w14:paraId="4F4392ED">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18312001">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2FA5890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7C878485">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75F3E97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500≤Y＜20000</w:t>
            </w:r>
          </w:p>
        </w:tc>
        <w:tc>
          <w:tcPr>
            <w:tcW w:w="2013" w:type="dxa"/>
            <w:tcBorders>
              <w:top w:val="nil"/>
              <w:left w:val="nil"/>
              <w:bottom w:val="single" w:color="auto" w:sz="4" w:space="0"/>
              <w:right w:val="single" w:color="auto" w:sz="4" w:space="0"/>
            </w:tcBorders>
            <w:vAlign w:val="center"/>
          </w:tcPr>
          <w:p w14:paraId="29512DF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100≤Y＜500</w:t>
            </w:r>
          </w:p>
        </w:tc>
        <w:tc>
          <w:tcPr>
            <w:tcW w:w="1374" w:type="dxa"/>
            <w:tcBorders>
              <w:top w:val="nil"/>
              <w:left w:val="nil"/>
              <w:bottom w:val="single" w:color="auto" w:sz="4" w:space="0"/>
              <w:right w:val="single" w:color="auto" w:sz="4" w:space="0"/>
            </w:tcBorders>
            <w:vAlign w:val="center"/>
          </w:tcPr>
          <w:p w14:paraId="2A5D1035">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w:t>
            </w:r>
          </w:p>
        </w:tc>
      </w:tr>
      <w:tr w14:paraId="25ABADC2">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6E68677C">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交通运输业</w:t>
            </w:r>
          </w:p>
        </w:tc>
        <w:tc>
          <w:tcPr>
            <w:tcW w:w="1680" w:type="dxa"/>
            <w:tcBorders>
              <w:top w:val="nil"/>
              <w:left w:val="nil"/>
              <w:bottom w:val="single" w:color="auto" w:sz="4" w:space="0"/>
              <w:right w:val="single" w:color="auto" w:sz="4" w:space="0"/>
            </w:tcBorders>
            <w:vAlign w:val="center"/>
          </w:tcPr>
          <w:p w14:paraId="3656F4A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40F3DCF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6670E21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300≤X＜1000</w:t>
            </w:r>
          </w:p>
        </w:tc>
        <w:tc>
          <w:tcPr>
            <w:tcW w:w="2013" w:type="dxa"/>
            <w:tcBorders>
              <w:top w:val="nil"/>
              <w:left w:val="nil"/>
              <w:bottom w:val="single" w:color="auto" w:sz="4" w:space="0"/>
              <w:right w:val="single" w:color="auto" w:sz="4" w:space="0"/>
            </w:tcBorders>
            <w:vAlign w:val="center"/>
          </w:tcPr>
          <w:p w14:paraId="139DAD6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20≤X＜300</w:t>
            </w:r>
          </w:p>
        </w:tc>
        <w:tc>
          <w:tcPr>
            <w:tcW w:w="1374" w:type="dxa"/>
            <w:tcBorders>
              <w:top w:val="nil"/>
              <w:left w:val="nil"/>
              <w:bottom w:val="single" w:color="auto" w:sz="4" w:space="0"/>
              <w:right w:val="single" w:color="auto" w:sz="4" w:space="0"/>
            </w:tcBorders>
            <w:vAlign w:val="center"/>
          </w:tcPr>
          <w:p w14:paraId="2312DCC1">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X＜20</w:t>
            </w:r>
          </w:p>
        </w:tc>
      </w:tr>
      <w:tr w14:paraId="0F823EBB">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4635B68E">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15A93F9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18F8CA0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1B6AA63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3000≤Y＜30000</w:t>
            </w:r>
          </w:p>
        </w:tc>
        <w:tc>
          <w:tcPr>
            <w:tcW w:w="2013" w:type="dxa"/>
            <w:tcBorders>
              <w:top w:val="nil"/>
              <w:left w:val="nil"/>
              <w:bottom w:val="single" w:color="auto" w:sz="4" w:space="0"/>
              <w:right w:val="single" w:color="auto" w:sz="4" w:space="0"/>
            </w:tcBorders>
            <w:vAlign w:val="center"/>
          </w:tcPr>
          <w:p w14:paraId="6578412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200≤Y＜3000</w:t>
            </w:r>
          </w:p>
        </w:tc>
        <w:tc>
          <w:tcPr>
            <w:tcW w:w="1374" w:type="dxa"/>
            <w:tcBorders>
              <w:top w:val="nil"/>
              <w:left w:val="nil"/>
              <w:bottom w:val="single" w:color="auto" w:sz="4" w:space="0"/>
              <w:right w:val="single" w:color="auto" w:sz="4" w:space="0"/>
            </w:tcBorders>
            <w:vAlign w:val="center"/>
          </w:tcPr>
          <w:p w14:paraId="5167A06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Y＜200</w:t>
            </w:r>
          </w:p>
        </w:tc>
      </w:tr>
      <w:tr w14:paraId="1B7C9FBE">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12AD4A34">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仓储业</w:t>
            </w:r>
          </w:p>
        </w:tc>
        <w:tc>
          <w:tcPr>
            <w:tcW w:w="1680" w:type="dxa"/>
            <w:tcBorders>
              <w:top w:val="nil"/>
              <w:left w:val="nil"/>
              <w:bottom w:val="single" w:color="auto" w:sz="4" w:space="0"/>
              <w:right w:val="single" w:color="auto" w:sz="4" w:space="0"/>
            </w:tcBorders>
            <w:vAlign w:val="center"/>
          </w:tcPr>
          <w:p w14:paraId="1D045E3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4B9E6B9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17919DDA">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100≤X＜200</w:t>
            </w:r>
          </w:p>
        </w:tc>
        <w:tc>
          <w:tcPr>
            <w:tcW w:w="2013" w:type="dxa"/>
            <w:tcBorders>
              <w:top w:val="nil"/>
              <w:left w:val="nil"/>
              <w:bottom w:val="single" w:color="auto" w:sz="4" w:space="0"/>
              <w:right w:val="single" w:color="auto" w:sz="4" w:space="0"/>
            </w:tcBorders>
            <w:vAlign w:val="center"/>
          </w:tcPr>
          <w:p w14:paraId="4861778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20≤X＜100</w:t>
            </w:r>
          </w:p>
        </w:tc>
        <w:tc>
          <w:tcPr>
            <w:tcW w:w="1374" w:type="dxa"/>
            <w:tcBorders>
              <w:top w:val="nil"/>
              <w:left w:val="nil"/>
              <w:bottom w:val="single" w:color="auto" w:sz="4" w:space="0"/>
              <w:right w:val="single" w:color="auto" w:sz="4" w:space="0"/>
            </w:tcBorders>
            <w:vAlign w:val="center"/>
          </w:tcPr>
          <w:p w14:paraId="5E3467B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X＜20</w:t>
            </w:r>
          </w:p>
        </w:tc>
      </w:tr>
      <w:tr w14:paraId="7CEBD256">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17090CF3">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51428059">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7F42A76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3B1D08CA">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1000≤Y＜30000</w:t>
            </w:r>
          </w:p>
        </w:tc>
        <w:tc>
          <w:tcPr>
            <w:tcW w:w="2013" w:type="dxa"/>
            <w:tcBorders>
              <w:top w:val="nil"/>
              <w:left w:val="nil"/>
              <w:bottom w:val="single" w:color="auto" w:sz="4" w:space="0"/>
              <w:right w:val="single" w:color="auto" w:sz="4" w:space="0"/>
            </w:tcBorders>
            <w:vAlign w:val="center"/>
          </w:tcPr>
          <w:p w14:paraId="63E6F649">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100≤Y＜1000</w:t>
            </w:r>
          </w:p>
        </w:tc>
        <w:tc>
          <w:tcPr>
            <w:tcW w:w="1374" w:type="dxa"/>
            <w:tcBorders>
              <w:top w:val="nil"/>
              <w:left w:val="nil"/>
              <w:bottom w:val="single" w:color="auto" w:sz="4" w:space="0"/>
              <w:right w:val="single" w:color="auto" w:sz="4" w:space="0"/>
            </w:tcBorders>
            <w:vAlign w:val="center"/>
          </w:tcPr>
          <w:p w14:paraId="2E83449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w:t>
            </w:r>
          </w:p>
        </w:tc>
      </w:tr>
      <w:tr w14:paraId="6C00076F">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7DF119E2">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邮政业</w:t>
            </w:r>
          </w:p>
        </w:tc>
        <w:tc>
          <w:tcPr>
            <w:tcW w:w="1680" w:type="dxa"/>
            <w:tcBorders>
              <w:top w:val="nil"/>
              <w:left w:val="nil"/>
              <w:bottom w:val="single" w:color="auto" w:sz="4" w:space="0"/>
              <w:right w:val="single" w:color="auto" w:sz="4" w:space="0"/>
            </w:tcBorders>
            <w:vAlign w:val="center"/>
          </w:tcPr>
          <w:p w14:paraId="257B01D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7B026FF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278F49C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300≤X＜1000</w:t>
            </w:r>
          </w:p>
        </w:tc>
        <w:tc>
          <w:tcPr>
            <w:tcW w:w="2013" w:type="dxa"/>
            <w:tcBorders>
              <w:top w:val="nil"/>
              <w:left w:val="nil"/>
              <w:bottom w:val="single" w:color="auto" w:sz="4" w:space="0"/>
              <w:right w:val="single" w:color="auto" w:sz="4" w:space="0"/>
            </w:tcBorders>
            <w:vAlign w:val="center"/>
          </w:tcPr>
          <w:p w14:paraId="3F0E1D5A">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20≤X＜300</w:t>
            </w:r>
          </w:p>
        </w:tc>
        <w:tc>
          <w:tcPr>
            <w:tcW w:w="1374" w:type="dxa"/>
            <w:tcBorders>
              <w:top w:val="nil"/>
              <w:left w:val="nil"/>
              <w:bottom w:val="single" w:color="auto" w:sz="4" w:space="0"/>
              <w:right w:val="single" w:color="auto" w:sz="4" w:space="0"/>
            </w:tcBorders>
            <w:vAlign w:val="center"/>
          </w:tcPr>
          <w:p w14:paraId="1B88D92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X＜20</w:t>
            </w:r>
          </w:p>
        </w:tc>
      </w:tr>
      <w:tr w14:paraId="7283A4C5">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582A0BBC">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6011000A">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073B6A2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0D654BC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2000≤Y＜30000</w:t>
            </w:r>
          </w:p>
        </w:tc>
        <w:tc>
          <w:tcPr>
            <w:tcW w:w="2013" w:type="dxa"/>
            <w:tcBorders>
              <w:top w:val="nil"/>
              <w:left w:val="nil"/>
              <w:bottom w:val="single" w:color="auto" w:sz="4" w:space="0"/>
              <w:right w:val="single" w:color="auto" w:sz="4" w:space="0"/>
            </w:tcBorders>
            <w:vAlign w:val="center"/>
          </w:tcPr>
          <w:p w14:paraId="02195F8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100≤Y＜2000</w:t>
            </w:r>
          </w:p>
        </w:tc>
        <w:tc>
          <w:tcPr>
            <w:tcW w:w="1374" w:type="dxa"/>
            <w:tcBorders>
              <w:top w:val="nil"/>
              <w:left w:val="nil"/>
              <w:bottom w:val="single" w:color="auto" w:sz="4" w:space="0"/>
              <w:right w:val="single" w:color="auto" w:sz="4" w:space="0"/>
            </w:tcBorders>
            <w:vAlign w:val="center"/>
          </w:tcPr>
          <w:p w14:paraId="2271602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w:t>
            </w:r>
          </w:p>
        </w:tc>
      </w:tr>
      <w:tr w14:paraId="29DBDE18">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3F55052A">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住宿业</w:t>
            </w:r>
          </w:p>
        </w:tc>
        <w:tc>
          <w:tcPr>
            <w:tcW w:w="1680" w:type="dxa"/>
            <w:tcBorders>
              <w:top w:val="nil"/>
              <w:left w:val="nil"/>
              <w:bottom w:val="single" w:color="auto" w:sz="4" w:space="0"/>
              <w:right w:val="single" w:color="auto" w:sz="4" w:space="0"/>
            </w:tcBorders>
            <w:vAlign w:val="center"/>
          </w:tcPr>
          <w:p w14:paraId="3BB3EFC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0103799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7D5D7CA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100≤X＜300</w:t>
            </w:r>
          </w:p>
        </w:tc>
        <w:tc>
          <w:tcPr>
            <w:tcW w:w="2013" w:type="dxa"/>
            <w:tcBorders>
              <w:top w:val="nil"/>
              <w:left w:val="nil"/>
              <w:bottom w:val="single" w:color="auto" w:sz="4" w:space="0"/>
              <w:right w:val="single" w:color="auto" w:sz="4" w:space="0"/>
            </w:tcBorders>
            <w:vAlign w:val="center"/>
          </w:tcPr>
          <w:p w14:paraId="0685411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10≤X＜100</w:t>
            </w:r>
          </w:p>
        </w:tc>
        <w:tc>
          <w:tcPr>
            <w:tcW w:w="1374" w:type="dxa"/>
            <w:tcBorders>
              <w:top w:val="nil"/>
              <w:left w:val="nil"/>
              <w:bottom w:val="single" w:color="auto" w:sz="4" w:space="0"/>
              <w:right w:val="single" w:color="auto" w:sz="4" w:space="0"/>
            </w:tcBorders>
            <w:vAlign w:val="center"/>
          </w:tcPr>
          <w:p w14:paraId="411DA8A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w:t>
            </w:r>
          </w:p>
        </w:tc>
      </w:tr>
      <w:tr w14:paraId="773779C1">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72E406DF">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30E89625">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65D4C9F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2F547E8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2000≤Y＜10000</w:t>
            </w:r>
          </w:p>
        </w:tc>
        <w:tc>
          <w:tcPr>
            <w:tcW w:w="2013" w:type="dxa"/>
            <w:tcBorders>
              <w:top w:val="nil"/>
              <w:left w:val="nil"/>
              <w:bottom w:val="single" w:color="auto" w:sz="4" w:space="0"/>
              <w:right w:val="single" w:color="auto" w:sz="4" w:space="0"/>
            </w:tcBorders>
            <w:vAlign w:val="center"/>
          </w:tcPr>
          <w:p w14:paraId="5787595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100≤Y＜2000</w:t>
            </w:r>
          </w:p>
        </w:tc>
        <w:tc>
          <w:tcPr>
            <w:tcW w:w="1374" w:type="dxa"/>
            <w:tcBorders>
              <w:top w:val="nil"/>
              <w:left w:val="nil"/>
              <w:bottom w:val="single" w:color="auto" w:sz="4" w:space="0"/>
              <w:right w:val="single" w:color="auto" w:sz="4" w:space="0"/>
            </w:tcBorders>
            <w:vAlign w:val="center"/>
          </w:tcPr>
          <w:p w14:paraId="7E7C077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w:t>
            </w:r>
          </w:p>
        </w:tc>
      </w:tr>
      <w:tr w14:paraId="14EAAA96">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2646E85C">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餐饮业</w:t>
            </w:r>
          </w:p>
        </w:tc>
        <w:tc>
          <w:tcPr>
            <w:tcW w:w="1680" w:type="dxa"/>
            <w:tcBorders>
              <w:top w:val="nil"/>
              <w:left w:val="nil"/>
              <w:bottom w:val="single" w:color="auto" w:sz="4" w:space="0"/>
              <w:right w:val="single" w:color="auto" w:sz="4" w:space="0"/>
            </w:tcBorders>
            <w:vAlign w:val="center"/>
          </w:tcPr>
          <w:p w14:paraId="094CE605">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6621041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1BA5C72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100≤X＜300</w:t>
            </w:r>
          </w:p>
        </w:tc>
        <w:tc>
          <w:tcPr>
            <w:tcW w:w="2013" w:type="dxa"/>
            <w:tcBorders>
              <w:top w:val="nil"/>
              <w:left w:val="nil"/>
              <w:bottom w:val="single" w:color="auto" w:sz="4" w:space="0"/>
              <w:right w:val="single" w:color="auto" w:sz="4" w:space="0"/>
            </w:tcBorders>
            <w:vAlign w:val="center"/>
          </w:tcPr>
          <w:p w14:paraId="41D53DB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10≤X＜100</w:t>
            </w:r>
          </w:p>
        </w:tc>
        <w:tc>
          <w:tcPr>
            <w:tcW w:w="1374" w:type="dxa"/>
            <w:tcBorders>
              <w:top w:val="nil"/>
              <w:left w:val="nil"/>
              <w:bottom w:val="single" w:color="auto" w:sz="4" w:space="0"/>
              <w:right w:val="single" w:color="auto" w:sz="4" w:space="0"/>
            </w:tcBorders>
            <w:vAlign w:val="center"/>
          </w:tcPr>
          <w:p w14:paraId="2CAD719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w:t>
            </w:r>
          </w:p>
        </w:tc>
      </w:tr>
      <w:tr w14:paraId="596FE4EE">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099EE6FB">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300FDE49">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6BCF6BB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0F64131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2000≤Y＜10000</w:t>
            </w:r>
          </w:p>
        </w:tc>
        <w:tc>
          <w:tcPr>
            <w:tcW w:w="2013" w:type="dxa"/>
            <w:tcBorders>
              <w:top w:val="nil"/>
              <w:left w:val="nil"/>
              <w:bottom w:val="single" w:color="auto" w:sz="4" w:space="0"/>
              <w:right w:val="single" w:color="auto" w:sz="4" w:space="0"/>
            </w:tcBorders>
            <w:vAlign w:val="center"/>
          </w:tcPr>
          <w:p w14:paraId="0D3E0BE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100≤Y＜2000</w:t>
            </w:r>
          </w:p>
        </w:tc>
        <w:tc>
          <w:tcPr>
            <w:tcW w:w="1374" w:type="dxa"/>
            <w:tcBorders>
              <w:top w:val="nil"/>
              <w:left w:val="nil"/>
              <w:bottom w:val="single" w:color="auto" w:sz="4" w:space="0"/>
              <w:right w:val="single" w:color="auto" w:sz="4" w:space="0"/>
            </w:tcBorders>
            <w:vAlign w:val="center"/>
          </w:tcPr>
          <w:p w14:paraId="205AE0D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w:t>
            </w:r>
          </w:p>
        </w:tc>
      </w:tr>
      <w:tr w14:paraId="3B5C5CDE">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34AE55FA">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信息传输业</w:t>
            </w:r>
          </w:p>
        </w:tc>
        <w:tc>
          <w:tcPr>
            <w:tcW w:w="1680" w:type="dxa"/>
            <w:tcBorders>
              <w:top w:val="nil"/>
              <w:left w:val="nil"/>
              <w:bottom w:val="single" w:color="auto" w:sz="4" w:space="0"/>
              <w:right w:val="single" w:color="auto" w:sz="4" w:space="0"/>
            </w:tcBorders>
            <w:vAlign w:val="center"/>
          </w:tcPr>
          <w:p w14:paraId="1F2537A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71D4E7B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0FCA66D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100≤X＜2000</w:t>
            </w:r>
          </w:p>
        </w:tc>
        <w:tc>
          <w:tcPr>
            <w:tcW w:w="2013" w:type="dxa"/>
            <w:tcBorders>
              <w:top w:val="nil"/>
              <w:left w:val="nil"/>
              <w:bottom w:val="single" w:color="auto" w:sz="4" w:space="0"/>
              <w:right w:val="single" w:color="auto" w:sz="4" w:space="0"/>
            </w:tcBorders>
            <w:vAlign w:val="center"/>
          </w:tcPr>
          <w:p w14:paraId="62D74C3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10≤X＜100</w:t>
            </w:r>
          </w:p>
        </w:tc>
        <w:tc>
          <w:tcPr>
            <w:tcW w:w="1374" w:type="dxa"/>
            <w:tcBorders>
              <w:top w:val="nil"/>
              <w:left w:val="nil"/>
              <w:bottom w:val="single" w:color="auto" w:sz="4" w:space="0"/>
              <w:right w:val="single" w:color="auto" w:sz="4" w:space="0"/>
            </w:tcBorders>
            <w:vAlign w:val="center"/>
          </w:tcPr>
          <w:p w14:paraId="7893060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w:t>
            </w:r>
          </w:p>
        </w:tc>
      </w:tr>
      <w:tr w14:paraId="1E39267D">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61638E62">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435A285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74CB145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2DD7E29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1000≤Y＜100000</w:t>
            </w:r>
          </w:p>
        </w:tc>
        <w:tc>
          <w:tcPr>
            <w:tcW w:w="2013" w:type="dxa"/>
            <w:tcBorders>
              <w:top w:val="nil"/>
              <w:left w:val="nil"/>
              <w:bottom w:val="single" w:color="auto" w:sz="4" w:space="0"/>
              <w:right w:val="single" w:color="auto" w:sz="4" w:space="0"/>
            </w:tcBorders>
            <w:vAlign w:val="center"/>
          </w:tcPr>
          <w:p w14:paraId="4E1C68F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100≤Y＜1000</w:t>
            </w:r>
          </w:p>
        </w:tc>
        <w:tc>
          <w:tcPr>
            <w:tcW w:w="1374" w:type="dxa"/>
            <w:tcBorders>
              <w:top w:val="nil"/>
              <w:left w:val="nil"/>
              <w:bottom w:val="single" w:color="auto" w:sz="4" w:space="0"/>
              <w:right w:val="single" w:color="auto" w:sz="4" w:space="0"/>
            </w:tcBorders>
            <w:vAlign w:val="center"/>
          </w:tcPr>
          <w:p w14:paraId="32F28DD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w:t>
            </w:r>
          </w:p>
        </w:tc>
      </w:tr>
      <w:tr w14:paraId="081829F4">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11863CAA">
            <w:pPr>
              <w:jc w:val="center"/>
              <w:rPr>
                <w:rFonts w:ascii="仿宋" w:hAnsi="仿宋" w:eastAsia="仿宋" w:cs="仿宋"/>
                <w:b/>
                <w:bCs/>
                <w:color w:val="auto"/>
                <w:sz w:val="18"/>
                <w:szCs w:val="18"/>
                <w:highlight w:val="none"/>
                <w:lang w:eastAsia="zh-CN"/>
              </w:rPr>
            </w:pPr>
            <w:r>
              <w:rPr>
                <w:rFonts w:hint="eastAsia" w:ascii="仿宋" w:hAnsi="仿宋" w:eastAsia="仿宋" w:cs="仿宋"/>
                <w:b/>
                <w:bCs/>
                <w:color w:val="auto"/>
                <w:sz w:val="18"/>
                <w:szCs w:val="18"/>
                <w:highlight w:val="none"/>
                <w:lang w:eastAsia="zh-CN"/>
              </w:rPr>
              <w:t>软件和信息技术服务业</w:t>
            </w:r>
          </w:p>
        </w:tc>
        <w:tc>
          <w:tcPr>
            <w:tcW w:w="1680" w:type="dxa"/>
            <w:tcBorders>
              <w:top w:val="nil"/>
              <w:left w:val="nil"/>
              <w:bottom w:val="single" w:color="auto" w:sz="4" w:space="0"/>
              <w:right w:val="single" w:color="auto" w:sz="4" w:space="0"/>
            </w:tcBorders>
            <w:vAlign w:val="center"/>
          </w:tcPr>
          <w:p w14:paraId="65D2028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44B7B46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5691D36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100≤X＜300</w:t>
            </w:r>
          </w:p>
        </w:tc>
        <w:tc>
          <w:tcPr>
            <w:tcW w:w="2013" w:type="dxa"/>
            <w:tcBorders>
              <w:top w:val="nil"/>
              <w:left w:val="nil"/>
              <w:bottom w:val="single" w:color="auto" w:sz="4" w:space="0"/>
              <w:right w:val="single" w:color="auto" w:sz="4" w:space="0"/>
            </w:tcBorders>
            <w:vAlign w:val="center"/>
          </w:tcPr>
          <w:p w14:paraId="3368D2E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10≤X＜100</w:t>
            </w:r>
          </w:p>
        </w:tc>
        <w:tc>
          <w:tcPr>
            <w:tcW w:w="1374" w:type="dxa"/>
            <w:tcBorders>
              <w:top w:val="nil"/>
              <w:left w:val="nil"/>
              <w:bottom w:val="single" w:color="auto" w:sz="4" w:space="0"/>
              <w:right w:val="single" w:color="auto" w:sz="4" w:space="0"/>
            </w:tcBorders>
            <w:vAlign w:val="center"/>
          </w:tcPr>
          <w:p w14:paraId="57703E7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w:t>
            </w:r>
          </w:p>
        </w:tc>
      </w:tr>
      <w:tr w14:paraId="6D19DEE3">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220E3243">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15AAE5C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583E721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6EABB1E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1000≤Y＜10000</w:t>
            </w:r>
          </w:p>
        </w:tc>
        <w:tc>
          <w:tcPr>
            <w:tcW w:w="2013" w:type="dxa"/>
            <w:tcBorders>
              <w:top w:val="nil"/>
              <w:left w:val="nil"/>
              <w:bottom w:val="single" w:color="auto" w:sz="4" w:space="0"/>
              <w:right w:val="single" w:color="auto" w:sz="4" w:space="0"/>
            </w:tcBorders>
            <w:vAlign w:val="center"/>
          </w:tcPr>
          <w:p w14:paraId="4BD59535">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50≤Y＜1000</w:t>
            </w:r>
          </w:p>
        </w:tc>
        <w:tc>
          <w:tcPr>
            <w:tcW w:w="1374" w:type="dxa"/>
            <w:tcBorders>
              <w:top w:val="nil"/>
              <w:left w:val="nil"/>
              <w:bottom w:val="single" w:color="auto" w:sz="4" w:space="0"/>
              <w:right w:val="single" w:color="auto" w:sz="4" w:space="0"/>
            </w:tcBorders>
            <w:vAlign w:val="center"/>
          </w:tcPr>
          <w:p w14:paraId="5BC9F07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Y＜50</w:t>
            </w:r>
          </w:p>
        </w:tc>
      </w:tr>
      <w:tr w14:paraId="5106D2B3">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1488A161">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房地产开发经营</w:t>
            </w:r>
          </w:p>
        </w:tc>
        <w:tc>
          <w:tcPr>
            <w:tcW w:w="1680" w:type="dxa"/>
            <w:tcBorders>
              <w:top w:val="nil"/>
              <w:left w:val="nil"/>
              <w:bottom w:val="single" w:color="auto" w:sz="4" w:space="0"/>
              <w:right w:val="single" w:color="auto" w:sz="4" w:space="0"/>
            </w:tcBorders>
            <w:vAlign w:val="center"/>
          </w:tcPr>
          <w:p w14:paraId="58A3C3E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1D9F6191">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066EB9B1">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1000≤Y＜200000</w:t>
            </w:r>
          </w:p>
        </w:tc>
        <w:tc>
          <w:tcPr>
            <w:tcW w:w="2013" w:type="dxa"/>
            <w:tcBorders>
              <w:top w:val="nil"/>
              <w:left w:val="nil"/>
              <w:bottom w:val="single" w:color="auto" w:sz="4" w:space="0"/>
              <w:right w:val="single" w:color="auto" w:sz="4" w:space="0"/>
            </w:tcBorders>
            <w:vAlign w:val="center"/>
          </w:tcPr>
          <w:p w14:paraId="60D66FC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100≤X＜1000</w:t>
            </w:r>
          </w:p>
        </w:tc>
        <w:tc>
          <w:tcPr>
            <w:tcW w:w="1374" w:type="dxa"/>
            <w:tcBorders>
              <w:top w:val="nil"/>
              <w:left w:val="nil"/>
              <w:bottom w:val="single" w:color="auto" w:sz="4" w:space="0"/>
              <w:right w:val="single" w:color="auto" w:sz="4" w:space="0"/>
            </w:tcBorders>
            <w:vAlign w:val="center"/>
          </w:tcPr>
          <w:p w14:paraId="1D89F849">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X＜100</w:t>
            </w:r>
          </w:p>
        </w:tc>
      </w:tr>
      <w:tr w14:paraId="418EF606">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0DCDF020">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3081BFF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资产总额（Z）</w:t>
            </w:r>
          </w:p>
        </w:tc>
        <w:tc>
          <w:tcPr>
            <w:tcW w:w="794" w:type="dxa"/>
            <w:tcBorders>
              <w:top w:val="nil"/>
              <w:left w:val="nil"/>
              <w:bottom w:val="single" w:color="auto" w:sz="4" w:space="0"/>
              <w:right w:val="single" w:color="auto" w:sz="4" w:space="0"/>
            </w:tcBorders>
            <w:vAlign w:val="center"/>
          </w:tcPr>
          <w:p w14:paraId="7CAE0D0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3C364BB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5000≤Z＜10000</w:t>
            </w:r>
          </w:p>
        </w:tc>
        <w:tc>
          <w:tcPr>
            <w:tcW w:w="2013" w:type="dxa"/>
            <w:tcBorders>
              <w:top w:val="nil"/>
              <w:left w:val="nil"/>
              <w:bottom w:val="single" w:color="auto" w:sz="4" w:space="0"/>
              <w:right w:val="single" w:color="auto" w:sz="4" w:space="0"/>
            </w:tcBorders>
            <w:vAlign w:val="center"/>
          </w:tcPr>
          <w:p w14:paraId="0A0274B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2000≤Y＜5000</w:t>
            </w:r>
          </w:p>
        </w:tc>
        <w:tc>
          <w:tcPr>
            <w:tcW w:w="1374" w:type="dxa"/>
            <w:tcBorders>
              <w:top w:val="nil"/>
              <w:left w:val="nil"/>
              <w:bottom w:val="single" w:color="auto" w:sz="4" w:space="0"/>
              <w:right w:val="single" w:color="auto" w:sz="4" w:space="0"/>
            </w:tcBorders>
            <w:vAlign w:val="center"/>
          </w:tcPr>
          <w:p w14:paraId="1B4502F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Y＜2000</w:t>
            </w:r>
          </w:p>
        </w:tc>
      </w:tr>
      <w:tr w14:paraId="0D79542D">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2481248A">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物业管理</w:t>
            </w:r>
          </w:p>
        </w:tc>
        <w:tc>
          <w:tcPr>
            <w:tcW w:w="1680" w:type="dxa"/>
            <w:tcBorders>
              <w:top w:val="nil"/>
              <w:left w:val="nil"/>
              <w:bottom w:val="single" w:color="auto" w:sz="4" w:space="0"/>
              <w:right w:val="single" w:color="auto" w:sz="4" w:space="0"/>
            </w:tcBorders>
            <w:vAlign w:val="center"/>
          </w:tcPr>
          <w:p w14:paraId="09638C3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4B07CC49">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0534FB5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300≤X＜1000</w:t>
            </w:r>
          </w:p>
        </w:tc>
        <w:tc>
          <w:tcPr>
            <w:tcW w:w="2013" w:type="dxa"/>
            <w:tcBorders>
              <w:top w:val="nil"/>
              <w:left w:val="nil"/>
              <w:bottom w:val="single" w:color="auto" w:sz="4" w:space="0"/>
              <w:right w:val="single" w:color="auto" w:sz="4" w:space="0"/>
            </w:tcBorders>
            <w:vAlign w:val="center"/>
          </w:tcPr>
          <w:p w14:paraId="5C9B04E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100≤X＜300</w:t>
            </w:r>
          </w:p>
        </w:tc>
        <w:tc>
          <w:tcPr>
            <w:tcW w:w="1374" w:type="dxa"/>
            <w:tcBorders>
              <w:top w:val="nil"/>
              <w:left w:val="nil"/>
              <w:bottom w:val="single" w:color="auto" w:sz="4" w:space="0"/>
              <w:right w:val="single" w:color="auto" w:sz="4" w:space="0"/>
            </w:tcBorders>
            <w:vAlign w:val="center"/>
          </w:tcPr>
          <w:p w14:paraId="4217287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X＜100</w:t>
            </w:r>
          </w:p>
        </w:tc>
      </w:tr>
      <w:tr w14:paraId="154CA28B">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029EF321">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26E1F5F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45A6727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1D82B06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1000≤Y＜5000</w:t>
            </w:r>
          </w:p>
        </w:tc>
        <w:tc>
          <w:tcPr>
            <w:tcW w:w="2013" w:type="dxa"/>
            <w:tcBorders>
              <w:top w:val="nil"/>
              <w:left w:val="nil"/>
              <w:bottom w:val="single" w:color="auto" w:sz="4" w:space="0"/>
              <w:right w:val="single" w:color="auto" w:sz="4" w:space="0"/>
            </w:tcBorders>
            <w:vAlign w:val="center"/>
          </w:tcPr>
          <w:p w14:paraId="39B713F9">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500≤Y＜1000</w:t>
            </w:r>
          </w:p>
        </w:tc>
        <w:tc>
          <w:tcPr>
            <w:tcW w:w="1374" w:type="dxa"/>
            <w:tcBorders>
              <w:top w:val="nil"/>
              <w:left w:val="nil"/>
              <w:bottom w:val="single" w:color="auto" w:sz="4" w:space="0"/>
              <w:right w:val="single" w:color="auto" w:sz="4" w:space="0"/>
            </w:tcBorders>
            <w:vAlign w:val="center"/>
          </w:tcPr>
          <w:p w14:paraId="3F86112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Y＜500</w:t>
            </w:r>
          </w:p>
        </w:tc>
      </w:tr>
      <w:tr w14:paraId="06A5F9A1">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380469C4">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租赁和商务服务业</w:t>
            </w:r>
          </w:p>
        </w:tc>
        <w:tc>
          <w:tcPr>
            <w:tcW w:w="1680" w:type="dxa"/>
            <w:tcBorders>
              <w:top w:val="nil"/>
              <w:left w:val="nil"/>
              <w:bottom w:val="single" w:color="auto" w:sz="4" w:space="0"/>
              <w:right w:val="single" w:color="auto" w:sz="4" w:space="0"/>
            </w:tcBorders>
            <w:vAlign w:val="center"/>
          </w:tcPr>
          <w:p w14:paraId="1C5A51A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4FFC530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1E09428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100≤X＜300</w:t>
            </w:r>
          </w:p>
        </w:tc>
        <w:tc>
          <w:tcPr>
            <w:tcW w:w="2013" w:type="dxa"/>
            <w:tcBorders>
              <w:top w:val="nil"/>
              <w:left w:val="nil"/>
              <w:bottom w:val="single" w:color="auto" w:sz="4" w:space="0"/>
              <w:right w:val="single" w:color="auto" w:sz="4" w:space="0"/>
            </w:tcBorders>
            <w:vAlign w:val="center"/>
          </w:tcPr>
          <w:p w14:paraId="644AF85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10≤X＜100</w:t>
            </w:r>
          </w:p>
        </w:tc>
        <w:tc>
          <w:tcPr>
            <w:tcW w:w="1374" w:type="dxa"/>
            <w:tcBorders>
              <w:top w:val="nil"/>
              <w:left w:val="nil"/>
              <w:bottom w:val="single" w:color="auto" w:sz="4" w:space="0"/>
              <w:right w:val="single" w:color="auto" w:sz="4" w:space="0"/>
            </w:tcBorders>
            <w:vAlign w:val="center"/>
          </w:tcPr>
          <w:p w14:paraId="2B26B2C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w:t>
            </w:r>
          </w:p>
        </w:tc>
      </w:tr>
      <w:tr w14:paraId="35B0A268">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28664DD6">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77C4D4F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资产总额（Z）</w:t>
            </w:r>
          </w:p>
        </w:tc>
        <w:tc>
          <w:tcPr>
            <w:tcW w:w="794" w:type="dxa"/>
            <w:tcBorders>
              <w:top w:val="nil"/>
              <w:left w:val="nil"/>
              <w:bottom w:val="single" w:color="auto" w:sz="4" w:space="0"/>
              <w:right w:val="single" w:color="auto" w:sz="4" w:space="0"/>
            </w:tcBorders>
            <w:vAlign w:val="center"/>
          </w:tcPr>
          <w:p w14:paraId="552C14B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1722FD9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8000≤Z＜120000</w:t>
            </w:r>
          </w:p>
        </w:tc>
        <w:tc>
          <w:tcPr>
            <w:tcW w:w="2013" w:type="dxa"/>
            <w:tcBorders>
              <w:top w:val="nil"/>
              <w:left w:val="nil"/>
              <w:bottom w:val="single" w:color="auto" w:sz="4" w:space="0"/>
              <w:right w:val="single" w:color="auto" w:sz="4" w:space="0"/>
            </w:tcBorders>
            <w:vAlign w:val="center"/>
          </w:tcPr>
          <w:p w14:paraId="3467F05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100≤Z＜8000</w:t>
            </w:r>
          </w:p>
        </w:tc>
        <w:tc>
          <w:tcPr>
            <w:tcW w:w="1374" w:type="dxa"/>
            <w:tcBorders>
              <w:top w:val="nil"/>
              <w:left w:val="nil"/>
              <w:bottom w:val="single" w:color="auto" w:sz="4" w:space="0"/>
              <w:right w:val="single" w:color="auto" w:sz="4" w:space="0"/>
            </w:tcBorders>
            <w:vAlign w:val="center"/>
          </w:tcPr>
          <w:p w14:paraId="127BE29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w:t>
            </w:r>
          </w:p>
        </w:tc>
      </w:tr>
      <w:tr w14:paraId="4283EAEF">
        <w:tblPrEx>
          <w:tblCellMar>
            <w:top w:w="0" w:type="dxa"/>
            <w:left w:w="108" w:type="dxa"/>
            <w:bottom w:w="0" w:type="dxa"/>
            <w:right w:w="108" w:type="dxa"/>
          </w:tblCellMar>
        </w:tblPrEx>
        <w:trPr>
          <w:trHeight w:val="317" w:hRule="atLeast"/>
        </w:trPr>
        <w:tc>
          <w:tcPr>
            <w:tcW w:w="1833" w:type="dxa"/>
            <w:tcBorders>
              <w:top w:val="nil"/>
              <w:left w:val="single" w:color="auto" w:sz="4" w:space="0"/>
              <w:bottom w:val="single" w:color="auto" w:sz="4" w:space="0"/>
              <w:right w:val="single" w:color="auto" w:sz="4" w:space="0"/>
            </w:tcBorders>
            <w:vAlign w:val="bottom"/>
          </w:tcPr>
          <w:p w14:paraId="54534AAB">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其他未列明行业</w:t>
            </w:r>
          </w:p>
        </w:tc>
        <w:tc>
          <w:tcPr>
            <w:tcW w:w="1680" w:type="dxa"/>
            <w:tcBorders>
              <w:top w:val="nil"/>
              <w:left w:val="nil"/>
              <w:bottom w:val="single" w:color="auto" w:sz="4" w:space="0"/>
              <w:right w:val="single" w:color="auto" w:sz="4" w:space="0"/>
            </w:tcBorders>
            <w:vAlign w:val="center"/>
          </w:tcPr>
          <w:p w14:paraId="1A6468A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190E883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5D8B468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100≤X＜300</w:t>
            </w:r>
          </w:p>
        </w:tc>
        <w:tc>
          <w:tcPr>
            <w:tcW w:w="2013" w:type="dxa"/>
            <w:tcBorders>
              <w:top w:val="nil"/>
              <w:left w:val="nil"/>
              <w:bottom w:val="single" w:color="auto" w:sz="4" w:space="0"/>
              <w:right w:val="single" w:color="auto" w:sz="4" w:space="0"/>
            </w:tcBorders>
            <w:vAlign w:val="center"/>
          </w:tcPr>
          <w:p w14:paraId="431E29A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10≤X＜100</w:t>
            </w:r>
          </w:p>
        </w:tc>
        <w:tc>
          <w:tcPr>
            <w:tcW w:w="1374" w:type="dxa"/>
            <w:tcBorders>
              <w:top w:val="nil"/>
              <w:left w:val="nil"/>
              <w:bottom w:val="single" w:color="auto" w:sz="4" w:space="0"/>
              <w:right w:val="single" w:color="auto" w:sz="4" w:space="0"/>
            </w:tcBorders>
            <w:vAlign w:val="center"/>
          </w:tcPr>
          <w:p w14:paraId="773189E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w:t>
            </w:r>
          </w:p>
        </w:tc>
      </w:tr>
    </w:tbl>
    <w:p w14:paraId="59D8BD72">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说明：上述标准参照《关于印发中小企业划型标准规定的通知》（工信部联企业[2011]300号），大型、中型和小型企业须同时满足所列指标的下限，否则下划一档；微型企业只须满足所列指标中的一项即可。</w:t>
      </w:r>
    </w:p>
    <w:p w14:paraId="6AE8AA75">
      <w:pPr>
        <w:rPr>
          <w:rFonts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208D918D">
      <w:pPr>
        <w:pStyle w:val="10"/>
        <w:spacing w:line="460" w:lineRule="exact"/>
        <w:jc w:val="center"/>
        <w:rPr>
          <w:b/>
          <w:color w:val="auto"/>
          <w:sz w:val="24"/>
          <w:szCs w:val="24"/>
          <w:highlight w:val="none"/>
          <w:lang w:eastAsia="zh-CN"/>
        </w:rPr>
      </w:pPr>
      <w:bookmarkStart w:id="237" w:name="_Toc109941772"/>
      <w:bookmarkStart w:id="238" w:name="_Toc130252627"/>
      <w:bookmarkStart w:id="239" w:name="_Toc109921165"/>
      <w:bookmarkStart w:id="240" w:name="_Toc110707972"/>
      <w:r>
        <w:rPr>
          <w:rFonts w:hint="eastAsia"/>
          <w:b/>
          <w:color w:val="auto"/>
          <w:sz w:val="24"/>
          <w:szCs w:val="24"/>
          <w:highlight w:val="none"/>
          <w:lang w:eastAsia="zh-CN"/>
        </w:rPr>
        <w:t>6.6无利害关系声明函</w:t>
      </w:r>
    </w:p>
    <w:p w14:paraId="72159002">
      <w:pPr>
        <w:pStyle w:val="10"/>
        <w:spacing w:line="460" w:lineRule="exact"/>
        <w:rPr>
          <w:color w:val="auto"/>
          <w:szCs w:val="24"/>
          <w:highlight w:val="none"/>
          <w:lang w:eastAsia="zh-CN"/>
        </w:rPr>
      </w:pPr>
    </w:p>
    <w:p w14:paraId="40428900">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我单位：（供应商名称） 在此承诺：</w:t>
      </w:r>
    </w:p>
    <w:p w14:paraId="538E8A9C">
      <w:pPr>
        <w:spacing w:line="360" w:lineRule="auto"/>
        <w:ind w:firstLine="480" w:firstLineChars="200"/>
        <w:rPr>
          <w:rFonts w:ascii="仿宋" w:hAnsi="仿宋" w:eastAsia="仿宋" w:cs="仿宋"/>
          <w:color w:val="auto"/>
          <w:sz w:val="24"/>
          <w:szCs w:val="24"/>
          <w:highlight w:val="none"/>
          <w:lang w:eastAsia="zh-CN"/>
        </w:rPr>
      </w:pPr>
    </w:p>
    <w:p w14:paraId="1E6852B3">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与采购人存在利害关系可能影响招标公正性的法人、其他组织或者个人，不得参加投标： </w:t>
      </w:r>
    </w:p>
    <w:p w14:paraId="23395035">
      <w:pPr>
        <w:spacing w:line="360" w:lineRule="auto"/>
        <w:ind w:firstLine="3112" w:firstLineChars="1297"/>
        <w:rPr>
          <w:rFonts w:ascii="仿宋" w:hAnsi="仿宋" w:eastAsia="仿宋" w:cs="仿宋"/>
          <w:color w:val="auto"/>
          <w:sz w:val="24"/>
          <w:szCs w:val="24"/>
          <w:highlight w:val="none"/>
          <w:lang w:eastAsia="zh-CN"/>
        </w:rPr>
      </w:pPr>
    </w:p>
    <w:p w14:paraId="68C6B70D">
      <w:pPr>
        <w:shd w:val="clear" w:color="auto" w:fill="FFFFFF"/>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2A695799">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2652554F">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3F9F918A">
      <w:pPr>
        <w:shd w:val="clear" w:color="auto" w:fill="FFFFFF"/>
        <w:spacing w:line="360" w:lineRule="auto"/>
        <w:ind w:firstLine="42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日期： 年  月  日</w:t>
      </w:r>
    </w:p>
    <w:p w14:paraId="679F2CCD">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14:paraId="6086B439">
      <w:pPr>
        <w:pStyle w:val="19"/>
        <w:rPr>
          <w:rFonts w:ascii="仿宋" w:hAnsi="仿宋" w:eastAsia="仿宋" w:cs="仿宋"/>
          <w:color w:val="auto"/>
          <w:highlight w:val="none"/>
          <w:lang w:eastAsia="zh-CN"/>
        </w:rPr>
      </w:pPr>
    </w:p>
    <w:p w14:paraId="2ABCE34C">
      <w:pPr>
        <w:spacing w:line="360" w:lineRule="auto"/>
        <w:ind w:firstLine="482" w:firstLineChars="200"/>
        <w:rPr>
          <w:rFonts w:ascii="仿宋" w:hAnsi="仿宋" w:eastAsia="仿宋" w:cs="仿宋"/>
          <w:b/>
          <w:bCs/>
          <w:color w:val="auto"/>
          <w:sz w:val="24"/>
          <w:szCs w:val="24"/>
          <w:highlight w:val="none"/>
          <w:lang w:eastAsia="zh-CN"/>
        </w:rPr>
      </w:pPr>
      <w:r>
        <w:rPr>
          <w:rFonts w:hint="eastAsia" w:ascii="仿宋" w:hAnsi="仿宋" w:eastAsia="仿宋" w:cs="仿宋"/>
          <w:b/>
          <w:color w:val="auto"/>
          <w:sz w:val="24"/>
          <w:szCs w:val="24"/>
          <w:highlight w:val="none"/>
          <w:lang w:eastAsia="zh-CN"/>
        </w:rPr>
        <w:t>6.7单位负责人为同一人或者存在直接控股、管理关系的不同供应商， 未同时参加本项目投标的声明、主要股东及出资人信息</w:t>
      </w:r>
    </w:p>
    <w:p w14:paraId="2B68A65D">
      <w:pPr>
        <w:spacing w:line="360" w:lineRule="auto"/>
        <w:ind w:firstLine="480" w:firstLineChars="20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声  明  函</w:t>
      </w:r>
    </w:p>
    <w:p w14:paraId="68C309C3">
      <w:pPr>
        <w:spacing w:line="360" w:lineRule="auto"/>
        <w:ind w:firstLine="480" w:firstLineChars="200"/>
        <w:rPr>
          <w:rFonts w:ascii="仿宋" w:hAnsi="仿宋" w:eastAsia="仿宋" w:cs="仿宋"/>
          <w:color w:val="auto"/>
          <w:sz w:val="24"/>
          <w:szCs w:val="24"/>
          <w:highlight w:val="none"/>
          <w:lang w:eastAsia="zh-CN"/>
        </w:rPr>
      </w:pPr>
    </w:p>
    <w:p w14:paraId="1D5A5EB9">
      <w:pPr>
        <w:spacing w:line="360" w:lineRule="auto"/>
        <w:ind w:firstLine="480" w:firstLineChars="200"/>
        <w:rPr>
          <w:rFonts w:ascii="仿宋" w:hAnsi="仿宋" w:eastAsia="仿宋" w:cs="仿宋"/>
          <w:color w:val="auto"/>
          <w:sz w:val="24"/>
          <w:szCs w:val="24"/>
          <w:highlight w:val="none"/>
          <w:lang w:eastAsia="zh-CN"/>
        </w:rPr>
      </w:pPr>
    </w:p>
    <w:p w14:paraId="2EF0B3BA">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本单位在参与</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bCs/>
          <w:color w:val="auto"/>
          <w:sz w:val="24"/>
          <w:szCs w:val="24"/>
          <w:highlight w:val="none"/>
          <w:lang w:eastAsia="zh-CN"/>
        </w:rPr>
        <w:t>标项名称</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项目采购过程中特作以下承诺：</w:t>
      </w:r>
    </w:p>
    <w:p w14:paraId="632BBC36">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我单位负责人为同一人或者存在直接控股、管理关系的不同供应商，未同时参加本项目投标，具体信息如下：</w:t>
      </w:r>
    </w:p>
    <w:p w14:paraId="1FE05510">
      <w:pPr>
        <w:spacing w:line="360" w:lineRule="auto"/>
        <w:ind w:firstLine="480" w:firstLineChars="200"/>
        <w:rPr>
          <w:rFonts w:ascii="仿宋" w:hAnsi="仿宋" w:eastAsia="仿宋" w:cs="仿宋"/>
          <w:color w:val="auto"/>
          <w:sz w:val="24"/>
          <w:szCs w:val="24"/>
          <w:highlight w:val="none"/>
          <w:lang w:eastAsia="zh-CN"/>
        </w:rPr>
      </w:pPr>
    </w:p>
    <w:tbl>
      <w:tblPr>
        <w:tblStyle w:val="3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05"/>
        <w:gridCol w:w="4323"/>
      </w:tblGrid>
      <w:tr w14:paraId="57E78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4205" w:type="dxa"/>
          </w:tcPr>
          <w:p w14:paraId="7C2BFA6F">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与本单位单位负责人为同一人的其他单位名单</w:t>
            </w:r>
          </w:p>
        </w:tc>
        <w:tc>
          <w:tcPr>
            <w:tcW w:w="4323" w:type="dxa"/>
          </w:tcPr>
          <w:p w14:paraId="3E337A4C">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请如实填写，没有请在本栏填写“无”</w:t>
            </w:r>
          </w:p>
        </w:tc>
      </w:tr>
      <w:tr w14:paraId="16F98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4205" w:type="dxa"/>
          </w:tcPr>
          <w:p w14:paraId="68298F73">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与本单位存在直接控股、管理关系的其他单位名单</w:t>
            </w:r>
          </w:p>
        </w:tc>
        <w:tc>
          <w:tcPr>
            <w:tcW w:w="4323" w:type="dxa"/>
          </w:tcPr>
          <w:p w14:paraId="1D7119DA">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请如实填写，没有请在本栏填写“无”</w:t>
            </w:r>
          </w:p>
        </w:tc>
      </w:tr>
    </w:tbl>
    <w:p w14:paraId="7E1619C7">
      <w:pPr>
        <w:spacing w:line="360" w:lineRule="auto"/>
        <w:ind w:firstLine="480" w:firstLineChars="200"/>
        <w:rPr>
          <w:rFonts w:ascii="仿宋" w:hAnsi="仿宋" w:eastAsia="仿宋" w:cs="仿宋"/>
          <w:color w:val="auto"/>
          <w:sz w:val="24"/>
          <w:szCs w:val="24"/>
          <w:highlight w:val="none"/>
          <w:lang w:eastAsia="zh-CN"/>
        </w:rPr>
      </w:pPr>
    </w:p>
    <w:p w14:paraId="30E7E553">
      <w:pPr>
        <w:spacing w:line="360" w:lineRule="auto"/>
        <w:ind w:firstLine="480" w:firstLineChars="200"/>
        <w:rPr>
          <w:rFonts w:ascii="仿宋" w:hAnsi="仿宋" w:eastAsia="仿宋" w:cs="仿宋"/>
          <w:color w:val="auto"/>
          <w:sz w:val="24"/>
          <w:szCs w:val="24"/>
          <w:highlight w:val="none"/>
          <w:lang w:eastAsia="zh-CN"/>
        </w:rPr>
      </w:pPr>
    </w:p>
    <w:p w14:paraId="4B55688F">
      <w:pPr>
        <w:spacing w:line="360" w:lineRule="auto"/>
        <w:ind w:firstLine="480" w:firstLineChars="200"/>
        <w:rPr>
          <w:rFonts w:ascii="仿宋" w:hAnsi="仿宋" w:eastAsia="仿宋" w:cs="仿宋"/>
          <w:color w:val="auto"/>
          <w:sz w:val="24"/>
          <w:szCs w:val="24"/>
          <w:highlight w:val="none"/>
          <w:lang w:eastAsia="zh-CN"/>
        </w:rPr>
      </w:pPr>
    </w:p>
    <w:p w14:paraId="269913C3">
      <w:pPr>
        <w:shd w:val="clear" w:color="auto" w:fill="FFFFFF"/>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5997E333">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32F400AF">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55CAF54B">
      <w:pPr>
        <w:shd w:val="clear" w:color="auto" w:fill="FFFFFF"/>
        <w:spacing w:line="360" w:lineRule="auto"/>
        <w:ind w:firstLine="42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日期： 年  月  日</w:t>
      </w:r>
    </w:p>
    <w:p w14:paraId="66310F2B">
      <w:pPr>
        <w:rPr>
          <w:rFonts w:ascii="仿宋" w:hAnsi="仿宋" w:eastAsia="仿宋" w:cs="仿宋"/>
          <w:color w:val="auto"/>
          <w:highlight w:val="none"/>
          <w:lang w:eastAsia="zh-CN"/>
        </w:rPr>
      </w:pPr>
    </w:p>
    <w:p w14:paraId="031FC50F">
      <w:pPr>
        <w:rPr>
          <w:rFonts w:ascii="仿宋" w:hAnsi="仿宋" w:eastAsia="仿宋" w:cs="仿宋"/>
          <w:color w:val="auto"/>
          <w:highlight w:val="none"/>
          <w:lang w:eastAsia="zh-CN"/>
        </w:rPr>
      </w:pPr>
    </w:p>
    <w:p w14:paraId="74D77B28">
      <w:pPr>
        <w:rPr>
          <w:rFonts w:ascii="仿宋" w:hAnsi="仿宋" w:eastAsia="仿宋" w:cs="仿宋"/>
          <w:b/>
          <w:color w:val="auto"/>
          <w:sz w:val="24"/>
          <w:szCs w:val="24"/>
          <w:highlight w:val="none"/>
          <w:lang w:eastAsia="zh-CN"/>
        </w:rPr>
      </w:pPr>
    </w:p>
    <w:p w14:paraId="099C9BE8">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14:paraId="5815CCC0">
      <w:pPr>
        <w:pStyle w:val="10"/>
        <w:spacing w:line="480" w:lineRule="exact"/>
        <w:jc w:val="center"/>
        <w:rPr>
          <w:b/>
          <w:bCs/>
          <w:color w:val="auto"/>
          <w:szCs w:val="24"/>
          <w:highlight w:val="none"/>
        </w:rPr>
      </w:pPr>
      <w:r>
        <w:rPr>
          <w:rFonts w:hint="eastAsia"/>
          <w:b/>
          <w:bCs/>
          <w:color w:val="auto"/>
          <w:szCs w:val="24"/>
          <w:highlight w:val="none"/>
        </w:rPr>
        <w:t>主要股东及出资人信息</w:t>
      </w:r>
    </w:p>
    <w:p w14:paraId="575CC7CD">
      <w:pPr>
        <w:rPr>
          <w:rFonts w:ascii="仿宋" w:hAnsi="仿宋" w:eastAsia="仿宋" w:cs="仿宋"/>
          <w:color w:val="auto"/>
          <w:sz w:val="24"/>
          <w:szCs w:val="24"/>
          <w:highlight w:val="none"/>
        </w:rPr>
      </w:pPr>
    </w:p>
    <w:p w14:paraId="1D69EC73">
      <w:pPr>
        <w:pStyle w:val="10"/>
        <w:rPr>
          <w:color w:val="auto"/>
          <w:szCs w:val="24"/>
          <w:highlight w:val="none"/>
        </w:rPr>
      </w:pPr>
    </w:p>
    <w:tbl>
      <w:tblPr>
        <w:tblStyle w:val="26"/>
        <w:tblW w:w="905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20"/>
        <w:gridCol w:w="2284"/>
        <w:gridCol w:w="1228"/>
        <w:gridCol w:w="1453"/>
        <w:gridCol w:w="1365"/>
        <w:gridCol w:w="727"/>
      </w:tblGrid>
      <w:tr w14:paraId="0016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75" w:type="dxa"/>
            <w:vAlign w:val="center"/>
          </w:tcPr>
          <w:p w14:paraId="03A0BD9D">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20" w:type="dxa"/>
            <w:vAlign w:val="center"/>
          </w:tcPr>
          <w:p w14:paraId="4896EE9A">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p w14:paraId="614C571F">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2284" w:type="dxa"/>
            <w:vAlign w:val="center"/>
          </w:tcPr>
          <w:p w14:paraId="48B71D8C">
            <w:pPr>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统一社会信用代码（身份证号）</w:t>
            </w:r>
          </w:p>
        </w:tc>
        <w:tc>
          <w:tcPr>
            <w:tcW w:w="1228" w:type="dxa"/>
            <w:vAlign w:val="center"/>
          </w:tcPr>
          <w:p w14:paraId="33F5632B">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出资方式</w:t>
            </w:r>
          </w:p>
        </w:tc>
        <w:tc>
          <w:tcPr>
            <w:tcW w:w="1453" w:type="dxa"/>
            <w:vAlign w:val="center"/>
          </w:tcPr>
          <w:p w14:paraId="67EA4442">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出资金额（万元）</w:t>
            </w:r>
          </w:p>
        </w:tc>
        <w:tc>
          <w:tcPr>
            <w:tcW w:w="1365" w:type="dxa"/>
            <w:vAlign w:val="center"/>
          </w:tcPr>
          <w:p w14:paraId="21497770">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占全部股份比列</w:t>
            </w:r>
          </w:p>
        </w:tc>
        <w:tc>
          <w:tcPr>
            <w:tcW w:w="727" w:type="dxa"/>
            <w:vAlign w:val="center"/>
          </w:tcPr>
          <w:p w14:paraId="1A77C6E7">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2AA3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tcPr>
          <w:p w14:paraId="70263BE3">
            <w:pPr>
              <w:spacing w:line="360" w:lineRule="auto"/>
              <w:ind w:firstLine="645"/>
              <w:rPr>
                <w:rFonts w:ascii="仿宋" w:hAnsi="仿宋" w:eastAsia="仿宋" w:cs="仿宋"/>
                <w:color w:val="auto"/>
                <w:sz w:val="24"/>
                <w:szCs w:val="24"/>
                <w:highlight w:val="none"/>
              </w:rPr>
            </w:pPr>
          </w:p>
        </w:tc>
        <w:tc>
          <w:tcPr>
            <w:tcW w:w="1320" w:type="dxa"/>
          </w:tcPr>
          <w:p w14:paraId="05D46A02">
            <w:pPr>
              <w:spacing w:line="360" w:lineRule="auto"/>
              <w:ind w:firstLine="645"/>
              <w:rPr>
                <w:rFonts w:ascii="仿宋" w:hAnsi="仿宋" w:eastAsia="仿宋" w:cs="仿宋"/>
                <w:color w:val="auto"/>
                <w:sz w:val="24"/>
                <w:szCs w:val="24"/>
                <w:highlight w:val="none"/>
              </w:rPr>
            </w:pPr>
          </w:p>
        </w:tc>
        <w:tc>
          <w:tcPr>
            <w:tcW w:w="2284" w:type="dxa"/>
          </w:tcPr>
          <w:p w14:paraId="40F3771D">
            <w:pPr>
              <w:spacing w:line="360" w:lineRule="auto"/>
              <w:ind w:firstLine="645"/>
              <w:rPr>
                <w:rFonts w:ascii="仿宋" w:hAnsi="仿宋" w:eastAsia="仿宋" w:cs="仿宋"/>
                <w:color w:val="auto"/>
                <w:sz w:val="24"/>
                <w:szCs w:val="24"/>
                <w:highlight w:val="none"/>
              </w:rPr>
            </w:pPr>
          </w:p>
        </w:tc>
        <w:tc>
          <w:tcPr>
            <w:tcW w:w="1228" w:type="dxa"/>
          </w:tcPr>
          <w:p w14:paraId="572D69B4">
            <w:pPr>
              <w:spacing w:line="360" w:lineRule="auto"/>
              <w:ind w:firstLine="645"/>
              <w:rPr>
                <w:rFonts w:ascii="仿宋" w:hAnsi="仿宋" w:eastAsia="仿宋" w:cs="仿宋"/>
                <w:color w:val="auto"/>
                <w:sz w:val="24"/>
                <w:szCs w:val="24"/>
                <w:highlight w:val="none"/>
              </w:rPr>
            </w:pPr>
          </w:p>
        </w:tc>
        <w:tc>
          <w:tcPr>
            <w:tcW w:w="1453" w:type="dxa"/>
          </w:tcPr>
          <w:p w14:paraId="043CF3E3">
            <w:pPr>
              <w:spacing w:line="360" w:lineRule="auto"/>
              <w:ind w:firstLine="645"/>
              <w:rPr>
                <w:rFonts w:ascii="仿宋" w:hAnsi="仿宋" w:eastAsia="仿宋" w:cs="仿宋"/>
                <w:color w:val="auto"/>
                <w:sz w:val="24"/>
                <w:szCs w:val="24"/>
                <w:highlight w:val="none"/>
              </w:rPr>
            </w:pPr>
          </w:p>
        </w:tc>
        <w:tc>
          <w:tcPr>
            <w:tcW w:w="1365" w:type="dxa"/>
          </w:tcPr>
          <w:p w14:paraId="3165089C">
            <w:pPr>
              <w:spacing w:line="360" w:lineRule="auto"/>
              <w:ind w:firstLine="645"/>
              <w:rPr>
                <w:rFonts w:ascii="仿宋" w:hAnsi="仿宋" w:eastAsia="仿宋" w:cs="仿宋"/>
                <w:color w:val="auto"/>
                <w:sz w:val="24"/>
                <w:szCs w:val="24"/>
                <w:highlight w:val="none"/>
              </w:rPr>
            </w:pPr>
          </w:p>
        </w:tc>
        <w:tc>
          <w:tcPr>
            <w:tcW w:w="727" w:type="dxa"/>
          </w:tcPr>
          <w:p w14:paraId="0C08048B">
            <w:pPr>
              <w:spacing w:line="360" w:lineRule="auto"/>
              <w:ind w:firstLine="645"/>
              <w:rPr>
                <w:rFonts w:ascii="仿宋" w:hAnsi="仿宋" w:eastAsia="仿宋" w:cs="仿宋"/>
                <w:color w:val="auto"/>
                <w:sz w:val="24"/>
                <w:szCs w:val="24"/>
                <w:highlight w:val="none"/>
              </w:rPr>
            </w:pPr>
          </w:p>
        </w:tc>
      </w:tr>
      <w:tr w14:paraId="6406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tcPr>
          <w:p w14:paraId="4A69E877">
            <w:pPr>
              <w:spacing w:line="360" w:lineRule="auto"/>
              <w:ind w:firstLine="645"/>
              <w:rPr>
                <w:rFonts w:ascii="仿宋" w:hAnsi="仿宋" w:eastAsia="仿宋" w:cs="仿宋"/>
                <w:color w:val="auto"/>
                <w:sz w:val="24"/>
                <w:szCs w:val="24"/>
                <w:highlight w:val="none"/>
              </w:rPr>
            </w:pPr>
          </w:p>
        </w:tc>
        <w:tc>
          <w:tcPr>
            <w:tcW w:w="1320" w:type="dxa"/>
          </w:tcPr>
          <w:p w14:paraId="5C07EF0D">
            <w:pPr>
              <w:spacing w:line="360" w:lineRule="auto"/>
              <w:ind w:firstLine="645"/>
              <w:rPr>
                <w:rFonts w:ascii="仿宋" w:hAnsi="仿宋" w:eastAsia="仿宋" w:cs="仿宋"/>
                <w:color w:val="auto"/>
                <w:sz w:val="24"/>
                <w:szCs w:val="24"/>
                <w:highlight w:val="none"/>
              </w:rPr>
            </w:pPr>
          </w:p>
        </w:tc>
        <w:tc>
          <w:tcPr>
            <w:tcW w:w="2284" w:type="dxa"/>
          </w:tcPr>
          <w:p w14:paraId="376AAD0D">
            <w:pPr>
              <w:spacing w:line="360" w:lineRule="auto"/>
              <w:ind w:firstLine="645"/>
              <w:rPr>
                <w:rFonts w:ascii="仿宋" w:hAnsi="仿宋" w:eastAsia="仿宋" w:cs="仿宋"/>
                <w:color w:val="auto"/>
                <w:sz w:val="24"/>
                <w:szCs w:val="24"/>
                <w:highlight w:val="none"/>
              </w:rPr>
            </w:pPr>
          </w:p>
        </w:tc>
        <w:tc>
          <w:tcPr>
            <w:tcW w:w="1228" w:type="dxa"/>
          </w:tcPr>
          <w:p w14:paraId="127D91B5">
            <w:pPr>
              <w:spacing w:line="360" w:lineRule="auto"/>
              <w:ind w:firstLine="645"/>
              <w:rPr>
                <w:rFonts w:ascii="仿宋" w:hAnsi="仿宋" w:eastAsia="仿宋" w:cs="仿宋"/>
                <w:color w:val="auto"/>
                <w:sz w:val="24"/>
                <w:szCs w:val="24"/>
                <w:highlight w:val="none"/>
              </w:rPr>
            </w:pPr>
          </w:p>
        </w:tc>
        <w:tc>
          <w:tcPr>
            <w:tcW w:w="1453" w:type="dxa"/>
          </w:tcPr>
          <w:p w14:paraId="764B9941">
            <w:pPr>
              <w:spacing w:line="360" w:lineRule="auto"/>
              <w:ind w:firstLine="645"/>
              <w:rPr>
                <w:rFonts w:ascii="仿宋" w:hAnsi="仿宋" w:eastAsia="仿宋" w:cs="仿宋"/>
                <w:color w:val="auto"/>
                <w:sz w:val="24"/>
                <w:szCs w:val="24"/>
                <w:highlight w:val="none"/>
              </w:rPr>
            </w:pPr>
          </w:p>
        </w:tc>
        <w:tc>
          <w:tcPr>
            <w:tcW w:w="1365" w:type="dxa"/>
          </w:tcPr>
          <w:p w14:paraId="4D433DE9">
            <w:pPr>
              <w:spacing w:line="360" w:lineRule="auto"/>
              <w:ind w:firstLine="645"/>
              <w:rPr>
                <w:rFonts w:ascii="仿宋" w:hAnsi="仿宋" w:eastAsia="仿宋" w:cs="仿宋"/>
                <w:color w:val="auto"/>
                <w:sz w:val="24"/>
                <w:szCs w:val="24"/>
                <w:highlight w:val="none"/>
              </w:rPr>
            </w:pPr>
          </w:p>
        </w:tc>
        <w:tc>
          <w:tcPr>
            <w:tcW w:w="727" w:type="dxa"/>
          </w:tcPr>
          <w:p w14:paraId="27AAF1AE">
            <w:pPr>
              <w:spacing w:line="360" w:lineRule="auto"/>
              <w:ind w:firstLine="645"/>
              <w:rPr>
                <w:rFonts w:ascii="仿宋" w:hAnsi="仿宋" w:eastAsia="仿宋" w:cs="仿宋"/>
                <w:color w:val="auto"/>
                <w:sz w:val="24"/>
                <w:szCs w:val="24"/>
                <w:highlight w:val="none"/>
              </w:rPr>
            </w:pPr>
          </w:p>
        </w:tc>
      </w:tr>
      <w:tr w14:paraId="559F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tcPr>
          <w:p w14:paraId="6748B91C">
            <w:pPr>
              <w:spacing w:line="360" w:lineRule="auto"/>
              <w:ind w:firstLine="645"/>
              <w:rPr>
                <w:rFonts w:ascii="仿宋" w:hAnsi="仿宋" w:eastAsia="仿宋" w:cs="仿宋"/>
                <w:color w:val="auto"/>
                <w:sz w:val="24"/>
                <w:szCs w:val="24"/>
                <w:highlight w:val="none"/>
              </w:rPr>
            </w:pPr>
          </w:p>
        </w:tc>
        <w:tc>
          <w:tcPr>
            <w:tcW w:w="1320" w:type="dxa"/>
          </w:tcPr>
          <w:p w14:paraId="6BF24A60">
            <w:pPr>
              <w:spacing w:line="360" w:lineRule="auto"/>
              <w:ind w:firstLine="645"/>
              <w:rPr>
                <w:rFonts w:ascii="仿宋" w:hAnsi="仿宋" w:eastAsia="仿宋" w:cs="仿宋"/>
                <w:color w:val="auto"/>
                <w:sz w:val="24"/>
                <w:szCs w:val="24"/>
                <w:highlight w:val="none"/>
              </w:rPr>
            </w:pPr>
          </w:p>
        </w:tc>
        <w:tc>
          <w:tcPr>
            <w:tcW w:w="2284" w:type="dxa"/>
          </w:tcPr>
          <w:p w14:paraId="491C3199">
            <w:pPr>
              <w:spacing w:line="360" w:lineRule="auto"/>
              <w:ind w:firstLine="645"/>
              <w:rPr>
                <w:rFonts w:ascii="仿宋" w:hAnsi="仿宋" w:eastAsia="仿宋" w:cs="仿宋"/>
                <w:color w:val="auto"/>
                <w:sz w:val="24"/>
                <w:szCs w:val="24"/>
                <w:highlight w:val="none"/>
              </w:rPr>
            </w:pPr>
          </w:p>
        </w:tc>
        <w:tc>
          <w:tcPr>
            <w:tcW w:w="1228" w:type="dxa"/>
          </w:tcPr>
          <w:p w14:paraId="59A783A3">
            <w:pPr>
              <w:spacing w:line="360" w:lineRule="auto"/>
              <w:ind w:firstLine="645"/>
              <w:rPr>
                <w:rFonts w:ascii="仿宋" w:hAnsi="仿宋" w:eastAsia="仿宋" w:cs="仿宋"/>
                <w:color w:val="auto"/>
                <w:sz w:val="24"/>
                <w:szCs w:val="24"/>
                <w:highlight w:val="none"/>
              </w:rPr>
            </w:pPr>
          </w:p>
        </w:tc>
        <w:tc>
          <w:tcPr>
            <w:tcW w:w="1453" w:type="dxa"/>
          </w:tcPr>
          <w:p w14:paraId="0A71E1E1">
            <w:pPr>
              <w:spacing w:line="360" w:lineRule="auto"/>
              <w:ind w:firstLine="645"/>
              <w:rPr>
                <w:rFonts w:ascii="仿宋" w:hAnsi="仿宋" w:eastAsia="仿宋" w:cs="仿宋"/>
                <w:color w:val="auto"/>
                <w:sz w:val="24"/>
                <w:szCs w:val="24"/>
                <w:highlight w:val="none"/>
              </w:rPr>
            </w:pPr>
          </w:p>
        </w:tc>
        <w:tc>
          <w:tcPr>
            <w:tcW w:w="1365" w:type="dxa"/>
          </w:tcPr>
          <w:p w14:paraId="4DF32A29">
            <w:pPr>
              <w:spacing w:line="360" w:lineRule="auto"/>
              <w:ind w:firstLine="645"/>
              <w:rPr>
                <w:rFonts w:ascii="仿宋" w:hAnsi="仿宋" w:eastAsia="仿宋" w:cs="仿宋"/>
                <w:color w:val="auto"/>
                <w:sz w:val="24"/>
                <w:szCs w:val="24"/>
                <w:highlight w:val="none"/>
              </w:rPr>
            </w:pPr>
          </w:p>
        </w:tc>
        <w:tc>
          <w:tcPr>
            <w:tcW w:w="727" w:type="dxa"/>
          </w:tcPr>
          <w:p w14:paraId="04A5544B">
            <w:pPr>
              <w:spacing w:line="360" w:lineRule="auto"/>
              <w:ind w:firstLine="645"/>
              <w:rPr>
                <w:rFonts w:ascii="仿宋" w:hAnsi="仿宋" w:eastAsia="仿宋" w:cs="仿宋"/>
                <w:color w:val="auto"/>
                <w:sz w:val="24"/>
                <w:szCs w:val="24"/>
                <w:highlight w:val="none"/>
              </w:rPr>
            </w:pPr>
          </w:p>
        </w:tc>
      </w:tr>
      <w:tr w14:paraId="516A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tcPr>
          <w:p w14:paraId="626D21F2">
            <w:pPr>
              <w:spacing w:line="360" w:lineRule="auto"/>
              <w:ind w:firstLine="645"/>
              <w:rPr>
                <w:rFonts w:ascii="仿宋" w:hAnsi="仿宋" w:eastAsia="仿宋" w:cs="仿宋"/>
                <w:color w:val="auto"/>
                <w:sz w:val="24"/>
                <w:szCs w:val="24"/>
                <w:highlight w:val="none"/>
              </w:rPr>
            </w:pPr>
          </w:p>
        </w:tc>
        <w:tc>
          <w:tcPr>
            <w:tcW w:w="1320" w:type="dxa"/>
          </w:tcPr>
          <w:p w14:paraId="0FBC2433">
            <w:pPr>
              <w:spacing w:line="360" w:lineRule="auto"/>
              <w:ind w:firstLine="645"/>
              <w:rPr>
                <w:rFonts w:ascii="仿宋" w:hAnsi="仿宋" w:eastAsia="仿宋" w:cs="仿宋"/>
                <w:color w:val="auto"/>
                <w:sz w:val="24"/>
                <w:szCs w:val="24"/>
                <w:highlight w:val="none"/>
              </w:rPr>
            </w:pPr>
          </w:p>
        </w:tc>
        <w:tc>
          <w:tcPr>
            <w:tcW w:w="2284" w:type="dxa"/>
          </w:tcPr>
          <w:p w14:paraId="3FC55F7E">
            <w:pPr>
              <w:spacing w:line="360" w:lineRule="auto"/>
              <w:ind w:firstLine="645"/>
              <w:rPr>
                <w:rFonts w:ascii="仿宋" w:hAnsi="仿宋" w:eastAsia="仿宋" w:cs="仿宋"/>
                <w:color w:val="auto"/>
                <w:sz w:val="24"/>
                <w:szCs w:val="24"/>
                <w:highlight w:val="none"/>
              </w:rPr>
            </w:pPr>
          </w:p>
        </w:tc>
        <w:tc>
          <w:tcPr>
            <w:tcW w:w="1228" w:type="dxa"/>
          </w:tcPr>
          <w:p w14:paraId="11ED29A3">
            <w:pPr>
              <w:spacing w:line="360" w:lineRule="auto"/>
              <w:ind w:firstLine="645"/>
              <w:rPr>
                <w:rFonts w:ascii="仿宋" w:hAnsi="仿宋" w:eastAsia="仿宋" w:cs="仿宋"/>
                <w:color w:val="auto"/>
                <w:sz w:val="24"/>
                <w:szCs w:val="24"/>
                <w:highlight w:val="none"/>
              </w:rPr>
            </w:pPr>
          </w:p>
        </w:tc>
        <w:tc>
          <w:tcPr>
            <w:tcW w:w="1453" w:type="dxa"/>
          </w:tcPr>
          <w:p w14:paraId="526302EB">
            <w:pPr>
              <w:spacing w:line="360" w:lineRule="auto"/>
              <w:ind w:firstLine="645"/>
              <w:rPr>
                <w:rFonts w:ascii="仿宋" w:hAnsi="仿宋" w:eastAsia="仿宋" w:cs="仿宋"/>
                <w:color w:val="auto"/>
                <w:sz w:val="24"/>
                <w:szCs w:val="24"/>
                <w:highlight w:val="none"/>
              </w:rPr>
            </w:pPr>
          </w:p>
        </w:tc>
        <w:tc>
          <w:tcPr>
            <w:tcW w:w="1365" w:type="dxa"/>
          </w:tcPr>
          <w:p w14:paraId="3B73CDC2">
            <w:pPr>
              <w:spacing w:line="360" w:lineRule="auto"/>
              <w:ind w:firstLine="645"/>
              <w:rPr>
                <w:rFonts w:ascii="仿宋" w:hAnsi="仿宋" w:eastAsia="仿宋" w:cs="仿宋"/>
                <w:color w:val="auto"/>
                <w:sz w:val="24"/>
                <w:szCs w:val="24"/>
                <w:highlight w:val="none"/>
              </w:rPr>
            </w:pPr>
          </w:p>
        </w:tc>
        <w:tc>
          <w:tcPr>
            <w:tcW w:w="727" w:type="dxa"/>
          </w:tcPr>
          <w:p w14:paraId="64A963E4">
            <w:pPr>
              <w:spacing w:line="360" w:lineRule="auto"/>
              <w:ind w:firstLine="645"/>
              <w:rPr>
                <w:rFonts w:ascii="仿宋" w:hAnsi="仿宋" w:eastAsia="仿宋" w:cs="仿宋"/>
                <w:color w:val="auto"/>
                <w:sz w:val="24"/>
                <w:szCs w:val="24"/>
                <w:highlight w:val="none"/>
              </w:rPr>
            </w:pPr>
          </w:p>
        </w:tc>
      </w:tr>
      <w:tr w14:paraId="6BC0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tcPr>
          <w:p w14:paraId="6BD70A8C">
            <w:pPr>
              <w:spacing w:line="360" w:lineRule="auto"/>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320" w:type="dxa"/>
          </w:tcPr>
          <w:p w14:paraId="33BC8A55">
            <w:pPr>
              <w:spacing w:line="360" w:lineRule="auto"/>
              <w:ind w:firstLine="645"/>
              <w:rPr>
                <w:rFonts w:ascii="仿宋" w:hAnsi="仿宋" w:eastAsia="仿宋" w:cs="仿宋"/>
                <w:color w:val="auto"/>
                <w:sz w:val="24"/>
                <w:szCs w:val="24"/>
                <w:highlight w:val="none"/>
              </w:rPr>
            </w:pPr>
          </w:p>
        </w:tc>
        <w:tc>
          <w:tcPr>
            <w:tcW w:w="2284" w:type="dxa"/>
          </w:tcPr>
          <w:p w14:paraId="6313A0E4">
            <w:pPr>
              <w:spacing w:line="360" w:lineRule="auto"/>
              <w:ind w:firstLine="645"/>
              <w:rPr>
                <w:rFonts w:ascii="仿宋" w:hAnsi="仿宋" w:eastAsia="仿宋" w:cs="仿宋"/>
                <w:color w:val="auto"/>
                <w:sz w:val="24"/>
                <w:szCs w:val="24"/>
                <w:highlight w:val="none"/>
              </w:rPr>
            </w:pPr>
          </w:p>
        </w:tc>
        <w:tc>
          <w:tcPr>
            <w:tcW w:w="1228" w:type="dxa"/>
          </w:tcPr>
          <w:p w14:paraId="031025A5">
            <w:pPr>
              <w:spacing w:line="360" w:lineRule="auto"/>
              <w:ind w:firstLine="645"/>
              <w:rPr>
                <w:rFonts w:ascii="仿宋" w:hAnsi="仿宋" w:eastAsia="仿宋" w:cs="仿宋"/>
                <w:color w:val="auto"/>
                <w:sz w:val="24"/>
                <w:szCs w:val="24"/>
                <w:highlight w:val="none"/>
              </w:rPr>
            </w:pPr>
          </w:p>
        </w:tc>
        <w:tc>
          <w:tcPr>
            <w:tcW w:w="1453" w:type="dxa"/>
          </w:tcPr>
          <w:p w14:paraId="1D80E41D">
            <w:pPr>
              <w:spacing w:line="360" w:lineRule="auto"/>
              <w:ind w:firstLine="645"/>
              <w:rPr>
                <w:rFonts w:ascii="仿宋" w:hAnsi="仿宋" w:eastAsia="仿宋" w:cs="仿宋"/>
                <w:color w:val="auto"/>
                <w:sz w:val="24"/>
                <w:szCs w:val="24"/>
                <w:highlight w:val="none"/>
              </w:rPr>
            </w:pPr>
          </w:p>
        </w:tc>
        <w:tc>
          <w:tcPr>
            <w:tcW w:w="1365" w:type="dxa"/>
          </w:tcPr>
          <w:p w14:paraId="74BBF6B7">
            <w:pPr>
              <w:spacing w:line="360" w:lineRule="auto"/>
              <w:ind w:firstLine="645"/>
              <w:rPr>
                <w:rFonts w:ascii="仿宋" w:hAnsi="仿宋" w:eastAsia="仿宋" w:cs="仿宋"/>
                <w:color w:val="auto"/>
                <w:sz w:val="24"/>
                <w:szCs w:val="24"/>
                <w:highlight w:val="none"/>
              </w:rPr>
            </w:pPr>
          </w:p>
        </w:tc>
        <w:tc>
          <w:tcPr>
            <w:tcW w:w="727" w:type="dxa"/>
          </w:tcPr>
          <w:p w14:paraId="69F4B494">
            <w:pPr>
              <w:spacing w:line="360" w:lineRule="auto"/>
              <w:ind w:firstLine="645"/>
              <w:rPr>
                <w:rFonts w:ascii="仿宋" w:hAnsi="仿宋" w:eastAsia="仿宋" w:cs="仿宋"/>
                <w:color w:val="auto"/>
                <w:sz w:val="24"/>
                <w:szCs w:val="24"/>
                <w:highlight w:val="none"/>
              </w:rPr>
            </w:pPr>
          </w:p>
        </w:tc>
      </w:tr>
    </w:tbl>
    <w:p w14:paraId="5117DD88">
      <w:pPr>
        <w:spacing w:line="360" w:lineRule="auto"/>
        <w:ind w:firstLine="645"/>
        <w:rPr>
          <w:rFonts w:ascii="仿宋" w:hAnsi="仿宋" w:eastAsia="仿宋" w:cs="仿宋"/>
          <w:color w:val="auto"/>
          <w:sz w:val="24"/>
          <w:szCs w:val="24"/>
          <w:highlight w:val="none"/>
        </w:rPr>
      </w:pPr>
    </w:p>
    <w:p w14:paraId="1B9A7D34">
      <w:pPr>
        <w:spacing w:line="360" w:lineRule="auto"/>
        <w:ind w:firstLine="645"/>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我方承诺，以上信息真实可靠，如填报的股东出资额、出资比例等与实际不符，视为放弃中标资格。</w:t>
      </w:r>
    </w:p>
    <w:p w14:paraId="10C202B8">
      <w:pPr>
        <w:spacing w:line="360" w:lineRule="auto"/>
        <w:ind w:firstLine="645"/>
        <w:rPr>
          <w:rFonts w:ascii="仿宋" w:hAnsi="仿宋" w:eastAsia="仿宋" w:cs="仿宋"/>
          <w:color w:val="auto"/>
          <w:sz w:val="24"/>
          <w:szCs w:val="24"/>
          <w:highlight w:val="none"/>
          <w:lang w:eastAsia="zh-CN"/>
        </w:rPr>
      </w:pPr>
    </w:p>
    <w:p w14:paraId="7DEF039D">
      <w:pPr>
        <w:spacing w:line="360" w:lineRule="auto"/>
        <w:ind w:firstLine="645"/>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备注：</w:t>
      </w:r>
    </w:p>
    <w:p w14:paraId="556A95C5">
      <w:pPr>
        <w:spacing w:line="360" w:lineRule="auto"/>
        <w:ind w:firstLine="645"/>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1.主要股东或出资人为法人的，填写法人全称及统一社会信用代码（尚未办理三证合一的填写组织机构代码）；为自然人的，填写自然人姓名和身份证号。</w:t>
      </w:r>
    </w:p>
    <w:p w14:paraId="75008A71">
      <w:pPr>
        <w:spacing w:line="360" w:lineRule="auto"/>
        <w:ind w:firstLine="645"/>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2.出资方式填写货币、实物、工艺产权和非专利技术、土地使用权等。</w:t>
      </w:r>
    </w:p>
    <w:p w14:paraId="30CC1620">
      <w:pPr>
        <w:spacing w:line="360" w:lineRule="auto"/>
        <w:ind w:firstLine="645"/>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3.投标供应商应按照占全部股份比例从大到小依次逐个股东填写，股东数量多于10个的，填写前10名，不足10个的全部填写。</w:t>
      </w:r>
    </w:p>
    <w:p w14:paraId="207993E2">
      <w:pPr>
        <w:shd w:val="clear" w:color="auto" w:fill="FFFFFF"/>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732AF8CD">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5297B70C">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21563AD3">
      <w:pPr>
        <w:shd w:val="clear" w:color="auto" w:fill="FFFFFF"/>
        <w:spacing w:line="360" w:lineRule="auto"/>
        <w:ind w:firstLine="42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日期： 年  月  日</w:t>
      </w:r>
    </w:p>
    <w:p w14:paraId="041B86F9">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14:paraId="2F15BB86">
      <w:pPr>
        <w:spacing w:line="360" w:lineRule="auto"/>
        <w:ind w:firstLine="482" w:firstLineChars="200"/>
        <w:jc w:val="center"/>
        <w:rPr>
          <w:rFonts w:ascii="仿宋" w:hAnsi="仿宋" w:eastAsia="仿宋" w:cs="仿宋"/>
          <w:b/>
          <w:color w:val="auto"/>
          <w:sz w:val="24"/>
          <w:szCs w:val="24"/>
          <w:highlight w:val="none"/>
          <w:lang w:eastAsia="zh-CN"/>
        </w:rPr>
      </w:pPr>
      <w:bookmarkStart w:id="241" w:name="_Toc30231"/>
      <w:r>
        <w:rPr>
          <w:rFonts w:hint="eastAsia" w:ascii="仿宋" w:hAnsi="仿宋" w:eastAsia="仿宋" w:cs="仿宋"/>
          <w:b/>
          <w:color w:val="auto"/>
          <w:sz w:val="24"/>
          <w:szCs w:val="24"/>
          <w:highlight w:val="none"/>
          <w:lang w:eastAsia="zh-CN"/>
        </w:rPr>
        <w:t>七、供应商近年类似项目情况表</w:t>
      </w:r>
      <w:bookmarkEnd w:id="237"/>
      <w:bookmarkEnd w:id="238"/>
      <w:bookmarkEnd w:id="239"/>
      <w:bookmarkEnd w:id="240"/>
      <w:bookmarkEnd w:id="241"/>
    </w:p>
    <w:p w14:paraId="6FC7DEF1">
      <w:pPr>
        <w:spacing w:line="360" w:lineRule="auto"/>
        <w:rPr>
          <w:rFonts w:ascii="仿宋" w:hAnsi="仿宋" w:eastAsia="仿宋" w:cs="仿宋"/>
          <w:color w:val="auto"/>
          <w:sz w:val="24"/>
          <w:szCs w:val="24"/>
          <w:highlight w:val="none"/>
          <w:lang w:eastAsia="zh-CN"/>
        </w:rPr>
      </w:pP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7"/>
        <w:gridCol w:w="1233"/>
        <w:gridCol w:w="963"/>
        <w:gridCol w:w="1922"/>
        <w:gridCol w:w="1212"/>
        <w:gridCol w:w="1232"/>
        <w:gridCol w:w="1232"/>
        <w:gridCol w:w="795"/>
      </w:tblGrid>
      <w:tr w14:paraId="28135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61C0A688">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33" w:type="dxa"/>
          </w:tcPr>
          <w:p w14:paraId="36C1874C">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963" w:type="dxa"/>
          </w:tcPr>
          <w:p w14:paraId="39704AEC">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1922" w:type="dxa"/>
          </w:tcPr>
          <w:p w14:paraId="23F7112F">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采购人联系方式</w:t>
            </w:r>
          </w:p>
        </w:tc>
        <w:tc>
          <w:tcPr>
            <w:tcW w:w="1212" w:type="dxa"/>
          </w:tcPr>
          <w:p w14:paraId="585AFC8F">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合同内容</w:t>
            </w:r>
          </w:p>
        </w:tc>
        <w:tc>
          <w:tcPr>
            <w:tcW w:w="1232" w:type="dxa"/>
          </w:tcPr>
          <w:p w14:paraId="3597D48A">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合同价格</w:t>
            </w:r>
          </w:p>
        </w:tc>
        <w:tc>
          <w:tcPr>
            <w:tcW w:w="1232" w:type="dxa"/>
          </w:tcPr>
          <w:p w14:paraId="1CC17CC4">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签约日期</w:t>
            </w:r>
          </w:p>
        </w:tc>
        <w:tc>
          <w:tcPr>
            <w:tcW w:w="795" w:type="dxa"/>
          </w:tcPr>
          <w:p w14:paraId="45DC1B62">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5187B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0806E64E">
            <w:pPr>
              <w:rPr>
                <w:rFonts w:ascii="仿宋" w:hAnsi="仿宋" w:eastAsia="仿宋" w:cs="仿宋"/>
                <w:color w:val="auto"/>
                <w:sz w:val="24"/>
                <w:szCs w:val="24"/>
                <w:highlight w:val="none"/>
              </w:rPr>
            </w:pPr>
          </w:p>
        </w:tc>
        <w:tc>
          <w:tcPr>
            <w:tcW w:w="1233" w:type="dxa"/>
          </w:tcPr>
          <w:p w14:paraId="0BBDFC15">
            <w:pPr>
              <w:rPr>
                <w:rFonts w:ascii="仿宋" w:hAnsi="仿宋" w:eastAsia="仿宋" w:cs="仿宋"/>
                <w:color w:val="auto"/>
                <w:sz w:val="24"/>
                <w:szCs w:val="24"/>
                <w:highlight w:val="none"/>
              </w:rPr>
            </w:pPr>
          </w:p>
        </w:tc>
        <w:tc>
          <w:tcPr>
            <w:tcW w:w="963" w:type="dxa"/>
          </w:tcPr>
          <w:p w14:paraId="127C5885">
            <w:pPr>
              <w:rPr>
                <w:rFonts w:ascii="仿宋" w:hAnsi="仿宋" w:eastAsia="仿宋" w:cs="仿宋"/>
                <w:color w:val="auto"/>
                <w:sz w:val="24"/>
                <w:szCs w:val="24"/>
                <w:highlight w:val="none"/>
              </w:rPr>
            </w:pPr>
          </w:p>
        </w:tc>
        <w:tc>
          <w:tcPr>
            <w:tcW w:w="1922" w:type="dxa"/>
          </w:tcPr>
          <w:p w14:paraId="475CA435">
            <w:pPr>
              <w:rPr>
                <w:rFonts w:ascii="仿宋" w:hAnsi="仿宋" w:eastAsia="仿宋" w:cs="仿宋"/>
                <w:color w:val="auto"/>
                <w:sz w:val="24"/>
                <w:szCs w:val="24"/>
                <w:highlight w:val="none"/>
              </w:rPr>
            </w:pPr>
          </w:p>
        </w:tc>
        <w:tc>
          <w:tcPr>
            <w:tcW w:w="1212" w:type="dxa"/>
          </w:tcPr>
          <w:p w14:paraId="48146071">
            <w:pPr>
              <w:rPr>
                <w:rFonts w:ascii="仿宋" w:hAnsi="仿宋" w:eastAsia="仿宋" w:cs="仿宋"/>
                <w:color w:val="auto"/>
                <w:sz w:val="24"/>
                <w:szCs w:val="24"/>
                <w:highlight w:val="none"/>
              </w:rPr>
            </w:pPr>
          </w:p>
        </w:tc>
        <w:tc>
          <w:tcPr>
            <w:tcW w:w="1232" w:type="dxa"/>
          </w:tcPr>
          <w:p w14:paraId="50C4AB10">
            <w:pPr>
              <w:rPr>
                <w:rFonts w:ascii="仿宋" w:hAnsi="仿宋" w:eastAsia="仿宋" w:cs="仿宋"/>
                <w:color w:val="auto"/>
                <w:sz w:val="24"/>
                <w:szCs w:val="24"/>
                <w:highlight w:val="none"/>
              </w:rPr>
            </w:pPr>
          </w:p>
        </w:tc>
        <w:tc>
          <w:tcPr>
            <w:tcW w:w="1232" w:type="dxa"/>
          </w:tcPr>
          <w:p w14:paraId="23E360C0">
            <w:pPr>
              <w:rPr>
                <w:rFonts w:ascii="仿宋" w:hAnsi="仿宋" w:eastAsia="仿宋" w:cs="仿宋"/>
                <w:color w:val="auto"/>
                <w:sz w:val="24"/>
                <w:szCs w:val="24"/>
                <w:highlight w:val="none"/>
              </w:rPr>
            </w:pPr>
          </w:p>
        </w:tc>
        <w:tc>
          <w:tcPr>
            <w:tcW w:w="795" w:type="dxa"/>
          </w:tcPr>
          <w:p w14:paraId="65037AB7">
            <w:pPr>
              <w:rPr>
                <w:rFonts w:ascii="仿宋" w:hAnsi="仿宋" w:eastAsia="仿宋" w:cs="仿宋"/>
                <w:color w:val="auto"/>
                <w:sz w:val="24"/>
                <w:szCs w:val="24"/>
                <w:highlight w:val="none"/>
              </w:rPr>
            </w:pPr>
          </w:p>
        </w:tc>
      </w:tr>
      <w:tr w14:paraId="5BCD5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5F8E528A">
            <w:pPr>
              <w:rPr>
                <w:rFonts w:ascii="仿宋" w:hAnsi="仿宋" w:eastAsia="仿宋" w:cs="仿宋"/>
                <w:color w:val="auto"/>
                <w:sz w:val="24"/>
                <w:szCs w:val="24"/>
                <w:highlight w:val="none"/>
              </w:rPr>
            </w:pPr>
          </w:p>
        </w:tc>
        <w:tc>
          <w:tcPr>
            <w:tcW w:w="1233" w:type="dxa"/>
          </w:tcPr>
          <w:p w14:paraId="7201545E">
            <w:pPr>
              <w:rPr>
                <w:rFonts w:ascii="仿宋" w:hAnsi="仿宋" w:eastAsia="仿宋" w:cs="仿宋"/>
                <w:color w:val="auto"/>
                <w:sz w:val="24"/>
                <w:szCs w:val="24"/>
                <w:highlight w:val="none"/>
              </w:rPr>
            </w:pPr>
          </w:p>
        </w:tc>
        <w:tc>
          <w:tcPr>
            <w:tcW w:w="963" w:type="dxa"/>
          </w:tcPr>
          <w:p w14:paraId="380E8AFE">
            <w:pPr>
              <w:rPr>
                <w:rFonts w:ascii="仿宋" w:hAnsi="仿宋" w:eastAsia="仿宋" w:cs="仿宋"/>
                <w:color w:val="auto"/>
                <w:sz w:val="24"/>
                <w:szCs w:val="24"/>
                <w:highlight w:val="none"/>
              </w:rPr>
            </w:pPr>
          </w:p>
        </w:tc>
        <w:tc>
          <w:tcPr>
            <w:tcW w:w="1922" w:type="dxa"/>
          </w:tcPr>
          <w:p w14:paraId="20F6FAE2">
            <w:pPr>
              <w:rPr>
                <w:rFonts w:ascii="仿宋" w:hAnsi="仿宋" w:eastAsia="仿宋" w:cs="仿宋"/>
                <w:color w:val="auto"/>
                <w:sz w:val="24"/>
                <w:szCs w:val="24"/>
                <w:highlight w:val="none"/>
              </w:rPr>
            </w:pPr>
          </w:p>
        </w:tc>
        <w:tc>
          <w:tcPr>
            <w:tcW w:w="1212" w:type="dxa"/>
          </w:tcPr>
          <w:p w14:paraId="3E0363F4">
            <w:pPr>
              <w:rPr>
                <w:rFonts w:ascii="仿宋" w:hAnsi="仿宋" w:eastAsia="仿宋" w:cs="仿宋"/>
                <w:color w:val="auto"/>
                <w:sz w:val="24"/>
                <w:szCs w:val="24"/>
                <w:highlight w:val="none"/>
              </w:rPr>
            </w:pPr>
          </w:p>
        </w:tc>
        <w:tc>
          <w:tcPr>
            <w:tcW w:w="1232" w:type="dxa"/>
          </w:tcPr>
          <w:p w14:paraId="231E55CB">
            <w:pPr>
              <w:rPr>
                <w:rFonts w:ascii="仿宋" w:hAnsi="仿宋" w:eastAsia="仿宋" w:cs="仿宋"/>
                <w:color w:val="auto"/>
                <w:sz w:val="24"/>
                <w:szCs w:val="24"/>
                <w:highlight w:val="none"/>
              </w:rPr>
            </w:pPr>
          </w:p>
        </w:tc>
        <w:tc>
          <w:tcPr>
            <w:tcW w:w="1232" w:type="dxa"/>
          </w:tcPr>
          <w:p w14:paraId="5DCE1187">
            <w:pPr>
              <w:rPr>
                <w:rFonts w:ascii="仿宋" w:hAnsi="仿宋" w:eastAsia="仿宋" w:cs="仿宋"/>
                <w:color w:val="auto"/>
                <w:sz w:val="24"/>
                <w:szCs w:val="24"/>
                <w:highlight w:val="none"/>
              </w:rPr>
            </w:pPr>
          </w:p>
        </w:tc>
        <w:tc>
          <w:tcPr>
            <w:tcW w:w="795" w:type="dxa"/>
          </w:tcPr>
          <w:p w14:paraId="45835E81">
            <w:pPr>
              <w:rPr>
                <w:rFonts w:ascii="仿宋" w:hAnsi="仿宋" w:eastAsia="仿宋" w:cs="仿宋"/>
                <w:color w:val="auto"/>
                <w:sz w:val="24"/>
                <w:szCs w:val="24"/>
                <w:highlight w:val="none"/>
              </w:rPr>
            </w:pPr>
          </w:p>
        </w:tc>
      </w:tr>
      <w:tr w14:paraId="21D1A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7037238D">
            <w:pPr>
              <w:rPr>
                <w:rFonts w:ascii="仿宋" w:hAnsi="仿宋" w:eastAsia="仿宋" w:cs="仿宋"/>
                <w:color w:val="auto"/>
                <w:sz w:val="24"/>
                <w:szCs w:val="24"/>
                <w:highlight w:val="none"/>
              </w:rPr>
            </w:pPr>
          </w:p>
        </w:tc>
        <w:tc>
          <w:tcPr>
            <w:tcW w:w="1233" w:type="dxa"/>
          </w:tcPr>
          <w:p w14:paraId="0E5BC279">
            <w:pPr>
              <w:rPr>
                <w:rFonts w:ascii="仿宋" w:hAnsi="仿宋" w:eastAsia="仿宋" w:cs="仿宋"/>
                <w:color w:val="auto"/>
                <w:sz w:val="24"/>
                <w:szCs w:val="24"/>
                <w:highlight w:val="none"/>
              </w:rPr>
            </w:pPr>
          </w:p>
        </w:tc>
        <w:tc>
          <w:tcPr>
            <w:tcW w:w="963" w:type="dxa"/>
          </w:tcPr>
          <w:p w14:paraId="71406529">
            <w:pPr>
              <w:rPr>
                <w:rFonts w:ascii="仿宋" w:hAnsi="仿宋" w:eastAsia="仿宋" w:cs="仿宋"/>
                <w:color w:val="auto"/>
                <w:sz w:val="24"/>
                <w:szCs w:val="24"/>
                <w:highlight w:val="none"/>
              </w:rPr>
            </w:pPr>
          </w:p>
        </w:tc>
        <w:tc>
          <w:tcPr>
            <w:tcW w:w="1922" w:type="dxa"/>
          </w:tcPr>
          <w:p w14:paraId="4E75C17E">
            <w:pPr>
              <w:rPr>
                <w:rFonts w:ascii="仿宋" w:hAnsi="仿宋" w:eastAsia="仿宋" w:cs="仿宋"/>
                <w:color w:val="auto"/>
                <w:sz w:val="24"/>
                <w:szCs w:val="24"/>
                <w:highlight w:val="none"/>
              </w:rPr>
            </w:pPr>
          </w:p>
        </w:tc>
        <w:tc>
          <w:tcPr>
            <w:tcW w:w="1212" w:type="dxa"/>
          </w:tcPr>
          <w:p w14:paraId="168CD252">
            <w:pPr>
              <w:rPr>
                <w:rFonts w:ascii="仿宋" w:hAnsi="仿宋" w:eastAsia="仿宋" w:cs="仿宋"/>
                <w:color w:val="auto"/>
                <w:sz w:val="24"/>
                <w:szCs w:val="24"/>
                <w:highlight w:val="none"/>
              </w:rPr>
            </w:pPr>
          </w:p>
        </w:tc>
        <w:tc>
          <w:tcPr>
            <w:tcW w:w="1232" w:type="dxa"/>
          </w:tcPr>
          <w:p w14:paraId="336D5B92">
            <w:pPr>
              <w:rPr>
                <w:rFonts w:ascii="仿宋" w:hAnsi="仿宋" w:eastAsia="仿宋" w:cs="仿宋"/>
                <w:color w:val="auto"/>
                <w:sz w:val="24"/>
                <w:szCs w:val="24"/>
                <w:highlight w:val="none"/>
              </w:rPr>
            </w:pPr>
          </w:p>
        </w:tc>
        <w:tc>
          <w:tcPr>
            <w:tcW w:w="1232" w:type="dxa"/>
          </w:tcPr>
          <w:p w14:paraId="055ECA55">
            <w:pPr>
              <w:rPr>
                <w:rFonts w:ascii="仿宋" w:hAnsi="仿宋" w:eastAsia="仿宋" w:cs="仿宋"/>
                <w:color w:val="auto"/>
                <w:sz w:val="24"/>
                <w:szCs w:val="24"/>
                <w:highlight w:val="none"/>
              </w:rPr>
            </w:pPr>
          </w:p>
        </w:tc>
        <w:tc>
          <w:tcPr>
            <w:tcW w:w="795" w:type="dxa"/>
          </w:tcPr>
          <w:p w14:paraId="2084CDA3">
            <w:pPr>
              <w:rPr>
                <w:rFonts w:ascii="仿宋" w:hAnsi="仿宋" w:eastAsia="仿宋" w:cs="仿宋"/>
                <w:color w:val="auto"/>
                <w:sz w:val="24"/>
                <w:szCs w:val="24"/>
                <w:highlight w:val="none"/>
              </w:rPr>
            </w:pPr>
          </w:p>
        </w:tc>
      </w:tr>
      <w:tr w14:paraId="66D14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02FBD637">
            <w:pPr>
              <w:rPr>
                <w:rFonts w:ascii="仿宋" w:hAnsi="仿宋" w:eastAsia="仿宋" w:cs="仿宋"/>
                <w:color w:val="auto"/>
                <w:sz w:val="24"/>
                <w:szCs w:val="24"/>
                <w:highlight w:val="none"/>
              </w:rPr>
            </w:pPr>
          </w:p>
        </w:tc>
        <w:tc>
          <w:tcPr>
            <w:tcW w:w="1233" w:type="dxa"/>
          </w:tcPr>
          <w:p w14:paraId="1255B29B">
            <w:pPr>
              <w:rPr>
                <w:rFonts w:ascii="仿宋" w:hAnsi="仿宋" w:eastAsia="仿宋" w:cs="仿宋"/>
                <w:color w:val="auto"/>
                <w:sz w:val="24"/>
                <w:szCs w:val="24"/>
                <w:highlight w:val="none"/>
              </w:rPr>
            </w:pPr>
          </w:p>
        </w:tc>
        <w:tc>
          <w:tcPr>
            <w:tcW w:w="963" w:type="dxa"/>
          </w:tcPr>
          <w:p w14:paraId="7CB1A7BE">
            <w:pPr>
              <w:rPr>
                <w:rFonts w:ascii="仿宋" w:hAnsi="仿宋" w:eastAsia="仿宋" w:cs="仿宋"/>
                <w:color w:val="auto"/>
                <w:sz w:val="24"/>
                <w:szCs w:val="24"/>
                <w:highlight w:val="none"/>
              </w:rPr>
            </w:pPr>
          </w:p>
        </w:tc>
        <w:tc>
          <w:tcPr>
            <w:tcW w:w="1922" w:type="dxa"/>
          </w:tcPr>
          <w:p w14:paraId="467D2726">
            <w:pPr>
              <w:rPr>
                <w:rFonts w:ascii="仿宋" w:hAnsi="仿宋" w:eastAsia="仿宋" w:cs="仿宋"/>
                <w:color w:val="auto"/>
                <w:sz w:val="24"/>
                <w:szCs w:val="24"/>
                <w:highlight w:val="none"/>
              </w:rPr>
            </w:pPr>
          </w:p>
        </w:tc>
        <w:tc>
          <w:tcPr>
            <w:tcW w:w="1212" w:type="dxa"/>
          </w:tcPr>
          <w:p w14:paraId="4A53B1B3">
            <w:pPr>
              <w:rPr>
                <w:rFonts w:ascii="仿宋" w:hAnsi="仿宋" w:eastAsia="仿宋" w:cs="仿宋"/>
                <w:color w:val="auto"/>
                <w:sz w:val="24"/>
                <w:szCs w:val="24"/>
                <w:highlight w:val="none"/>
              </w:rPr>
            </w:pPr>
          </w:p>
        </w:tc>
        <w:tc>
          <w:tcPr>
            <w:tcW w:w="1232" w:type="dxa"/>
          </w:tcPr>
          <w:p w14:paraId="07D4F227">
            <w:pPr>
              <w:rPr>
                <w:rFonts w:ascii="仿宋" w:hAnsi="仿宋" w:eastAsia="仿宋" w:cs="仿宋"/>
                <w:color w:val="auto"/>
                <w:sz w:val="24"/>
                <w:szCs w:val="24"/>
                <w:highlight w:val="none"/>
              </w:rPr>
            </w:pPr>
          </w:p>
        </w:tc>
        <w:tc>
          <w:tcPr>
            <w:tcW w:w="1232" w:type="dxa"/>
          </w:tcPr>
          <w:p w14:paraId="0F5A78A5">
            <w:pPr>
              <w:rPr>
                <w:rFonts w:ascii="仿宋" w:hAnsi="仿宋" w:eastAsia="仿宋" w:cs="仿宋"/>
                <w:color w:val="auto"/>
                <w:sz w:val="24"/>
                <w:szCs w:val="24"/>
                <w:highlight w:val="none"/>
              </w:rPr>
            </w:pPr>
          </w:p>
        </w:tc>
        <w:tc>
          <w:tcPr>
            <w:tcW w:w="795" w:type="dxa"/>
          </w:tcPr>
          <w:p w14:paraId="1CD30771">
            <w:pPr>
              <w:rPr>
                <w:rFonts w:ascii="仿宋" w:hAnsi="仿宋" w:eastAsia="仿宋" w:cs="仿宋"/>
                <w:color w:val="auto"/>
                <w:sz w:val="24"/>
                <w:szCs w:val="24"/>
                <w:highlight w:val="none"/>
              </w:rPr>
            </w:pPr>
          </w:p>
        </w:tc>
      </w:tr>
      <w:tr w14:paraId="700D7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05C5F7F0">
            <w:pPr>
              <w:rPr>
                <w:rFonts w:ascii="仿宋" w:hAnsi="仿宋" w:eastAsia="仿宋" w:cs="仿宋"/>
                <w:color w:val="auto"/>
                <w:sz w:val="24"/>
                <w:szCs w:val="24"/>
                <w:highlight w:val="none"/>
              </w:rPr>
            </w:pPr>
          </w:p>
        </w:tc>
        <w:tc>
          <w:tcPr>
            <w:tcW w:w="1233" w:type="dxa"/>
          </w:tcPr>
          <w:p w14:paraId="16C5642B">
            <w:pPr>
              <w:rPr>
                <w:rFonts w:ascii="仿宋" w:hAnsi="仿宋" w:eastAsia="仿宋" w:cs="仿宋"/>
                <w:color w:val="auto"/>
                <w:sz w:val="24"/>
                <w:szCs w:val="24"/>
                <w:highlight w:val="none"/>
              </w:rPr>
            </w:pPr>
          </w:p>
        </w:tc>
        <w:tc>
          <w:tcPr>
            <w:tcW w:w="963" w:type="dxa"/>
          </w:tcPr>
          <w:p w14:paraId="2DA07F05">
            <w:pPr>
              <w:rPr>
                <w:rFonts w:ascii="仿宋" w:hAnsi="仿宋" w:eastAsia="仿宋" w:cs="仿宋"/>
                <w:color w:val="auto"/>
                <w:sz w:val="24"/>
                <w:szCs w:val="24"/>
                <w:highlight w:val="none"/>
              </w:rPr>
            </w:pPr>
          </w:p>
        </w:tc>
        <w:tc>
          <w:tcPr>
            <w:tcW w:w="1922" w:type="dxa"/>
          </w:tcPr>
          <w:p w14:paraId="01359B8B">
            <w:pPr>
              <w:rPr>
                <w:rFonts w:ascii="仿宋" w:hAnsi="仿宋" w:eastAsia="仿宋" w:cs="仿宋"/>
                <w:color w:val="auto"/>
                <w:sz w:val="24"/>
                <w:szCs w:val="24"/>
                <w:highlight w:val="none"/>
              </w:rPr>
            </w:pPr>
          </w:p>
        </w:tc>
        <w:tc>
          <w:tcPr>
            <w:tcW w:w="1212" w:type="dxa"/>
          </w:tcPr>
          <w:p w14:paraId="009CC3DF">
            <w:pPr>
              <w:rPr>
                <w:rFonts w:ascii="仿宋" w:hAnsi="仿宋" w:eastAsia="仿宋" w:cs="仿宋"/>
                <w:color w:val="auto"/>
                <w:sz w:val="24"/>
                <w:szCs w:val="24"/>
                <w:highlight w:val="none"/>
              </w:rPr>
            </w:pPr>
          </w:p>
        </w:tc>
        <w:tc>
          <w:tcPr>
            <w:tcW w:w="1232" w:type="dxa"/>
          </w:tcPr>
          <w:p w14:paraId="1912E11C">
            <w:pPr>
              <w:rPr>
                <w:rFonts w:ascii="仿宋" w:hAnsi="仿宋" w:eastAsia="仿宋" w:cs="仿宋"/>
                <w:color w:val="auto"/>
                <w:sz w:val="24"/>
                <w:szCs w:val="24"/>
                <w:highlight w:val="none"/>
              </w:rPr>
            </w:pPr>
          </w:p>
        </w:tc>
        <w:tc>
          <w:tcPr>
            <w:tcW w:w="1232" w:type="dxa"/>
          </w:tcPr>
          <w:p w14:paraId="0452BCC3">
            <w:pPr>
              <w:rPr>
                <w:rFonts w:ascii="仿宋" w:hAnsi="仿宋" w:eastAsia="仿宋" w:cs="仿宋"/>
                <w:color w:val="auto"/>
                <w:sz w:val="24"/>
                <w:szCs w:val="24"/>
                <w:highlight w:val="none"/>
              </w:rPr>
            </w:pPr>
          </w:p>
        </w:tc>
        <w:tc>
          <w:tcPr>
            <w:tcW w:w="795" w:type="dxa"/>
          </w:tcPr>
          <w:p w14:paraId="752037E7">
            <w:pPr>
              <w:rPr>
                <w:rFonts w:ascii="仿宋" w:hAnsi="仿宋" w:eastAsia="仿宋" w:cs="仿宋"/>
                <w:color w:val="auto"/>
                <w:sz w:val="24"/>
                <w:szCs w:val="24"/>
                <w:highlight w:val="none"/>
              </w:rPr>
            </w:pPr>
          </w:p>
        </w:tc>
      </w:tr>
    </w:tbl>
    <w:p w14:paraId="50A04B09">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附相关证明材料；</w:t>
      </w:r>
      <w:r>
        <w:rPr>
          <w:rFonts w:hint="eastAsia" w:ascii="仿宋" w:hAnsi="仿宋" w:eastAsia="仿宋" w:cs="仿宋"/>
          <w:color w:val="auto"/>
          <w:sz w:val="24"/>
          <w:szCs w:val="24"/>
          <w:highlight w:val="none"/>
        </w:rPr>
        <w:br w:type="page"/>
      </w:r>
    </w:p>
    <w:p w14:paraId="306B7435">
      <w:pPr>
        <w:tabs>
          <w:tab w:val="center" w:pos="4832"/>
          <w:tab w:val="left" w:pos="7140"/>
        </w:tabs>
        <w:spacing w:line="360" w:lineRule="auto"/>
        <w:jc w:val="center"/>
        <w:outlineLvl w:val="1"/>
        <w:rPr>
          <w:rFonts w:ascii="仿宋" w:hAnsi="仿宋" w:eastAsia="仿宋" w:cs="仿宋"/>
          <w:b/>
          <w:bCs/>
          <w:color w:val="auto"/>
          <w:sz w:val="24"/>
          <w:szCs w:val="24"/>
          <w:highlight w:val="none"/>
          <w:shd w:val="clear" w:color="auto" w:fill="FFFFFF" w:themeFill="background1"/>
        </w:rPr>
      </w:pPr>
      <w:bookmarkStart w:id="242" w:name="_Toc17668"/>
      <w:bookmarkStart w:id="243" w:name="_Toc16232"/>
      <w:bookmarkStart w:id="244" w:name="_Toc507586175"/>
      <w:bookmarkStart w:id="245" w:name="_Toc27045"/>
      <w:bookmarkStart w:id="246" w:name="_Toc533503191"/>
      <w:bookmarkStart w:id="247" w:name="_Toc38446480"/>
      <w:r>
        <w:rPr>
          <w:rFonts w:hint="eastAsia" w:ascii="仿宋" w:hAnsi="仿宋" w:eastAsia="仿宋" w:cs="仿宋"/>
          <w:b/>
          <w:color w:val="auto"/>
          <w:sz w:val="24"/>
          <w:szCs w:val="24"/>
          <w:highlight w:val="none"/>
          <w:shd w:val="clear" w:color="auto" w:fill="FFFFFF" w:themeFill="background1"/>
        </w:rPr>
        <w:t>八、</w:t>
      </w:r>
      <w:r>
        <w:rPr>
          <w:rFonts w:hint="eastAsia" w:ascii="仿宋" w:hAnsi="仿宋" w:eastAsia="仿宋" w:cs="仿宋"/>
          <w:b/>
          <w:bCs/>
          <w:color w:val="auto"/>
          <w:sz w:val="24"/>
          <w:szCs w:val="24"/>
          <w:highlight w:val="none"/>
          <w:shd w:val="clear" w:color="auto" w:fill="FFFFFF" w:themeFill="background1"/>
        </w:rPr>
        <w:t>项目负责人简历表</w:t>
      </w:r>
      <w:bookmarkEnd w:id="242"/>
      <w:bookmarkEnd w:id="243"/>
      <w:bookmarkEnd w:id="244"/>
      <w:bookmarkEnd w:id="245"/>
      <w:bookmarkEnd w:id="246"/>
      <w:bookmarkEnd w:id="247"/>
    </w:p>
    <w:p w14:paraId="2555EA39">
      <w:pPr>
        <w:spacing w:line="360" w:lineRule="auto"/>
        <w:rPr>
          <w:rFonts w:ascii="仿宋" w:hAnsi="仿宋" w:eastAsia="仿宋" w:cs="仿宋"/>
          <w:color w:val="auto"/>
          <w:sz w:val="24"/>
          <w:szCs w:val="24"/>
          <w:highlight w:val="none"/>
          <w:shd w:val="clear" w:color="auto" w:fill="FFFFFF" w:themeFill="background1"/>
        </w:rPr>
      </w:pPr>
    </w:p>
    <w:tbl>
      <w:tblPr>
        <w:tblStyle w:val="26"/>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41DB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C0765CB">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姓名</w:t>
            </w:r>
          </w:p>
        </w:tc>
        <w:tc>
          <w:tcPr>
            <w:tcW w:w="2602" w:type="dxa"/>
            <w:gridSpan w:val="2"/>
            <w:vAlign w:val="center"/>
          </w:tcPr>
          <w:p w14:paraId="72D91BD2">
            <w:pPr>
              <w:spacing w:line="360" w:lineRule="auto"/>
              <w:jc w:val="center"/>
              <w:rPr>
                <w:rFonts w:ascii="仿宋" w:hAnsi="仿宋" w:eastAsia="仿宋" w:cs="仿宋"/>
                <w:color w:val="auto"/>
                <w:highlight w:val="none"/>
                <w:shd w:val="clear" w:color="auto" w:fill="FFFFFF" w:themeFill="background1"/>
              </w:rPr>
            </w:pPr>
          </w:p>
        </w:tc>
        <w:tc>
          <w:tcPr>
            <w:tcW w:w="1935" w:type="dxa"/>
            <w:gridSpan w:val="2"/>
            <w:vAlign w:val="center"/>
          </w:tcPr>
          <w:p w14:paraId="0E0D49E4">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性别</w:t>
            </w:r>
          </w:p>
        </w:tc>
        <w:tc>
          <w:tcPr>
            <w:tcW w:w="2639" w:type="dxa"/>
            <w:gridSpan w:val="2"/>
            <w:vAlign w:val="center"/>
          </w:tcPr>
          <w:p w14:paraId="2ED87A62">
            <w:pPr>
              <w:spacing w:line="360" w:lineRule="auto"/>
              <w:jc w:val="center"/>
              <w:rPr>
                <w:rFonts w:ascii="仿宋" w:hAnsi="仿宋" w:eastAsia="仿宋" w:cs="仿宋"/>
                <w:color w:val="auto"/>
                <w:highlight w:val="none"/>
                <w:shd w:val="clear" w:color="auto" w:fill="FFFFFF" w:themeFill="background1"/>
              </w:rPr>
            </w:pPr>
          </w:p>
        </w:tc>
      </w:tr>
      <w:tr w14:paraId="6421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8F48171">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身份证号码</w:t>
            </w:r>
          </w:p>
        </w:tc>
        <w:tc>
          <w:tcPr>
            <w:tcW w:w="2602" w:type="dxa"/>
            <w:gridSpan w:val="2"/>
            <w:vAlign w:val="center"/>
          </w:tcPr>
          <w:p w14:paraId="47169A93">
            <w:pPr>
              <w:spacing w:line="360" w:lineRule="auto"/>
              <w:jc w:val="center"/>
              <w:rPr>
                <w:rFonts w:ascii="仿宋" w:hAnsi="仿宋" w:eastAsia="仿宋" w:cs="仿宋"/>
                <w:color w:val="auto"/>
                <w:highlight w:val="none"/>
                <w:shd w:val="clear" w:color="auto" w:fill="FFFFFF" w:themeFill="background1"/>
              </w:rPr>
            </w:pPr>
          </w:p>
        </w:tc>
        <w:tc>
          <w:tcPr>
            <w:tcW w:w="1935" w:type="dxa"/>
            <w:gridSpan w:val="2"/>
            <w:vAlign w:val="center"/>
          </w:tcPr>
          <w:p w14:paraId="4934E107">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学历</w:t>
            </w:r>
          </w:p>
        </w:tc>
        <w:tc>
          <w:tcPr>
            <w:tcW w:w="2639" w:type="dxa"/>
            <w:gridSpan w:val="2"/>
            <w:vAlign w:val="center"/>
          </w:tcPr>
          <w:p w14:paraId="0CA9AB67">
            <w:pPr>
              <w:spacing w:line="360" w:lineRule="auto"/>
              <w:jc w:val="center"/>
              <w:rPr>
                <w:rFonts w:ascii="仿宋" w:hAnsi="仿宋" w:eastAsia="仿宋" w:cs="仿宋"/>
                <w:color w:val="auto"/>
                <w:highlight w:val="none"/>
                <w:shd w:val="clear" w:color="auto" w:fill="FFFFFF" w:themeFill="background1"/>
              </w:rPr>
            </w:pPr>
          </w:p>
        </w:tc>
      </w:tr>
      <w:tr w14:paraId="1700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C31711E">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毕业学校</w:t>
            </w:r>
          </w:p>
        </w:tc>
        <w:tc>
          <w:tcPr>
            <w:tcW w:w="2602" w:type="dxa"/>
            <w:gridSpan w:val="2"/>
            <w:vAlign w:val="center"/>
          </w:tcPr>
          <w:p w14:paraId="3FCD8236">
            <w:pPr>
              <w:spacing w:line="360" w:lineRule="auto"/>
              <w:jc w:val="center"/>
              <w:rPr>
                <w:rFonts w:ascii="仿宋" w:hAnsi="仿宋" w:eastAsia="仿宋" w:cs="仿宋"/>
                <w:color w:val="auto"/>
                <w:highlight w:val="none"/>
                <w:shd w:val="clear" w:color="auto" w:fill="FFFFFF" w:themeFill="background1"/>
              </w:rPr>
            </w:pPr>
          </w:p>
        </w:tc>
        <w:tc>
          <w:tcPr>
            <w:tcW w:w="1935" w:type="dxa"/>
            <w:gridSpan w:val="2"/>
            <w:vAlign w:val="center"/>
          </w:tcPr>
          <w:p w14:paraId="4A092443">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专业</w:t>
            </w:r>
          </w:p>
        </w:tc>
        <w:tc>
          <w:tcPr>
            <w:tcW w:w="2639" w:type="dxa"/>
            <w:gridSpan w:val="2"/>
            <w:vAlign w:val="center"/>
          </w:tcPr>
          <w:p w14:paraId="5BC10597">
            <w:pPr>
              <w:spacing w:line="360" w:lineRule="auto"/>
              <w:jc w:val="center"/>
              <w:rPr>
                <w:rFonts w:ascii="仿宋" w:hAnsi="仿宋" w:eastAsia="仿宋" w:cs="仿宋"/>
                <w:color w:val="auto"/>
                <w:highlight w:val="none"/>
                <w:shd w:val="clear" w:color="auto" w:fill="FFFFFF" w:themeFill="background1"/>
              </w:rPr>
            </w:pPr>
          </w:p>
        </w:tc>
      </w:tr>
      <w:tr w14:paraId="162B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31F696C">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参加工作时间</w:t>
            </w:r>
          </w:p>
        </w:tc>
        <w:tc>
          <w:tcPr>
            <w:tcW w:w="2602" w:type="dxa"/>
            <w:gridSpan w:val="2"/>
            <w:vAlign w:val="center"/>
          </w:tcPr>
          <w:p w14:paraId="671C18CB">
            <w:pPr>
              <w:spacing w:line="360" w:lineRule="auto"/>
              <w:jc w:val="center"/>
              <w:rPr>
                <w:rFonts w:ascii="仿宋" w:hAnsi="仿宋" w:eastAsia="仿宋" w:cs="仿宋"/>
                <w:color w:val="auto"/>
                <w:highlight w:val="none"/>
                <w:shd w:val="clear" w:color="auto" w:fill="FFFFFF" w:themeFill="background1"/>
              </w:rPr>
            </w:pPr>
          </w:p>
        </w:tc>
        <w:tc>
          <w:tcPr>
            <w:tcW w:w="1935" w:type="dxa"/>
            <w:gridSpan w:val="2"/>
            <w:vAlign w:val="center"/>
          </w:tcPr>
          <w:p w14:paraId="3BF0054E">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从事相关职业年限</w:t>
            </w:r>
          </w:p>
        </w:tc>
        <w:tc>
          <w:tcPr>
            <w:tcW w:w="2639" w:type="dxa"/>
            <w:gridSpan w:val="2"/>
            <w:vAlign w:val="center"/>
          </w:tcPr>
          <w:p w14:paraId="02085EDA">
            <w:pPr>
              <w:spacing w:line="360" w:lineRule="auto"/>
              <w:jc w:val="center"/>
              <w:rPr>
                <w:rFonts w:ascii="仿宋" w:hAnsi="仿宋" w:eastAsia="仿宋" w:cs="仿宋"/>
                <w:color w:val="auto"/>
                <w:highlight w:val="none"/>
                <w:shd w:val="clear" w:color="auto" w:fill="FFFFFF" w:themeFill="background1"/>
              </w:rPr>
            </w:pPr>
          </w:p>
        </w:tc>
      </w:tr>
      <w:tr w14:paraId="6696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CC1A0DA">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在公司担任职务</w:t>
            </w:r>
          </w:p>
        </w:tc>
        <w:tc>
          <w:tcPr>
            <w:tcW w:w="2602" w:type="dxa"/>
            <w:gridSpan w:val="2"/>
            <w:vAlign w:val="center"/>
          </w:tcPr>
          <w:p w14:paraId="4B449C6B">
            <w:pPr>
              <w:spacing w:line="360" w:lineRule="auto"/>
              <w:jc w:val="center"/>
              <w:rPr>
                <w:rFonts w:ascii="仿宋" w:hAnsi="仿宋" w:eastAsia="仿宋" w:cs="仿宋"/>
                <w:color w:val="auto"/>
                <w:highlight w:val="none"/>
                <w:shd w:val="clear" w:color="auto" w:fill="FFFFFF" w:themeFill="background1"/>
              </w:rPr>
            </w:pPr>
          </w:p>
        </w:tc>
        <w:tc>
          <w:tcPr>
            <w:tcW w:w="1935" w:type="dxa"/>
            <w:gridSpan w:val="2"/>
            <w:vAlign w:val="center"/>
          </w:tcPr>
          <w:p w14:paraId="22318AD1">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联系方式</w:t>
            </w:r>
          </w:p>
        </w:tc>
        <w:tc>
          <w:tcPr>
            <w:tcW w:w="2639" w:type="dxa"/>
            <w:gridSpan w:val="2"/>
            <w:vAlign w:val="center"/>
          </w:tcPr>
          <w:p w14:paraId="61A73483">
            <w:pPr>
              <w:spacing w:line="360" w:lineRule="auto"/>
              <w:jc w:val="center"/>
              <w:rPr>
                <w:rFonts w:ascii="仿宋" w:hAnsi="仿宋" w:eastAsia="仿宋" w:cs="仿宋"/>
                <w:color w:val="auto"/>
                <w:highlight w:val="none"/>
                <w:shd w:val="clear" w:color="auto" w:fill="FFFFFF" w:themeFill="background1"/>
              </w:rPr>
            </w:pPr>
          </w:p>
        </w:tc>
      </w:tr>
      <w:tr w14:paraId="2302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3524EA9D">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近三年类似业绩</w:t>
            </w:r>
          </w:p>
        </w:tc>
        <w:tc>
          <w:tcPr>
            <w:tcW w:w="1372" w:type="dxa"/>
            <w:vAlign w:val="center"/>
          </w:tcPr>
          <w:p w14:paraId="64494C18">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项目名称</w:t>
            </w:r>
          </w:p>
        </w:tc>
        <w:tc>
          <w:tcPr>
            <w:tcW w:w="1463" w:type="dxa"/>
            <w:gridSpan w:val="2"/>
            <w:vAlign w:val="center"/>
          </w:tcPr>
          <w:p w14:paraId="6AF9245C">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采购人</w:t>
            </w:r>
          </w:p>
        </w:tc>
        <w:tc>
          <w:tcPr>
            <w:tcW w:w="1702" w:type="dxa"/>
            <w:vAlign w:val="center"/>
          </w:tcPr>
          <w:p w14:paraId="72F4CFFC">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合同内容</w:t>
            </w:r>
          </w:p>
        </w:tc>
        <w:tc>
          <w:tcPr>
            <w:tcW w:w="1275" w:type="dxa"/>
            <w:vAlign w:val="center"/>
          </w:tcPr>
          <w:p w14:paraId="34DBEC69">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合同价格</w:t>
            </w:r>
          </w:p>
        </w:tc>
        <w:tc>
          <w:tcPr>
            <w:tcW w:w="1364" w:type="dxa"/>
            <w:vAlign w:val="center"/>
          </w:tcPr>
          <w:p w14:paraId="74094757">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签约日期</w:t>
            </w:r>
          </w:p>
        </w:tc>
      </w:tr>
      <w:tr w14:paraId="4974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EA23B42">
            <w:pPr>
              <w:spacing w:line="360" w:lineRule="auto"/>
              <w:jc w:val="center"/>
              <w:rPr>
                <w:rFonts w:ascii="仿宋" w:hAnsi="仿宋" w:eastAsia="仿宋" w:cs="仿宋"/>
                <w:color w:val="auto"/>
                <w:highlight w:val="none"/>
                <w:shd w:val="clear" w:color="auto" w:fill="FFFFFF" w:themeFill="background1"/>
              </w:rPr>
            </w:pPr>
          </w:p>
        </w:tc>
        <w:tc>
          <w:tcPr>
            <w:tcW w:w="1372" w:type="dxa"/>
            <w:vAlign w:val="center"/>
          </w:tcPr>
          <w:p w14:paraId="70C838BA">
            <w:pPr>
              <w:spacing w:line="360" w:lineRule="auto"/>
              <w:jc w:val="center"/>
              <w:rPr>
                <w:rFonts w:ascii="仿宋" w:hAnsi="仿宋" w:eastAsia="仿宋" w:cs="仿宋"/>
                <w:color w:val="auto"/>
                <w:highlight w:val="none"/>
                <w:shd w:val="clear" w:color="auto" w:fill="FFFFFF" w:themeFill="background1"/>
              </w:rPr>
            </w:pPr>
          </w:p>
        </w:tc>
        <w:tc>
          <w:tcPr>
            <w:tcW w:w="1463" w:type="dxa"/>
            <w:gridSpan w:val="2"/>
            <w:vAlign w:val="center"/>
          </w:tcPr>
          <w:p w14:paraId="4C352B09">
            <w:pPr>
              <w:spacing w:line="360" w:lineRule="auto"/>
              <w:jc w:val="center"/>
              <w:rPr>
                <w:rFonts w:ascii="仿宋" w:hAnsi="仿宋" w:eastAsia="仿宋" w:cs="仿宋"/>
                <w:color w:val="auto"/>
                <w:highlight w:val="none"/>
                <w:shd w:val="clear" w:color="auto" w:fill="FFFFFF" w:themeFill="background1"/>
              </w:rPr>
            </w:pPr>
          </w:p>
        </w:tc>
        <w:tc>
          <w:tcPr>
            <w:tcW w:w="1702" w:type="dxa"/>
            <w:vAlign w:val="center"/>
          </w:tcPr>
          <w:p w14:paraId="2EC0CEAA">
            <w:pPr>
              <w:spacing w:line="360" w:lineRule="auto"/>
              <w:jc w:val="center"/>
              <w:rPr>
                <w:rFonts w:ascii="仿宋" w:hAnsi="仿宋" w:eastAsia="仿宋" w:cs="仿宋"/>
                <w:color w:val="auto"/>
                <w:highlight w:val="none"/>
                <w:shd w:val="clear" w:color="auto" w:fill="FFFFFF" w:themeFill="background1"/>
              </w:rPr>
            </w:pPr>
          </w:p>
        </w:tc>
        <w:tc>
          <w:tcPr>
            <w:tcW w:w="1275" w:type="dxa"/>
            <w:vAlign w:val="center"/>
          </w:tcPr>
          <w:p w14:paraId="35C513CB">
            <w:pPr>
              <w:spacing w:line="360" w:lineRule="auto"/>
              <w:jc w:val="center"/>
              <w:rPr>
                <w:rFonts w:ascii="仿宋" w:hAnsi="仿宋" w:eastAsia="仿宋" w:cs="仿宋"/>
                <w:color w:val="auto"/>
                <w:highlight w:val="none"/>
                <w:shd w:val="clear" w:color="auto" w:fill="FFFFFF" w:themeFill="background1"/>
              </w:rPr>
            </w:pPr>
          </w:p>
        </w:tc>
        <w:tc>
          <w:tcPr>
            <w:tcW w:w="1364" w:type="dxa"/>
            <w:vAlign w:val="center"/>
          </w:tcPr>
          <w:p w14:paraId="649529E3">
            <w:pPr>
              <w:spacing w:line="360" w:lineRule="auto"/>
              <w:jc w:val="center"/>
              <w:rPr>
                <w:rFonts w:ascii="仿宋" w:hAnsi="仿宋" w:eastAsia="仿宋" w:cs="仿宋"/>
                <w:color w:val="auto"/>
                <w:highlight w:val="none"/>
                <w:shd w:val="clear" w:color="auto" w:fill="FFFFFF" w:themeFill="background1"/>
              </w:rPr>
            </w:pPr>
          </w:p>
        </w:tc>
      </w:tr>
      <w:tr w14:paraId="4A90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20E26896">
            <w:pPr>
              <w:spacing w:line="360" w:lineRule="auto"/>
              <w:jc w:val="center"/>
              <w:rPr>
                <w:rFonts w:ascii="仿宋" w:hAnsi="仿宋" w:eastAsia="仿宋" w:cs="仿宋"/>
                <w:color w:val="auto"/>
                <w:highlight w:val="none"/>
                <w:shd w:val="clear" w:color="auto" w:fill="FFFFFF" w:themeFill="background1"/>
              </w:rPr>
            </w:pPr>
          </w:p>
        </w:tc>
        <w:tc>
          <w:tcPr>
            <w:tcW w:w="1372" w:type="dxa"/>
            <w:vAlign w:val="center"/>
          </w:tcPr>
          <w:p w14:paraId="28D3033B">
            <w:pPr>
              <w:spacing w:line="360" w:lineRule="auto"/>
              <w:jc w:val="center"/>
              <w:rPr>
                <w:rFonts w:ascii="仿宋" w:hAnsi="仿宋" w:eastAsia="仿宋" w:cs="仿宋"/>
                <w:color w:val="auto"/>
                <w:highlight w:val="none"/>
                <w:shd w:val="clear" w:color="auto" w:fill="FFFFFF" w:themeFill="background1"/>
              </w:rPr>
            </w:pPr>
          </w:p>
        </w:tc>
        <w:tc>
          <w:tcPr>
            <w:tcW w:w="1463" w:type="dxa"/>
            <w:gridSpan w:val="2"/>
            <w:vAlign w:val="center"/>
          </w:tcPr>
          <w:p w14:paraId="422FC5E0">
            <w:pPr>
              <w:spacing w:line="360" w:lineRule="auto"/>
              <w:jc w:val="center"/>
              <w:rPr>
                <w:rFonts w:ascii="仿宋" w:hAnsi="仿宋" w:eastAsia="仿宋" w:cs="仿宋"/>
                <w:color w:val="auto"/>
                <w:highlight w:val="none"/>
                <w:shd w:val="clear" w:color="auto" w:fill="FFFFFF" w:themeFill="background1"/>
              </w:rPr>
            </w:pPr>
          </w:p>
        </w:tc>
        <w:tc>
          <w:tcPr>
            <w:tcW w:w="1702" w:type="dxa"/>
            <w:vAlign w:val="center"/>
          </w:tcPr>
          <w:p w14:paraId="3DC6FB3E">
            <w:pPr>
              <w:spacing w:line="360" w:lineRule="auto"/>
              <w:jc w:val="center"/>
              <w:rPr>
                <w:rFonts w:ascii="仿宋" w:hAnsi="仿宋" w:eastAsia="仿宋" w:cs="仿宋"/>
                <w:color w:val="auto"/>
                <w:highlight w:val="none"/>
                <w:shd w:val="clear" w:color="auto" w:fill="FFFFFF" w:themeFill="background1"/>
              </w:rPr>
            </w:pPr>
          </w:p>
        </w:tc>
        <w:tc>
          <w:tcPr>
            <w:tcW w:w="1275" w:type="dxa"/>
            <w:vAlign w:val="center"/>
          </w:tcPr>
          <w:p w14:paraId="15A13D56">
            <w:pPr>
              <w:spacing w:line="360" w:lineRule="auto"/>
              <w:jc w:val="center"/>
              <w:rPr>
                <w:rFonts w:ascii="仿宋" w:hAnsi="仿宋" w:eastAsia="仿宋" w:cs="仿宋"/>
                <w:color w:val="auto"/>
                <w:highlight w:val="none"/>
                <w:shd w:val="clear" w:color="auto" w:fill="FFFFFF" w:themeFill="background1"/>
              </w:rPr>
            </w:pPr>
          </w:p>
        </w:tc>
        <w:tc>
          <w:tcPr>
            <w:tcW w:w="1364" w:type="dxa"/>
            <w:vAlign w:val="center"/>
          </w:tcPr>
          <w:p w14:paraId="65BACE7A">
            <w:pPr>
              <w:spacing w:line="360" w:lineRule="auto"/>
              <w:jc w:val="center"/>
              <w:rPr>
                <w:rFonts w:ascii="仿宋" w:hAnsi="仿宋" w:eastAsia="仿宋" w:cs="仿宋"/>
                <w:color w:val="auto"/>
                <w:highlight w:val="none"/>
                <w:shd w:val="clear" w:color="auto" w:fill="FFFFFF" w:themeFill="background1"/>
              </w:rPr>
            </w:pPr>
          </w:p>
        </w:tc>
      </w:tr>
      <w:tr w14:paraId="16FE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37768CE">
            <w:pPr>
              <w:spacing w:line="360" w:lineRule="auto"/>
              <w:jc w:val="center"/>
              <w:rPr>
                <w:rFonts w:ascii="仿宋" w:hAnsi="仿宋" w:eastAsia="仿宋" w:cs="仿宋"/>
                <w:color w:val="auto"/>
                <w:highlight w:val="none"/>
                <w:shd w:val="clear" w:color="auto" w:fill="FFFFFF" w:themeFill="background1"/>
              </w:rPr>
            </w:pPr>
          </w:p>
        </w:tc>
        <w:tc>
          <w:tcPr>
            <w:tcW w:w="1372" w:type="dxa"/>
            <w:vAlign w:val="center"/>
          </w:tcPr>
          <w:p w14:paraId="66FC7223">
            <w:pPr>
              <w:spacing w:line="360" w:lineRule="auto"/>
              <w:jc w:val="center"/>
              <w:rPr>
                <w:rFonts w:ascii="仿宋" w:hAnsi="仿宋" w:eastAsia="仿宋" w:cs="仿宋"/>
                <w:color w:val="auto"/>
                <w:highlight w:val="none"/>
                <w:shd w:val="clear" w:color="auto" w:fill="FFFFFF" w:themeFill="background1"/>
              </w:rPr>
            </w:pPr>
          </w:p>
        </w:tc>
        <w:tc>
          <w:tcPr>
            <w:tcW w:w="1463" w:type="dxa"/>
            <w:gridSpan w:val="2"/>
            <w:vAlign w:val="center"/>
          </w:tcPr>
          <w:p w14:paraId="7DB3979B">
            <w:pPr>
              <w:spacing w:line="360" w:lineRule="auto"/>
              <w:jc w:val="center"/>
              <w:rPr>
                <w:rFonts w:ascii="仿宋" w:hAnsi="仿宋" w:eastAsia="仿宋" w:cs="仿宋"/>
                <w:color w:val="auto"/>
                <w:highlight w:val="none"/>
                <w:shd w:val="clear" w:color="auto" w:fill="FFFFFF" w:themeFill="background1"/>
              </w:rPr>
            </w:pPr>
          </w:p>
        </w:tc>
        <w:tc>
          <w:tcPr>
            <w:tcW w:w="1702" w:type="dxa"/>
            <w:vAlign w:val="center"/>
          </w:tcPr>
          <w:p w14:paraId="6DCC0EEA">
            <w:pPr>
              <w:spacing w:line="360" w:lineRule="auto"/>
              <w:jc w:val="center"/>
              <w:rPr>
                <w:rFonts w:ascii="仿宋" w:hAnsi="仿宋" w:eastAsia="仿宋" w:cs="仿宋"/>
                <w:color w:val="auto"/>
                <w:highlight w:val="none"/>
                <w:shd w:val="clear" w:color="auto" w:fill="FFFFFF" w:themeFill="background1"/>
              </w:rPr>
            </w:pPr>
          </w:p>
        </w:tc>
        <w:tc>
          <w:tcPr>
            <w:tcW w:w="1275" w:type="dxa"/>
            <w:vAlign w:val="center"/>
          </w:tcPr>
          <w:p w14:paraId="48651FB8">
            <w:pPr>
              <w:spacing w:line="360" w:lineRule="auto"/>
              <w:jc w:val="center"/>
              <w:rPr>
                <w:rFonts w:ascii="仿宋" w:hAnsi="仿宋" w:eastAsia="仿宋" w:cs="仿宋"/>
                <w:color w:val="auto"/>
                <w:highlight w:val="none"/>
                <w:shd w:val="clear" w:color="auto" w:fill="FFFFFF" w:themeFill="background1"/>
              </w:rPr>
            </w:pPr>
          </w:p>
        </w:tc>
        <w:tc>
          <w:tcPr>
            <w:tcW w:w="1364" w:type="dxa"/>
            <w:vAlign w:val="center"/>
          </w:tcPr>
          <w:p w14:paraId="6A7EA14B">
            <w:pPr>
              <w:spacing w:line="360" w:lineRule="auto"/>
              <w:jc w:val="center"/>
              <w:rPr>
                <w:rFonts w:ascii="仿宋" w:hAnsi="仿宋" w:eastAsia="仿宋" w:cs="仿宋"/>
                <w:color w:val="auto"/>
                <w:highlight w:val="none"/>
                <w:shd w:val="clear" w:color="auto" w:fill="FFFFFF" w:themeFill="background1"/>
              </w:rPr>
            </w:pPr>
          </w:p>
        </w:tc>
      </w:tr>
      <w:tr w14:paraId="4E69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4C24545">
            <w:pPr>
              <w:spacing w:line="360" w:lineRule="auto"/>
              <w:jc w:val="center"/>
              <w:rPr>
                <w:rFonts w:ascii="仿宋" w:hAnsi="仿宋" w:eastAsia="仿宋" w:cs="仿宋"/>
                <w:color w:val="auto"/>
                <w:highlight w:val="none"/>
                <w:shd w:val="clear" w:color="auto" w:fill="FFFFFF" w:themeFill="background1"/>
              </w:rPr>
            </w:pPr>
          </w:p>
        </w:tc>
        <w:tc>
          <w:tcPr>
            <w:tcW w:w="1372" w:type="dxa"/>
            <w:vAlign w:val="center"/>
          </w:tcPr>
          <w:p w14:paraId="6BE83B16">
            <w:pPr>
              <w:spacing w:line="360" w:lineRule="auto"/>
              <w:jc w:val="center"/>
              <w:rPr>
                <w:rFonts w:ascii="仿宋" w:hAnsi="仿宋" w:eastAsia="仿宋" w:cs="仿宋"/>
                <w:color w:val="auto"/>
                <w:highlight w:val="none"/>
                <w:shd w:val="clear" w:color="auto" w:fill="FFFFFF" w:themeFill="background1"/>
              </w:rPr>
            </w:pPr>
          </w:p>
        </w:tc>
        <w:tc>
          <w:tcPr>
            <w:tcW w:w="1463" w:type="dxa"/>
            <w:gridSpan w:val="2"/>
            <w:vAlign w:val="center"/>
          </w:tcPr>
          <w:p w14:paraId="472F9EB9">
            <w:pPr>
              <w:spacing w:line="360" w:lineRule="auto"/>
              <w:jc w:val="center"/>
              <w:rPr>
                <w:rFonts w:ascii="仿宋" w:hAnsi="仿宋" w:eastAsia="仿宋" w:cs="仿宋"/>
                <w:color w:val="auto"/>
                <w:highlight w:val="none"/>
                <w:shd w:val="clear" w:color="auto" w:fill="FFFFFF" w:themeFill="background1"/>
              </w:rPr>
            </w:pPr>
          </w:p>
        </w:tc>
        <w:tc>
          <w:tcPr>
            <w:tcW w:w="1702" w:type="dxa"/>
            <w:vAlign w:val="center"/>
          </w:tcPr>
          <w:p w14:paraId="08E8F00F">
            <w:pPr>
              <w:spacing w:line="360" w:lineRule="auto"/>
              <w:jc w:val="center"/>
              <w:rPr>
                <w:rFonts w:ascii="仿宋" w:hAnsi="仿宋" w:eastAsia="仿宋" w:cs="仿宋"/>
                <w:color w:val="auto"/>
                <w:highlight w:val="none"/>
                <w:shd w:val="clear" w:color="auto" w:fill="FFFFFF" w:themeFill="background1"/>
              </w:rPr>
            </w:pPr>
          </w:p>
        </w:tc>
        <w:tc>
          <w:tcPr>
            <w:tcW w:w="1275" w:type="dxa"/>
            <w:vAlign w:val="center"/>
          </w:tcPr>
          <w:p w14:paraId="6B4E228C">
            <w:pPr>
              <w:spacing w:line="360" w:lineRule="auto"/>
              <w:jc w:val="center"/>
              <w:rPr>
                <w:rFonts w:ascii="仿宋" w:hAnsi="仿宋" w:eastAsia="仿宋" w:cs="仿宋"/>
                <w:color w:val="auto"/>
                <w:highlight w:val="none"/>
                <w:shd w:val="clear" w:color="auto" w:fill="FFFFFF" w:themeFill="background1"/>
              </w:rPr>
            </w:pPr>
          </w:p>
        </w:tc>
        <w:tc>
          <w:tcPr>
            <w:tcW w:w="1364" w:type="dxa"/>
            <w:vAlign w:val="center"/>
          </w:tcPr>
          <w:p w14:paraId="2F90506B">
            <w:pPr>
              <w:spacing w:line="360" w:lineRule="auto"/>
              <w:jc w:val="center"/>
              <w:rPr>
                <w:rFonts w:ascii="仿宋" w:hAnsi="仿宋" w:eastAsia="仿宋" w:cs="仿宋"/>
                <w:color w:val="auto"/>
                <w:highlight w:val="none"/>
                <w:shd w:val="clear" w:color="auto" w:fill="FFFFFF" w:themeFill="background1"/>
              </w:rPr>
            </w:pPr>
          </w:p>
        </w:tc>
      </w:tr>
      <w:tr w14:paraId="06B5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ED96116">
            <w:pPr>
              <w:spacing w:line="360" w:lineRule="auto"/>
              <w:jc w:val="center"/>
              <w:rPr>
                <w:rFonts w:ascii="仿宋" w:hAnsi="仿宋" w:eastAsia="仿宋" w:cs="仿宋"/>
                <w:color w:val="auto"/>
                <w:highlight w:val="none"/>
                <w:shd w:val="clear" w:color="auto" w:fill="FFFFFF" w:themeFill="background1"/>
              </w:rPr>
            </w:pPr>
          </w:p>
        </w:tc>
        <w:tc>
          <w:tcPr>
            <w:tcW w:w="1372" w:type="dxa"/>
            <w:vAlign w:val="center"/>
          </w:tcPr>
          <w:p w14:paraId="046E623C">
            <w:pPr>
              <w:spacing w:line="360" w:lineRule="auto"/>
              <w:jc w:val="center"/>
              <w:rPr>
                <w:rFonts w:ascii="仿宋" w:hAnsi="仿宋" w:eastAsia="仿宋" w:cs="仿宋"/>
                <w:color w:val="auto"/>
                <w:highlight w:val="none"/>
                <w:shd w:val="clear" w:color="auto" w:fill="FFFFFF" w:themeFill="background1"/>
              </w:rPr>
            </w:pPr>
          </w:p>
        </w:tc>
        <w:tc>
          <w:tcPr>
            <w:tcW w:w="1463" w:type="dxa"/>
            <w:gridSpan w:val="2"/>
            <w:vAlign w:val="center"/>
          </w:tcPr>
          <w:p w14:paraId="19BB5817">
            <w:pPr>
              <w:spacing w:line="360" w:lineRule="auto"/>
              <w:jc w:val="center"/>
              <w:rPr>
                <w:rFonts w:ascii="仿宋" w:hAnsi="仿宋" w:eastAsia="仿宋" w:cs="仿宋"/>
                <w:color w:val="auto"/>
                <w:highlight w:val="none"/>
                <w:shd w:val="clear" w:color="auto" w:fill="FFFFFF" w:themeFill="background1"/>
              </w:rPr>
            </w:pPr>
          </w:p>
        </w:tc>
        <w:tc>
          <w:tcPr>
            <w:tcW w:w="1702" w:type="dxa"/>
            <w:vAlign w:val="center"/>
          </w:tcPr>
          <w:p w14:paraId="432F17FD">
            <w:pPr>
              <w:spacing w:line="360" w:lineRule="auto"/>
              <w:jc w:val="center"/>
              <w:rPr>
                <w:rFonts w:ascii="仿宋" w:hAnsi="仿宋" w:eastAsia="仿宋" w:cs="仿宋"/>
                <w:color w:val="auto"/>
                <w:highlight w:val="none"/>
                <w:shd w:val="clear" w:color="auto" w:fill="FFFFFF" w:themeFill="background1"/>
              </w:rPr>
            </w:pPr>
          </w:p>
        </w:tc>
        <w:tc>
          <w:tcPr>
            <w:tcW w:w="1275" w:type="dxa"/>
            <w:vAlign w:val="center"/>
          </w:tcPr>
          <w:p w14:paraId="00B81024">
            <w:pPr>
              <w:spacing w:line="360" w:lineRule="auto"/>
              <w:jc w:val="center"/>
              <w:rPr>
                <w:rFonts w:ascii="仿宋" w:hAnsi="仿宋" w:eastAsia="仿宋" w:cs="仿宋"/>
                <w:color w:val="auto"/>
                <w:highlight w:val="none"/>
                <w:shd w:val="clear" w:color="auto" w:fill="FFFFFF" w:themeFill="background1"/>
              </w:rPr>
            </w:pPr>
          </w:p>
        </w:tc>
        <w:tc>
          <w:tcPr>
            <w:tcW w:w="1364" w:type="dxa"/>
            <w:vAlign w:val="center"/>
          </w:tcPr>
          <w:p w14:paraId="304FF6A4">
            <w:pPr>
              <w:spacing w:line="360" w:lineRule="auto"/>
              <w:jc w:val="center"/>
              <w:rPr>
                <w:rFonts w:ascii="仿宋" w:hAnsi="仿宋" w:eastAsia="仿宋" w:cs="仿宋"/>
                <w:color w:val="auto"/>
                <w:highlight w:val="none"/>
                <w:shd w:val="clear" w:color="auto" w:fill="FFFFFF" w:themeFill="background1"/>
              </w:rPr>
            </w:pPr>
          </w:p>
        </w:tc>
      </w:tr>
    </w:tbl>
    <w:p w14:paraId="06EAC951">
      <w:pPr>
        <w:spacing w:line="360" w:lineRule="auto"/>
        <w:ind w:firstLine="480" w:firstLineChars="200"/>
        <w:rPr>
          <w:rFonts w:ascii="仿宋" w:hAnsi="仿宋" w:eastAsia="仿宋" w:cs="仿宋"/>
          <w:color w:val="auto"/>
          <w:sz w:val="22"/>
          <w:highlight w:val="none"/>
          <w:shd w:val="clear" w:color="auto" w:fill="FFFFFF" w:themeFill="background1"/>
        </w:rPr>
      </w:pPr>
      <w:r>
        <w:rPr>
          <w:rFonts w:hint="eastAsia" w:ascii="仿宋" w:hAnsi="仿宋" w:eastAsia="仿宋" w:cs="仿宋"/>
          <w:color w:val="auto"/>
          <w:sz w:val="24"/>
          <w:szCs w:val="24"/>
          <w:highlight w:val="none"/>
          <w:lang w:eastAsia="zh-CN"/>
        </w:rPr>
        <w:t>附相关证明材料；</w:t>
      </w:r>
    </w:p>
    <w:p w14:paraId="7839D8A4">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E38F437">
      <w:pPr>
        <w:tabs>
          <w:tab w:val="center" w:pos="4832"/>
          <w:tab w:val="left" w:pos="7140"/>
        </w:tabs>
        <w:spacing w:line="360" w:lineRule="auto"/>
        <w:jc w:val="center"/>
        <w:outlineLvl w:val="1"/>
        <w:rPr>
          <w:rFonts w:ascii="仿宋" w:hAnsi="仿宋" w:eastAsia="仿宋" w:cs="仿宋"/>
          <w:b/>
          <w:bCs/>
          <w:color w:val="auto"/>
          <w:sz w:val="24"/>
          <w:szCs w:val="24"/>
          <w:highlight w:val="none"/>
          <w:shd w:val="clear" w:color="auto" w:fill="FFFFFF" w:themeFill="background1"/>
          <w:lang w:eastAsia="zh-CN"/>
        </w:rPr>
      </w:pPr>
      <w:bookmarkStart w:id="248" w:name="_Toc6442"/>
      <w:r>
        <w:rPr>
          <w:rFonts w:hint="eastAsia" w:ascii="仿宋" w:hAnsi="仿宋" w:eastAsia="仿宋" w:cs="仿宋"/>
          <w:b/>
          <w:color w:val="auto"/>
          <w:sz w:val="24"/>
          <w:szCs w:val="24"/>
          <w:highlight w:val="none"/>
          <w:shd w:val="clear" w:color="auto" w:fill="FFFFFF" w:themeFill="background1"/>
          <w:lang w:eastAsia="zh-CN"/>
        </w:rPr>
        <w:t>九、拟派主要服务人员情况表</w:t>
      </w:r>
      <w:bookmarkEnd w:id="248"/>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167"/>
        <w:gridCol w:w="1014"/>
        <w:gridCol w:w="1483"/>
        <w:gridCol w:w="2313"/>
        <w:gridCol w:w="1406"/>
      </w:tblGrid>
      <w:tr w14:paraId="66F4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49FDC1F7">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1167" w:type="dxa"/>
            <w:vAlign w:val="center"/>
          </w:tcPr>
          <w:p w14:paraId="2706EE5C">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姓名</w:t>
            </w:r>
          </w:p>
        </w:tc>
        <w:tc>
          <w:tcPr>
            <w:tcW w:w="1014" w:type="dxa"/>
            <w:vAlign w:val="center"/>
          </w:tcPr>
          <w:p w14:paraId="4FF2F9CA">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性别</w:t>
            </w:r>
          </w:p>
        </w:tc>
        <w:tc>
          <w:tcPr>
            <w:tcW w:w="1483" w:type="dxa"/>
            <w:vAlign w:val="center"/>
          </w:tcPr>
          <w:p w14:paraId="3765A754">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拟担任岗位</w:t>
            </w:r>
          </w:p>
        </w:tc>
        <w:tc>
          <w:tcPr>
            <w:tcW w:w="2313" w:type="dxa"/>
            <w:vAlign w:val="center"/>
          </w:tcPr>
          <w:p w14:paraId="51D11F66">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从事相关工作年限</w:t>
            </w:r>
          </w:p>
        </w:tc>
        <w:tc>
          <w:tcPr>
            <w:tcW w:w="1406" w:type="dxa"/>
            <w:vAlign w:val="center"/>
          </w:tcPr>
          <w:p w14:paraId="5EAE7CBF">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备注</w:t>
            </w:r>
          </w:p>
        </w:tc>
      </w:tr>
      <w:tr w14:paraId="4DFC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4EBBC754">
            <w:pPr>
              <w:spacing w:line="440" w:lineRule="exact"/>
              <w:jc w:val="center"/>
              <w:rPr>
                <w:rFonts w:ascii="仿宋" w:hAnsi="仿宋" w:eastAsia="仿宋" w:cs="仿宋"/>
                <w:color w:val="auto"/>
                <w:highlight w:val="none"/>
              </w:rPr>
            </w:pPr>
          </w:p>
        </w:tc>
        <w:tc>
          <w:tcPr>
            <w:tcW w:w="1167" w:type="dxa"/>
            <w:vAlign w:val="center"/>
          </w:tcPr>
          <w:p w14:paraId="14DAAEEB">
            <w:pPr>
              <w:spacing w:line="360" w:lineRule="auto"/>
              <w:jc w:val="center"/>
              <w:rPr>
                <w:rFonts w:ascii="仿宋" w:hAnsi="仿宋" w:eastAsia="仿宋" w:cs="仿宋"/>
                <w:color w:val="auto"/>
                <w:highlight w:val="none"/>
              </w:rPr>
            </w:pPr>
          </w:p>
        </w:tc>
        <w:tc>
          <w:tcPr>
            <w:tcW w:w="1014" w:type="dxa"/>
            <w:vAlign w:val="center"/>
          </w:tcPr>
          <w:p w14:paraId="24753933">
            <w:pPr>
              <w:spacing w:line="360" w:lineRule="auto"/>
              <w:jc w:val="center"/>
              <w:rPr>
                <w:rFonts w:ascii="仿宋" w:hAnsi="仿宋" w:eastAsia="仿宋" w:cs="仿宋"/>
                <w:color w:val="auto"/>
                <w:highlight w:val="none"/>
              </w:rPr>
            </w:pPr>
          </w:p>
        </w:tc>
        <w:tc>
          <w:tcPr>
            <w:tcW w:w="1483" w:type="dxa"/>
            <w:vAlign w:val="center"/>
          </w:tcPr>
          <w:p w14:paraId="40202C79">
            <w:pPr>
              <w:spacing w:line="360" w:lineRule="auto"/>
              <w:jc w:val="center"/>
              <w:rPr>
                <w:rFonts w:ascii="仿宋" w:hAnsi="仿宋" w:eastAsia="仿宋" w:cs="仿宋"/>
                <w:color w:val="auto"/>
                <w:highlight w:val="none"/>
              </w:rPr>
            </w:pPr>
          </w:p>
        </w:tc>
        <w:tc>
          <w:tcPr>
            <w:tcW w:w="2313" w:type="dxa"/>
            <w:vAlign w:val="center"/>
          </w:tcPr>
          <w:p w14:paraId="2D56FAB8">
            <w:pPr>
              <w:spacing w:line="360" w:lineRule="auto"/>
              <w:jc w:val="center"/>
              <w:rPr>
                <w:rFonts w:ascii="仿宋" w:hAnsi="仿宋" w:eastAsia="仿宋" w:cs="仿宋"/>
                <w:color w:val="auto"/>
                <w:highlight w:val="none"/>
              </w:rPr>
            </w:pPr>
          </w:p>
        </w:tc>
        <w:tc>
          <w:tcPr>
            <w:tcW w:w="1406" w:type="dxa"/>
            <w:vAlign w:val="center"/>
          </w:tcPr>
          <w:p w14:paraId="7CDD39BC">
            <w:pPr>
              <w:spacing w:line="360" w:lineRule="auto"/>
              <w:jc w:val="center"/>
              <w:rPr>
                <w:rFonts w:ascii="仿宋" w:hAnsi="仿宋" w:eastAsia="仿宋" w:cs="仿宋"/>
                <w:color w:val="auto"/>
                <w:highlight w:val="none"/>
              </w:rPr>
            </w:pPr>
          </w:p>
        </w:tc>
      </w:tr>
      <w:tr w14:paraId="55F6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783BAA7D">
            <w:pPr>
              <w:spacing w:line="440" w:lineRule="exact"/>
              <w:jc w:val="center"/>
              <w:rPr>
                <w:rFonts w:ascii="仿宋" w:hAnsi="仿宋" w:eastAsia="仿宋" w:cs="仿宋"/>
                <w:color w:val="auto"/>
                <w:highlight w:val="none"/>
              </w:rPr>
            </w:pPr>
          </w:p>
        </w:tc>
        <w:tc>
          <w:tcPr>
            <w:tcW w:w="1167" w:type="dxa"/>
            <w:vAlign w:val="center"/>
          </w:tcPr>
          <w:p w14:paraId="24087FA3">
            <w:pPr>
              <w:spacing w:line="360" w:lineRule="auto"/>
              <w:jc w:val="center"/>
              <w:rPr>
                <w:rFonts w:ascii="仿宋" w:hAnsi="仿宋" w:eastAsia="仿宋" w:cs="仿宋"/>
                <w:color w:val="auto"/>
                <w:highlight w:val="none"/>
              </w:rPr>
            </w:pPr>
          </w:p>
        </w:tc>
        <w:tc>
          <w:tcPr>
            <w:tcW w:w="1014" w:type="dxa"/>
            <w:vAlign w:val="center"/>
          </w:tcPr>
          <w:p w14:paraId="75155E36">
            <w:pPr>
              <w:spacing w:line="360" w:lineRule="auto"/>
              <w:jc w:val="center"/>
              <w:rPr>
                <w:rFonts w:ascii="仿宋" w:hAnsi="仿宋" w:eastAsia="仿宋" w:cs="仿宋"/>
                <w:color w:val="auto"/>
                <w:highlight w:val="none"/>
              </w:rPr>
            </w:pPr>
          </w:p>
        </w:tc>
        <w:tc>
          <w:tcPr>
            <w:tcW w:w="1483" w:type="dxa"/>
            <w:vAlign w:val="center"/>
          </w:tcPr>
          <w:p w14:paraId="4FCC4131">
            <w:pPr>
              <w:spacing w:line="360" w:lineRule="auto"/>
              <w:jc w:val="center"/>
              <w:rPr>
                <w:rFonts w:ascii="仿宋" w:hAnsi="仿宋" w:eastAsia="仿宋" w:cs="仿宋"/>
                <w:color w:val="auto"/>
                <w:highlight w:val="none"/>
              </w:rPr>
            </w:pPr>
          </w:p>
        </w:tc>
        <w:tc>
          <w:tcPr>
            <w:tcW w:w="2313" w:type="dxa"/>
            <w:vAlign w:val="center"/>
          </w:tcPr>
          <w:p w14:paraId="69EDCD24">
            <w:pPr>
              <w:spacing w:line="360" w:lineRule="auto"/>
              <w:jc w:val="center"/>
              <w:rPr>
                <w:rFonts w:ascii="仿宋" w:hAnsi="仿宋" w:eastAsia="仿宋" w:cs="仿宋"/>
                <w:color w:val="auto"/>
                <w:highlight w:val="none"/>
              </w:rPr>
            </w:pPr>
          </w:p>
        </w:tc>
        <w:tc>
          <w:tcPr>
            <w:tcW w:w="1406" w:type="dxa"/>
            <w:vAlign w:val="center"/>
          </w:tcPr>
          <w:p w14:paraId="62E3BDD6">
            <w:pPr>
              <w:spacing w:line="360" w:lineRule="auto"/>
              <w:jc w:val="center"/>
              <w:rPr>
                <w:rFonts w:ascii="仿宋" w:hAnsi="仿宋" w:eastAsia="仿宋" w:cs="仿宋"/>
                <w:color w:val="auto"/>
                <w:highlight w:val="none"/>
              </w:rPr>
            </w:pPr>
          </w:p>
        </w:tc>
      </w:tr>
      <w:tr w14:paraId="36E0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707820BF">
            <w:pPr>
              <w:spacing w:line="440" w:lineRule="exact"/>
              <w:jc w:val="center"/>
              <w:rPr>
                <w:rFonts w:ascii="仿宋" w:hAnsi="仿宋" w:eastAsia="仿宋" w:cs="仿宋"/>
                <w:color w:val="auto"/>
                <w:highlight w:val="none"/>
              </w:rPr>
            </w:pPr>
          </w:p>
        </w:tc>
        <w:tc>
          <w:tcPr>
            <w:tcW w:w="1167" w:type="dxa"/>
            <w:vAlign w:val="center"/>
          </w:tcPr>
          <w:p w14:paraId="4B8D2B35">
            <w:pPr>
              <w:spacing w:line="360" w:lineRule="auto"/>
              <w:jc w:val="center"/>
              <w:rPr>
                <w:rFonts w:ascii="仿宋" w:hAnsi="仿宋" w:eastAsia="仿宋" w:cs="仿宋"/>
                <w:color w:val="auto"/>
                <w:highlight w:val="none"/>
              </w:rPr>
            </w:pPr>
          </w:p>
        </w:tc>
        <w:tc>
          <w:tcPr>
            <w:tcW w:w="1014" w:type="dxa"/>
            <w:vAlign w:val="center"/>
          </w:tcPr>
          <w:p w14:paraId="01BF78C8">
            <w:pPr>
              <w:spacing w:line="360" w:lineRule="auto"/>
              <w:jc w:val="center"/>
              <w:rPr>
                <w:rFonts w:ascii="仿宋" w:hAnsi="仿宋" w:eastAsia="仿宋" w:cs="仿宋"/>
                <w:color w:val="auto"/>
                <w:highlight w:val="none"/>
              </w:rPr>
            </w:pPr>
          </w:p>
        </w:tc>
        <w:tc>
          <w:tcPr>
            <w:tcW w:w="1483" w:type="dxa"/>
            <w:vAlign w:val="center"/>
          </w:tcPr>
          <w:p w14:paraId="2989530B">
            <w:pPr>
              <w:spacing w:line="360" w:lineRule="auto"/>
              <w:jc w:val="center"/>
              <w:rPr>
                <w:rFonts w:ascii="仿宋" w:hAnsi="仿宋" w:eastAsia="仿宋" w:cs="仿宋"/>
                <w:color w:val="auto"/>
                <w:highlight w:val="none"/>
              </w:rPr>
            </w:pPr>
          </w:p>
        </w:tc>
        <w:tc>
          <w:tcPr>
            <w:tcW w:w="2313" w:type="dxa"/>
            <w:vAlign w:val="center"/>
          </w:tcPr>
          <w:p w14:paraId="1443A44B">
            <w:pPr>
              <w:spacing w:line="360" w:lineRule="auto"/>
              <w:jc w:val="center"/>
              <w:rPr>
                <w:rFonts w:ascii="仿宋" w:hAnsi="仿宋" w:eastAsia="仿宋" w:cs="仿宋"/>
                <w:color w:val="auto"/>
                <w:highlight w:val="none"/>
              </w:rPr>
            </w:pPr>
          </w:p>
        </w:tc>
        <w:tc>
          <w:tcPr>
            <w:tcW w:w="1406" w:type="dxa"/>
            <w:vAlign w:val="center"/>
          </w:tcPr>
          <w:p w14:paraId="02028CD1">
            <w:pPr>
              <w:spacing w:line="360" w:lineRule="auto"/>
              <w:jc w:val="center"/>
              <w:rPr>
                <w:rFonts w:ascii="仿宋" w:hAnsi="仿宋" w:eastAsia="仿宋" w:cs="仿宋"/>
                <w:color w:val="auto"/>
                <w:highlight w:val="none"/>
              </w:rPr>
            </w:pPr>
          </w:p>
        </w:tc>
      </w:tr>
      <w:tr w14:paraId="7D61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6E870352">
            <w:pPr>
              <w:spacing w:line="440" w:lineRule="exact"/>
              <w:jc w:val="center"/>
              <w:rPr>
                <w:rFonts w:ascii="仿宋" w:hAnsi="仿宋" w:eastAsia="仿宋" w:cs="仿宋"/>
                <w:color w:val="auto"/>
                <w:highlight w:val="none"/>
              </w:rPr>
            </w:pPr>
          </w:p>
        </w:tc>
        <w:tc>
          <w:tcPr>
            <w:tcW w:w="1167" w:type="dxa"/>
            <w:vAlign w:val="center"/>
          </w:tcPr>
          <w:p w14:paraId="4C97481D">
            <w:pPr>
              <w:spacing w:line="360" w:lineRule="auto"/>
              <w:jc w:val="center"/>
              <w:rPr>
                <w:rFonts w:ascii="仿宋" w:hAnsi="仿宋" w:eastAsia="仿宋" w:cs="仿宋"/>
                <w:color w:val="auto"/>
                <w:highlight w:val="none"/>
              </w:rPr>
            </w:pPr>
          </w:p>
        </w:tc>
        <w:tc>
          <w:tcPr>
            <w:tcW w:w="1014" w:type="dxa"/>
            <w:vAlign w:val="center"/>
          </w:tcPr>
          <w:p w14:paraId="62B66CF4">
            <w:pPr>
              <w:spacing w:line="360" w:lineRule="auto"/>
              <w:jc w:val="center"/>
              <w:rPr>
                <w:rFonts w:ascii="仿宋" w:hAnsi="仿宋" w:eastAsia="仿宋" w:cs="仿宋"/>
                <w:color w:val="auto"/>
                <w:highlight w:val="none"/>
              </w:rPr>
            </w:pPr>
          </w:p>
        </w:tc>
        <w:tc>
          <w:tcPr>
            <w:tcW w:w="1483" w:type="dxa"/>
            <w:vAlign w:val="center"/>
          </w:tcPr>
          <w:p w14:paraId="0B7EC67A">
            <w:pPr>
              <w:spacing w:line="360" w:lineRule="auto"/>
              <w:jc w:val="center"/>
              <w:rPr>
                <w:rFonts w:ascii="仿宋" w:hAnsi="仿宋" w:eastAsia="仿宋" w:cs="仿宋"/>
                <w:color w:val="auto"/>
                <w:highlight w:val="none"/>
              </w:rPr>
            </w:pPr>
          </w:p>
        </w:tc>
        <w:tc>
          <w:tcPr>
            <w:tcW w:w="2313" w:type="dxa"/>
            <w:vAlign w:val="center"/>
          </w:tcPr>
          <w:p w14:paraId="1990F723">
            <w:pPr>
              <w:spacing w:line="360" w:lineRule="auto"/>
              <w:jc w:val="center"/>
              <w:rPr>
                <w:rFonts w:ascii="仿宋" w:hAnsi="仿宋" w:eastAsia="仿宋" w:cs="仿宋"/>
                <w:color w:val="auto"/>
                <w:highlight w:val="none"/>
              </w:rPr>
            </w:pPr>
          </w:p>
        </w:tc>
        <w:tc>
          <w:tcPr>
            <w:tcW w:w="1406" w:type="dxa"/>
            <w:vAlign w:val="center"/>
          </w:tcPr>
          <w:p w14:paraId="6965B1C2">
            <w:pPr>
              <w:spacing w:line="360" w:lineRule="auto"/>
              <w:jc w:val="center"/>
              <w:rPr>
                <w:rFonts w:ascii="仿宋" w:hAnsi="仿宋" w:eastAsia="仿宋" w:cs="仿宋"/>
                <w:color w:val="auto"/>
                <w:highlight w:val="none"/>
              </w:rPr>
            </w:pPr>
          </w:p>
        </w:tc>
      </w:tr>
      <w:tr w14:paraId="6290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1ADCF0AE">
            <w:pPr>
              <w:spacing w:line="440" w:lineRule="exact"/>
              <w:jc w:val="center"/>
              <w:rPr>
                <w:rFonts w:ascii="仿宋" w:hAnsi="仿宋" w:eastAsia="仿宋" w:cs="仿宋"/>
                <w:color w:val="auto"/>
                <w:highlight w:val="none"/>
              </w:rPr>
            </w:pPr>
          </w:p>
        </w:tc>
        <w:tc>
          <w:tcPr>
            <w:tcW w:w="1167" w:type="dxa"/>
            <w:vAlign w:val="center"/>
          </w:tcPr>
          <w:p w14:paraId="290A01ED">
            <w:pPr>
              <w:spacing w:line="360" w:lineRule="auto"/>
              <w:jc w:val="center"/>
              <w:rPr>
                <w:rFonts w:ascii="仿宋" w:hAnsi="仿宋" w:eastAsia="仿宋" w:cs="仿宋"/>
                <w:color w:val="auto"/>
                <w:highlight w:val="none"/>
              </w:rPr>
            </w:pPr>
          </w:p>
        </w:tc>
        <w:tc>
          <w:tcPr>
            <w:tcW w:w="1014" w:type="dxa"/>
            <w:vAlign w:val="center"/>
          </w:tcPr>
          <w:p w14:paraId="7FF8BC35">
            <w:pPr>
              <w:spacing w:line="360" w:lineRule="auto"/>
              <w:jc w:val="center"/>
              <w:rPr>
                <w:rFonts w:ascii="仿宋" w:hAnsi="仿宋" w:eastAsia="仿宋" w:cs="仿宋"/>
                <w:color w:val="auto"/>
                <w:highlight w:val="none"/>
              </w:rPr>
            </w:pPr>
          </w:p>
        </w:tc>
        <w:tc>
          <w:tcPr>
            <w:tcW w:w="1483" w:type="dxa"/>
            <w:vAlign w:val="center"/>
          </w:tcPr>
          <w:p w14:paraId="045938AA">
            <w:pPr>
              <w:spacing w:line="360" w:lineRule="auto"/>
              <w:jc w:val="center"/>
              <w:rPr>
                <w:rFonts w:ascii="仿宋" w:hAnsi="仿宋" w:eastAsia="仿宋" w:cs="仿宋"/>
                <w:color w:val="auto"/>
                <w:highlight w:val="none"/>
              </w:rPr>
            </w:pPr>
          </w:p>
        </w:tc>
        <w:tc>
          <w:tcPr>
            <w:tcW w:w="2313" w:type="dxa"/>
            <w:vAlign w:val="center"/>
          </w:tcPr>
          <w:p w14:paraId="6DDF8B86">
            <w:pPr>
              <w:spacing w:line="360" w:lineRule="auto"/>
              <w:jc w:val="center"/>
              <w:rPr>
                <w:rFonts w:ascii="仿宋" w:hAnsi="仿宋" w:eastAsia="仿宋" w:cs="仿宋"/>
                <w:color w:val="auto"/>
                <w:highlight w:val="none"/>
              </w:rPr>
            </w:pPr>
          </w:p>
        </w:tc>
        <w:tc>
          <w:tcPr>
            <w:tcW w:w="1406" w:type="dxa"/>
            <w:vAlign w:val="center"/>
          </w:tcPr>
          <w:p w14:paraId="33F8959B">
            <w:pPr>
              <w:spacing w:line="360" w:lineRule="auto"/>
              <w:jc w:val="center"/>
              <w:rPr>
                <w:rFonts w:ascii="仿宋" w:hAnsi="仿宋" w:eastAsia="仿宋" w:cs="仿宋"/>
                <w:color w:val="auto"/>
                <w:highlight w:val="none"/>
              </w:rPr>
            </w:pPr>
          </w:p>
        </w:tc>
      </w:tr>
    </w:tbl>
    <w:p w14:paraId="512006CE">
      <w:pPr>
        <w:outlineLvl w:val="1"/>
        <w:rPr>
          <w:rFonts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lang w:eastAsia="zh-CN"/>
        </w:rPr>
        <w:t>附相关证明材料；</w:t>
      </w:r>
      <w:r>
        <w:rPr>
          <w:rFonts w:hint="eastAsia" w:ascii="仿宋" w:hAnsi="仿宋" w:eastAsia="仿宋" w:cs="仿宋"/>
          <w:color w:val="auto"/>
          <w:sz w:val="24"/>
          <w:szCs w:val="24"/>
          <w:highlight w:val="none"/>
          <w:lang w:eastAsia="zh-CN"/>
        </w:rPr>
        <w:br w:type="page"/>
      </w:r>
      <w:bookmarkStart w:id="249" w:name="_Toc110707974"/>
      <w:bookmarkStart w:id="250" w:name="_Toc130252629"/>
      <w:bookmarkStart w:id="251" w:name="_Toc109921167"/>
      <w:bookmarkStart w:id="252" w:name="_Toc109941774"/>
      <w:bookmarkStart w:id="253" w:name="_Toc24436"/>
      <w:r>
        <w:rPr>
          <w:rFonts w:hint="eastAsia" w:ascii="仿宋" w:hAnsi="仿宋" w:eastAsia="仿宋" w:cs="仿宋"/>
          <w:b/>
          <w:color w:val="auto"/>
          <w:sz w:val="24"/>
          <w:szCs w:val="24"/>
          <w:highlight w:val="none"/>
          <w:lang w:eastAsia="zh-CN"/>
        </w:rPr>
        <w:t>十、</w:t>
      </w:r>
      <w:bookmarkEnd w:id="249"/>
      <w:bookmarkEnd w:id="250"/>
      <w:bookmarkEnd w:id="251"/>
      <w:bookmarkEnd w:id="252"/>
      <w:r>
        <w:rPr>
          <w:rFonts w:hint="eastAsia" w:ascii="仿宋" w:hAnsi="仿宋" w:eastAsia="仿宋" w:cs="仿宋"/>
          <w:b/>
          <w:color w:val="auto"/>
          <w:sz w:val="24"/>
          <w:szCs w:val="24"/>
          <w:highlight w:val="none"/>
          <w:lang w:eastAsia="zh-CN"/>
        </w:rPr>
        <w:t>服务方案</w:t>
      </w:r>
      <w:bookmarkEnd w:id="253"/>
    </w:p>
    <w:p w14:paraId="54B1E3AD">
      <w:pPr>
        <w:spacing w:line="360" w:lineRule="auto"/>
        <w:ind w:firstLine="480" w:firstLineChars="200"/>
        <w:rPr>
          <w:rFonts w:ascii="仿宋" w:hAnsi="仿宋" w:eastAsia="仿宋" w:cs="仿宋"/>
          <w:bCs/>
          <w:color w:val="auto"/>
          <w:sz w:val="24"/>
          <w:szCs w:val="24"/>
          <w:highlight w:val="none"/>
          <w:lang w:eastAsia="zh-CN"/>
        </w:rPr>
      </w:pPr>
      <w:bookmarkStart w:id="254" w:name="_Toc375218897"/>
    </w:p>
    <w:p w14:paraId="477851B1">
      <w:pPr>
        <w:spacing w:line="360" w:lineRule="auto"/>
        <w:jc w:val="center"/>
        <w:rPr>
          <w:rFonts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lang w:eastAsia="zh-CN"/>
        </w:rPr>
        <w:t>格式和内容</w:t>
      </w:r>
      <w:r>
        <w:rPr>
          <w:rFonts w:hint="eastAsia" w:ascii="仿宋" w:hAnsi="仿宋" w:eastAsia="仿宋" w:cs="仿宋"/>
          <w:color w:val="auto"/>
          <w:sz w:val="24"/>
          <w:szCs w:val="24"/>
          <w:highlight w:val="none"/>
          <w:lang w:eastAsia="zh-CN"/>
        </w:rPr>
        <w:t>自行拟定</w:t>
      </w:r>
      <w:bookmarkStart w:id="255" w:name="_Toc375218899"/>
    </w:p>
    <w:p w14:paraId="6DE2D814">
      <w:pPr>
        <w:spacing w:line="360" w:lineRule="auto"/>
        <w:ind w:firstLine="480" w:firstLineChars="200"/>
        <w:rPr>
          <w:rFonts w:ascii="仿宋" w:hAnsi="仿宋" w:eastAsia="仿宋" w:cs="仿宋"/>
          <w:color w:val="auto"/>
          <w:sz w:val="24"/>
          <w:szCs w:val="24"/>
          <w:highlight w:val="none"/>
          <w:lang w:eastAsia="zh-CN"/>
        </w:rPr>
      </w:pPr>
    </w:p>
    <w:bookmarkEnd w:id="254"/>
    <w:bookmarkEnd w:id="255"/>
    <w:p w14:paraId="32885CDF">
      <w:pPr>
        <w:spacing w:line="360" w:lineRule="auto"/>
        <w:ind w:firstLine="480" w:firstLineChars="200"/>
        <w:rPr>
          <w:rFonts w:ascii="仿宋" w:hAnsi="仿宋" w:eastAsia="仿宋" w:cs="仿宋"/>
          <w:color w:val="auto"/>
          <w:sz w:val="24"/>
          <w:szCs w:val="24"/>
          <w:highlight w:val="none"/>
          <w:lang w:eastAsia="zh-CN"/>
        </w:rPr>
      </w:pPr>
    </w:p>
    <w:p w14:paraId="345F962D">
      <w:pPr>
        <w:spacing w:line="360" w:lineRule="auto"/>
        <w:ind w:firstLine="480" w:firstLineChars="200"/>
        <w:rPr>
          <w:rFonts w:ascii="仿宋" w:hAnsi="仿宋" w:eastAsia="仿宋" w:cs="仿宋"/>
          <w:color w:val="auto"/>
          <w:sz w:val="24"/>
          <w:szCs w:val="24"/>
          <w:highlight w:val="none"/>
          <w:lang w:eastAsia="zh-CN"/>
        </w:rPr>
      </w:pPr>
    </w:p>
    <w:p w14:paraId="52111AE8">
      <w:pPr>
        <w:spacing w:line="360" w:lineRule="auto"/>
        <w:ind w:firstLine="480" w:firstLineChars="200"/>
        <w:rPr>
          <w:rFonts w:ascii="仿宋" w:hAnsi="仿宋" w:eastAsia="仿宋" w:cs="仿宋"/>
          <w:color w:val="auto"/>
          <w:sz w:val="24"/>
          <w:szCs w:val="24"/>
          <w:highlight w:val="none"/>
          <w:lang w:eastAsia="zh-CN"/>
        </w:rPr>
      </w:pPr>
    </w:p>
    <w:p w14:paraId="754218F5">
      <w:pPr>
        <w:tabs>
          <w:tab w:val="center" w:pos="4832"/>
          <w:tab w:val="left" w:pos="7140"/>
        </w:tabs>
        <w:jc w:val="center"/>
        <w:outlineLvl w:val="1"/>
        <w:rPr>
          <w:rFonts w:ascii="仿宋" w:hAnsi="仿宋" w:eastAsia="仿宋" w:cs="仿宋"/>
          <w:b/>
          <w:color w:val="auto"/>
          <w:sz w:val="24"/>
          <w:szCs w:val="24"/>
          <w:highlight w:val="none"/>
          <w:lang w:eastAsia="zh-CN"/>
        </w:rPr>
      </w:pPr>
      <w:bookmarkStart w:id="256" w:name="_Toc109941775"/>
      <w:bookmarkStart w:id="257" w:name="_Toc29654"/>
      <w:bookmarkStart w:id="258" w:name="_Toc109921168"/>
      <w:bookmarkStart w:id="259" w:name="_Toc110707975"/>
      <w:bookmarkStart w:id="260" w:name="_Toc130252630"/>
      <w:r>
        <w:rPr>
          <w:rFonts w:hint="eastAsia" w:ascii="仿宋" w:hAnsi="仿宋" w:eastAsia="仿宋" w:cs="仿宋"/>
          <w:b/>
          <w:color w:val="auto"/>
          <w:sz w:val="24"/>
          <w:szCs w:val="24"/>
          <w:highlight w:val="none"/>
          <w:lang w:eastAsia="zh-CN"/>
        </w:rPr>
        <w:t>十一、其它需要提交的资料</w:t>
      </w:r>
      <w:bookmarkEnd w:id="256"/>
      <w:bookmarkEnd w:id="257"/>
      <w:bookmarkEnd w:id="258"/>
      <w:bookmarkEnd w:id="259"/>
      <w:bookmarkEnd w:id="260"/>
    </w:p>
    <w:p w14:paraId="03C477AD">
      <w:pPr>
        <w:spacing w:line="360" w:lineRule="auto"/>
        <w:ind w:firstLine="480" w:firstLineChars="200"/>
        <w:rPr>
          <w:rFonts w:ascii="仿宋" w:hAnsi="仿宋" w:eastAsia="仿宋" w:cs="仿宋"/>
          <w:color w:val="auto"/>
          <w:sz w:val="24"/>
          <w:szCs w:val="24"/>
          <w:highlight w:val="none"/>
          <w:lang w:eastAsia="zh-CN"/>
        </w:rPr>
      </w:pPr>
    </w:p>
    <w:p w14:paraId="232FE750">
      <w:pPr>
        <w:spacing w:line="360" w:lineRule="auto"/>
        <w:ind w:firstLine="480" w:firstLineChars="20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根据采购文件的要求和供应商认为需要提供的资料。</w:t>
      </w:r>
    </w:p>
    <w:p w14:paraId="7FC9BC21">
      <w:pPr>
        <w:rPr>
          <w:rFonts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r>
        <w:rPr>
          <w:rFonts w:hint="eastAsia" w:ascii="仿宋" w:hAnsi="仿宋" w:eastAsia="仿宋" w:cs="仿宋"/>
          <w:color w:val="auto"/>
          <w:highlight w:val="none"/>
          <w:lang w:eastAsia="zh-CN"/>
        </w:rPr>
        <w:t xml:space="preserve"> </w:t>
      </w:r>
    </w:p>
    <w:p w14:paraId="7943368B">
      <w:pPr>
        <w:pStyle w:val="2"/>
        <w:rPr>
          <w:rFonts w:ascii="仿宋" w:hAnsi="仿宋" w:eastAsia="仿宋" w:cs="仿宋"/>
          <w:b/>
          <w:color w:val="auto"/>
          <w:szCs w:val="24"/>
          <w:highlight w:val="none"/>
          <w:lang w:eastAsia="zh-CN"/>
        </w:rPr>
      </w:pPr>
      <w:bookmarkStart w:id="261" w:name="_Toc130252631"/>
      <w:bookmarkStart w:id="262" w:name="_Toc5648"/>
      <w:bookmarkStart w:id="263" w:name="_Toc60925660"/>
      <w:bookmarkStart w:id="264" w:name="_Toc6942"/>
      <w:r>
        <w:rPr>
          <w:rFonts w:hint="eastAsia"/>
          <w:b/>
          <w:bCs/>
          <w:color w:val="auto"/>
          <w:highlight w:val="none"/>
          <w:lang w:eastAsia="zh-CN"/>
        </w:rPr>
        <w:t>第六章 补充条款</w:t>
      </w:r>
      <w:bookmarkEnd w:id="261"/>
      <w:bookmarkEnd w:id="262"/>
      <w:bookmarkEnd w:id="263"/>
      <w:bookmarkEnd w:id="264"/>
    </w:p>
    <w:p w14:paraId="22907CBE">
      <w:pPr>
        <w:rPr>
          <w:rFonts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1C0E3D72">
      <w:pPr>
        <w:ind w:left="420" w:leftChars="200"/>
        <w:jc w:val="center"/>
        <w:rPr>
          <w:rFonts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质疑函范本（投标文件中无需提供）</w:t>
      </w:r>
    </w:p>
    <w:p w14:paraId="69580FA2">
      <w:pPr>
        <w:spacing w:before="240" w:beforeLines="100" w:line="360" w:lineRule="auto"/>
        <w:ind w:left="420" w:leftChars="200"/>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一、质疑供应商基本信息</w:t>
      </w:r>
    </w:p>
    <w:p w14:paraId="725CB628">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质疑供应商：</w:t>
      </w:r>
      <w:r>
        <w:rPr>
          <w:rFonts w:hint="eastAsia" w:ascii="仿宋" w:hAnsi="仿宋" w:eastAsia="仿宋" w:cs="仿宋"/>
          <w:color w:val="auto"/>
          <w:sz w:val="24"/>
          <w:szCs w:val="24"/>
          <w:highlight w:val="none"/>
          <w:u w:val="dotted"/>
          <w:lang w:eastAsia="zh-CN"/>
        </w:rPr>
        <w:t xml:space="preserve">                                        </w:t>
      </w:r>
    </w:p>
    <w:p w14:paraId="69C5037B">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地址：</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邮编：</w:t>
      </w:r>
      <w:r>
        <w:rPr>
          <w:rFonts w:hint="eastAsia" w:ascii="仿宋" w:hAnsi="仿宋" w:eastAsia="仿宋" w:cs="仿宋"/>
          <w:color w:val="auto"/>
          <w:sz w:val="24"/>
          <w:szCs w:val="24"/>
          <w:highlight w:val="none"/>
          <w:u w:val="dotted"/>
          <w:lang w:eastAsia="zh-CN"/>
        </w:rPr>
        <w:t xml:space="preserve">                                                   </w:t>
      </w:r>
    </w:p>
    <w:p w14:paraId="4623758D">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联系电话：</w:t>
      </w:r>
      <w:r>
        <w:rPr>
          <w:rFonts w:hint="eastAsia" w:ascii="仿宋" w:hAnsi="仿宋" w:eastAsia="仿宋" w:cs="仿宋"/>
          <w:color w:val="auto"/>
          <w:sz w:val="24"/>
          <w:szCs w:val="24"/>
          <w:highlight w:val="none"/>
          <w:u w:val="dotted"/>
          <w:lang w:eastAsia="zh-CN"/>
        </w:rPr>
        <w:t xml:space="preserve">                              </w:t>
      </w:r>
    </w:p>
    <w:p w14:paraId="59618354">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授权代表：</w:t>
      </w:r>
      <w:r>
        <w:rPr>
          <w:rFonts w:hint="eastAsia" w:ascii="仿宋" w:hAnsi="仿宋" w:eastAsia="仿宋" w:cs="仿宋"/>
          <w:color w:val="auto"/>
          <w:sz w:val="24"/>
          <w:szCs w:val="24"/>
          <w:highlight w:val="none"/>
          <w:u w:val="dotted"/>
          <w:lang w:eastAsia="zh-CN"/>
        </w:rPr>
        <w:t xml:space="preserve">                                          </w:t>
      </w:r>
    </w:p>
    <w:p w14:paraId="0CF816F1">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联系电话：</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 xml:space="preserve"> </w:t>
      </w:r>
    </w:p>
    <w:p w14:paraId="2494E4D5">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地址： </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邮编：</w:t>
      </w:r>
      <w:r>
        <w:rPr>
          <w:rFonts w:hint="eastAsia" w:ascii="仿宋" w:hAnsi="仿宋" w:eastAsia="仿宋" w:cs="仿宋"/>
          <w:color w:val="auto"/>
          <w:sz w:val="24"/>
          <w:szCs w:val="24"/>
          <w:highlight w:val="none"/>
          <w:u w:val="dotted"/>
          <w:lang w:eastAsia="zh-CN"/>
        </w:rPr>
        <w:t xml:space="preserve">                                                </w:t>
      </w:r>
    </w:p>
    <w:p w14:paraId="7F1B8B94">
      <w:pPr>
        <w:spacing w:line="360" w:lineRule="auto"/>
        <w:ind w:left="420" w:leftChars="200"/>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二、质疑项目基本情况</w:t>
      </w:r>
    </w:p>
    <w:p w14:paraId="5EC6A28D">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质疑项目的名称：</w:t>
      </w:r>
      <w:r>
        <w:rPr>
          <w:rFonts w:hint="eastAsia" w:ascii="仿宋" w:hAnsi="仿宋" w:eastAsia="仿宋" w:cs="仿宋"/>
          <w:color w:val="auto"/>
          <w:sz w:val="24"/>
          <w:szCs w:val="24"/>
          <w:highlight w:val="none"/>
          <w:u w:val="dotted"/>
          <w:lang w:eastAsia="zh-CN"/>
        </w:rPr>
        <w:t xml:space="preserve">                                      </w:t>
      </w:r>
    </w:p>
    <w:p w14:paraId="0556E9BF">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质疑项目的编号：</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包号：</w:t>
      </w:r>
      <w:r>
        <w:rPr>
          <w:rFonts w:hint="eastAsia" w:ascii="仿宋" w:hAnsi="仿宋" w:eastAsia="仿宋" w:cs="仿宋"/>
          <w:color w:val="auto"/>
          <w:sz w:val="24"/>
          <w:szCs w:val="24"/>
          <w:highlight w:val="none"/>
          <w:u w:val="dotted"/>
          <w:lang w:eastAsia="zh-CN"/>
        </w:rPr>
        <w:t xml:space="preserve">                 </w:t>
      </w:r>
    </w:p>
    <w:p w14:paraId="7251F4CA">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采购人名称：</w:t>
      </w:r>
      <w:r>
        <w:rPr>
          <w:rFonts w:hint="eastAsia" w:ascii="仿宋" w:hAnsi="仿宋" w:eastAsia="仿宋" w:cs="仿宋"/>
          <w:color w:val="auto"/>
          <w:sz w:val="24"/>
          <w:szCs w:val="24"/>
          <w:highlight w:val="none"/>
          <w:u w:val="dotted"/>
          <w:lang w:eastAsia="zh-CN"/>
        </w:rPr>
        <w:t xml:space="preserve">                                         </w:t>
      </w:r>
    </w:p>
    <w:p w14:paraId="4D28D042">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采购文件获取日期：</w:t>
      </w:r>
      <w:r>
        <w:rPr>
          <w:rFonts w:hint="eastAsia" w:ascii="仿宋" w:hAnsi="仿宋" w:eastAsia="仿宋" w:cs="仿宋"/>
          <w:color w:val="auto"/>
          <w:sz w:val="24"/>
          <w:szCs w:val="24"/>
          <w:highlight w:val="none"/>
          <w:u w:val="dotted"/>
          <w:lang w:eastAsia="zh-CN"/>
        </w:rPr>
        <w:t xml:space="preserve">                                           </w:t>
      </w:r>
    </w:p>
    <w:p w14:paraId="31CA5CF4">
      <w:pPr>
        <w:spacing w:line="360" w:lineRule="auto"/>
        <w:ind w:left="420" w:leftChars="200"/>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三、质疑事项具体内容</w:t>
      </w:r>
    </w:p>
    <w:p w14:paraId="3B5CC279">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质疑事项1：</w:t>
      </w:r>
      <w:r>
        <w:rPr>
          <w:rFonts w:hint="eastAsia" w:ascii="仿宋" w:hAnsi="仿宋" w:eastAsia="仿宋" w:cs="仿宋"/>
          <w:color w:val="auto"/>
          <w:sz w:val="24"/>
          <w:szCs w:val="24"/>
          <w:highlight w:val="none"/>
          <w:u w:val="dotted"/>
          <w:lang w:eastAsia="zh-CN"/>
        </w:rPr>
        <w:t xml:space="preserve">                                         </w:t>
      </w:r>
    </w:p>
    <w:p w14:paraId="709D80E2">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事实依据：</w:t>
      </w:r>
      <w:r>
        <w:rPr>
          <w:rFonts w:hint="eastAsia" w:ascii="仿宋" w:hAnsi="仿宋" w:eastAsia="仿宋" w:cs="仿宋"/>
          <w:color w:val="auto"/>
          <w:sz w:val="24"/>
          <w:szCs w:val="24"/>
          <w:highlight w:val="none"/>
          <w:u w:val="dotted"/>
          <w:lang w:eastAsia="zh-CN"/>
        </w:rPr>
        <w:t xml:space="preserve">                                          </w:t>
      </w:r>
    </w:p>
    <w:p w14:paraId="656651A4">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dotted"/>
          <w:lang w:eastAsia="zh-CN"/>
        </w:rPr>
        <w:t xml:space="preserve">                                                       </w:t>
      </w:r>
    </w:p>
    <w:p w14:paraId="2156DDDE">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法律依据：</w:t>
      </w:r>
      <w:r>
        <w:rPr>
          <w:rFonts w:hint="eastAsia" w:ascii="仿宋" w:hAnsi="仿宋" w:eastAsia="仿宋" w:cs="仿宋"/>
          <w:color w:val="auto"/>
          <w:sz w:val="24"/>
          <w:szCs w:val="24"/>
          <w:highlight w:val="none"/>
          <w:u w:val="dotted"/>
          <w:lang w:eastAsia="zh-CN"/>
        </w:rPr>
        <w:t xml:space="preserve">                                          </w:t>
      </w:r>
    </w:p>
    <w:p w14:paraId="1C8A4699">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u w:val="dotted"/>
          <w:lang w:eastAsia="zh-CN"/>
        </w:rPr>
        <w:t xml:space="preserve">                                                     </w:t>
      </w:r>
    </w:p>
    <w:p w14:paraId="7FC310DA">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质疑事项2</w:t>
      </w:r>
    </w:p>
    <w:p w14:paraId="796A8104">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p>
    <w:p w14:paraId="05E46008">
      <w:pPr>
        <w:spacing w:line="360" w:lineRule="auto"/>
        <w:ind w:left="420" w:leftChars="200"/>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四、与质疑事项相关的质疑请求</w:t>
      </w:r>
    </w:p>
    <w:p w14:paraId="2544C3D6">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请求：</w:t>
      </w:r>
      <w:r>
        <w:rPr>
          <w:rFonts w:hint="eastAsia" w:ascii="仿宋" w:hAnsi="仿宋" w:eastAsia="仿宋" w:cs="仿宋"/>
          <w:color w:val="auto"/>
          <w:sz w:val="24"/>
          <w:szCs w:val="24"/>
          <w:highlight w:val="none"/>
          <w:u w:val="dotted"/>
          <w:lang w:eastAsia="zh-CN"/>
        </w:rPr>
        <w:t xml:space="preserve">                                               </w:t>
      </w:r>
    </w:p>
    <w:p w14:paraId="5A19B3AB">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签字（签章）：                   公章：                      </w:t>
      </w:r>
    </w:p>
    <w:p w14:paraId="270E998A">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日期：    </w:t>
      </w:r>
    </w:p>
    <w:p w14:paraId="7625049E">
      <w:pPr>
        <w:spacing w:line="360" w:lineRule="auto"/>
        <w:ind w:left="420" w:leftChars="200"/>
        <w:rPr>
          <w:rFonts w:ascii="仿宋" w:hAnsi="仿宋" w:eastAsia="仿宋" w:cs="仿宋"/>
          <w:color w:val="auto"/>
          <w:sz w:val="24"/>
          <w:szCs w:val="24"/>
          <w:highlight w:val="none"/>
          <w:lang w:eastAsia="zh-CN"/>
        </w:rPr>
      </w:pPr>
    </w:p>
    <w:p w14:paraId="052F182A">
      <w:pPr>
        <w:spacing w:line="360" w:lineRule="auto"/>
        <w:ind w:left="420" w:leftChars="200"/>
        <w:rPr>
          <w:rFonts w:ascii="仿宋" w:hAnsi="仿宋" w:eastAsia="仿宋" w:cs="仿宋"/>
          <w:color w:val="auto"/>
          <w:sz w:val="24"/>
          <w:szCs w:val="24"/>
          <w:highlight w:val="none"/>
          <w:lang w:eastAsia="zh-CN"/>
        </w:rPr>
      </w:pPr>
    </w:p>
    <w:p w14:paraId="7ABEB2FC">
      <w:pPr>
        <w:ind w:left="420" w:leftChars="200"/>
        <w:jc w:val="center"/>
        <w:rPr>
          <w:rFonts w:ascii="仿宋" w:hAnsi="仿宋" w:eastAsia="仿宋" w:cs="仿宋"/>
          <w:b/>
          <w:bCs/>
          <w:color w:val="auto"/>
          <w:sz w:val="24"/>
          <w:szCs w:val="24"/>
          <w:highlight w:val="none"/>
          <w:lang w:eastAsia="zh-CN"/>
        </w:rPr>
      </w:pPr>
    </w:p>
    <w:p w14:paraId="00E56270">
      <w:pPr>
        <w:ind w:left="420" w:leftChars="200"/>
        <w:jc w:val="center"/>
        <w:rPr>
          <w:rFonts w:ascii="仿宋" w:hAnsi="仿宋" w:eastAsia="仿宋" w:cs="仿宋"/>
          <w:b/>
          <w:bCs/>
          <w:color w:val="auto"/>
          <w:sz w:val="24"/>
          <w:szCs w:val="24"/>
          <w:highlight w:val="none"/>
          <w:lang w:eastAsia="zh-CN"/>
        </w:rPr>
      </w:pPr>
    </w:p>
    <w:p w14:paraId="7AFE23F2">
      <w:pPr>
        <w:ind w:left="420" w:leftChars="200"/>
        <w:rPr>
          <w:rFonts w:ascii="仿宋" w:hAnsi="仿宋" w:eastAsia="仿宋" w:cs="仿宋"/>
          <w:b/>
          <w:color w:val="auto"/>
          <w:sz w:val="24"/>
          <w:szCs w:val="24"/>
          <w:highlight w:val="none"/>
          <w:lang w:eastAsia="zh-CN"/>
        </w:rPr>
      </w:pPr>
    </w:p>
    <w:p w14:paraId="02B60324">
      <w:pPr>
        <w:ind w:left="420" w:leftChars="200"/>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14:paraId="1BA31D46">
      <w:pPr>
        <w:ind w:left="420" w:leftChars="200"/>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质疑函制作说明：</w:t>
      </w:r>
    </w:p>
    <w:p w14:paraId="5BA6CBD0">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1.供应商提出质疑时，应提交质疑函和必要的证明材料。</w:t>
      </w:r>
    </w:p>
    <w:p w14:paraId="28E5E30D">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442033">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3.质疑供应商若对项目的某一分包进行质疑，质疑函中应列明具体分包号。</w:t>
      </w:r>
    </w:p>
    <w:p w14:paraId="4E93FA07">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4.质疑函的质疑事项应具体、明确，并有必要的事实依据和法律依据。</w:t>
      </w:r>
    </w:p>
    <w:p w14:paraId="1DEBAC8C">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5.质疑函的质疑请求应与质疑事项相关。</w:t>
      </w:r>
    </w:p>
    <w:p w14:paraId="75472DB4">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6.质疑供应商为自然人的，质疑函应由本人签字；质疑供应商为法人或者其他组织的，质疑函应由法定代表人、主要负责人，或者其授权代表签字或者盖章，并加盖公章。</w:t>
      </w:r>
    </w:p>
    <w:p w14:paraId="46B15118">
      <w:pPr>
        <w:ind w:left="420" w:leftChars="200"/>
        <w:jc w:val="center"/>
        <w:rPr>
          <w:rFonts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lang w:eastAsia="zh-CN"/>
        </w:rPr>
        <w:br w:type="page"/>
      </w:r>
      <w:r>
        <w:rPr>
          <w:rFonts w:hint="eastAsia" w:ascii="仿宋" w:hAnsi="仿宋" w:eastAsia="仿宋" w:cs="仿宋"/>
          <w:b/>
          <w:color w:val="auto"/>
          <w:sz w:val="24"/>
          <w:szCs w:val="24"/>
          <w:highlight w:val="none"/>
          <w:lang w:eastAsia="zh-CN"/>
        </w:rPr>
        <w:t>投诉书范本</w:t>
      </w:r>
      <w:r>
        <w:rPr>
          <w:rFonts w:hint="eastAsia" w:ascii="仿宋" w:hAnsi="仿宋" w:eastAsia="仿宋" w:cs="仿宋"/>
          <w:b/>
          <w:bCs/>
          <w:color w:val="auto"/>
          <w:sz w:val="24"/>
          <w:szCs w:val="24"/>
          <w:highlight w:val="none"/>
          <w:lang w:eastAsia="zh-CN"/>
        </w:rPr>
        <w:t>（投标文件中无需提供）</w:t>
      </w:r>
    </w:p>
    <w:p w14:paraId="1B80E58E">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一、投诉相关主体基本情况</w:t>
      </w:r>
    </w:p>
    <w:p w14:paraId="3AF33847">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投诉人：</w:t>
      </w:r>
      <w:r>
        <w:rPr>
          <w:rFonts w:hint="eastAsia" w:ascii="仿宋" w:hAnsi="仿宋" w:eastAsia="仿宋" w:cs="仿宋"/>
          <w:color w:val="auto"/>
          <w:sz w:val="24"/>
          <w:szCs w:val="24"/>
          <w:highlight w:val="none"/>
          <w:u w:val="dotted"/>
          <w:lang w:eastAsia="zh-CN"/>
        </w:rPr>
        <w:t xml:space="preserve">                                               </w:t>
      </w:r>
    </w:p>
    <w:p w14:paraId="1FC2BE68">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地     址：</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邮编：</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0D0F619E">
      <w:pPr>
        <w:tabs>
          <w:tab w:val="left" w:pos="6510"/>
        </w:tabs>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法定代表人/主要负责人：</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 xml:space="preserve">  </w:t>
      </w:r>
    </w:p>
    <w:p w14:paraId="2220A8F7">
      <w:pPr>
        <w:tabs>
          <w:tab w:val="left" w:pos="6510"/>
        </w:tabs>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联系电话：</w:t>
      </w:r>
      <w:r>
        <w:rPr>
          <w:rFonts w:hint="eastAsia" w:ascii="仿宋" w:hAnsi="仿宋" w:eastAsia="仿宋" w:cs="仿宋"/>
          <w:color w:val="auto"/>
          <w:sz w:val="24"/>
          <w:szCs w:val="24"/>
          <w:highlight w:val="none"/>
          <w:u w:val="dotted"/>
          <w:lang w:eastAsia="zh-CN"/>
        </w:rPr>
        <w:t xml:space="preserve">                                             </w:t>
      </w:r>
    </w:p>
    <w:p w14:paraId="59FED8E8">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授权代表：</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联系电话</w:t>
      </w:r>
      <w:r>
        <w:rPr>
          <w:rFonts w:hint="eastAsia" w:ascii="仿宋" w:hAnsi="仿宋" w:eastAsia="仿宋" w:cs="仿宋"/>
          <w:color w:val="auto"/>
          <w:sz w:val="24"/>
          <w:szCs w:val="24"/>
          <w:highlight w:val="none"/>
          <w:u w:val="dotted"/>
          <w:lang w:eastAsia="zh-CN"/>
        </w:rPr>
        <w:t xml:space="preserve">：                  </w:t>
      </w:r>
    </w:p>
    <w:p w14:paraId="20D41992">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地     址：</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邮编：</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dotted"/>
          <w:lang w:eastAsia="zh-CN"/>
        </w:rPr>
        <w:t xml:space="preserve">                   </w:t>
      </w:r>
    </w:p>
    <w:p w14:paraId="03E5AEFD">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被投诉人1：</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1D76D530">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地     址：</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邮编：</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72DD4B88">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联系电话：</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2EA789FB">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被投诉人2</w:t>
      </w:r>
    </w:p>
    <w:p w14:paraId="6C653979">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w:t>
      </w:r>
    </w:p>
    <w:p w14:paraId="025AC841">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相关供应商：</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6FC10B4D">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地     址：</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邮编：</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5BDB70D3">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联系电话：</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0C8435FB">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二、投诉项目基本情况</w:t>
      </w:r>
    </w:p>
    <w:p w14:paraId="4717A42B">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采购项目名称：</w:t>
      </w:r>
      <w:r>
        <w:rPr>
          <w:rFonts w:hint="eastAsia" w:ascii="仿宋" w:hAnsi="仿宋" w:eastAsia="仿宋" w:cs="仿宋"/>
          <w:color w:val="auto"/>
          <w:sz w:val="24"/>
          <w:szCs w:val="24"/>
          <w:highlight w:val="none"/>
          <w:u w:val="dotted"/>
          <w:lang w:eastAsia="zh-CN"/>
        </w:rPr>
        <w:t xml:space="preserve">                                        </w:t>
      </w:r>
    </w:p>
    <w:p w14:paraId="7101D21F">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采购项目编号：</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包号：</w:t>
      </w:r>
      <w:r>
        <w:rPr>
          <w:rFonts w:hint="eastAsia" w:ascii="仿宋" w:hAnsi="仿宋" w:eastAsia="仿宋" w:cs="仿宋"/>
          <w:color w:val="auto"/>
          <w:sz w:val="24"/>
          <w:szCs w:val="24"/>
          <w:highlight w:val="none"/>
          <w:u w:val="dotted"/>
          <w:lang w:eastAsia="zh-CN"/>
        </w:rPr>
        <w:t xml:space="preserve">              </w:t>
      </w:r>
    </w:p>
    <w:p w14:paraId="6DE6DA8E">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采购人名称：</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4C5B7DFC">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代理机构名称：</w:t>
      </w:r>
      <w:r>
        <w:rPr>
          <w:rFonts w:hint="eastAsia" w:ascii="仿宋" w:hAnsi="仿宋" w:eastAsia="仿宋" w:cs="仿宋"/>
          <w:color w:val="auto"/>
          <w:sz w:val="24"/>
          <w:szCs w:val="24"/>
          <w:highlight w:val="none"/>
          <w:u w:val="dotted"/>
          <w:lang w:eastAsia="zh-CN"/>
        </w:rPr>
        <w:t xml:space="preserve">                                         </w:t>
      </w:r>
    </w:p>
    <w:p w14:paraId="6CFD04E3">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采购文件公告：</w:t>
      </w:r>
      <w:r>
        <w:rPr>
          <w:rFonts w:hint="eastAsia" w:ascii="仿宋" w:hAnsi="仿宋" w:eastAsia="仿宋" w:cs="仿宋"/>
          <w:color w:val="auto"/>
          <w:sz w:val="24"/>
          <w:szCs w:val="24"/>
          <w:highlight w:val="none"/>
          <w:u w:val="dotted"/>
          <w:lang w:eastAsia="zh-CN"/>
        </w:rPr>
        <w:t xml:space="preserve">是/否 </w:t>
      </w:r>
      <w:r>
        <w:rPr>
          <w:rFonts w:hint="eastAsia" w:ascii="仿宋" w:hAnsi="仿宋" w:eastAsia="仿宋" w:cs="仿宋"/>
          <w:color w:val="auto"/>
          <w:sz w:val="24"/>
          <w:szCs w:val="24"/>
          <w:highlight w:val="none"/>
          <w:lang w:eastAsia="zh-CN"/>
        </w:rPr>
        <w:t>公告期限：</w:t>
      </w:r>
      <w:r>
        <w:rPr>
          <w:rFonts w:hint="eastAsia" w:ascii="仿宋" w:hAnsi="仿宋" w:eastAsia="仿宋" w:cs="仿宋"/>
          <w:color w:val="auto"/>
          <w:sz w:val="24"/>
          <w:szCs w:val="24"/>
          <w:highlight w:val="none"/>
          <w:u w:val="dotted"/>
          <w:lang w:eastAsia="zh-CN"/>
        </w:rPr>
        <w:t xml:space="preserve">                                 </w:t>
      </w:r>
    </w:p>
    <w:p w14:paraId="41B15839">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采购结果公告：</w:t>
      </w:r>
      <w:r>
        <w:rPr>
          <w:rFonts w:hint="eastAsia" w:ascii="仿宋" w:hAnsi="仿宋" w:eastAsia="仿宋" w:cs="仿宋"/>
          <w:color w:val="auto"/>
          <w:sz w:val="24"/>
          <w:szCs w:val="24"/>
          <w:highlight w:val="none"/>
          <w:u w:val="dotted"/>
          <w:lang w:eastAsia="zh-CN"/>
        </w:rPr>
        <w:t xml:space="preserve">是/否 </w:t>
      </w:r>
      <w:r>
        <w:rPr>
          <w:rFonts w:hint="eastAsia" w:ascii="仿宋" w:hAnsi="仿宋" w:eastAsia="仿宋" w:cs="仿宋"/>
          <w:color w:val="auto"/>
          <w:sz w:val="24"/>
          <w:szCs w:val="24"/>
          <w:highlight w:val="none"/>
          <w:lang w:eastAsia="zh-CN"/>
        </w:rPr>
        <w:t>公告期限：</w:t>
      </w:r>
      <w:r>
        <w:rPr>
          <w:rFonts w:hint="eastAsia" w:ascii="仿宋" w:hAnsi="仿宋" w:eastAsia="仿宋" w:cs="仿宋"/>
          <w:color w:val="auto"/>
          <w:sz w:val="24"/>
          <w:szCs w:val="24"/>
          <w:highlight w:val="none"/>
          <w:u w:val="dotted"/>
          <w:lang w:eastAsia="zh-CN"/>
        </w:rPr>
        <w:t xml:space="preserve">                        </w:t>
      </w:r>
    </w:p>
    <w:p w14:paraId="4B9261CA">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三、质疑基本情况</w:t>
      </w:r>
    </w:p>
    <w:p w14:paraId="49BE6F7A">
      <w:pPr>
        <w:ind w:left="420" w:leftChars="200" w:firstLine="480" w:firstLine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投诉人于</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日,向</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提出质疑，质疑事项为：</w:t>
      </w:r>
      <w:r>
        <w:rPr>
          <w:rFonts w:hint="eastAsia" w:ascii="仿宋" w:hAnsi="仿宋" w:eastAsia="仿宋" w:cs="仿宋"/>
          <w:color w:val="auto"/>
          <w:sz w:val="24"/>
          <w:szCs w:val="24"/>
          <w:highlight w:val="none"/>
          <w:u w:val="dotted"/>
          <w:lang w:eastAsia="zh-CN"/>
        </w:rPr>
        <w:t xml:space="preserve">                                </w:t>
      </w:r>
    </w:p>
    <w:p w14:paraId="29C78725">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 xml:space="preserve">  </w:t>
      </w:r>
    </w:p>
    <w:p w14:paraId="66985887">
      <w:pPr>
        <w:ind w:left="420" w:leftChars="200" w:firstLine="360" w:firstLineChars="15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dotted"/>
          <w:lang w:eastAsia="zh-CN"/>
        </w:rPr>
        <w:t>采购人/代理机构</w:t>
      </w:r>
      <w:r>
        <w:rPr>
          <w:rFonts w:hint="eastAsia" w:ascii="仿宋" w:hAnsi="仿宋" w:eastAsia="仿宋" w:cs="仿宋"/>
          <w:color w:val="auto"/>
          <w:sz w:val="24"/>
          <w:szCs w:val="24"/>
          <w:highlight w:val="none"/>
          <w:lang w:eastAsia="zh-CN"/>
        </w:rPr>
        <w:t>于</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日,就质疑事项作出了答复/没有在法定期限内作出答复。</w:t>
      </w:r>
    </w:p>
    <w:p w14:paraId="7D8914D2">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四、投诉事项具体内容</w:t>
      </w:r>
    </w:p>
    <w:p w14:paraId="0EF0BE11">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投诉事项 1：</w:t>
      </w:r>
      <w:r>
        <w:rPr>
          <w:rFonts w:hint="eastAsia" w:ascii="仿宋" w:hAnsi="仿宋" w:eastAsia="仿宋" w:cs="仿宋"/>
          <w:color w:val="auto"/>
          <w:sz w:val="24"/>
          <w:szCs w:val="24"/>
          <w:highlight w:val="none"/>
          <w:u w:val="dotted"/>
          <w:lang w:eastAsia="zh-CN"/>
        </w:rPr>
        <w:t xml:space="preserve">                                       </w:t>
      </w:r>
    </w:p>
    <w:p w14:paraId="44B85CBB">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事实依据：</w:t>
      </w:r>
      <w:r>
        <w:rPr>
          <w:rFonts w:hint="eastAsia" w:ascii="仿宋" w:hAnsi="仿宋" w:eastAsia="仿宋" w:cs="仿宋"/>
          <w:color w:val="auto"/>
          <w:sz w:val="24"/>
          <w:szCs w:val="24"/>
          <w:highlight w:val="none"/>
          <w:u w:val="dotted"/>
          <w:lang w:eastAsia="zh-CN"/>
        </w:rPr>
        <w:t xml:space="preserve">                                         </w:t>
      </w:r>
    </w:p>
    <w:p w14:paraId="6FCA4181">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u w:val="dotted"/>
          <w:lang w:eastAsia="zh-CN"/>
        </w:rPr>
        <w:t xml:space="preserve">                                                      </w:t>
      </w:r>
    </w:p>
    <w:p w14:paraId="3D3FEE52">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法律依据：</w:t>
      </w:r>
      <w:r>
        <w:rPr>
          <w:rFonts w:hint="eastAsia" w:ascii="仿宋" w:hAnsi="仿宋" w:eastAsia="仿宋" w:cs="仿宋"/>
          <w:color w:val="auto"/>
          <w:sz w:val="24"/>
          <w:szCs w:val="24"/>
          <w:highlight w:val="none"/>
          <w:u w:val="dotted"/>
          <w:lang w:eastAsia="zh-CN"/>
        </w:rPr>
        <w:t xml:space="preserve">                                          </w:t>
      </w:r>
    </w:p>
    <w:p w14:paraId="58A68E63">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u w:val="dotted"/>
          <w:lang w:eastAsia="zh-CN"/>
        </w:rPr>
        <w:t xml:space="preserve">                                                      </w:t>
      </w:r>
    </w:p>
    <w:p w14:paraId="08B15A90">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投诉事项2</w:t>
      </w:r>
    </w:p>
    <w:p w14:paraId="16EBFDB0">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w:t>
      </w:r>
    </w:p>
    <w:p w14:paraId="76700554">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五、与投诉事项相关的投诉请求</w:t>
      </w:r>
    </w:p>
    <w:p w14:paraId="428950CA">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请求：</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 xml:space="preserve"> </w:t>
      </w:r>
    </w:p>
    <w:p w14:paraId="28ED372A">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 xml:space="preserve">                                                                                                    </w:t>
      </w:r>
    </w:p>
    <w:p w14:paraId="2F6A21AC">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签字（签章）：                   公章：                      </w:t>
      </w:r>
    </w:p>
    <w:p w14:paraId="159A8E0A">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日期：    </w:t>
      </w:r>
    </w:p>
    <w:p w14:paraId="6547E534">
      <w:pPr>
        <w:ind w:left="420" w:leftChars="200"/>
        <w:rPr>
          <w:rFonts w:ascii="仿宋" w:hAnsi="仿宋" w:eastAsia="仿宋" w:cs="仿宋"/>
          <w:b/>
          <w:color w:val="auto"/>
          <w:sz w:val="24"/>
          <w:szCs w:val="24"/>
          <w:highlight w:val="none"/>
          <w:lang w:eastAsia="zh-CN"/>
        </w:rPr>
      </w:pPr>
    </w:p>
    <w:p w14:paraId="1230F85A">
      <w:pPr>
        <w:ind w:left="420" w:leftChars="200"/>
        <w:rPr>
          <w:rFonts w:ascii="仿宋" w:hAnsi="仿宋" w:eastAsia="仿宋" w:cs="仿宋"/>
          <w:b/>
          <w:color w:val="auto"/>
          <w:sz w:val="24"/>
          <w:szCs w:val="24"/>
          <w:highlight w:val="none"/>
          <w:lang w:eastAsia="zh-CN"/>
        </w:rPr>
      </w:pPr>
    </w:p>
    <w:p w14:paraId="4C8F852F">
      <w:pPr>
        <w:ind w:left="420" w:leftChars="200"/>
        <w:rPr>
          <w:rFonts w:ascii="仿宋" w:hAnsi="仿宋" w:eastAsia="仿宋" w:cs="仿宋"/>
          <w:b/>
          <w:color w:val="auto"/>
          <w:sz w:val="24"/>
          <w:szCs w:val="24"/>
          <w:highlight w:val="none"/>
          <w:lang w:eastAsia="zh-CN"/>
        </w:rPr>
      </w:pPr>
    </w:p>
    <w:p w14:paraId="5C35FF46">
      <w:pP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14:paraId="38F53E02">
      <w:pPr>
        <w:ind w:left="420" w:leftChars="200"/>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投诉书制作说明：</w:t>
      </w:r>
    </w:p>
    <w:p w14:paraId="335895B7">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1.投诉人提起投诉时，应当提交投诉书和必要的证明材料，并按照被投诉人和与投诉事项有关的供应商数量提供投诉书副本。</w:t>
      </w:r>
    </w:p>
    <w:p w14:paraId="68744FCA">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125EF12">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3.投诉人若对项目的某一分包进行投诉，投诉书应列明具体分包号。</w:t>
      </w:r>
    </w:p>
    <w:p w14:paraId="37515497">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4.投诉书应简要列明质疑事项，质疑函、质疑答复等作为附件材料提供。</w:t>
      </w:r>
    </w:p>
    <w:p w14:paraId="4626F088">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5.投诉书的投诉事项应具体、明确，并有必要的事实依据和法律依据。</w:t>
      </w:r>
    </w:p>
    <w:p w14:paraId="5EE67CC7">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6.投诉书的投诉请求应与投诉事项相关。</w:t>
      </w:r>
    </w:p>
    <w:p w14:paraId="4B4DC34C">
      <w:pPr>
        <w:ind w:left="420" w:leftChars="200"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rPr>
        <w:t>7.投诉人为自然人的，投诉书应当由本人签字；投诉人为法人或者其他组织的，投诉书应当由法定代表人、主要负责人，或者其授权代表签字或者盖章，并加盖公章。</w:t>
      </w:r>
    </w:p>
    <w:p w14:paraId="014A0EC2">
      <w:pPr>
        <w:ind w:left="420" w:leftChars="200"/>
        <w:rPr>
          <w:rFonts w:ascii="仿宋" w:hAnsi="仿宋" w:eastAsia="仿宋" w:cs="仿宋"/>
          <w:color w:val="auto"/>
          <w:highlight w:val="none"/>
          <w:lang w:eastAsia="zh-CN"/>
        </w:rPr>
      </w:pPr>
    </w:p>
    <w:p w14:paraId="1124DB48">
      <w:pPr>
        <w:rPr>
          <w:rFonts w:ascii="仿宋" w:hAnsi="仿宋" w:eastAsia="仿宋" w:cs="仿宋"/>
          <w:color w:val="auto"/>
          <w:highlight w:val="none"/>
          <w:lang w:eastAsia="zh-CN"/>
        </w:rPr>
      </w:pPr>
    </w:p>
    <w:p w14:paraId="4DFD127A">
      <w:pPr>
        <w:rPr>
          <w:rFonts w:ascii="仿宋" w:hAnsi="仿宋" w:eastAsia="仿宋" w:cs="仿宋"/>
          <w:color w:val="auto"/>
          <w:highlight w:val="none"/>
          <w:lang w:eastAsia="zh-CN"/>
        </w:rPr>
      </w:pPr>
    </w:p>
    <w:p w14:paraId="00BAB5F1">
      <w:pPr>
        <w:rPr>
          <w:rFonts w:ascii="仿宋" w:hAnsi="仿宋" w:eastAsia="仿宋" w:cs="仿宋"/>
          <w:color w:val="auto"/>
          <w:highlight w:val="none"/>
          <w:lang w:eastAsia="zh-CN"/>
        </w:rPr>
      </w:pPr>
    </w:p>
    <w:p w14:paraId="15E291BB">
      <w:pPr>
        <w:rPr>
          <w:color w:val="auto"/>
          <w:highlight w:val="none"/>
          <w:lang w:eastAsia="zh-CN"/>
        </w:rPr>
      </w:pPr>
    </w:p>
    <w:p w14:paraId="2FFD68BC">
      <w:pPr>
        <w:pStyle w:val="10"/>
        <w:rPr>
          <w:color w:val="auto"/>
          <w:highlight w:val="none"/>
          <w:lang w:eastAsia="zh-CN"/>
        </w:rPr>
      </w:pPr>
    </w:p>
    <w:p w14:paraId="27A7C350">
      <w:pPr>
        <w:rPr>
          <w:rFonts w:ascii="仿宋" w:hAnsi="仿宋" w:eastAsia="仿宋" w:cs="仿宋"/>
          <w:color w:val="auto"/>
          <w:sz w:val="24"/>
          <w:szCs w:val="24"/>
          <w:highlight w:val="none"/>
          <w:lang w:eastAsia="zh-CN"/>
        </w:rPr>
      </w:pPr>
    </w:p>
    <w:p w14:paraId="69FC8912">
      <w:pPr>
        <w:pStyle w:val="10"/>
        <w:rPr>
          <w:color w:val="auto"/>
          <w:highlight w:val="none"/>
          <w:lang w:eastAsia="zh-CN"/>
        </w:rPr>
      </w:pPr>
    </w:p>
    <w:p w14:paraId="18237828">
      <w:pPr>
        <w:rPr>
          <w:rFonts w:ascii="仿宋_GB2312" w:hAnsi="仿宋_GB2312" w:eastAsia="仿宋_GB2312" w:cs="仿宋_GB2312"/>
          <w:color w:val="auto"/>
          <w:sz w:val="28"/>
          <w:szCs w:val="28"/>
          <w:highlight w:val="none"/>
          <w:lang w:eastAsia="zh-CN"/>
        </w:rPr>
      </w:pPr>
    </w:p>
    <w:bookmarkEnd w:id="265"/>
    <w:sectPr>
      <w:headerReference r:id="rId20" w:type="default"/>
      <w:footerReference r:id="rId21" w:type="default"/>
      <w:pgSz w:w="11906" w:h="16838"/>
      <w:pgMar w:top="1013" w:right="1133" w:bottom="1135" w:left="1133" w:header="712" w:footer="855"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auto"/>
    <w:pitch w:val="default"/>
    <w:sig w:usb0="00000000" w:usb1="00000000" w:usb2="0000000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仿宋_GB2312">
    <w:panose1 w:val="02000000000000000000"/>
    <w:charset w:val="86"/>
    <w:family w:val="auto"/>
    <w:pitch w:val="default"/>
    <w:sig w:usb0="A00002BF" w:usb1="184F6CFA" w:usb2="00000012" w:usb3="00000000" w:csb0="00040001" w:csb1="00000000"/>
  </w:font>
  <w:font w:name="Wingdings 2">
    <w:altName w:val="Wingdings"/>
    <w:panose1 w:val="05020102010507070707"/>
    <w:charset w:val="00"/>
    <w:family w:val="decorative"/>
    <w:pitch w:val="default"/>
    <w:sig w:usb0="00000000" w:usb1="00000000" w:usb2="00000000" w:usb3="00000000" w:csb0="80000001" w:csb1="00000000"/>
  </w:font>
  <w:font w:name="方正小标宋简体">
    <w:altName w:val="黑体"/>
    <w:panose1 w:val="02000000000000000000"/>
    <w:charset w:val="86"/>
    <w:family w:val="auto"/>
    <w:pitch w:val="default"/>
    <w:sig w:usb0="00000000" w:usb1="00000000" w:usb2="00000012"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557087D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41F84">
    <w:pPr>
      <w:spacing w:after="62" w:line="57" w:lineRule="exact"/>
      <w:ind w:firstLine="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C4EBB">
    <w:pPr>
      <w:spacing w:after="62" w:line="57" w:lineRule="exact"/>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72EFC">
                          <w:pPr>
                            <w:pStyle w:val="1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2472EFC">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EBA4">
    <w:pPr>
      <w:spacing w:after="62" w:line="57" w:lineRule="exact"/>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6EEA7">
                          <w:pPr>
                            <w:pStyle w:val="1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316EEA7">
                    <w:pPr>
                      <w:pStyle w:val="1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4C0A4">
    <w:pPr>
      <w:spacing w:after="62" w:line="57" w:lineRule="exact"/>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8202A">
                          <w:pPr>
                            <w:pStyle w:val="16"/>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44C8202A">
                    <w:pPr>
                      <w:pStyle w:val="16"/>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D8B9E">
    <w:pPr>
      <w:spacing w:after="62" w:line="57" w:lineRule="exact"/>
      <w:ind w:firstLine="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E5105">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CFE5105">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23D0B">
    <w:pPr>
      <w:spacing w:after="62" w:line="57" w:lineRule="exac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24682">
                          <w:pPr>
                            <w:pStyle w:val="1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3424682">
                    <w:pPr>
                      <w:pStyle w:val="1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C9FA9">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B923E">
                          <w:pPr>
                            <w:pStyle w:val="1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EEB923E">
                    <w:pPr>
                      <w:pStyle w:val="1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725DD">
    <w:pPr>
      <w:spacing w:after="62" w:line="57" w:lineRule="exac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1AB5C">
                          <w:pPr>
                            <w:pStyle w:val="1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F11AB5C">
                    <w:pPr>
                      <w:pStyle w:val="1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72C07">
    <w:pPr>
      <w:spacing w:after="62" w:line="57" w:lineRule="exact"/>
      <w:ind w:firstLine="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2A08F">
                          <w:pPr>
                            <w:pStyle w:val="1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962A08F">
                    <w:pPr>
                      <w:pStyle w:val="1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C682E">
    <w:pPr>
      <w:pStyle w:val="1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E4C34">
                          <w:pPr>
                            <w:pStyle w:val="1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D9E4C34">
                    <w:pPr>
                      <w:pStyle w:val="1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40EBB">
    <w:pPr>
      <w:spacing w:after="62" w:line="57" w:lineRule="exac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204D0">
                          <w:pPr>
                            <w:pStyle w:val="1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3EB204D0">
                    <w:pPr>
                      <w:pStyle w:val="16"/>
                    </w:pPr>
                    <w:r>
                      <w:fldChar w:fldCharType="begin"/>
                    </w:r>
                    <w:r>
                      <w:instrText xml:space="preserve"> PAGE  \* MERGEFORMAT </w:instrText>
                    </w:r>
                    <w:r>
                      <w:fldChar w:fldCharType="separate"/>
                    </w:r>
                    <w:r>
                      <w:t>15</w:t>
                    </w:r>
                    <w:r>
                      <w:fldChar w:fldCharType="end"/>
                    </w:r>
                  </w:p>
                </w:txbxContent>
              </v:textbox>
            </v:shape>
          </w:pict>
        </mc:Fallback>
      </mc:AlternateContent>
    </w:r>
  </w:p>
  <w:p w14:paraId="15860848">
    <w:pPr>
      <w:spacing w:line="184" w:lineRule="auto"/>
      <w:ind w:left="4628"/>
      <w:rPr>
        <w:rFonts w:ascii="Times New Roman" w:hAnsi="Times New Roman" w:eastAsia="Times New Roman" w:cs="Times New Roman"/>
        <w:sz w:val="17"/>
        <w:szCs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FDE54">
    <w:pPr>
      <w:spacing w:line="184" w:lineRule="auto"/>
      <w:ind w:left="462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08E34">
                          <w:pPr>
                            <w:pStyle w:val="1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6408E34">
                    <w:pPr>
                      <w:pStyle w:val="1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7EECE">
    <w:pPr>
      <w:spacing w:before="10" w:line="48"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95052">
    <w:pPr>
      <w:spacing w:before="10" w:line="48"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3D4E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F251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46B7D">
    <w:pPr>
      <w:spacing w:before="10" w:line="48"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1E02">
    <w:pPr>
      <w:spacing w:before="11" w:line="47"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06BA0">
    <w:pPr>
      <w:pStyle w:val="10"/>
      <w:spacing w:before="16" w:line="222"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581F5E"/>
    <w:multiLevelType w:val="singleLevel"/>
    <w:tmpl w:val="92581F5E"/>
    <w:lvl w:ilvl="0" w:tentative="0">
      <w:start w:val="1"/>
      <w:numFmt w:val="chineseCounting"/>
      <w:suff w:val="nothing"/>
      <w:lvlText w:val="%1、"/>
      <w:lvlJc w:val="left"/>
      <w:rPr>
        <w:rFonts w:hint="eastAsia"/>
      </w:rPr>
    </w:lvl>
  </w:abstractNum>
  <w:abstractNum w:abstractNumId="1">
    <w:nsid w:val="F41A7291"/>
    <w:multiLevelType w:val="singleLevel"/>
    <w:tmpl w:val="F41A7291"/>
    <w:lvl w:ilvl="0" w:tentative="0">
      <w:start w:val="2"/>
      <w:numFmt w:val="decimal"/>
      <w:suff w:val="nothing"/>
      <w:lvlText w:val="%1、"/>
      <w:lvlJc w:val="left"/>
    </w:lvl>
  </w:abstractNum>
  <w:abstractNum w:abstractNumId="2">
    <w:nsid w:val="2EC57EE3"/>
    <w:multiLevelType w:val="singleLevel"/>
    <w:tmpl w:val="2EC57EE3"/>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UwOTMxZjVhODA4NzhjOWRlMjBiZWU3NzNjZTQ2MzUifQ=="/>
  </w:docVars>
  <w:rsids>
    <w:rsidRoot w:val="006672AA"/>
    <w:rsid w:val="00086A8D"/>
    <w:rsid w:val="000E3FC3"/>
    <w:rsid w:val="001A4716"/>
    <w:rsid w:val="001F3ADA"/>
    <w:rsid w:val="00217801"/>
    <w:rsid w:val="0026130D"/>
    <w:rsid w:val="00297D50"/>
    <w:rsid w:val="002E01C1"/>
    <w:rsid w:val="00366BA1"/>
    <w:rsid w:val="00377076"/>
    <w:rsid w:val="00522102"/>
    <w:rsid w:val="00535E7A"/>
    <w:rsid w:val="00537C28"/>
    <w:rsid w:val="005A7208"/>
    <w:rsid w:val="006672AA"/>
    <w:rsid w:val="007402CA"/>
    <w:rsid w:val="0075194C"/>
    <w:rsid w:val="007740C3"/>
    <w:rsid w:val="008102F1"/>
    <w:rsid w:val="008517DF"/>
    <w:rsid w:val="008C2306"/>
    <w:rsid w:val="009718CA"/>
    <w:rsid w:val="009D788A"/>
    <w:rsid w:val="00A255E7"/>
    <w:rsid w:val="00A364B9"/>
    <w:rsid w:val="00AB7A64"/>
    <w:rsid w:val="00B22BA0"/>
    <w:rsid w:val="00B70AAF"/>
    <w:rsid w:val="00B71F65"/>
    <w:rsid w:val="00B87A8B"/>
    <w:rsid w:val="00BA1A55"/>
    <w:rsid w:val="00C31D35"/>
    <w:rsid w:val="00C34DAD"/>
    <w:rsid w:val="00CA613C"/>
    <w:rsid w:val="00CF3752"/>
    <w:rsid w:val="00D168D6"/>
    <w:rsid w:val="00D42B17"/>
    <w:rsid w:val="00DA3EA5"/>
    <w:rsid w:val="00F50CDF"/>
    <w:rsid w:val="00FC09F3"/>
    <w:rsid w:val="010D7DD7"/>
    <w:rsid w:val="01154EDD"/>
    <w:rsid w:val="0115564E"/>
    <w:rsid w:val="011949CD"/>
    <w:rsid w:val="011965FB"/>
    <w:rsid w:val="011B6D03"/>
    <w:rsid w:val="01311D17"/>
    <w:rsid w:val="0145585D"/>
    <w:rsid w:val="014F1036"/>
    <w:rsid w:val="014F6641"/>
    <w:rsid w:val="01565C22"/>
    <w:rsid w:val="016607E5"/>
    <w:rsid w:val="01671BDD"/>
    <w:rsid w:val="017052C2"/>
    <w:rsid w:val="0176597C"/>
    <w:rsid w:val="017716F4"/>
    <w:rsid w:val="01791910"/>
    <w:rsid w:val="017936BE"/>
    <w:rsid w:val="01A249C3"/>
    <w:rsid w:val="01A324E9"/>
    <w:rsid w:val="01C04E49"/>
    <w:rsid w:val="01C40DDD"/>
    <w:rsid w:val="01CD3692"/>
    <w:rsid w:val="01CE57B8"/>
    <w:rsid w:val="01D37272"/>
    <w:rsid w:val="01DA23AF"/>
    <w:rsid w:val="01EE19B6"/>
    <w:rsid w:val="01F82835"/>
    <w:rsid w:val="01F9035B"/>
    <w:rsid w:val="02056D00"/>
    <w:rsid w:val="020E02AA"/>
    <w:rsid w:val="0224187C"/>
    <w:rsid w:val="023C4E17"/>
    <w:rsid w:val="023D318D"/>
    <w:rsid w:val="02445A7A"/>
    <w:rsid w:val="024C492F"/>
    <w:rsid w:val="02510197"/>
    <w:rsid w:val="026305F6"/>
    <w:rsid w:val="02785724"/>
    <w:rsid w:val="028D7421"/>
    <w:rsid w:val="02936A01"/>
    <w:rsid w:val="029C3B08"/>
    <w:rsid w:val="02A91D81"/>
    <w:rsid w:val="02AD1871"/>
    <w:rsid w:val="02BA3F8E"/>
    <w:rsid w:val="02D037B2"/>
    <w:rsid w:val="02D05560"/>
    <w:rsid w:val="02D212D8"/>
    <w:rsid w:val="02D768EE"/>
    <w:rsid w:val="02DD1A2B"/>
    <w:rsid w:val="02FC45A7"/>
    <w:rsid w:val="03181993"/>
    <w:rsid w:val="031A67DB"/>
    <w:rsid w:val="03247659"/>
    <w:rsid w:val="03253AFD"/>
    <w:rsid w:val="03345AEF"/>
    <w:rsid w:val="033F060E"/>
    <w:rsid w:val="034877EC"/>
    <w:rsid w:val="03541CED"/>
    <w:rsid w:val="03555A65"/>
    <w:rsid w:val="036363D4"/>
    <w:rsid w:val="036A1510"/>
    <w:rsid w:val="036A7762"/>
    <w:rsid w:val="036B7036"/>
    <w:rsid w:val="037979A5"/>
    <w:rsid w:val="0385634A"/>
    <w:rsid w:val="0388408C"/>
    <w:rsid w:val="038A3960"/>
    <w:rsid w:val="039C5442"/>
    <w:rsid w:val="03A001B3"/>
    <w:rsid w:val="03AC7D7B"/>
    <w:rsid w:val="03AF1619"/>
    <w:rsid w:val="03B86720"/>
    <w:rsid w:val="03BB1D6C"/>
    <w:rsid w:val="03C50E3C"/>
    <w:rsid w:val="03C5675D"/>
    <w:rsid w:val="03CC5D27"/>
    <w:rsid w:val="03CE5F43"/>
    <w:rsid w:val="03CF3A69"/>
    <w:rsid w:val="03D1158F"/>
    <w:rsid w:val="03D746CC"/>
    <w:rsid w:val="03DA48E8"/>
    <w:rsid w:val="03DB240E"/>
    <w:rsid w:val="03E2379C"/>
    <w:rsid w:val="03EA43FF"/>
    <w:rsid w:val="03EE2141"/>
    <w:rsid w:val="03F139E0"/>
    <w:rsid w:val="03F4527E"/>
    <w:rsid w:val="03F45E22"/>
    <w:rsid w:val="03FE1B92"/>
    <w:rsid w:val="04090D29"/>
    <w:rsid w:val="040E4592"/>
    <w:rsid w:val="0410030A"/>
    <w:rsid w:val="04133956"/>
    <w:rsid w:val="041476CE"/>
    <w:rsid w:val="0422003D"/>
    <w:rsid w:val="042D106A"/>
    <w:rsid w:val="044401EF"/>
    <w:rsid w:val="04471852"/>
    <w:rsid w:val="044C50BA"/>
    <w:rsid w:val="04581CB1"/>
    <w:rsid w:val="045D2E23"/>
    <w:rsid w:val="046046C1"/>
    <w:rsid w:val="04640655"/>
    <w:rsid w:val="04754611"/>
    <w:rsid w:val="04A70542"/>
    <w:rsid w:val="04AA3A81"/>
    <w:rsid w:val="04AC7907"/>
    <w:rsid w:val="04B213C1"/>
    <w:rsid w:val="04B74C29"/>
    <w:rsid w:val="04B862AB"/>
    <w:rsid w:val="04C11604"/>
    <w:rsid w:val="04C17856"/>
    <w:rsid w:val="04CE5ACF"/>
    <w:rsid w:val="04D07A99"/>
    <w:rsid w:val="04D70E27"/>
    <w:rsid w:val="04E11CA6"/>
    <w:rsid w:val="04E470A0"/>
    <w:rsid w:val="04F01EE9"/>
    <w:rsid w:val="04FC43EA"/>
    <w:rsid w:val="050049F9"/>
    <w:rsid w:val="05017C52"/>
    <w:rsid w:val="05065269"/>
    <w:rsid w:val="05094D59"/>
    <w:rsid w:val="05243941"/>
    <w:rsid w:val="053C6EDC"/>
    <w:rsid w:val="05412F05"/>
    <w:rsid w:val="0550686D"/>
    <w:rsid w:val="056326BB"/>
    <w:rsid w:val="056B77C2"/>
    <w:rsid w:val="057743B8"/>
    <w:rsid w:val="05900FD6"/>
    <w:rsid w:val="05AC22B4"/>
    <w:rsid w:val="05B41169"/>
    <w:rsid w:val="05CC64B2"/>
    <w:rsid w:val="05D2339D"/>
    <w:rsid w:val="05D45367"/>
    <w:rsid w:val="05D73BBB"/>
    <w:rsid w:val="05D84E57"/>
    <w:rsid w:val="05E05ABA"/>
    <w:rsid w:val="05F72E03"/>
    <w:rsid w:val="05FB0B46"/>
    <w:rsid w:val="05FD0DA1"/>
    <w:rsid w:val="05FE23E4"/>
    <w:rsid w:val="06043E9E"/>
    <w:rsid w:val="060D2627"/>
    <w:rsid w:val="06127C3D"/>
    <w:rsid w:val="061E08AD"/>
    <w:rsid w:val="06255BC2"/>
    <w:rsid w:val="0633208D"/>
    <w:rsid w:val="0639341C"/>
    <w:rsid w:val="06451DC1"/>
    <w:rsid w:val="06471FDD"/>
    <w:rsid w:val="06472F43"/>
    <w:rsid w:val="06605DFA"/>
    <w:rsid w:val="06695AAF"/>
    <w:rsid w:val="06786A61"/>
    <w:rsid w:val="067D6E2C"/>
    <w:rsid w:val="068E3768"/>
    <w:rsid w:val="06915006"/>
    <w:rsid w:val="06982838"/>
    <w:rsid w:val="069B1162"/>
    <w:rsid w:val="06A967F3"/>
    <w:rsid w:val="06B42EA7"/>
    <w:rsid w:val="06C4362D"/>
    <w:rsid w:val="06F061D0"/>
    <w:rsid w:val="06F2019A"/>
    <w:rsid w:val="06F3462A"/>
    <w:rsid w:val="0710268B"/>
    <w:rsid w:val="07156C9E"/>
    <w:rsid w:val="071671FE"/>
    <w:rsid w:val="07181283"/>
    <w:rsid w:val="073A38EF"/>
    <w:rsid w:val="074F1149"/>
    <w:rsid w:val="075449B1"/>
    <w:rsid w:val="07591FC8"/>
    <w:rsid w:val="076369A2"/>
    <w:rsid w:val="076B1CFB"/>
    <w:rsid w:val="076D5A73"/>
    <w:rsid w:val="07702E6D"/>
    <w:rsid w:val="077E558A"/>
    <w:rsid w:val="0788465B"/>
    <w:rsid w:val="079528D4"/>
    <w:rsid w:val="07A02487"/>
    <w:rsid w:val="07A64AE1"/>
    <w:rsid w:val="07A70F85"/>
    <w:rsid w:val="07B2792A"/>
    <w:rsid w:val="07B436A2"/>
    <w:rsid w:val="07C1191B"/>
    <w:rsid w:val="07C338E5"/>
    <w:rsid w:val="07F7358F"/>
    <w:rsid w:val="07F95495"/>
    <w:rsid w:val="08000695"/>
    <w:rsid w:val="080F2686"/>
    <w:rsid w:val="081163FE"/>
    <w:rsid w:val="08204893"/>
    <w:rsid w:val="084C5688"/>
    <w:rsid w:val="085D7896"/>
    <w:rsid w:val="085E2185"/>
    <w:rsid w:val="0869623A"/>
    <w:rsid w:val="087E4839"/>
    <w:rsid w:val="08805332"/>
    <w:rsid w:val="08806963"/>
    <w:rsid w:val="08A30098"/>
    <w:rsid w:val="08A54D99"/>
    <w:rsid w:val="08B03E69"/>
    <w:rsid w:val="08BF5E5A"/>
    <w:rsid w:val="08EB4EA1"/>
    <w:rsid w:val="08EE4992"/>
    <w:rsid w:val="08F5187C"/>
    <w:rsid w:val="09000221"/>
    <w:rsid w:val="091066B6"/>
    <w:rsid w:val="09216B15"/>
    <w:rsid w:val="09246605"/>
    <w:rsid w:val="09304FAA"/>
    <w:rsid w:val="093E17E9"/>
    <w:rsid w:val="0955056D"/>
    <w:rsid w:val="096B0E63"/>
    <w:rsid w:val="097525CD"/>
    <w:rsid w:val="098552F6"/>
    <w:rsid w:val="09A069EC"/>
    <w:rsid w:val="09B01C47"/>
    <w:rsid w:val="09B039F5"/>
    <w:rsid w:val="09B07E99"/>
    <w:rsid w:val="09B259BF"/>
    <w:rsid w:val="09B434E5"/>
    <w:rsid w:val="09B63701"/>
    <w:rsid w:val="09C474A0"/>
    <w:rsid w:val="09EF451D"/>
    <w:rsid w:val="09F204B1"/>
    <w:rsid w:val="09F2225F"/>
    <w:rsid w:val="09F47D86"/>
    <w:rsid w:val="0A037FC9"/>
    <w:rsid w:val="0A0501E5"/>
    <w:rsid w:val="0A0A75A9"/>
    <w:rsid w:val="0A0F4BBF"/>
    <w:rsid w:val="0A2D14EA"/>
    <w:rsid w:val="0A4462F3"/>
    <w:rsid w:val="0A6F1B02"/>
    <w:rsid w:val="0A717628"/>
    <w:rsid w:val="0A764C3F"/>
    <w:rsid w:val="0A8729A8"/>
    <w:rsid w:val="0AA07F0D"/>
    <w:rsid w:val="0AA51080"/>
    <w:rsid w:val="0AB15C77"/>
    <w:rsid w:val="0AB67731"/>
    <w:rsid w:val="0AB87005"/>
    <w:rsid w:val="0ABB08A3"/>
    <w:rsid w:val="0ABD286D"/>
    <w:rsid w:val="0ADA341F"/>
    <w:rsid w:val="0AE0655C"/>
    <w:rsid w:val="0AE75B3C"/>
    <w:rsid w:val="0AFB5144"/>
    <w:rsid w:val="0AFD2C6A"/>
    <w:rsid w:val="0AFF4C34"/>
    <w:rsid w:val="0B0937A4"/>
    <w:rsid w:val="0B097861"/>
    <w:rsid w:val="0B1B7594"/>
    <w:rsid w:val="0B257DC5"/>
    <w:rsid w:val="0B275F39"/>
    <w:rsid w:val="0B3519ED"/>
    <w:rsid w:val="0B3A33C7"/>
    <w:rsid w:val="0B6E1DBA"/>
    <w:rsid w:val="0B751EFD"/>
    <w:rsid w:val="0B7A250D"/>
    <w:rsid w:val="0B901D30"/>
    <w:rsid w:val="0B91295B"/>
    <w:rsid w:val="0B9C6927"/>
    <w:rsid w:val="0BB7550F"/>
    <w:rsid w:val="0BB93035"/>
    <w:rsid w:val="0BC33EB3"/>
    <w:rsid w:val="0BD06D4B"/>
    <w:rsid w:val="0BD47E6F"/>
    <w:rsid w:val="0BDB744F"/>
    <w:rsid w:val="0BDE0CED"/>
    <w:rsid w:val="0BE36304"/>
    <w:rsid w:val="0BE45BD8"/>
    <w:rsid w:val="0BF11A4E"/>
    <w:rsid w:val="0BF978D5"/>
    <w:rsid w:val="0BFA53FB"/>
    <w:rsid w:val="0BFF2A12"/>
    <w:rsid w:val="0C032502"/>
    <w:rsid w:val="0C0F70F9"/>
    <w:rsid w:val="0C252478"/>
    <w:rsid w:val="0C254916"/>
    <w:rsid w:val="0C25691C"/>
    <w:rsid w:val="0C2F1549"/>
    <w:rsid w:val="0C4603CA"/>
    <w:rsid w:val="0C4A0131"/>
    <w:rsid w:val="0C5C7E64"/>
    <w:rsid w:val="0C62191E"/>
    <w:rsid w:val="0C6B3AAF"/>
    <w:rsid w:val="0C7358DA"/>
    <w:rsid w:val="0C801DA5"/>
    <w:rsid w:val="0CA43CE5"/>
    <w:rsid w:val="0CA830A9"/>
    <w:rsid w:val="0CAA0BCF"/>
    <w:rsid w:val="0CB90FF5"/>
    <w:rsid w:val="0CB952B6"/>
    <w:rsid w:val="0CC51EAD"/>
    <w:rsid w:val="0CC872A8"/>
    <w:rsid w:val="0CCE0D62"/>
    <w:rsid w:val="0CD8398F"/>
    <w:rsid w:val="0CE560AB"/>
    <w:rsid w:val="0CEC568C"/>
    <w:rsid w:val="0CFF0F1B"/>
    <w:rsid w:val="0D020A0B"/>
    <w:rsid w:val="0D0904F0"/>
    <w:rsid w:val="0D132C19"/>
    <w:rsid w:val="0D197576"/>
    <w:rsid w:val="0D214E05"/>
    <w:rsid w:val="0D244E26"/>
    <w:rsid w:val="0D2564A8"/>
    <w:rsid w:val="0D2B56A9"/>
    <w:rsid w:val="0D38267F"/>
    <w:rsid w:val="0D3C216F"/>
    <w:rsid w:val="0D3D37F2"/>
    <w:rsid w:val="0D3D7C96"/>
    <w:rsid w:val="0D444B80"/>
    <w:rsid w:val="0D470B14"/>
    <w:rsid w:val="0D4903E8"/>
    <w:rsid w:val="0D523741"/>
    <w:rsid w:val="0D531267"/>
    <w:rsid w:val="0D584ACF"/>
    <w:rsid w:val="0D607DC0"/>
    <w:rsid w:val="0D674D12"/>
    <w:rsid w:val="0D735465"/>
    <w:rsid w:val="0D786F20"/>
    <w:rsid w:val="0D7A2C98"/>
    <w:rsid w:val="0D907DC5"/>
    <w:rsid w:val="0D927FE1"/>
    <w:rsid w:val="0D9F44AC"/>
    <w:rsid w:val="0DAB2E51"/>
    <w:rsid w:val="0DDE3227"/>
    <w:rsid w:val="0DEB5944"/>
    <w:rsid w:val="0DF73A01"/>
    <w:rsid w:val="0DF742E8"/>
    <w:rsid w:val="0DFC6C5A"/>
    <w:rsid w:val="0E06452B"/>
    <w:rsid w:val="0E0F2697"/>
    <w:rsid w:val="0E1409F6"/>
    <w:rsid w:val="0E1924B1"/>
    <w:rsid w:val="0E1E7AC7"/>
    <w:rsid w:val="0E2449B2"/>
    <w:rsid w:val="0E2A2F63"/>
    <w:rsid w:val="0E356BBF"/>
    <w:rsid w:val="0E3966AF"/>
    <w:rsid w:val="0E3A41D5"/>
    <w:rsid w:val="0E4A266A"/>
    <w:rsid w:val="0E547045"/>
    <w:rsid w:val="0E651252"/>
    <w:rsid w:val="0E67321C"/>
    <w:rsid w:val="0E72571D"/>
    <w:rsid w:val="0E8042DE"/>
    <w:rsid w:val="0E884F40"/>
    <w:rsid w:val="0E8872EF"/>
    <w:rsid w:val="0E8D07A9"/>
    <w:rsid w:val="0E8F4521"/>
    <w:rsid w:val="0E9D4E90"/>
    <w:rsid w:val="0EB2020F"/>
    <w:rsid w:val="0EBD2E3C"/>
    <w:rsid w:val="0EC56195"/>
    <w:rsid w:val="0ECE5049"/>
    <w:rsid w:val="0EE06B2A"/>
    <w:rsid w:val="0EF02A4C"/>
    <w:rsid w:val="0EF56503"/>
    <w:rsid w:val="0F0071CD"/>
    <w:rsid w:val="0F113188"/>
    <w:rsid w:val="0F1467D4"/>
    <w:rsid w:val="0F20786F"/>
    <w:rsid w:val="0F2B249C"/>
    <w:rsid w:val="0F3D3F7D"/>
    <w:rsid w:val="0F41676A"/>
    <w:rsid w:val="0F4F5A5E"/>
    <w:rsid w:val="0F5A45F7"/>
    <w:rsid w:val="0F5C08A7"/>
    <w:rsid w:val="0F621C35"/>
    <w:rsid w:val="0F87169C"/>
    <w:rsid w:val="0F8971C2"/>
    <w:rsid w:val="0F8A31B1"/>
    <w:rsid w:val="0F8B4CE8"/>
    <w:rsid w:val="0F8C0A60"/>
    <w:rsid w:val="0F96368D"/>
    <w:rsid w:val="0F9F2542"/>
    <w:rsid w:val="0FA61B22"/>
    <w:rsid w:val="0FAE09D7"/>
    <w:rsid w:val="0FB81855"/>
    <w:rsid w:val="0FC87CEA"/>
    <w:rsid w:val="0FD50659"/>
    <w:rsid w:val="0FD85A54"/>
    <w:rsid w:val="0FDA5C70"/>
    <w:rsid w:val="0FDA7A1E"/>
    <w:rsid w:val="0FE8213B"/>
    <w:rsid w:val="0FEE5277"/>
    <w:rsid w:val="0FFC1742"/>
    <w:rsid w:val="100D394F"/>
    <w:rsid w:val="101442E9"/>
    <w:rsid w:val="102004D6"/>
    <w:rsid w:val="10264A11"/>
    <w:rsid w:val="104B091B"/>
    <w:rsid w:val="10613D9B"/>
    <w:rsid w:val="106519DD"/>
    <w:rsid w:val="106D43EE"/>
    <w:rsid w:val="10727C56"/>
    <w:rsid w:val="107734BE"/>
    <w:rsid w:val="10790550"/>
    <w:rsid w:val="107E2A9F"/>
    <w:rsid w:val="107F4121"/>
    <w:rsid w:val="108C51BC"/>
    <w:rsid w:val="109220A6"/>
    <w:rsid w:val="10A73DA4"/>
    <w:rsid w:val="10A818CA"/>
    <w:rsid w:val="10B262A5"/>
    <w:rsid w:val="10B4201D"/>
    <w:rsid w:val="10B62239"/>
    <w:rsid w:val="10B95885"/>
    <w:rsid w:val="10C04E65"/>
    <w:rsid w:val="10C06C14"/>
    <w:rsid w:val="10C5247C"/>
    <w:rsid w:val="10D206F5"/>
    <w:rsid w:val="10E24D48"/>
    <w:rsid w:val="110805BA"/>
    <w:rsid w:val="110E246D"/>
    <w:rsid w:val="110E3C53"/>
    <w:rsid w:val="111331E7"/>
    <w:rsid w:val="11140D0D"/>
    <w:rsid w:val="111807FE"/>
    <w:rsid w:val="11205904"/>
    <w:rsid w:val="112F3D99"/>
    <w:rsid w:val="113373E5"/>
    <w:rsid w:val="113B44EC"/>
    <w:rsid w:val="11513D10"/>
    <w:rsid w:val="11531836"/>
    <w:rsid w:val="115B06EA"/>
    <w:rsid w:val="115D26B4"/>
    <w:rsid w:val="116C6D9B"/>
    <w:rsid w:val="116E6670"/>
    <w:rsid w:val="117B2B3A"/>
    <w:rsid w:val="117F6ACF"/>
    <w:rsid w:val="118045F5"/>
    <w:rsid w:val="1182036D"/>
    <w:rsid w:val="11895257"/>
    <w:rsid w:val="11916802"/>
    <w:rsid w:val="11930964"/>
    <w:rsid w:val="11951E4E"/>
    <w:rsid w:val="119D51A7"/>
    <w:rsid w:val="119E00E6"/>
    <w:rsid w:val="11A16A45"/>
    <w:rsid w:val="11A55E09"/>
    <w:rsid w:val="11B16A8E"/>
    <w:rsid w:val="11BC387F"/>
    <w:rsid w:val="11C81293"/>
    <w:rsid w:val="11D17A09"/>
    <w:rsid w:val="11D72467"/>
    <w:rsid w:val="11EC3A38"/>
    <w:rsid w:val="11FC3C7B"/>
    <w:rsid w:val="12045226"/>
    <w:rsid w:val="120B3EBE"/>
    <w:rsid w:val="12103BCB"/>
    <w:rsid w:val="121216F1"/>
    <w:rsid w:val="12174F59"/>
    <w:rsid w:val="121E62E8"/>
    <w:rsid w:val="121F6DD8"/>
    <w:rsid w:val="1222745A"/>
    <w:rsid w:val="122B4561"/>
    <w:rsid w:val="122D02D9"/>
    <w:rsid w:val="122F6D00"/>
    <w:rsid w:val="12301B77"/>
    <w:rsid w:val="12307DC9"/>
    <w:rsid w:val="12390D77"/>
    <w:rsid w:val="123E4294"/>
    <w:rsid w:val="123F000C"/>
    <w:rsid w:val="12490E8B"/>
    <w:rsid w:val="12505D75"/>
    <w:rsid w:val="125735A8"/>
    <w:rsid w:val="127C300E"/>
    <w:rsid w:val="12922832"/>
    <w:rsid w:val="12BE7183"/>
    <w:rsid w:val="12D076DB"/>
    <w:rsid w:val="12D8381A"/>
    <w:rsid w:val="12D9220E"/>
    <w:rsid w:val="12DE7825"/>
    <w:rsid w:val="12E070F9"/>
    <w:rsid w:val="12E3430D"/>
    <w:rsid w:val="12E34F1A"/>
    <w:rsid w:val="12E82452"/>
    <w:rsid w:val="12F03C64"/>
    <w:rsid w:val="12F31522"/>
    <w:rsid w:val="12FE1C75"/>
    <w:rsid w:val="13201BEB"/>
    <w:rsid w:val="13250FB0"/>
    <w:rsid w:val="132A2CAA"/>
    <w:rsid w:val="132F0080"/>
    <w:rsid w:val="132F1E2E"/>
    <w:rsid w:val="134A0A16"/>
    <w:rsid w:val="136005D9"/>
    <w:rsid w:val="13631AD8"/>
    <w:rsid w:val="138C102F"/>
    <w:rsid w:val="13946135"/>
    <w:rsid w:val="13A740BB"/>
    <w:rsid w:val="13A9398F"/>
    <w:rsid w:val="13AA5959"/>
    <w:rsid w:val="13B10A95"/>
    <w:rsid w:val="13BA3DEE"/>
    <w:rsid w:val="13C85754"/>
    <w:rsid w:val="13DC1FB6"/>
    <w:rsid w:val="13E9022F"/>
    <w:rsid w:val="13F24420"/>
    <w:rsid w:val="13F82B68"/>
    <w:rsid w:val="140B3756"/>
    <w:rsid w:val="14107EB2"/>
    <w:rsid w:val="14164D9C"/>
    <w:rsid w:val="141D612B"/>
    <w:rsid w:val="141E21E0"/>
    <w:rsid w:val="14231B23"/>
    <w:rsid w:val="14264FE0"/>
    <w:rsid w:val="142951C9"/>
    <w:rsid w:val="14333BA0"/>
    <w:rsid w:val="144638D4"/>
    <w:rsid w:val="144B713C"/>
    <w:rsid w:val="1457163D"/>
    <w:rsid w:val="145A737F"/>
    <w:rsid w:val="1461426A"/>
    <w:rsid w:val="14755F67"/>
    <w:rsid w:val="147A357D"/>
    <w:rsid w:val="147D6BCA"/>
    <w:rsid w:val="14926B19"/>
    <w:rsid w:val="14AD5701"/>
    <w:rsid w:val="14C12F5A"/>
    <w:rsid w:val="14C64A14"/>
    <w:rsid w:val="14E37374"/>
    <w:rsid w:val="14E8498B"/>
    <w:rsid w:val="14F50E56"/>
    <w:rsid w:val="14F926F4"/>
    <w:rsid w:val="14F94B3F"/>
    <w:rsid w:val="14FD244F"/>
    <w:rsid w:val="15023C9F"/>
    <w:rsid w:val="15086DDB"/>
    <w:rsid w:val="150B2427"/>
    <w:rsid w:val="1514752E"/>
    <w:rsid w:val="151A266A"/>
    <w:rsid w:val="152139F9"/>
    <w:rsid w:val="15221674"/>
    <w:rsid w:val="15237771"/>
    <w:rsid w:val="15272EB1"/>
    <w:rsid w:val="15347BD0"/>
    <w:rsid w:val="154020D1"/>
    <w:rsid w:val="15566370"/>
    <w:rsid w:val="15567B46"/>
    <w:rsid w:val="155B515D"/>
    <w:rsid w:val="156404B5"/>
    <w:rsid w:val="15787ABD"/>
    <w:rsid w:val="158A5A42"/>
    <w:rsid w:val="159468C1"/>
    <w:rsid w:val="15A9236C"/>
    <w:rsid w:val="15AE1730"/>
    <w:rsid w:val="15B12FCF"/>
    <w:rsid w:val="15C34AB0"/>
    <w:rsid w:val="15C471A6"/>
    <w:rsid w:val="15C54CCC"/>
    <w:rsid w:val="15C9656A"/>
    <w:rsid w:val="15D13671"/>
    <w:rsid w:val="15E96C0C"/>
    <w:rsid w:val="15EB4733"/>
    <w:rsid w:val="15EF58A5"/>
    <w:rsid w:val="15F829AC"/>
    <w:rsid w:val="15FA6724"/>
    <w:rsid w:val="16242F2C"/>
    <w:rsid w:val="162E2FC0"/>
    <w:rsid w:val="16302145"/>
    <w:rsid w:val="16322361"/>
    <w:rsid w:val="16377978"/>
    <w:rsid w:val="163F05DA"/>
    <w:rsid w:val="166149F5"/>
    <w:rsid w:val="1662251B"/>
    <w:rsid w:val="1663076D"/>
    <w:rsid w:val="1666200B"/>
    <w:rsid w:val="166E7112"/>
    <w:rsid w:val="16A62408"/>
    <w:rsid w:val="16B0772A"/>
    <w:rsid w:val="16B234A2"/>
    <w:rsid w:val="16B25250"/>
    <w:rsid w:val="16B8213B"/>
    <w:rsid w:val="16B965DF"/>
    <w:rsid w:val="16C3120C"/>
    <w:rsid w:val="16D01B7A"/>
    <w:rsid w:val="16D36F75"/>
    <w:rsid w:val="16D451C7"/>
    <w:rsid w:val="16D52CED"/>
    <w:rsid w:val="16F21AF1"/>
    <w:rsid w:val="16F70EB5"/>
    <w:rsid w:val="16FB06C3"/>
    <w:rsid w:val="170B2BB3"/>
    <w:rsid w:val="171B1048"/>
    <w:rsid w:val="171E6442"/>
    <w:rsid w:val="172872C1"/>
    <w:rsid w:val="173B5246"/>
    <w:rsid w:val="174F2A9F"/>
    <w:rsid w:val="17514A69"/>
    <w:rsid w:val="17546308"/>
    <w:rsid w:val="1755689D"/>
    <w:rsid w:val="17681DB3"/>
    <w:rsid w:val="1780534F"/>
    <w:rsid w:val="17824C23"/>
    <w:rsid w:val="178D5376"/>
    <w:rsid w:val="178E254E"/>
    <w:rsid w:val="179901BE"/>
    <w:rsid w:val="17AF1790"/>
    <w:rsid w:val="17B374D2"/>
    <w:rsid w:val="17BE2920"/>
    <w:rsid w:val="17D66D1D"/>
    <w:rsid w:val="17D9680D"/>
    <w:rsid w:val="17DB2585"/>
    <w:rsid w:val="17DF02C7"/>
    <w:rsid w:val="17E458DD"/>
    <w:rsid w:val="17EE2AE9"/>
    <w:rsid w:val="18047D2E"/>
    <w:rsid w:val="181F6915"/>
    <w:rsid w:val="18243F2C"/>
    <w:rsid w:val="182A7068"/>
    <w:rsid w:val="1833416F"/>
    <w:rsid w:val="18335F1D"/>
    <w:rsid w:val="18475AAE"/>
    <w:rsid w:val="184A3267"/>
    <w:rsid w:val="184B14B9"/>
    <w:rsid w:val="18504D21"/>
    <w:rsid w:val="185540E5"/>
    <w:rsid w:val="18574301"/>
    <w:rsid w:val="185F1942"/>
    <w:rsid w:val="18710E80"/>
    <w:rsid w:val="187177B1"/>
    <w:rsid w:val="18736C61"/>
    <w:rsid w:val="188C387F"/>
    <w:rsid w:val="188E3A9B"/>
    <w:rsid w:val="18910E95"/>
    <w:rsid w:val="18952734"/>
    <w:rsid w:val="18A46E1B"/>
    <w:rsid w:val="18A60DE5"/>
    <w:rsid w:val="18A961DF"/>
    <w:rsid w:val="18B74DA0"/>
    <w:rsid w:val="18D45952"/>
    <w:rsid w:val="18D92F68"/>
    <w:rsid w:val="18E11E1D"/>
    <w:rsid w:val="18E216F1"/>
    <w:rsid w:val="18E64B29"/>
    <w:rsid w:val="18EB4A4A"/>
    <w:rsid w:val="18F71D4D"/>
    <w:rsid w:val="190F698A"/>
    <w:rsid w:val="19137AFC"/>
    <w:rsid w:val="19267830"/>
    <w:rsid w:val="192B3098"/>
    <w:rsid w:val="193070E1"/>
    <w:rsid w:val="194A5C14"/>
    <w:rsid w:val="194B373A"/>
    <w:rsid w:val="195E6FCA"/>
    <w:rsid w:val="19632832"/>
    <w:rsid w:val="19650358"/>
    <w:rsid w:val="196C0534"/>
    <w:rsid w:val="19742C91"/>
    <w:rsid w:val="197902A7"/>
    <w:rsid w:val="19793E03"/>
    <w:rsid w:val="197F26BA"/>
    <w:rsid w:val="19834C82"/>
    <w:rsid w:val="19996254"/>
    <w:rsid w:val="19A52E4A"/>
    <w:rsid w:val="19AF7825"/>
    <w:rsid w:val="19BD0194"/>
    <w:rsid w:val="19D454DE"/>
    <w:rsid w:val="19D74805"/>
    <w:rsid w:val="19DB686C"/>
    <w:rsid w:val="19E5593D"/>
    <w:rsid w:val="19E971DB"/>
    <w:rsid w:val="19F31E08"/>
    <w:rsid w:val="19F85670"/>
    <w:rsid w:val="19FE255B"/>
    <w:rsid w:val="19FF69FF"/>
    <w:rsid w:val="1A002777"/>
    <w:rsid w:val="1A0B4477"/>
    <w:rsid w:val="1A0F70F3"/>
    <w:rsid w:val="1A182DF0"/>
    <w:rsid w:val="1A22449B"/>
    <w:rsid w:val="1A3B37AF"/>
    <w:rsid w:val="1A412BC2"/>
    <w:rsid w:val="1A4408B5"/>
    <w:rsid w:val="1A5959E3"/>
    <w:rsid w:val="1A5A1E87"/>
    <w:rsid w:val="1A5D3725"/>
    <w:rsid w:val="1A613215"/>
    <w:rsid w:val="1A676352"/>
    <w:rsid w:val="1A693E78"/>
    <w:rsid w:val="1A6C5716"/>
    <w:rsid w:val="1A7240E2"/>
    <w:rsid w:val="1A7C004F"/>
    <w:rsid w:val="1A840CB2"/>
    <w:rsid w:val="1A862C7C"/>
    <w:rsid w:val="1A911621"/>
    <w:rsid w:val="1AA2382E"/>
    <w:rsid w:val="1AAC0209"/>
    <w:rsid w:val="1AAC7FEB"/>
    <w:rsid w:val="1AB07CF9"/>
    <w:rsid w:val="1AC217DA"/>
    <w:rsid w:val="1AE027CB"/>
    <w:rsid w:val="1AE16104"/>
    <w:rsid w:val="1AE94FB9"/>
    <w:rsid w:val="1AEE7456"/>
    <w:rsid w:val="1AF43863"/>
    <w:rsid w:val="1AF57E02"/>
    <w:rsid w:val="1AF75928"/>
    <w:rsid w:val="1AFE6CB6"/>
    <w:rsid w:val="1B040045"/>
    <w:rsid w:val="1B041DF3"/>
    <w:rsid w:val="1B0D0CA7"/>
    <w:rsid w:val="1B0E2C71"/>
    <w:rsid w:val="1B0F4108"/>
    <w:rsid w:val="1B100797"/>
    <w:rsid w:val="1B210BF7"/>
    <w:rsid w:val="1B222279"/>
    <w:rsid w:val="1B244243"/>
    <w:rsid w:val="1B26620D"/>
    <w:rsid w:val="1B2B0976"/>
    <w:rsid w:val="1B2D759B"/>
    <w:rsid w:val="1B391A9C"/>
    <w:rsid w:val="1B3C79A3"/>
    <w:rsid w:val="1B486183"/>
    <w:rsid w:val="1B5A110C"/>
    <w:rsid w:val="1B654F02"/>
    <w:rsid w:val="1B6D5BEA"/>
    <w:rsid w:val="1B724FAE"/>
    <w:rsid w:val="1B727505"/>
    <w:rsid w:val="1B79458F"/>
    <w:rsid w:val="1B8403EA"/>
    <w:rsid w:val="1B852F33"/>
    <w:rsid w:val="1B8B6070"/>
    <w:rsid w:val="1B8D3B96"/>
    <w:rsid w:val="1B9413C8"/>
    <w:rsid w:val="1B950C9D"/>
    <w:rsid w:val="1B970EB9"/>
    <w:rsid w:val="1B9C202B"/>
    <w:rsid w:val="1BB9498B"/>
    <w:rsid w:val="1BBB0703"/>
    <w:rsid w:val="1BC83448"/>
    <w:rsid w:val="1BCA6B98"/>
    <w:rsid w:val="1BDB0DA5"/>
    <w:rsid w:val="1BFB1448"/>
    <w:rsid w:val="1C02258E"/>
    <w:rsid w:val="1C071B9A"/>
    <w:rsid w:val="1C091814"/>
    <w:rsid w:val="1C1B5646"/>
    <w:rsid w:val="1C2269D4"/>
    <w:rsid w:val="1C2D03F4"/>
    <w:rsid w:val="1C2F4C4D"/>
    <w:rsid w:val="1C346708"/>
    <w:rsid w:val="1C365FDC"/>
    <w:rsid w:val="1C493F61"/>
    <w:rsid w:val="1C5F19D6"/>
    <w:rsid w:val="1C694603"/>
    <w:rsid w:val="1C76287C"/>
    <w:rsid w:val="1C9176B6"/>
    <w:rsid w:val="1C9A47BD"/>
    <w:rsid w:val="1C9F1DD3"/>
    <w:rsid w:val="1CA13D9D"/>
    <w:rsid w:val="1CAA0778"/>
    <w:rsid w:val="1CBD3913"/>
    <w:rsid w:val="1CCE26B8"/>
    <w:rsid w:val="1CD6156D"/>
    <w:rsid w:val="1CDD28FB"/>
    <w:rsid w:val="1CDF0421"/>
    <w:rsid w:val="1CF00880"/>
    <w:rsid w:val="1CF87735"/>
    <w:rsid w:val="1D0165EA"/>
    <w:rsid w:val="1D083E1C"/>
    <w:rsid w:val="1D110334"/>
    <w:rsid w:val="1D1912A7"/>
    <w:rsid w:val="1D1C78C7"/>
    <w:rsid w:val="1D1F509E"/>
    <w:rsid w:val="1D230C56"/>
    <w:rsid w:val="1D306ECF"/>
    <w:rsid w:val="1D344C11"/>
    <w:rsid w:val="1D444728"/>
    <w:rsid w:val="1D4E37F9"/>
    <w:rsid w:val="1D552F82"/>
    <w:rsid w:val="1D562D94"/>
    <w:rsid w:val="1D970CFC"/>
    <w:rsid w:val="1D9A259A"/>
    <w:rsid w:val="1DA17DCD"/>
    <w:rsid w:val="1DA376A1"/>
    <w:rsid w:val="1DA8115B"/>
    <w:rsid w:val="1DAF24EA"/>
    <w:rsid w:val="1DC15D79"/>
    <w:rsid w:val="1DC31AF1"/>
    <w:rsid w:val="1DC6338F"/>
    <w:rsid w:val="1DCD471E"/>
    <w:rsid w:val="1DCF5582"/>
    <w:rsid w:val="1DED4DC0"/>
    <w:rsid w:val="1DEE03A0"/>
    <w:rsid w:val="1DF423BD"/>
    <w:rsid w:val="1E026ABD"/>
    <w:rsid w:val="1E193E07"/>
    <w:rsid w:val="1E1C6DB5"/>
    <w:rsid w:val="1E1E766F"/>
    <w:rsid w:val="1E276524"/>
    <w:rsid w:val="1E28404A"/>
    <w:rsid w:val="1E2D1660"/>
    <w:rsid w:val="1E2D5037"/>
    <w:rsid w:val="1E326E83"/>
    <w:rsid w:val="1E334EC9"/>
    <w:rsid w:val="1E37603B"/>
    <w:rsid w:val="1E5E7A6C"/>
    <w:rsid w:val="1E636E30"/>
    <w:rsid w:val="1E733517"/>
    <w:rsid w:val="1E78639B"/>
    <w:rsid w:val="1E8219AC"/>
    <w:rsid w:val="1EAE454F"/>
    <w:rsid w:val="1EAF02C7"/>
    <w:rsid w:val="1EBC3110"/>
    <w:rsid w:val="1EBD30C4"/>
    <w:rsid w:val="1EC024D4"/>
    <w:rsid w:val="1EC45B21"/>
    <w:rsid w:val="1ECA6EAF"/>
    <w:rsid w:val="1ED33FB6"/>
    <w:rsid w:val="1EDB2E6A"/>
    <w:rsid w:val="1EE17534"/>
    <w:rsid w:val="1EF25E98"/>
    <w:rsid w:val="1EF26B32"/>
    <w:rsid w:val="1EF503D0"/>
    <w:rsid w:val="1EFA3C38"/>
    <w:rsid w:val="1F240CB5"/>
    <w:rsid w:val="1F2E5690"/>
    <w:rsid w:val="1F301408"/>
    <w:rsid w:val="1F460C2C"/>
    <w:rsid w:val="1F4849A4"/>
    <w:rsid w:val="1F503858"/>
    <w:rsid w:val="1F69491A"/>
    <w:rsid w:val="1F6A2B6C"/>
    <w:rsid w:val="1F6A463B"/>
    <w:rsid w:val="1F884DA0"/>
    <w:rsid w:val="1F8B2AE2"/>
    <w:rsid w:val="1F996FAD"/>
    <w:rsid w:val="1FA15E62"/>
    <w:rsid w:val="1FEB3581"/>
    <w:rsid w:val="1FED72F9"/>
    <w:rsid w:val="1FFC12EA"/>
    <w:rsid w:val="20136B06"/>
    <w:rsid w:val="201605FE"/>
    <w:rsid w:val="201725C8"/>
    <w:rsid w:val="2020147D"/>
    <w:rsid w:val="20210D51"/>
    <w:rsid w:val="202602EC"/>
    <w:rsid w:val="202645B9"/>
    <w:rsid w:val="202A40A9"/>
    <w:rsid w:val="202D5948"/>
    <w:rsid w:val="20322F5E"/>
    <w:rsid w:val="20384A18"/>
    <w:rsid w:val="20457F00"/>
    <w:rsid w:val="20592BE1"/>
    <w:rsid w:val="205B0707"/>
    <w:rsid w:val="20607ACB"/>
    <w:rsid w:val="20751144"/>
    <w:rsid w:val="208E288A"/>
    <w:rsid w:val="20967991"/>
    <w:rsid w:val="209854B7"/>
    <w:rsid w:val="20985CD6"/>
    <w:rsid w:val="20A0611A"/>
    <w:rsid w:val="20B708CF"/>
    <w:rsid w:val="20C04A0E"/>
    <w:rsid w:val="20D9162C"/>
    <w:rsid w:val="20DB35F6"/>
    <w:rsid w:val="20E06E5E"/>
    <w:rsid w:val="20EB1A8B"/>
    <w:rsid w:val="20EE50D7"/>
    <w:rsid w:val="20F05529"/>
    <w:rsid w:val="21051455"/>
    <w:rsid w:val="210764DB"/>
    <w:rsid w:val="2110697B"/>
    <w:rsid w:val="21154D5A"/>
    <w:rsid w:val="2116462E"/>
    <w:rsid w:val="211D776A"/>
    <w:rsid w:val="212154AC"/>
    <w:rsid w:val="213C22E6"/>
    <w:rsid w:val="214473ED"/>
    <w:rsid w:val="214A3AD7"/>
    <w:rsid w:val="214B42D7"/>
    <w:rsid w:val="214E201A"/>
    <w:rsid w:val="21627873"/>
    <w:rsid w:val="216B2BCB"/>
    <w:rsid w:val="218477E9"/>
    <w:rsid w:val="21921F06"/>
    <w:rsid w:val="21A659B2"/>
    <w:rsid w:val="21A67760"/>
    <w:rsid w:val="21B46321"/>
    <w:rsid w:val="21C916A0"/>
    <w:rsid w:val="21DD6EFA"/>
    <w:rsid w:val="21F26E49"/>
    <w:rsid w:val="21F52495"/>
    <w:rsid w:val="21FF50C2"/>
    <w:rsid w:val="22001566"/>
    <w:rsid w:val="220152DE"/>
    <w:rsid w:val="2208666C"/>
    <w:rsid w:val="220B1CB9"/>
    <w:rsid w:val="2217141C"/>
    <w:rsid w:val="221A1EFC"/>
    <w:rsid w:val="22250FCC"/>
    <w:rsid w:val="22405E06"/>
    <w:rsid w:val="224B72E2"/>
    <w:rsid w:val="22600256"/>
    <w:rsid w:val="22680EB9"/>
    <w:rsid w:val="226C09A9"/>
    <w:rsid w:val="226D64CF"/>
    <w:rsid w:val="22715FC0"/>
    <w:rsid w:val="2277734E"/>
    <w:rsid w:val="22794E74"/>
    <w:rsid w:val="228D6133"/>
    <w:rsid w:val="228F4698"/>
    <w:rsid w:val="22A2261D"/>
    <w:rsid w:val="22A53EBB"/>
    <w:rsid w:val="22C740A2"/>
    <w:rsid w:val="22C95DFC"/>
    <w:rsid w:val="22D650DF"/>
    <w:rsid w:val="22F64717"/>
    <w:rsid w:val="22FE5379"/>
    <w:rsid w:val="230E380E"/>
    <w:rsid w:val="231057D9"/>
    <w:rsid w:val="23144B9D"/>
    <w:rsid w:val="23264FFC"/>
    <w:rsid w:val="232F19D7"/>
    <w:rsid w:val="23353491"/>
    <w:rsid w:val="23356FED"/>
    <w:rsid w:val="233A2855"/>
    <w:rsid w:val="23430063"/>
    <w:rsid w:val="234C07DB"/>
    <w:rsid w:val="234C4337"/>
    <w:rsid w:val="234E6301"/>
    <w:rsid w:val="23503E27"/>
    <w:rsid w:val="23515DF1"/>
    <w:rsid w:val="235D4796"/>
    <w:rsid w:val="235D6544"/>
    <w:rsid w:val="235F67EA"/>
    <w:rsid w:val="23694EE9"/>
    <w:rsid w:val="23700025"/>
    <w:rsid w:val="23757D31"/>
    <w:rsid w:val="237C10C0"/>
    <w:rsid w:val="23854DD4"/>
    <w:rsid w:val="239006C7"/>
    <w:rsid w:val="23AC3027"/>
    <w:rsid w:val="23B02B18"/>
    <w:rsid w:val="23C83794"/>
    <w:rsid w:val="23D36806"/>
    <w:rsid w:val="23D902C0"/>
    <w:rsid w:val="23DC56BB"/>
    <w:rsid w:val="23FC5D5D"/>
    <w:rsid w:val="240370EB"/>
    <w:rsid w:val="240C1F4D"/>
    <w:rsid w:val="24141F2D"/>
    <w:rsid w:val="24155071"/>
    <w:rsid w:val="24170DE9"/>
    <w:rsid w:val="241E5CD3"/>
    <w:rsid w:val="243E0123"/>
    <w:rsid w:val="2443398C"/>
    <w:rsid w:val="24482D50"/>
    <w:rsid w:val="245410FD"/>
    <w:rsid w:val="245A2A83"/>
    <w:rsid w:val="245B6F27"/>
    <w:rsid w:val="245C4A4D"/>
    <w:rsid w:val="245E07C6"/>
    <w:rsid w:val="246456B0"/>
    <w:rsid w:val="246F7CD8"/>
    <w:rsid w:val="24793396"/>
    <w:rsid w:val="248762B2"/>
    <w:rsid w:val="2492046F"/>
    <w:rsid w:val="249661B1"/>
    <w:rsid w:val="24A26904"/>
    <w:rsid w:val="24CF521F"/>
    <w:rsid w:val="24F353B2"/>
    <w:rsid w:val="25007ACF"/>
    <w:rsid w:val="25056E93"/>
    <w:rsid w:val="251470D6"/>
    <w:rsid w:val="25164BFC"/>
    <w:rsid w:val="253120B6"/>
    <w:rsid w:val="2540611D"/>
    <w:rsid w:val="254A0D4A"/>
    <w:rsid w:val="255B2F57"/>
    <w:rsid w:val="255E0351"/>
    <w:rsid w:val="256F7E4E"/>
    <w:rsid w:val="2580651A"/>
    <w:rsid w:val="258129BE"/>
    <w:rsid w:val="25897AC4"/>
    <w:rsid w:val="258C3110"/>
    <w:rsid w:val="25956469"/>
    <w:rsid w:val="25973F8F"/>
    <w:rsid w:val="25987D07"/>
    <w:rsid w:val="259A3A7F"/>
    <w:rsid w:val="25AE12D9"/>
    <w:rsid w:val="25B172AF"/>
    <w:rsid w:val="25BC1C48"/>
    <w:rsid w:val="25C24D84"/>
    <w:rsid w:val="25C44658"/>
    <w:rsid w:val="25C7239A"/>
    <w:rsid w:val="25C81540"/>
    <w:rsid w:val="25C96113"/>
    <w:rsid w:val="25C97EC1"/>
    <w:rsid w:val="25CE122A"/>
    <w:rsid w:val="25D37CE1"/>
    <w:rsid w:val="25F3318F"/>
    <w:rsid w:val="26031925"/>
    <w:rsid w:val="26040EF9"/>
    <w:rsid w:val="26064C71"/>
    <w:rsid w:val="26190E48"/>
    <w:rsid w:val="261C66C5"/>
    <w:rsid w:val="26263565"/>
    <w:rsid w:val="26445799"/>
    <w:rsid w:val="2657371E"/>
    <w:rsid w:val="265C29D1"/>
    <w:rsid w:val="265E7A62"/>
    <w:rsid w:val="2666570F"/>
    <w:rsid w:val="266876DA"/>
    <w:rsid w:val="266B0F78"/>
    <w:rsid w:val="26887D7C"/>
    <w:rsid w:val="269E73A8"/>
    <w:rsid w:val="26A1499A"/>
    <w:rsid w:val="26AB5818"/>
    <w:rsid w:val="26B24DF9"/>
    <w:rsid w:val="26B91CE3"/>
    <w:rsid w:val="26C50688"/>
    <w:rsid w:val="26DE5BEE"/>
    <w:rsid w:val="26E10E4C"/>
    <w:rsid w:val="26EA4592"/>
    <w:rsid w:val="26EC20B9"/>
    <w:rsid w:val="26EE4083"/>
    <w:rsid w:val="26EF3957"/>
    <w:rsid w:val="26F70A5D"/>
    <w:rsid w:val="26FF6BCF"/>
    <w:rsid w:val="270F3FF9"/>
    <w:rsid w:val="2714160F"/>
    <w:rsid w:val="271433BD"/>
    <w:rsid w:val="271E423C"/>
    <w:rsid w:val="27322E79"/>
    <w:rsid w:val="27335F39"/>
    <w:rsid w:val="2734580E"/>
    <w:rsid w:val="273870AC"/>
    <w:rsid w:val="273B4DEE"/>
    <w:rsid w:val="273D46C2"/>
    <w:rsid w:val="27433CA3"/>
    <w:rsid w:val="275639D6"/>
    <w:rsid w:val="27790495"/>
    <w:rsid w:val="27930786"/>
    <w:rsid w:val="27992E92"/>
    <w:rsid w:val="279B763B"/>
    <w:rsid w:val="27B60C96"/>
    <w:rsid w:val="27B8643F"/>
    <w:rsid w:val="27BB1A8B"/>
    <w:rsid w:val="27BD3079"/>
    <w:rsid w:val="27BF157B"/>
    <w:rsid w:val="27D36DD5"/>
    <w:rsid w:val="27DD5EA5"/>
    <w:rsid w:val="27E40FE2"/>
    <w:rsid w:val="27E62FAC"/>
    <w:rsid w:val="27EB05C2"/>
    <w:rsid w:val="280D0539"/>
    <w:rsid w:val="282835C4"/>
    <w:rsid w:val="282E409A"/>
    <w:rsid w:val="282E6701"/>
    <w:rsid w:val="28335AC5"/>
    <w:rsid w:val="283F090E"/>
    <w:rsid w:val="28472493"/>
    <w:rsid w:val="28577A06"/>
    <w:rsid w:val="2859377E"/>
    <w:rsid w:val="286345E6"/>
    <w:rsid w:val="286E6AFD"/>
    <w:rsid w:val="28814A83"/>
    <w:rsid w:val="28844573"/>
    <w:rsid w:val="28862099"/>
    <w:rsid w:val="288B3B53"/>
    <w:rsid w:val="288E0F4E"/>
    <w:rsid w:val="28AB1AFF"/>
    <w:rsid w:val="28B210E0"/>
    <w:rsid w:val="28C80903"/>
    <w:rsid w:val="28CC797B"/>
    <w:rsid w:val="28D23530"/>
    <w:rsid w:val="28DA4193"/>
    <w:rsid w:val="28E545E3"/>
    <w:rsid w:val="28F17E5A"/>
    <w:rsid w:val="28F2772E"/>
    <w:rsid w:val="28F72F97"/>
    <w:rsid w:val="292162DD"/>
    <w:rsid w:val="29231FDE"/>
    <w:rsid w:val="292813A2"/>
    <w:rsid w:val="29325D7D"/>
    <w:rsid w:val="29363ABF"/>
    <w:rsid w:val="294176B3"/>
    <w:rsid w:val="29634188"/>
    <w:rsid w:val="296E3259"/>
    <w:rsid w:val="297939AC"/>
    <w:rsid w:val="297E7214"/>
    <w:rsid w:val="29891E41"/>
    <w:rsid w:val="2996455E"/>
    <w:rsid w:val="29A21154"/>
    <w:rsid w:val="29AF73CD"/>
    <w:rsid w:val="29B175E9"/>
    <w:rsid w:val="29B77948"/>
    <w:rsid w:val="29CA2459"/>
    <w:rsid w:val="29CC61D1"/>
    <w:rsid w:val="29CF6BA5"/>
    <w:rsid w:val="29DF5F05"/>
    <w:rsid w:val="29E320D0"/>
    <w:rsid w:val="29EF3C6E"/>
    <w:rsid w:val="29F6324E"/>
    <w:rsid w:val="29F766E0"/>
    <w:rsid w:val="2A0873C7"/>
    <w:rsid w:val="2A2B2EF8"/>
    <w:rsid w:val="2A2D4EC2"/>
    <w:rsid w:val="2A331DAD"/>
    <w:rsid w:val="2A337FFE"/>
    <w:rsid w:val="2A3A138D"/>
    <w:rsid w:val="2A3C5105"/>
    <w:rsid w:val="2A481CFC"/>
    <w:rsid w:val="2A495A74"/>
    <w:rsid w:val="2A4E4E38"/>
    <w:rsid w:val="2A5412FB"/>
    <w:rsid w:val="2A64640A"/>
    <w:rsid w:val="2A697EC4"/>
    <w:rsid w:val="2A781EB5"/>
    <w:rsid w:val="2A7F4FF2"/>
    <w:rsid w:val="2A8D770F"/>
    <w:rsid w:val="2A9C3DF6"/>
    <w:rsid w:val="2A9E191C"/>
    <w:rsid w:val="2AA809EC"/>
    <w:rsid w:val="2AA9206F"/>
    <w:rsid w:val="2AAA6513"/>
    <w:rsid w:val="2AAF6204"/>
    <w:rsid w:val="2AB7478C"/>
    <w:rsid w:val="2ABC1DA2"/>
    <w:rsid w:val="2ABE5B1A"/>
    <w:rsid w:val="2ACF5F79"/>
    <w:rsid w:val="2AD215C5"/>
    <w:rsid w:val="2ADB491E"/>
    <w:rsid w:val="2ADC2444"/>
    <w:rsid w:val="2AE00186"/>
    <w:rsid w:val="2AE11467"/>
    <w:rsid w:val="2AE632C3"/>
    <w:rsid w:val="2AF07C9E"/>
    <w:rsid w:val="2AF21C68"/>
    <w:rsid w:val="2B011EAB"/>
    <w:rsid w:val="2B271F0F"/>
    <w:rsid w:val="2B277B63"/>
    <w:rsid w:val="2B2D4A4E"/>
    <w:rsid w:val="2B3109E2"/>
    <w:rsid w:val="2B6A3EF4"/>
    <w:rsid w:val="2B7B3A0B"/>
    <w:rsid w:val="2B7E174D"/>
    <w:rsid w:val="2B7F799F"/>
    <w:rsid w:val="2B807273"/>
    <w:rsid w:val="2B905A9E"/>
    <w:rsid w:val="2B9176D3"/>
    <w:rsid w:val="2BA2368E"/>
    <w:rsid w:val="2BA74800"/>
    <w:rsid w:val="2BAA609E"/>
    <w:rsid w:val="2BB86A0D"/>
    <w:rsid w:val="2BBB64FD"/>
    <w:rsid w:val="2BD61589"/>
    <w:rsid w:val="2BD75FF1"/>
    <w:rsid w:val="2BF37B8F"/>
    <w:rsid w:val="2BF6776E"/>
    <w:rsid w:val="2C025EDA"/>
    <w:rsid w:val="2C0C4FAB"/>
    <w:rsid w:val="2C1125C1"/>
    <w:rsid w:val="2C3020B1"/>
    <w:rsid w:val="2C464019"/>
    <w:rsid w:val="2C484235"/>
    <w:rsid w:val="2C4E0175"/>
    <w:rsid w:val="2C5C1A8E"/>
    <w:rsid w:val="2C626979"/>
    <w:rsid w:val="2C640943"/>
    <w:rsid w:val="2C6C77F8"/>
    <w:rsid w:val="2C6E17C2"/>
    <w:rsid w:val="2C7F3CAD"/>
    <w:rsid w:val="2C82701B"/>
    <w:rsid w:val="2C840FE5"/>
    <w:rsid w:val="2C866B0B"/>
    <w:rsid w:val="2C9D5C03"/>
    <w:rsid w:val="2CAE7E10"/>
    <w:rsid w:val="2CB859EB"/>
    <w:rsid w:val="2CC82C80"/>
    <w:rsid w:val="2CD108CC"/>
    <w:rsid w:val="2CDA4BA0"/>
    <w:rsid w:val="2CDC2BCF"/>
    <w:rsid w:val="2CDC672B"/>
    <w:rsid w:val="2CDF7FCA"/>
    <w:rsid w:val="2CE35D0C"/>
    <w:rsid w:val="2CE81574"/>
    <w:rsid w:val="2CE850D0"/>
    <w:rsid w:val="2CE90E48"/>
    <w:rsid w:val="2CF00429"/>
    <w:rsid w:val="2CF77A09"/>
    <w:rsid w:val="2CF9108B"/>
    <w:rsid w:val="2D145EC5"/>
    <w:rsid w:val="2D1660E1"/>
    <w:rsid w:val="2D177764"/>
    <w:rsid w:val="2D1E6D44"/>
    <w:rsid w:val="2D320A41"/>
    <w:rsid w:val="2D3718E1"/>
    <w:rsid w:val="2D5664DE"/>
    <w:rsid w:val="2D5B7F98"/>
    <w:rsid w:val="2D6230D5"/>
    <w:rsid w:val="2D67693D"/>
    <w:rsid w:val="2D691DE4"/>
    <w:rsid w:val="2D6C0765"/>
    <w:rsid w:val="2D7B7CF2"/>
    <w:rsid w:val="2D8868B3"/>
    <w:rsid w:val="2D8B034F"/>
    <w:rsid w:val="2D8D3ECA"/>
    <w:rsid w:val="2D8D7A26"/>
    <w:rsid w:val="2D9E7E85"/>
    <w:rsid w:val="2DA21723"/>
    <w:rsid w:val="2DA37249"/>
    <w:rsid w:val="2DA60AE7"/>
    <w:rsid w:val="2DAF3E40"/>
    <w:rsid w:val="2DB04579"/>
    <w:rsid w:val="2DB43204"/>
    <w:rsid w:val="2DB63420"/>
    <w:rsid w:val="2DB80F46"/>
    <w:rsid w:val="2DB87198"/>
    <w:rsid w:val="2DC0604D"/>
    <w:rsid w:val="2DD65871"/>
    <w:rsid w:val="2DFD2DFD"/>
    <w:rsid w:val="2DFF6B75"/>
    <w:rsid w:val="2E0917A2"/>
    <w:rsid w:val="2E3B56D4"/>
    <w:rsid w:val="2E40064D"/>
    <w:rsid w:val="2E4356E4"/>
    <w:rsid w:val="2E456552"/>
    <w:rsid w:val="2E47051C"/>
    <w:rsid w:val="2E4A3583"/>
    <w:rsid w:val="2E4C1BC5"/>
    <w:rsid w:val="2E4E18AB"/>
    <w:rsid w:val="2E505623"/>
    <w:rsid w:val="2E5D564A"/>
    <w:rsid w:val="2E6B1B30"/>
    <w:rsid w:val="2E6F6D21"/>
    <w:rsid w:val="2E7110F5"/>
    <w:rsid w:val="2E76495E"/>
    <w:rsid w:val="2E887018"/>
    <w:rsid w:val="2E8A6368"/>
    <w:rsid w:val="2EA80FBB"/>
    <w:rsid w:val="2EBD433B"/>
    <w:rsid w:val="2EC60DB5"/>
    <w:rsid w:val="2ECC0E2A"/>
    <w:rsid w:val="2ED00512"/>
    <w:rsid w:val="2EEF6BEA"/>
    <w:rsid w:val="2EFD389E"/>
    <w:rsid w:val="2F032695"/>
    <w:rsid w:val="2F123E49"/>
    <w:rsid w:val="2F126434"/>
    <w:rsid w:val="2F1C5505"/>
    <w:rsid w:val="2F236894"/>
    <w:rsid w:val="2F25260C"/>
    <w:rsid w:val="2F261EE0"/>
    <w:rsid w:val="2F324D29"/>
    <w:rsid w:val="2F3A39D1"/>
    <w:rsid w:val="2F567F0F"/>
    <w:rsid w:val="2F6649D2"/>
    <w:rsid w:val="2F6824F8"/>
    <w:rsid w:val="2F6C023B"/>
    <w:rsid w:val="2F805A94"/>
    <w:rsid w:val="2F94153F"/>
    <w:rsid w:val="2FAB0637"/>
    <w:rsid w:val="2FBD689C"/>
    <w:rsid w:val="2FBE65BC"/>
    <w:rsid w:val="2FC71915"/>
    <w:rsid w:val="2FEB3D38"/>
    <w:rsid w:val="301B3A0F"/>
    <w:rsid w:val="3027082A"/>
    <w:rsid w:val="30330D58"/>
    <w:rsid w:val="303A20E7"/>
    <w:rsid w:val="304545E8"/>
    <w:rsid w:val="304D4ED5"/>
    <w:rsid w:val="305331A8"/>
    <w:rsid w:val="305B02AF"/>
    <w:rsid w:val="30661B74"/>
    <w:rsid w:val="30676C54"/>
    <w:rsid w:val="307B625B"/>
    <w:rsid w:val="308C2216"/>
    <w:rsid w:val="308E5F8F"/>
    <w:rsid w:val="3091782D"/>
    <w:rsid w:val="30946CE0"/>
    <w:rsid w:val="309A2B85"/>
    <w:rsid w:val="309F019C"/>
    <w:rsid w:val="30A05CC2"/>
    <w:rsid w:val="30A752A2"/>
    <w:rsid w:val="30C10112"/>
    <w:rsid w:val="30C419B0"/>
    <w:rsid w:val="30C85944"/>
    <w:rsid w:val="30CC6AB7"/>
    <w:rsid w:val="30D81900"/>
    <w:rsid w:val="30E20088"/>
    <w:rsid w:val="30F86A51"/>
    <w:rsid w:val="31083F93"/>
    <w:rsid w:val="31101099"/>
    <w:rsid w:val="31126BC0"/>
    <w:rsid w:val="311B5125"/>
    <w:rsid w:val="31295CB7"/>
    <w:rsid w:val="312B1A2F"/>
    <w:rsid w:val="31321010"/>
    <w:rsid w:val="313A6116"/>
    <w:rsid w:val="314825E1"/>
    <w:rsid w:val="315C1595"/>
    <w:rsid w:val="31674A29"/>
    <w:rsid w:val="316B201F"/>
    <w:rsid w:val="316E4D0F"/>
    <w:rsid w:val="317B29B7"/>
    <w:rsid w:val="31810994"/>
    <w:rsid w:val="318A0E4C"/>
    <w:rsid w:val="319F5F79"/>
    <w:rsid w:val="31A65588"/>
    <w:rsid w:val="31AB491E"/>
    <w:rsid w:val="31B00506"/>
    <w:rsid w:val="31B613E7"/>
    <w:rsid w:val="31BB1005"/>
    <w:rsid w:val="31BC6B2B"/>
    <w:rsid w:val="31BD2FCF"/>
    <w:rsid w:val="31C854D0"/>
    <w:rsid w:val="31D10829"/>
    <w:rsid w:val="31D2634F"/>
    <w:rsid w:val="31E0281A"/>
    <w:rsid w:val="31E542D4"/>
    <w:rsid w:val="31E87920"/>
    <w:rsid w:val="31EE13DB"/>
    <w:rsid w:val="31F2079F"/>
    <w:rsid w:val="31F84007"/>
    <w:rsid w:val="320A5AE9"/>
    <w:rsid w:val="320D55D9"/>
    <w:rsid w:val="32160223"/>
    <w:rsid w:val="32171FB4"/>
    <w:rsid w:val="3240775C"/>
    <w:rsid w:val="32494863"/>
    <w:rsid w:val="324A4137"/>
    <w:rsid w:val="324C1127"/>
    <w:rsid w:val="324E1E79"/>
    <w:rsid w:val="325E7BE3"/>
    <w:rsid w:val="32601BAD"/>
    <w:rsid w:val="327B2543"/>
    <w:rsid w:val="32807B59"/>
    <w:rsid w:val="3281224F"/>
    <w:rsid w:val="328E2276"/>
    <w:rsid w:val="3291620A"/>
    <w:rsid w:val="32A221C5"/>
    <w:rsid w:val="32A7158A"/>
    <w:rsid w:val="32EB591A"/>
    <w:rsid w:val="32F347CF"/>
    <w:rsid w:val="32F3657D"/>
    <w:rsid w:val="32F50547"/>
    <w:rsid w:val="32F95B01"/>
    <w:rsid w:val="32FA790B"/>
    <w:rsid w:val="33030EB6"/>
    <w:rsid w:val="330469DC"/>
    <w:rsid w:val="332826CA"/>
    <w:rsid w:val="332E5807"/>
    <w:rsid w:val="33437504"/>
    <w:rsid w:val="3350577D"/>
    <w:rsid w:val="33633703"/>
    <w:rsid w:val="33680D19"/>
    <w:rsid w:val="337F6063"/>
    <w:rsid w:val="338418CB"/>
    <w:rsid w:val="339C09C3"/>
    <w:rsid w:val="339C4E66"/>
    <w:rsid w:val="339F04B3"/>
    <w:rsid w:val="33A15FD9"/>
    <w:rsid w:val="33A227F5"/>
    <w:rsid w:val="33A830F7"/>
    <w:rsid w:val="33AD2BD0"/>
    <w:rsid w:val="33B026C0"/>
    <w:rsid w:val="33B65F28"/>
    <w:rsid w:val="33C00B55"/>
    <w:rsid w:val="33CD6DCE"/>
    <w:rsid w:val="33E02FA5"/>
    <w:rsid w:val="33E10ACB"/>
    <w:rsid w:val="33E24F83"/>
    <w:rsid w:val="33F8661C"/>
    <w:rsid w:val="340824FC"/>
    <w:rsid w:val="341E1D1F"/>
    <w:rsid w:val="341E587B"/>
    <w:rsid w:val="342804A8"/>
    <w:rsid w:val="34313801"/>
    <w:rsid w:val="344A68E6"/>
    <w:rsid w:val="34565015"/>
    <w:rsid w:val="34586FDF"/>
    <w:rsid w:val="3474193F"/>
    <w:rsid w:val="348A2F11"/>
    <w:rsid w:val="348C0A37"/>
    <w:rsid w:val="34A02734"/>
    <w:rsid w:val="34BB131C"/>
    <w:rsid w:val="34C2454F"/>
    <w:rsid w:val="34CA2545"/>
    <w:rsid w:val="34DC053B"/>
    <w:rsid w:val="34E645EB"/>
    <w:rsid w:val="34EE16F2"/>
    <w:rsid w:val="34F34F5A"/>
    <w:rsid w:val="34F36D08"/>
    <w:rsid w:val="34F62354"/>
    <w:rsid w:val="34FA3BF3"/>
    <w:rsid w:val="34FA62E8"/>
    <w:rsid w:val="34FF56AD"/>
    <w:rsid w:val="350D601C"/>
    <w:rsid w:val="351078BA"/>
    <w:rsid w:val="35131158"/>
    <w:rsid w:val="35150A2C"/>
    <w:rsid w:val="351E2AB9"/>
    <w:rsid w:val="351F3659"/>
    <w:rsid w:val="351F5D4F"/>
    <w:rsid w:val="35223149"/>
    <w:rsid w:val="352C4C62"/>
    <w:rsid w:val="35316DB2"/>
    <w:rsid w:val="35337105"/>
    <w:rsid w:val="3538471B"/>
    <w:rsid w:val="354C01C6"/>
    <w:rsid w:val="35753BC1"/>
    <w:rsid w:val="357716E7"/>
    <w:rsid w:val="357C4298"/>
    <w:rsid w:val="35867B7C"/>
    <w:rsid w:val="35A26646"/>
    <w:rsid w:val="35A95619"/>
    <w:rsid w:val="35BC70FA"/>
    <w:rsid w:val="35BE3BB5"/>
    <w:rsid w:val="35C366DA"/>
    <w:rsid w:val="35DB4D0A"/>
    <w:rsid w:val="35E87EEF"/>
    <w:rsid w:val="35F1149A"/>
    <w:rsid w:val="35F745D6"/>
    <w:rsid w:val="35FC399A"/>
    <w:rsid w:val="360B1E2F"/>
    <w:rsid w:val="361138EA"/>
    <w:rsid w:val="36164462"/>
    <w:rsid w:val="361A2073"/>
    <w:rsid w:val="361E6007"/>
    <w:rsid w:val="362A49AB"/>
    <w:rsid w:val="3638085D"/>
    <w:rsid w:val="363876A2"/>
    <w:rsid w:val="36405F7D"/>
    <w:rsid w:val="3643461A"/>
    <w:rsid w:val="36513CE6"/>
    <w:rsid w:val="36790667"/>
    <w:rsid w:val="367E6AA5"/>
    <w:rsid w:val="36826F26"/>
    <w:rsid w:val="368340BC"/>
    <w:rsid w:val="3699568D"/>
    <w:rsid w:val="36A007CA"/>
    <w:rsid w:val="36BB1AA7"/>
    <w:rsid w:val="36BB3856"/>
    <w:rsid w:val="36BE1E2E"/>
    <w:rsid w:val="36C00E6C"/>
    <w:rsid w:val="36CA1CEB"/>
    <w:rsid w:val="36D246C2"/>
    <w:rsid w:val="36D6068F"/>
    <w:rsid w:val="36DA0180"/>
    <w:rsid w:val="36DA1F2E"/>
    <w:rsid w:val="36E032BC"/>
    <w:rsid w:val="36E44B5A"/>
    <w:rsid w:val="36E7464B"/>
    <w:rsid w:val="36F70744"/>
    <w:rsid w:val="36FD5C1C"/>
    <w:rsid w:val="36FD79CA"/>
    <w:rsid w:val="37111425"/>
    <w:rsid w:val="371B60A2"/>
    <w:rsid w:val="371F5B92"/>
    <w:rsid w:val="372238D5"/>
    <w:rsid w:val="37335AE2"/>
    <w:rsid w:val="373A29CC"/>
    <w:rsid w:val="373B5541"/>
    <w:rsid w:val="37405B09"/>
    <w:rsid w:val="374455F9"/>
    <w:rsid w:val="3757357E"/>
    <w:rsid w:val="37647A49"/>
    <w:rsid w:val="376E08C8"/>
    <w:rsid w:val="376E6B1A"/>
    <w:rsid w:val="377346DB"/>
    <w:rsid w:val="377A726D"/>
    <w:rsid w:val="377C1237"/>
    <w:rsid w:val="378D51F2"/>
    <w:rsid w:val="379876F3"/>
    <w:rsid w:val="379C0E5D"/>
    <w:rsid w:val="37B07132"/>
    <w:rsid w:val="37C329C2"/>
    <w:rsid w:val="37C4673A"/>
    <w:rsid w:val="37CE1367"/>
    <w:rsid w:val="37D5281F"/>
    <w:rsid w:val="37E172EC"/>
    <w:rsid w:val="37E312B6"/>
    <w:rsid w:val="37ED3EE3"/>
    <w:rsid w:val="37F05781"/>
    <w:rsid w:val="37FC4126"/>
    <w:rsid w:val="37FF7772"/>
    <w:rsid w:val="38014DFC"/>
    <w:rsid w:val="3810372D"/>
    <w:rsid w:val="3817622D"/>
    <w:rsid w:val="38213B8C"/>
    <w:rsid w:val="382901CF"/>
    <w:rsid w:val="38327B47"/>
    <w:rsid w:val="38471845"/>
    <w:rsid w:val="384A0187"/>
    <w:rsid w:val="384C6E5B"/>
    <w:rsid w:val="384F7AA2"/>
    <w:rsid w:val="38575800"/>
    <w:rsid w:val="38591578"/>
    <w:rsid w:val="38593326"/>
    <w:rsid w:val="386F2B4A"/>
    <w:rsid w:val="387737AC"/>
    <w:rsid w:val="388F0AF6"/>
    <w:rsid w:val="38912AC0"/>
    <w:rsid w:val="38997BC6"/>
    <w:rsid w:val="389E6F8B"/>
    <w:rsid w:val="38AC5B4C"/>
    <w:rsid w:val="38BF587F"/>
    <w:rsid w:val="38C06F01"/>
    <w:rsid w:val="38C20ECB"/>
    <w:rsid w:val="38CA7D80"/>
    <w:rsid w:val="38CF5396"/>
    <w:rsid w:val="38D07EC9"/>
    <w:rsid w:val="38E057F5"/>
    <w:rsid w:val="38E41DB9"/>
    <w:rsid w:val="38F31085"/>
    <w:rsid w:val="39074B30"/>
    <w:rsid w:val="390A4620"/>
    <w:rsid w:val="39183156"/>
    <w:rsid w:val="39261FCD"/>
    <w:rsid w:val="393022D9"/>
    <w:rsid w:val="39317DFF"/>
    <w:rsid w:val="39365415"/>
    <w:rsid w:val="393E28D8"/>
    <w:rsid w:val="39455658"/>
    <w:rsid w:val="394E275F"/>
    <w:rsid w:val="3951224F"/>
    <w:rsid w:val="395835DE"/>
    <w:rsid w:val="39594D23"/>
    <w:rsid w:val="396226AE"/>
    <w:rsid w:val="396401D4"/>
    <w:rsid w:val="39664DC4"/>
    <w:rsid w:val="396E2E01"/>
    <w:rsid w:val="397C3770"/>
    <w:rsid w:val="39A44A75"/>
    <w:rsid w:val="39A46823"/>
    <w:rsid w:val="39A700C1"/>
    <w:rsid w:val="39B36A66"/>
    <w:rsid w:val="39B645E5"/>
    <w:rsid w:val="39DA2245"/>
    <w:rsid w:val="39E41315"/>
    <w:rsid w:val="39E44E71"/>
    <w:rsid w:val="39E9692C"/>
    <w:rsid w:val="39F71049"/>
    <w:rsid w:val="3A064DE8"/>
    <w:rsid w:val="3A086DB2"/>
    <w:rsid w:val="3A12378C"/>
    <w:rsid w:val="3A175247"/>
    <w:rsid w:val="3A3E27D3"/>
    <w:rsid w:val="3A4818A4"/>
    <w:rsid w:val="3A59760D"/>
    <w:rsid w:val="3A744447"/>
    <w:rsid w:val="3A7601BF"/>
    <w:rsid w:val="3A8D2295"/>
    <w:rsid w:val="3A8D375B"/>
    <w:rsid w:val="3A9647EE"/>
    <w:rsid w:val="3A971EE4"/>
    <w:rsid w:val="3A9B5E78"/>
    <w:rsid w:val="3AAD1707"/>
    <w:rsid w:val="3AC16F61"/>
    <w:rsid w:val="3AEA4709"/>
    <w:rsid w:val="3AEC66D3"/>
    <w:rsid w:val="3AFF6407"/>
    <w:rsid w:val="3B021A53"/>
    <w:rsid w:val="3B070E17"/>
    <w:rsid w:val="3B0A0908"/>
    <w:rsid w:val="3B117EE8"/>
    <w:rsid w:val="3B190B4B"/>
    <w:rsid w:val="3B1925BB"/>
    <w:rsid w:val="3B331C0C"/>
    <w:rsid w:val="3B3836C7"/>
    <w:rsid w:val="3B4B76C6"/>
    <w:rsid w:val="3B53405D"/>
    <w:rsid w:val="3B5A188F"/>
    <w:rsid w:val="3B5B73B5"/>
    <w:rsid w:val="3B637FD8"/>
    <w:rsid w:val="3B675D5A"/>
    <w:rsid w:val="3B6C3370"/>
    <w:rsid w:val="3B7A3CDF"/>
    <w:rsid w:val="3B7C7A57"/>
    <w:rsid w:val="3B7E1D36"/>
    <w:rsid w:val="3B820DE6"/>
    <w:rsid w:val="3BA23B33"/>
    <w:rsid w:val="3BAA5C47"/>
    <w:rsid w:val="3BC136BC"/>
    <w:rsid w:val="3BC74A4B"/>
    <w:rsid w:val="3BD05281"/>
    <w:rsid w:val="3BD056AD"/>
    <w:rsid w:val="3BD74C8E"/>
    <w:rsid w:val="3BDC04F6"/>
    <w:rsid w:val="3BE37E6D"/>
    <w:rsid w:val="3BE473AB"/>
    <w:rsid w:val="3BE61375"/>
    <w:rsid w:val="3BE9676F"/>
    <w:rsid w:val="3BEB6CF7"/>
    <w:rsid w:val="3BED44B1"/>
    <w:rsid w:val="3BF215D8"/>
    <w:rsid w:val="3BFD046C"/>
    <w:rsid w:val="3C065573"/>
    <w:rsid w:val="3C0E61D6"/>
    <w:rsid w:val="3C137C90"/>
    <w:rsid w:val="3C157564"/>
    <w:rsid w:val="3C1F38D9"/>
    <w:rsid w:val="3C30439E"/>
    <w:rsid w:val="3C447E49"/>
    <w:rsid w:val="3C4B567C"/>
    <w:rsid w:val="3C4E0CC8"/>
    <w:rsid w:val="3C5F6A31"/>
    <w:rsid w:val="3C636521"/>
    <w:rsid w:val="3C6978B0"/>
    <w:rsid w:val="3C6F136A"/>
    <w:rsid w:val="3C6F3118"/>
    <w:rsid w:val="3C6F7834"/>
    <w:rsid w:val="3C7544A7"/>
    <w:rsid w:val="3C7626F9"/>
    <w:rsid w:val="3C814BF9"/>
    <w:rsid w:val="3C8A1D00"/>
    <w:rsid w:val="3C97266F"/>
    <w:rsid w:val="3C9C5ED7"/>
    <w:rsid w:val="3C9F32D2"/>
    <w:rsid w:val="3CA56B3A"/>
    <w:rsid w:val="3CB217EF"/>
    <w:rsid w:val="3CBC2A1A"/>
    <w:rsid w:val="3CCA65A0"/>
    <w:rsid w:val="3CDD2778"/>
    <w:rsid w:val="3CE05DC4"/>
    <w:rsid w:val="3CF61143"/>
    <w:rsid w:val="3CFE26EE"/>
    <w:rsid w:val="3D08531B"/>
    <w:rsid w:val="3D0C6BB9"/>
    <w:rsid w:val="3D0D2931"/>
    <w:rsid w:val="3D0E0B83"/>
    <w:rsid w:val="3D0F66A9"/>
    <w:rsid w:val="3D1C4922"/>
    <w:rsid w:val="3D2A703F"/>
    <w:rsid w:val="3D3305EA"/>
    <w:rsid w:val="3D402D06"/>
    <w:rsid w:val="3D5347E8"/>
    <w:rsid w:val="3D5440BC"/>
    <w:rsid w:val="3D5567B2"/>
    <w:rsid w:val="3D7E6571"/>
    <w:rsid w:val="3D912D0A"/>
    <w:rsid w:val="3DA70690"/>
    <w:rsid w:val="3DAB4624"/>
    <w:rsid w:val="3DB42DAD"/>
    <w:rsid w:val="3DBF3C2B"/>
    <w:rsid w:val="3DC01751"/>
    <w:rsid w:val="3DC079A3"/>
    <w:rsid w:val="3DC254CA"/>
    <w:rsid w:val="3DC76F84"/>
    <w:rsid w:val="3DCC55C7"/>
    <w:rsid w:val="3DD2165D"/>
    <w:rsid w:val="3DE17D59"/>
    <w:rsid w:val="3DE6565C"/>
    <w:rsid w:val="3DE9514C"/>
    <w:rsid w:val="3DF5764D"/>
    <w:rsid w:val="3DF80EEB"/>
    <w:rsid w:val="3E0E4BB3"/>
    <w:rsid w:val="3E126451"/>
    <w:rsid w:val="3E261EFC"/>
    <w:rsid w:val="3E2E2B5F"/>
    <w:rsid w:val="3E4864F1"/>
    <w:rsid w:val="3E502AD5"/>
    <w:rsid w:val="3E554590"/>
    <w:rsid w:val="3E564C85"/>
    <w:rsid w:val="3E614CE2"/>
    <w:rsid w:val="3E6734B1"/>
    <w:rsid w:val="3E6842C3"/>
    <w:rsid w:val="3E790445"/>
    <w:rsid w:val="3E7C38CA"/>
    <w:rsid w:val="3E80785E"/>
    <w:rsid w:val="3E815385"/>
    <w:rsid w:val="3E873AB3"/>
    <w:rsid w:val="3E88226F"/>
    <w:rsid w:val="3EA11583"/>
    <w:rsid w:val="3EA12C6C"/>
    <w:rsid w:val="3EA66B99"/>
    <w:rsid w:val="3EAD617A"/>
    <w:rsid w:val="3EBC63BD"/>
    <w:rsid w:val="3EC139D3"/>
    <w:rsid w:val="3ED6747E"/>
    <w:rsid w:val="3ED92ACB"/>
    <w:rsid w:val="3EFC2C5D"/>
    <w:rsid w:val="3F165CF8"/>
    <w:rsid w:val="3F1955BD"/>
    <w:rsid w:val="3F1E0E25"/>
    <w:rsid w:val="3F2F35E8"/>
    <w:rsid w:val="3F3E5024"/>
    <w:rsid w:val="3F4F7231"/>
    <w:rsid w:val="3F6E3B5B"/>
    <w:rsid w:val="3F7722E4"/>
    <w:rsid w:val="3F8334A8"/>
    <w:rsid w:val="3F892743"/>
    <w:rsid w:val="3FA07A8C"/>
    <w:rsid w:val="3FAA26B9"/>
    <w:rsid w:val="3FB86B84"/>
    <w:rsid w:val="3FBF43B6"/>
    <w:rsid w:val="3FC1012F"/>
    <w:rsid w:val="3FC574F3"/>
    <w:rsid w:val="3FD356C5"/>
    <w:rsid w:val="3FD414E4"/>
    <w:rsid w:val="3FD57736"/>
    <w:rsid w:val="3FD6525C"/>
    <w:rsid w:val="3FEE6A4A"/>
    <w:rsid w:val="401B7113"/>
    <w:rsid w:val="402204A1"/>
    <w:rsid w:val="40297A82"/>
    <w:rsid w:val="40381A20"/>
    <w:rsid w:val="40385F17"/>
    <w:rsid w:val="40387CC5"/>
    <w:rsid w:val="403F2E01"/>
    <w:rsid w:val="40490124"/>
    <w:rsid w:val="40512B35"/>
    <w:rsid w:val="405C1C05"/>
    <w:rsid w:val="4064329A"/>
    <w:rsid w:val="407667EF"/>
    <w:rsid w:val="407E7DCE"/>
    <w:rsid w:val="40866C82"/>
    <w:rsid w:val="40870703"/>
    <w:rsid w:val="409C46F8"/>
    <w:rsid w:val="40A1586A"/>
    <w:rsid w:val="40A35A86"/>
    <w:rsid w:val="40B90E06"/>
    <w:rsid w:val="40BC26A4"/>
    <w:rsid w:val="40BE466E"/>
    <w:rsid w:val="40C003E6"/>
    <w:rsid w:val="40CB28E7"/>
    <w:rsid w:val="40D43E92"/>
    <w:rsid w:val="40D75730"/>
    <w:rsid w:val="40E340D5"/>
    <w:rsid w:val="40E51BFB"/>
    <w:rsid w:val="40F20AB6"/>
    <w:rsid w:val="40FE4A6B"/>
    <w:rsid w:val="410F4ECA"/>
    <w:rsid w:val="411B2942"/>
    <w:rsid w:val="412A1D04"/>
    <w:rsid w:val="412F7A54"/>
    <w:rsid w:val="413E755D"/>
    <w:rsid w:val="414A2F2A"/>
    <w:rsid w:val="41594397"/>
    <w:rsid w:val="41597EF3"/>
    <w:rsid w:val="41652D3C"/>
    <w:rsid w:val="416C5E78"/>
    <w:rsid w:val="41720FB5"/>
    <w:rsid w:val="417E7959"/>
    <w:rsid w:val="419453CF"/>
    <w:rsid w:val="41967399"/>
    <w:rsid w:val="41A93350"/>
    <w:rsid w:val="41AA4248"/>
    <w:rsid w:val="41CC2DBB"/>
    <w:rsid w:val="41D41C6F"/>
    <w:rsid w:val="41FD4D22"/>
    <w:rsid w:val="42145E76"/>
    <w:rsid w:val="421502BE"/>
    <w:rsid w:val="42161379"/>
    <w:rsid w:val="421A58D4"/>
    <w:rsid w:val="421B33FA"/>
    <w:rsid w:val="42280E95"/>
    <w:rsid w:val="42293D69"/>
    <w:rsid w:val="422F6EA6"/>
    <w:rsid w:val="423170C2"/>
    <w:rsid w:val="42426BD9"/>
    <w:rsid w:val="424E567E"/>
    <w:rsid w:val="42537038"/>
    <w:rsid w:val="42582C2F"/>
    <w:rsid w:val="425A3F23"/>
    <w:rsid w:val="425F4199"/>
    <w:rsid w:val="426052B1"/>
    <w:rsid w:val="426362FA"/>
    <w:rsid w:val="426A5A1A"/>
    <w:rsid w:val="426C3C56"/>
    <w:rsid w:val="427A59C3"/>
    <w:rsid w:val="428062F5"/>
    <w:rsid w:val="42862F6A"/>
    <w:rsid w:val="42897B88"/>
    <w:rsid w:val="429E4709"/>
    <w:rsid w:val="42B04076"/>
    <w:rsid w:val="42B75819"/>
    <w:rsid w:val="42C341BE"/>
    <w:rsid w:val="42C45840"/>
    <w:rsid w:val="42D40179"/>
    <w:rsid w:val="42D57A4D"/>
    <w:rsid w:val="42DE4B54"/>
    <w:rsid w:val="42EB7271"/>
    <w:rsid w:val="42F26851"/>
    <w:rsid w:val="42F73E67"/>
    <w:rsid w:val="43010842"/>
    <w:rsid w:val="43087E22"/>
    <w:rsid w:val="430B16C1"/>
    <w:rsid w:val="4315253F"/>
    <w:rsid w:val="43236A0A"/>
    <w:rsid w:val="43284021"/>
    <w:rsid w:val="43302ED5"/>
    <w:rsid w:val="43312E32"/>
    <w:rsid w:val="434075BC"/>
    <w:rsid w:val="434F5A51"/>
    <w:rsid w:val="43560B8E"/>
    <w:rsid w:val="43572B58"/>
    <w:rsid w:val="435968D0"/>
    <w:rsid w:val="435B43F6"/>
    <w:rsid w:val="435C54A2"/>
    <w:rsid w:val="43617533"/>
    <w:rsid w:val="436D5ED7"/>
    <w:rsid w:val="436F1C50"/>
    <w:rsid w:val="43741014"/>
    <w:rsid w:val="437E5696"/>
    <w:rsid w:val="438374A9"/>
    <w:rsid w:val="438751EB"/>
    <w:rsid w:val="43912C5C"/>
    <w:rsid w:val="43942ED3"/>
    <w:rsid w:val="43AE4775"/>
    <w:rsid w:val="43BD0C0D"/>
    <w:rsid w:val="43BF2BD7"/>
    <w:rsid w:val="43C55D14"/>
    <w:rsid w:val="43CA2C83"/>
    <w:rsid w:val="43D23F8D"/>
    <w:rsid w:val="43D63A7D"/>
    <w:rsid w:val="43DA2194"/>
    <w:rsid w:val="43DE2931"/>
    <w:rsid w:val="43F3462F"/>
    <w:rsid w:val="43FA3C0F"/>
    <w:rsid w:val="43FB34E3"/>
    <w:rsid w:val="43FF1225"/>
    <w:rsid w:val="44036E00"/>
    <w:rsid w:val="4413082D"/>
    <w:rsid w:val="442C7B41"/>
    <w:rsid w:val="442D3426"/>
    <w:rsid w:val="44382411"/>
    <w:rsid w:val="443A04B0"/>
    <w:rsid w:val="44421112"/>
    <w:rsid w:val="444214F2"/>
    <w:rsid w:val="444430DC"/>
    <w:rsid w:val="44466E54"/>
    <w:rsid w:val="444A6219"/>
    <w:rsid w:val="444C01E3"/>
    <w:rsid w:val="444D5AD5"/>
    <w:rsid w:val="445175A7"/>
    <w:rsid w:val="44580936"/>
    <w:rsid w:val="445A645C"/>
    <w:rsid w:val="445B14BB"/>
    <w:rsid w:val="446A2417"/>
    <w:rsid w:val="447B63D2"/>
    <w:rsid w:val="447D039C"/>
    <w:rsid w:val="447D214A"/>
    <w:rsid w:val="448E4357"/>
    <w:rsid w:val="44957494"/>
    <w:rsid w:val="44A8366B"/>
    <w:rsid w:val="44A920AB"/>
    <w:rsid w:val="44AB315B"/>
    <w:rsid w:val="44B87626"/>
    <w:rsid w:val="44DA6522"/>
    <w:rsid w:val="44E27E91"/>
    <w:rsid w:val="44F22B38"/>
    <w:rsid w:val="44F248E6"/>
    <w:rsid w:val="45053F07"/>
    <w:rsid w:val="451231DA"/>
    <w:rsid w:val="4513485D"/>
    <w:rsid w:val="45240818"/>
    <w:rsid w:val="452B604A"/>
    <w:rsid w:val="45331967"/>
    <w:rsid w:val="4550160D"/>
    <w:rsid w:val="45667082"/>
    <w:rsid w:val="4568104C"/>
    <w:rsid w:val="45713DE8"/>
    <w:rsid w:val="457245D4"/>
    <w:rsid w:val="45725A27"/>
    <w:rsid w:val="4582210E"/>
    <w:rsid w:val="45863281"/>
    <w:rsid w:val="45921C25"/>
    <w:rsid w:val="45961716"/>
    <w:rsid w:val="45AD49F7"/>
    <w:rsid w:val="45AD6A5F"/>
    <w:rsid w:val="45B20519"/>
    <w:rsid w:val="45BC4EF4"/>
    <w:rsid w:val="45C3608F"/>
    <w:rsid w:val="45DC10F2"/>
    <w:rsid w:val="45E05087"/>
    <w:rsid w:val="45E71F71"/>
    <w:rsid w:val="45E87A97"/>
    <w:rsid w:val="45EA1A61"/>
    <w:rsid w:val="45FC3543"/>
    <w:rsid w:val="46054AED"/>
    <w:rsid w:val="460C19D8"/>
    <w:rsid w:val="46160AA8"/>
    <w:rsid w:val="46192D48"/>
    <w:rsid w:val="461F5878"/>
    <w:rsid w:val="4622744D"/>
    <w:rsid w:val="462D194E"/>
    <w:rsid w:val="463D7F75"/>
    <w:rsid w:val="46414BF9"/>
    <w:rsid w:val="464A0752"/>
    <w:rsid w:val="464C1BF9"/>
    <w:rsid w:val="4665558C"/>
    <w:rsid w:val="46712183"/>
    <w:rsid w:val="46733805"/>
    <w:rsid w:val="467A2DE5"/>
    <w:rsid w:val="467E6105"/>
    <w:rsid w:val="468123C6"/>
    <w:rsid w:val="4691012F"/>
    <w:rsid w:val="469814BD"/>
    <w:rsid w:val="469D0882"/>
    <w:rsid w:val="46A77952"/>
    <w:rsid w:val="46B06807"/>
    <w:rsid w:val="46B207D1"/>
    <w:rsid w:val="46BA7686"/>
    <w:rsid w:val="46C93D6D"/>
    <w:rsid w:val="46DC75FC"/>
    <w:rsid w:val="46E11293"/>
    <w:rsid w:val="46E666CD"/>
    <w:rsid w:val="46FD57C4"/>
    <w:rsid w:val="471548BC"/>
    <w:rsid w:val="47176886"/>
    <w:rsid w:val="471C20EE"/>
    <w:rsid w:val="471F398D"/>
    <w:rsid w:val="472C6622"/>
    <w:rsid w:val="472E3BD0"/>
    <w:rsid w:val="47501D98"/>
    <w:rsid w:val="47503B46"/>
    <w:rsid w:val="475C073D"/>
    <w:rsid w:val="476475F1"/>
    <w:rsid w:val="4766336A"/>
    <w:rsid w:val="478D4D9A"/>
    <w:rsid w:val="479B74B7"/>
    <w:rsid w:val="47A63C85"/>
    <w:rsid w:val="47A83982"/>
    <w:rsid w:val="47C84024"/>
    <w:rsid w:val="47D13299"/>
    <w:rsid w:val="47DC0BD3"/>
    <w:rsid w:val="47E250E6"/>
    <w:rsid w:val="47E466D6"/>
    <w:rsid w:val="47F866B8"/>
    <w:rsid w:val="48054931"/>
    <w:rsid w:val="4806133D"/>
    <w:rsid w:val="480706A9"/>
    <w:rsid w:val="480E5EDB"/>
    <w:rsid w:val="480F57AF"/>
    <w:rsid w:val="482412E1"/>
    <w:rsid w:val="482E20D9"/>
    <w:rsid w:val="48345216"/>
    <w:rsid w:val="48547666"/>
    <w:rsid w:val="48592672"/>
    <w:rsid w:val="486E5261"/>
    <w:rsid w:val="48701922"/>
    <w:rsid w:val="487D6BBD"/>
    <w:rsid w:val="4893018E"/>
    <w:rsid w:val="48952158"/>
    <w:rsid w:val="489B5295"/>
    <w:rsid w:val="48A57EC2"/>
    <w:rsid w:val="48B00E0E"/>
    <w:rsid w:val="48B208D2"/>
    <w:rsid w:val="48C60564"/>
    <w:rsid w:val="48D5279B"/>
    <w:rsid w:val="48FA1FBB"/>
    <w:rsid w:val="49080199"/>
    <w:rsid w:val="490C1CEF"/>
    <w:rsid w:val="49107A31"/>
    <w:rsid w:val="491364B1"/>
    <w:rsid w:val="49155047"/>
    <w:rsid w:val="49184B37"/>
    <w:rsid w:val="49211C3E"/>
    <w:rsid w:val="49351245"/>
    <w:rsid w:val="493C2BF3"/>
    <w:rsid w:val="493D00FA"/>
    <w:rsid w:val="493F20C4"/>
    <w:rsid w:val="49431C9B"/>
    <w:rsid w:val="49470F79"/>
    <w:rsid w:val="495F62C2"/>
    <w:rsid w:val="49681BE1"/>
    <w:rsid w:val="496833C9"/>
    <w:rsid w:val="4968786D"/>
    <w:rsid w:val="496B2EB9"/>
    <w:rsid w:val="496D4E83"/>
    <w:rsid w:val="497A30FC"/>
    <w:rsid w:val="497F0713"/>
    <w:rsid w:val="498A7FB7"/>
    <w:rsid w:val="499C3073"/>
    <w:rsid w:val="49A4372E"/>
    <w:rsid w:val="49BA799D"/>
    <w:rsid w:val="49BF6D61"/>
    <w:rsid w:val="49C36851"/>
    <w:rsid w:val="49CD76D0"/>
    <w:rsid w:val="49DE368B"/>
    <w:rsid w:val="49E669E4"/>
    <w:rsid w:val="49EC3FFA"/>
    <w:rsid w:val="49F25388"/>
    <w:rsid w:val="4A11580F"/>
    <w:rsid w:val="4A175E73"/>
    <w:rsid w:val="4A1E1CDA"/>
    <w:rsid w:val="4A431740"/>
    <w:rsid w:val="4A513E5D"/>
    <w:rsid w:val="4A525E27"/>
    <w:rsid w:val="4A600544"/>
    <w:rsid w:val="4A653DAC"/>
    <w:rsid w:val="4A677B24"/>
    <w:rsid w:val="4A6A3171"/>
    <w:rsid w:val="4A6A4F1F"/>
    <w:rsid w:val="4A8835F7"/>
    <w:rsid w:val="4A9B3185"/>
    <w:rsid w:val="4AAA5C63"/>
    <w:rsid w:val="4AAC3789"/>
    <w:rsid w:val="4AB443EC"/>
    <w:rsid w:val="4AB83EDC"/>
    <w:rsid w:val="4AB97C54"/>
    <w:rsid w:val="4ABA40F8"/>
    <w:rsid w:val="4ABF10E5"/>
    <w:rsid w:val="4ACE54AE"/>
    <w:rsid w:val="4AD52CE0"/>
    <w:rsid w:val="4AE747C1"/>
    <w:rsid w:val="4AEC1DD8"/>
    <w:rsid w:val="4AEE5B50"/>
    <w:rsid w:val="4AEE78FE"/>
    <w:rsid w:val="4B0B6702"/>
    <w:rsid w:val="4B11183E"/>
    <w:rsid w:val="4B133808"/>
    <w:rsid w:val="4B157580"/>
    <w:rsid w:val="4B3A2B43"/>
    <w:rsid w:val="4B447E66"/>
    <w:rsid w:val="4B475260"/>
    <w:rsid w:val="4B517E8D"/>
    <w:rsid w:val="4B58746D"/>
    <w:rsid w:val="4B6202EC"/>
    <w:rsid w:val="4B667DDC"/>
    <w:rsid w:val="4B6E0A3F"/>
    <w:rsid w:val="4B7F62CD"/>
    <w:rsid w:val="4B8D7117"/>
    <w:rsid w:val="4B991F60"/>
    <w:rsid w:val="4BA16207"/>
    <w:rsid w:val="4BA91A77"/>
    <w:rsid w:val="4BB723E6"/>
    <w:rsid w:val="4BBF584D"/>
    <w:rsid w:val="4BD42F98"/>
    <w:rsid w:val="4BEB208F"/>
    <w:rsid w:val="4BF278C2"/>
    <w:rsid w:val="4C0513A3"/>
    <w:rsid w:val="4C080E93"/>
    <w:rsid w:val="4C215AB1"/>
    <w:rsid w:val="4C2B14ED"/>
    <w:rsid w:val="4C303F46"/>
    <w:rsid w:val="4C3E6663"/>
    <w:rsid w:val="4C4B0D80"/>
    <w:rsid w:val="4C4D2D4A"/>
    <w:rsid w:val="4C516396"/>
    <w:rsid w:val="4C5639AD"/>
    <w:rsid w:val="4C5B351B"/>
    <w:rsid w:val="4C681932"/>
    <w:rsid w:val="4C714C8A"/>
    <w:rsid w:val="4C72630D"/>
    <w:rsid w:val="4C7515C6"/>
    <w:rsid w:val="4C820C46"/>
    <w:rsid w:val="4C83676C"/>
    <w:rsid w:val="4C853291"/>
    <w:rsid w:val="4C885B30"/>
    <w:rsid w:val="4C934C01"/>
    <w:rsid w:val="4C940979"/>
    <w:rsid w:val="4C9646F1"/>
    <w:rsid w:val="4C96649F"/>
    <w:rsid w:val="4CAA657F"/>
    <w:rsid w:val="4CAE1A3B"/>
    <w:rsid w:val="4CAF130F"/>
    <w:rsid w:val="4CB42DC9"/>
    <w:rsid w:val="4CB66B41"/>
    <w:rsid w:val="4CC90623"/>
    <w:rsid w:val="4CC96874"/>
    <w:rsid w:val="4CD37562"/>
    <w:rsid w:val="4CD46FC7"/>
    <w:rsid w:val="4CDE39A2"/>
    <w:rsid w:val="4CED0E58"/>
    <w:rsid w:val="4CFF4044"/>
    <w:rsid w:val="4D043409"/>
    <w:rsid w:val="4D0A29E9"/>
    <w:rsid w:val="4D1B0752"/>
    <w:rsid w:val="4D1D44CA"/>
    <w:rsid w:val="4D2515D1"/>
    <w:rsid w:val="4D29796A"/>
    <w:rsid w:val="4D375D03"/>
    <w:rsid w:val="4D397B3D"/>
    <w:rsid w:val="4D5325E2"/>
    <w:rsid w:val="4D5940D6"/>
    <w:rsid w:val="4D64659D"/>
    <w:rsid w:val="4D6C7200"/>
    <w:rsid w:val="4D752558"/>
    <w:rsid w:val="4D816D33"/>
    <w:rsid w:val="4D84279B"/>
    <w:rsid w:val="4D870842"/>
    <w:rsid w:val="4D907392"/>
    <w:rsid w:val="4D9549A9"/>
    <w:rsid w:val="4DAB7D28"/>
    <w:rsid w:val="4DBC0187"/>
    <w:rsid w:val="4DBC3CE3"/>
    <w:rsid w:val="4DCF7EBB"/>
    <w:rsid w:val="4DD252B5"/>
    <w:rsid w:val="4DD76070"/>
    <w:rsid w:val="4DDE5715"/>
    <w:rsid w:val="4DF0398D"/>
    <w:rsid w:val="4E05638D"/>
    <w:rsid w:val="4E0F02B7"/>
    <w:rsid w:val="4E0F475B"/>
    <w:rsid w:val="4E217FEA"/>
    <w:rsid w:val="4E2F2707"/>
    <w:rsid w:val="4E434405"/>
    <w:rsid w:val="4E465CA3"/>
    <w:rsid w:val="4E52289A"/>
    <w:rsid w:val="4E573A0C"/>
    <w:rsid w:val="4E604FB7"/>
    <w:rsid w:val="4E606D65"/>
    <w:rsid w:val="4E7C16C5"/>
    <w:rsid w:val="4E7E71EB"/>
    <w:rsid w:val="4E816CDB"/>
    <w:rsid w:val="4E854A1D"/>
    <w:rsid w:val="4E8567CB"/>
    <w:rsid w:val="4E8F31A6"/>
    <w:rsid w:val="4E916F1E"/>
    <w:rsid w:val="4E9E163B"/>
    <w:rsid w:val="4E9E788D"/>
    <w:rsid w:val="4EA36C51"/>
    <w:rsid w:val="4EB33338"/>
    <w:rsid w:val="4EC70B92"/>
    <w:rsid w:val="4ED27537"/>
    <w:rsid w:val="4ED65279"/>
    <w:rsid w:val="4EDB3979"/>
    <w:rsid w:val="4EE51018"/>
    <w:rsid w:val="4EE5726A"/>
    <w:rsid w:val="4EEF1E97"/>
    <w:rsid w:val="4EF13E61"/>
    <w:rsid w:val="4F02606E"/>
    <w:rsid w:val="4F0C2A48"/>
    <w:rsid w:val="4F10078B"/>
    <w:rsid w:val="4F31425D"/>
    <w:rsid w:val="4F330001"/>
    <w:rsid w:val="4F3501F1"/>
    <w:rsid w:val="4F482496"/>
    <w:rsid w:val="4F495A4B"/>
    <w:rsid w:val="4F4F0B87"/>
    <w:rsid w:val="4F846A83"/>
    <w:rsid w:val="4F876573"/>
    <w:rsid w:val="4F8E345D"/>
    <w:rsid w:val="4F960564"/>
    <w:rsid w:val="4F980780"/>
    <w:rsid w:val="4FA03191"/>
    <w:rsid w:val="4FB21842"/>
    <w:rsid w:val="4FB76E58"/>
    <w:rsid w:val="4FD35314"/>
    <w:rsid w:val="4FDE2637"/>
    <w:rsid w:val="4FEE5126"/>
    <w:rsid w:val="4FF27E90"/>
    <w:rsid w:val="4FFA0AF3"/>
    <w:rsid w:val="4FFC2FB6"/>
    <w:rsid w:val="50023E45"/>
    <w:rsid w:val="501871CB"/>
    <w:rsid w:val="50191DB5"/>
    <w:rsid w:val="501A73E7"/>
    <w:rsid w:val="502142D2"/>
    <w:rsid w:val="5023004A"/>
    <w:rsid w:val="502913D8"/>
    <w:rsid w:val="50305133"/>
    <w:rsid w:val="503A275E"/>
    <w:rsid w:val="503B1BA2"/>
    <w:rsid w:val="50406E4E"/>
    <w:rsid w:val="50446212"/>
    <w:rsid w:val="50463D38"/>
    <w:rsid w:val="50476CA4"/>
    <w:rsid w:val="50485D02"/>
    <w:rsid w:val="504D50C7"/>
    <w:rsid w:val="50700DB5"/>
    <w:rsid w:val="507408A5"/>
    <w:rsid w:val="50760AC1"/>
    <w:rsid w:val="507B788B"/>
    <w:rsid w:val="50895886"/>
    <w:rsid w:val="508A1E77"/>
    <w:rsid w:val="508D1E06"/>
    <w:rsid w:val="509251CF"/>
    <w:rsid w:val="50966A6E"/>
    <w:rsid w:val="509E1DC6"/>
    <w:rsid w:val="50A32F39"/>
    <w:rsid w:val="50A82C45"/>
    <w:rsid w:val="50C3182D"/>
    <w:rsid w:val="50EB7673"/>
    <w:rsid w:val="50ED2406"/>
    <w:rsid w:val="50EF2622"/>
    <w:rsid w:val="50F419E6"/>
    <w:rsid w:val="510734C7"/>
    <w:rsid w:val="51121E6C"/>
    <w:rsid w:val="511D718F"/>
    <w:rsid w:val="5124051D"/>
    <w:rsid w:val="51256043"/>
    <w:rsid w:val="51340035"/>
    <w:rsid w:val="514E559A"/>
    <w:rsid w:val="514F30C0"/>
    <w:rsid w:val="51512B01"/>
    <w:rsid w:val="515661FD"/>
    <w:rsid w:val="515B3813"/>
    <w:rsid w:val="5167040A"/>
    <w:rsid w:val="516923D4"/>
    <w:rsid w:val="518C7E71"/>
    <w:rsid w:val="51AA7C07"/>
    <w:rsid w:val="51B00003"/>
    <w:rsid w:val="51C969CF"/>
    <w:rsid w:val="51DD06CC"/>
    <w:rsid w:val="51EB52DB"/>
    <w:rsid w:val="51FD48CA"/>
    <w:rsid w:val="5209326F"/>
    <w:rsid w:val="521340EE"/>
    <w:rsid w:val="5217598C"/>
    <w:rsid w:val="521C2FA3"/>
    <w:rsid w:val="52384A5B"/>
    <w:rsid w:val="523A5B1F"/>
    <w:rsid w:val="52426781"/>
    <w:rsid w:val="52524C16"/>
    <w:rsid w:val="52592449"/>
    <w:rsid w:val="526A6404"/>
    <w:rsid w:val="527E5A0B"/>
    <w:rsid w:val="52A86F2C"/>
    <w:rsid w:val="52CB6E2F"/>
    <w:rsid w:val="52E00474"/>
    <w:rsid w:val="52EB0BC7"/>
    <w:rsid w:val="52EB366E"/>
    <w:rsid w:val="530C1269"/>
    <w:rsid w:val="532A6688"/>
    <w:rsid w:val="5334431C"/>
    <w:rsid w:val="53424C8B"/>
    <w:rsid w:val="53435031"/>
    <w:rsid w:val="534A1D91"/>
    <w:rsid w:val="536015B5"/>
    <w:rsid w:val="5367649F"/>
    <w:rsid w:val="537868FE"/>
    <w:rsid w:val="537C0582"/>
    <w:rsid w:val="5382777D"/>
    <w:rsid w:val="539725B9"/>
    <w:rsid w:val="53A70F92"/>
    <w:rsid w:val="53AC47FA"/>
    <w:rsid w:val="53B13BBE"/>
    <w:rsid w:val="53BA0CC5"/>
    <w:rsid w:val="53D004E8"/>
    <w:rsid w:val="53E421E6"/>
    <w:rsid w:val="53E53868"/>
    <w:rsid w:val="53EA0E7E"/>
    <w:rsid w:val="53F32429"/>
    <w:rsid w:val="54040192"/>
    <w:rsid w:val="54081BCB"/>
    <w:rsid w:val="54177EC5"/>
    <w:rsid w:val="54180096"/>
    <w:rsid w:val="542425E2"/>
    <w:rsid w:val="542B1BC3"/>
    <w:rsid w:val="54336CC9"/>
    <w:rsid w:val="5435659E"/>
    <w:rsid w:val="543D36A4"/>
    <w:rsid w:val="544D2950"/>
    <w:rsid w:val="545F7ABE"/>
    <w:rsid w:val="5463135D"/>
    <w:rsid w:val="54686973"/>
    <w:rsid w:val="54696247"/>
    <w:rsid w:val="54740489"/>
    <w:rsid w:val="549C486F"/>
    <w:rsid w:val="549E05E7"/>
    <w:rsid w:val="54A159E1"/>
    <w:rsid w:val="54A61249"/>
    <w:rsid w:val="54A6749B"/>
    <w:rsid w:val="54AB6860"/>
    <w:rsid w:val="54BC6CBF"/>
    <w:rsid w:val="54C16083"/>
    <w:rsid w:val="54C85664"/>
    <w:rsid w:val="54C94F38"/>
    <w:rsid w:val="54E57FC4"/>
    <w:rsid w:val="552F56E3"/>
    <w:rsid w:val="55434CEA"/>
    <w:rsid w:val="554A0174"/>
    <w:rsid w:val="554F368F"/>
    <w:rsid w:val="555C7B5A"/>
    <w:rsid w:val="55684751"/>
    <w:rsid w:val="55777DA6"/>
    <w:rsid w:val="557B4484"/>
    <w:rsid w:val="55801A9A"/>
    <w:rsid w:val="5588094F"/>
    <w:rsid w:val="55A03EEB"/>
    <w:rsid w:val="55B224B4"/>
    <w:rsid w:val="55BE25C3"/>
    <w:rsid w:val="55F06C20"/>
    <w:rsid w:val="55F3226C"/>
    <w:rsid w:val="55F34962"/>
    <w:rsid w:val="55F935FB"/>
    <w:rsid w:val="56130B60"/>
    <w:rsid w:val="56150435"/>
    <w:rsid w:val="56260894"/>
    <w:rsid w:val="5641068D"/>
    <w:rsid w:val="56542847"/>
    <w:rsid w:val="56625644"/>
    <w:rsid w:val="566C201F"/>
    <w:rsid w:val="56764C4B"/>
    <w:rsid w:val="56794E67"/>
    <w:rsid w:val="567D5FDA"/>
    <w:rsid w:val="56811F6E"/>
    <w:rsid w:val="5689497F"/>
    <w:rsid w:val="56927CD7"/>
    <w:rsid w:val="569357FD"/>
    <w:rsid w:val="569C3054"/>
    <w:rsid w:val="56A1616C"/>
    <w:rsid w:val="56AA1FF0"/>
    <w:rsid w:val="56AD2D63"/>
    <w:rsid w:val="56B22127"/>
    <w:rsid w:val="56C37E91"/>
    <w:rsid w:val="56C87B9D"/>
    <w:rsid w:val="56D06A51"/>
    <w:rsid w:val="56D241F0"/>
    <w:rsid w:val="56D77DE0"/>
    <w:rsid w:val="56DC0F52"/>
    <w:rsid w:val="572172AD"/>
    <w:rsid w:val="572B3C88"/>
    <w:rsid w:val="57323268"/>
    <w:rsid w:val="573A3ECB"/>
    <w:rsid w:val="574134AB"/>
    <w:rsid w:val="5753390A"/>
    <w:rsid w:val="57601B83"/>
    <w:rsid w:val="57623B4D"/>
    <w:rsid w:val="576378C6"/>
    <w:rsid w:val="57776ECD"/>
    <w:rsid w:val="577E46FF"/>
    <w:rsid w:val="57827D4C"/>
    <w:rsid w:val="57834D7F"/>
    <w:rsid w:val="57911D3D"/>
    <w:rsid w:val="579161E1"/>
    <w:rsid w:val="579B2BBB"/>
    <w:rsid w:val="57A557E8"/>
    <w:rsid w:val="57BD5228"/>
    <w:rsid w:val="57BE68AA"/>
    <w:rsid w:val="57BF2D4E"/>
    <w:rsid w:val="57C2283E"/>
    <w:rsid w:val="57CC63EF"/>
    <w:rsid w:val="57DB4020"/>
    <w:rsid w:val="57DC7774"/>
    <w:rsid w:val="57DF4272"/>
    <w:rsid w:val="57EC78BB"/>
    <w:rsid w:val="57F935C5"/>
    <w:rsid w:val="57FB365A"/>
    <w:rsid w:val="58005114"/>
    <w:rsid w:val="5805272B"/>
    <w:rsid w:val="581A4428"/>
    <w:rsid w:val="581B5AAA"/>
    <w:rsid w:val="58354DBE"/>
    <w:rsid w:val="583B7EFB"/>
    <w:rsid w:val="585D4315"/>
    <w:rsid w:val="5866141B"/>
    <w:rsid w:val="58810003"/>
    <w:rsid w:val="5889510A"/>
    <w:rsid w:val="589917F1"/>
    <w:rsid w:val="58A261CC"/>
    <w:rsid w:val="58A75590"/>
    <w:rsid w:val="58A837E2"/>
    <w:rsid w:val="58B8779D"/>
    <w:rsid w:val="58C223CA"/>
    <w:rsid w:val="58D36385"/>
    <w:rsid w:val="58E10AA2"/>
    <w:rsid w:val="58E30C85"/>
    <w:rsid w:val="58EF1411"/>
    <w:rsid w:val="59091DA7"/>
    <w:rsid w:val="590B5B1F"/>
    <w:rsid w:val="591A3FB4"/>
    <w:rsid w:val="593F5D7F"/>
    <w:rsid w:val="594554D5"/>
    <w:rsid w:val="59594ADC"/>
    <w:rsid w:val="59851D75"/>
    <w:rsid w:val="598633F7"/>
    <w:rsid w:val="59875AED"/>
    <w:rsid w:val="598B6C60"/>
    <w:rsid w:val="59A0270B"/>
    <w:rsid w:val="59C7413C"/>
    <w:rsid w:val="59CC52AE"/>
    <w:rsid w:val="59D423B5"/>
    <w:rsid w:val="59D81EA5"/>
    <w:rsid w:val="59D95C1D"/>
    <w:rsid w:val="59DE4FE1"/>
    <w:rsid w:val="59FE5684"/>
    <w:rsid w:val="59FE7432"/>
    <w:rsid w:val="5A032C9A"/>
    <w:rsid w:val="5A07278A"/>
    <w:rsid w:val="5A137381"/>
    <w:rsid w:val="5A174DC0"/>
    <w:rsid w:val="5A1D1FAE"/>
    <w:rsid w:val="5A2E7D17"/>
    <w:rsid w:val="5A2F1CE1"/>
    <w:rsid w:val="5A3317D1"/>
    <w:rsid w:val="5A366BCB"/>
    <w:rsid w:val="5A405C9C"/>
    <w:rsid w:val="5A4412E8"/>
    <w:rsid w:val="5A462403"/>
    <w:rsid w:val="5A490FF5"/>
    <w:rsid w:val="5A584D94"/>
    <w:rsid w:val="5A5A4FB0"/>
    <w:rsid w:val="5A673229"/>
    <w:rsid w:val="5A696FA1"/>
    <w:rsid w:val="5A871B1D"/>
    <w:rsid w:val="5A8B6F17"/>
    <w:rsid w:val="5A9B1124"/>
    <w:rsid w:val="5AB0697E"/>
    <w:rsid w:val="5ABA5A4E"/>
    <w:rsid w:val="5AC57B92"/>
    <w:rsid w:val="5AD85ED5"/>
    <w:rsid w:val="5AD92379"/>
    <w:rsid w:val="5ADC59C5"/>
    <w:rsid w:val="5ADC7773"/>
    <w:rsid w:val="5AE14D89"/>
    <w:rsid w:val="5AF727FF"/>
    <w:rsid w:val="5AFE3B8D"/>
    <w:rsid w:val="5B022F52"/>
    <w:rsid w:val="5B0647F0"/>
    <w:rsid w:val="5B123195"/>
    <w:rsid w:val="5B242EC8"/>
    <w:rsid w:val="5B305D11"/>
    <w:rsid w:val="5B351579"/>
    <w:rsid w:val="5B392E17"/>
    <w:rsid w:val="5B44356A"/>
    <w:rsid w:val="5B461090"/>
    <w:rsid w:val="5B4B3E18"/>
    <w:rsid w:val="5B4D0671"/>
    <w:rsid w:val="5B593964"/>
    <w:rsid w:val="5B5A2D8E"/>
    <w:rsid w:val="5B5B595C"/>
    <w:rsid w:val="5B5E287E"/>
    <w:rsid w:val="5B6065F6"/>
    <w:rsid w:val="5B61236E"/>
    <w:rsid w:val="5B6F4A8B"/>
    <w:rsid w:val="5B81031A"/>
    <w:rsid w:val="5B8F47E5"/>
    <w:rsid w:val="5B914A01"/>
    <w:rsid w:val="5BA815A4"/>
    <w:rsid w:val="5BB47AA6"/>
    <w:rsid w:val="5BB93F58"/>
    <w:rsid w:val="5BBA3472"/>
    <w:rsid w:val="5BBE59AB"/>
    <w:rsid w:val="5BC621D1"/>
    <w:rsid w:val="5BF605E3"/>
    <w:rsid w:val="5C001B87"/>
    <w:rsid w:val="5C052CF9"/>
    <w:rsid w:val="5C076A71"/>
    <w:rsid w:val="5C090A3C"/>
    <w:rsid w:val="5C0A0310"/>
    <w:rsid w:val="5C0C22DA"/>
    <w:rsid w:val="5C237623"/>
    <w:rsid w:val="5C245875"/>
    <w:rsid w:val="5C2C297C"/>
    <w:rsid w:val="5C3E620B"/>
    <w:rsid w:val="5C447CC6"/>
    <w:rsid w:val="5C476060"/>
    <w:rsid w:val="5C4A2E02"/>
    <w:rsid w:val="5C4F02C9"/>
    <w:rsid w:val="5C537F09"/>
    <w:rsid w:val="5C5F065B"/>
    <w:rsid w:val="5C69772C"/>
    <w:rsid w:val="5C6A7000"/>
    <w:rsid w:val="5C700ABB"/>
    <w:rsid w:val="5C7560D1"/>
    <w:rsid w:val="5C7D4F86"/>
    <w:rsid w:val="5C871960"/>
    <w:rsid w:val="5C896E54"/>
    <w:rsid w:val="5CA16EC6"/>
    <w:rsid w:val="5CB32755"/>
    <w:rsid w:val="5CBC5AAE"/>
    <w:rsid w:val="5CC22998"/>
    <w:rsid w:val="5CDB3A5A"/>
    <w:rsid w:val="5CE62C96"/>
    <w:rsid w:val="5CE70032"/>
    <w:rsid w:val="5CED163F"/>
    <w:rsid w:val="5CF8460C"/>
    <w:rsid w:val="5CFF1E3E"/>
    <w:rsid w:val="5D027239"/>
    <w:rsid w:val="5D09046B"/>
    <w:rsid w:val="5D122BD6"/>
    <w:rsid w:val="5D131446"/>
    <w:rsid w:val="5D18758E"/>
    <w:rsid w:val="5D1A0A26"/>
    <w:rsid w:val="5D1A1118"/>
    <w:rsid w:val="5D2418A5"/>
    <w:rsid w:val="5D243653"/>
    <w:rsid w:val="5D252223"/>
    <w:rsid w:val="5D3E4715"/>
    <w:rsid w:val="5D465377"/>
    <w:rsid w:val="5D537A94"/>
    <w:rsid w:val="5D5A52C7"/>
    <w:rsid w:val="5D5D7784"/>
    <w:rsid w:val="5D6323CD"/>
    <w:rsid w:val="5D740137"/>
    <w:rsid w:val="5D795630"/>
    <w:rsid w:val="5D804CA3"/>
    <w:rsid w:val="5D811ACF"/>
    <w:rsid w:val="5D885990"/>
    <w:rsid w:val="5D9205BD"/>
    <w:rsid w:val="5D942587"/>
    <w:rsid w:val="5D944335"/>
    <w:rsid w:val="5D964551"/>
    <w:rsid w:val="5D9702C9"/>
    <w:rsid w:val="5D972077"/>
    <w:rsid w:val="5DA64068"/>
    <w:rsid w:val="5DA84284"/>
    <w:rsid w:val="5DB70023"/>
    <w:rsid w:val="5DCD5A99"/>
    <w:rsid w:val="5DD60DF1"/>
    <w:rsid w:val="5DD93833"/>
    <w:rsid w:val="5DE0757A"/>
    <w:rsid w:val="5DEA21A7"/>
    <w:rsid w:val="5E08087F"/>
    <w:rsid w:val="5E0D2339"/>
    <w:rsid w:val="5E0E058B"/>
    <w:rsid w:val="5E1E00A2"/>
    <w:rsid w:val="5E282CE5"/>
    <w:rsid w:val="5E331DA0"/>
    <w:rsid w:val="5E377A24"/>
    <w:rsid w:val="5E4A0E97"/>
    <w:rsid w:val="5E7B72A3"/>
    <w:rsid w:val="5E96232F"/>
    <w:rsid w:val="5EA04F5B"/>
    <w:rsid w:val="5EA53FE0"/>
    <w:rsid w:val="5EB01642"/>
    <w:rsid w:val="5EB237E6"/>
    <w:rsid w:val="5EBB5C3E"/>
    <w:rsid w:val="5EBE7352"/>
    <w:rsid w:val="5EC62C14"/>
    <w:rsid w:val="5EC7698C"/>
    <w:rsid w:val="5ED03A93"/>
    <w:rsid w:val="5ED30E8D"/>
    <w:rsid w:val="5ED54C05"/>
    <w:rsid w:val="5ED679F2"/>
    <w:rsid w:val="5F072DE8"/>
    <w:rsid w:val="5F1C6CD8"/>
    <w:rsid w:val="5F1D47FE"/>
    <w:rsid w:val="5F21609C"/>
    <w:rsid w:val="5F217E4A"/>
    <w:rsid w:val="5F36141C"/>
    <w:rsid w:val="5F3F4774"/>
    <w:rsid w:val="5F4104EC"/>
    <w:rsid w:val="5F4A2EEB"/>
    <w:rsid w:val="5F4C175E"/>
    <w:rsid w:val="5F4E6765"/>
    <w:rsid w:val="5F586DE4"/>
    <w:rsid w:val="5F70492E"/>
    <w:rsid w:val="5F73441E"/>
    <w:rsid w:val="5F88611B"/>
    <w:rsid w:val="5FA40A7B"/>
    <w:rsid w:val="5FA6034F"/>
    <w:rsid w:val="5FA665A1"/>
    <w:rsid w:val="5FC37153"/>
    <w:rsid w:val="5FC627A0"/>
    <w:rsid w:val="5FCB425A"/>
    <w:rsid w:val="5FCE38DA"/>
    <w:rsid w:val="5FCF3D4A"/>
    <w:rsid w:val="5FEA46E0"/>
    <w:rsid w:val="5FEC2C62"/>
    <w:rsid w:val="60206354"/>
    <w:rsid w:val="605424A1"/>
    <w:rsid w:val="605B738C"/>
    <w:rsid w:val="6065020A"/>
    <w:rsid w:val="606F72DB"/>
    <w:rsid w:val="60730B79"/>
    <w:rsid w:val="60795A64"/>
    <w:rsid w:val="607B17DC"/>
    <w:rsid w:val="607B7A2E"/>
    <w:rsid w:val="608D150F"/>
    <w:rsid w:val="608E48E7"/>
    <w:rsid w:val="609E54CA"/>
    <w:rsid w:val="60A52CFD"/>
    <w:rsid w:val="60AC408B"/>
    <w:rsid w:val="60C767CF"/>
    <w:rsid w:val="60DB04CD"/>
    <w:rsid w:val="60E73121"/>
    <w:rsid w:val="610417D1"/>
    <w:rsid w:val="61047A23"/>
    <w:rsid w:val="61073070"/>
    <w:rsid w:val="610A7787"/>
    <w:rsid w:val="61151C31"/>
    <w:rsid w:val="6126799A"/>
    <w:rsid w:val="612956DC"/>
    <w:rsid w:val="613C71BD"/>
    <w:rsid w:val="61412A26"/>
    <w:rsid w:val="61442516"/>
    <w:rsid w:val="61475B62"/>
    <w:rsid w:val="61497B2C"/>
    <w:rsid w:val="614B11AE"/>
    <w:rsid w:val="61500EBB"/>
    <w:rsid w:val="615C33BC"/>
    <w:rsid w:val="61750921"/>
    <w:rsid w:val="619A3EE4"/>
    <w:rsid w:val="61A86601"/>
    <w:rsid w:val="61AB60F1"/>
    <w:rsid w:val="61AD1E69"/>
    <w:rsid w:val="61B2122D"/>
    <w:rsid w:val="61BD70DF"/>
    <w:rsid w:val="61CB22EF"/>
    <w:rsid w:val="61EE5FDE"/>
    <w:rsid w:val="61F2259B"/>
    <w:rsid w:val="61F25ACE"/>
    <w:rsid w:val="61F335F4"/>
    <w:rsid w:val="61F47A98"/>
    <w:rsid w:val="61F730E4"/>
    <w:rsid w:val="61F8665C"/>
    <w:rsid w:val="620F48D2"/>
    <w:rsid w:val="622F6D22"/>
    <w:rsid w:val="623205C0"/>
    <w:rsid w:val="623A1223"/>
    <w:rsid w:val="623B56C7"/>
    <w:rsid w:val="623E6F65"/>
    <w:rsid w:val="62414951"/>
    <w:rsid w:val="62436329"/>
    <w:rsid w:val="624502F4"/>
    <w:rsid w:val="624A3B5C"/>
    <w:rsid w:val="625247BE"/>
    <w:rsid w:val="62606EDB"/>
    <w:rsid w:val="62634C1E"/>
    <w:rsid w:val="62774225"/>
    <w:rsid w:val="627D6E20"/>
    <w:rsid w:val="6280757E"/>
    <w:rsid w:val="629D3C8C"/>
    <w:rsid w:val="62A212A2"/>
    <w:rsid w:val="62A56FE4"/>
    <w:rsid w:val="62A96AD4"/>
    <w:rsid w:val="62AC2121"/>
    <w:rsid w:val="62AE48A0"/>
    <w:rsid w:val="62AF7E63"/>
    <w:rsid w:val="62BE3C02"/>
    <w:rsid w:val="62C61FA6"/>
    <w:rsid w:val="62D578C9"/>
    <w:rsid w:val="62DA4EE0"/>
    <w:rsid w:val="62E0001C"/>
    <w:rsid w:val="62EA2C49"/>
    <w:rsid w:val="62EC69C1"/>
    <w:rsid w:val="63051FDB"/>
    <w:rsid w:val="630930CF"/>
    <w:rsid w:val="630E06E5"/>
    <w:rsid w:val="632E0D88"/>
    <w:rsid w:val="634E08C7"/>
    <w:rsid w:val="63604CB9"/>
    <w:rsid w:val="636522D0"/>
    <w:rsid w:val="63A4104A"/>
    <w:rsid w:val="63AB23D8"/>
    <w:rsid w:val="63B3128D"/>
    <w:rsid w:val="63B53257"/>
    <w:rsid w:val="63BE035D"/>
    <w:rsid w:val="63C60FC0"/>
    <w:rsid w:val="63C811DC"/>
    <w:rsid w:val="63CF256B"/>
    <w:rsid w:val="63D96D36"/>
    <w:rsid w:val="63E43B3C"/>
    <w:rsid w:val="63E458EA"/>
    <w:rsid w:val="63FA3360"/>
    <w:rsid w:val="63FF0976"/>
    <w:rsid w:val="643E149E"/>
    <w:rsid w:val="644A1BF1"/>
    <w:rsid w:val="64634A61"/>
    <w:rsid w:val="646F1658"/>
    <w:rsid w:val="64872E45"/>
    <w:rsid w:val="648F1CFA"/>
    <w:rsid w:val="64942E6C"/>
    <w:rsid w:val="649D162B"/>
    <w:rsid w:val="64A01BE6"/>
    <w:rsid w:val="64AF5EF8"/>
    <w:rsid w:val="64BE25DF"/>
    <w:rsid w:val="64C5396E"/>
    <w:rsid w:val="64E262CE"/>
    <w:rsid w:val="652C28D7"/>
    <w:rsid w:val="65493C57"/>
    <w:rsid w:val="65510DF4"/>
    <w:rsid w:val="655B7E2E"/>
    <w:rsid w:val="656C5B97"/>
    <w:rsid w:val="65703BA0"/>
    <w:rsid w:val="657131AE"/>
    <w:rsid w:val="65736F26"/>
    <w:rsid w:val="657B402C"/>
    <w:rsid w:val="659A6BA8"/>
    <w:rsid w:val="65A76BCF"/>
    <w:rsid w:val="65CC4888"/>
    <w:rsid w:val="65D107EA"/>
    <w:rsid w:val="65E47E23"/>
    <w:rsid w:val="65EE2A50"/>
    <w:rsid w:val="660065E3"/>
    <w:rsid w:val="66061B48"/>
    <w:rsid w:val="661324B7"/>
    <w:rsid w:val="66154481"/>
    <w:rsid w:val="661C580F"/>
    <w:rsid w:val="6623094C"/>
    <w:rsid w:val="66344907"/>
    <w:rsid w:val="66372649"/>
    <w:rsid w:val="66391F1D"/>
    <w:rsid w:val="66415276"/>
    <w:rsid w:val="66434B4A"/>
    <w:rsid w:val="66466136"/>
    <w:rsid w:val="66482160"/>
    <w:rsid w:val="665A00E6"/>
    <w:rsid w:val="665C5C0C"/>
    <w:rsid w:val="66664CDC"/>
    <w:rsid w:val="666D1BC7"/>
    <w:rsid w:val="666F593F"/>
    <w:rsid w:val="667E2026"/>
    <w:rsid w:val="66884C53"/>
    <w:rsid w:val="66952ECC"/>
    <w:rsid w:val="669929BC"/>
    <w:rsid w:val="669B4986"/>
    <w:rsid w:val="669B6734"/>
    <w:rsid w:val="66A01F9C"/>
    <w:rsid w:val="66B07D06"/>
    <w:rsid w:val="66B138A8"/>
    <w:rsid w:val="66BB5028"/>
    <w:rsid w:val="66C13CC1"/>
    <w:rsid w:val="66CA7019"/>
    <w:rsid w:val="66D165FA"/>
    <w:rsid w:val="66DC6D4D"/>
    <w:rsid w:val="66EC3434"/>
    <w:rsid w:val="66EF6A80"/>
    <w:rsid w:val="66F0766F"/>
    <w:rsid w:val="66F45E44"/>
    <w:rsid w:val="66F67E0E"/>
    <w:rsid w:val="66F916AD"/>
    <w:rsid w:val="66F9345B"/>
    <w:rsid w:val="67087B42"/>
    <w:rsid w:val="67177D85"/>
    <w:rsid w:val="671D539B"/>
    <w:rsid w:val="67204E8B"/>
    <w:rsid w:val="672C55DE"/>
    <w:rsid w:val="67346B89"/>
    <w:rsid w:val="673D3C8F"/>
    <w:rsid w:val="67430B7A"/>
    <w:rsid w:val="67582877"/>
    <w:rsid w:val="677551D7"/>
    <w:rsid w:val="677E3DFE"/>
    <w:rsid w:val="67966EFB"/>
    <w:rsid w:val="679A34D2"/>
    <w:rsid w:val="67BF46A4"/>
    <w:rsid w:val="67C47F0C"/>
    <w:rsid w:val="67D30150"/>
    <w:rsid w:val="67D5211A"/>
    <w:rsid w:val="67D53EC8"/>
    <w:rsid w:val="67FF7197"/>
    <w:rsid w:val="6804655B"/>
    <w:rsid w:val="680D3662"/>
    <w:rsid w:val="681662CF"/>
    <w:rsid w:val="681A7B2C"/>
    <w:rsid w:val="681F1498"/>
    <w:rsid w:val="682B7F8C"/>
    <w:rsid w:val="683A1F7D"/>
    <w:rsid w:val="683F57E5"/>
    <w:rsid w:val="684828EC"/>
    <w:rsid w:val="684D7F02"/>
    <w:rsid w:val="68636378"/>
    <w:rsid w:val="68646FFA"/>
    <w:rsid w:val="686F7E78"/>
    <w:rsid w:val="68713911"/>
    <w:rsid w:val="687A05CB"/>
    <w:rsid w:val="6894168D"/>
    <w:rsid w:val="689618A9"/>
    <w:rsid w:val="689E250C"/>
    <w:rsid w:val="68A51AEC"/>
    <w:rsid w:val="68A815DC"/>
    <w:rsid w:val="68B00491"/>
    <w:rsid w:val="68B3790B"/>
    <w:rsid w:val="68C301C4"/>
    <w:rsid w:val="68C44BDE"/>
    <w:rsid w:val="68C50152"/>
    <w:rsid w:val="68C67E6E"/>
    <w:rsid w:val="68C83AFF"/>
    <w:rsid w:val="68C8445A"/>
    <w:rsid w:val="68D67EF7"/>
    <w:rsid w:val="68D93544"/>
    <w:rsid w:val="68DC4DE2"/>
    <w:rsid w:val="68EA5751"/>
    <w:rsid w:val="68FC5484"/>
    <w:rsid w:val="690507DD"/>
    <w:rsid w:val="69085BD7"/>
    <w:rsid w:val="691B590A"/>
    <w:rsid w:val="69272501"/>
    <w:rsid w:val="692A3D9F"/>
    <w:rsid w:val="693D709C"/>
    <w:rsid w:val="694110E9"/>
    <w:rsid w:val="69455F80"/>
    <w:rsid w:val="694D7A8E"/>
    <w:rsid w:val="69584DB0"/>
    <w:rsid w:val="69587F90"/>
    <w:rsid w:val="696C260A"/>
    <w:rsid w:val="69782D5D"/>
    <w:rsid w:val="697B04CD"/>
    <w:rsid w:val="697B0A9F"/>
    <w:rsid w:val="698536CB"/>
    <w:rsid w:val="69961435"/>
    <w:rsid w:val="699D03FB"/>
    <w:rsid w:val="699F29DF"/>
    <w:rsid w:val="69A6711C"/>
    <w:rsid w:val="69AE49D0"/>
    <w:rsid w:val="69B30239"/>
    <w:rsid w:val="69BA1237"/>
    <w:rsid w:val="69BB533F"/>
    <w:rsid w:val="69C97A5C"/>
    <w:rsid w:val="69D106BF"/>
    <w:rsid w:val="69F30635"/>
    <w:rsid w:val="69F34AD9"/>
    <w:rsid w:val="69F745C9"/>
    <w:rsid w:val="6A0171F6"/>
    <w:rsid w:val="6A0E36C1"/>
    <w:rsid w:val="6A262C10"/>
    <w:rsid w:val="6A2E5F52"/>
    <w:rsid w:val="6A3C1FDC"/>
    <w:rsid w:val="6A445335"/>
    <w:rsid w:val="6A4E7F61"/>
    <w:rsid w:val="6A4F6E29"/>
    <w:rsid w:val="6A521800"/>
    <w:rsid w:val="6A554E4C"/>
    <w:rsid w:val="6A5E4190"/>
    <w:rsid w:val="6A5F3F1C"/>
    <w:rsid w:val="6A624A2F"/>
    <w:rsid w:val="6A6B0B13"/>
    <w:rsid w:val="6A7E25F5"/>
    <w:rsid w:val="6A845731"/>
    <w:rsid w:val="6A927E4E"/>
    <w:rsid w:val="6A994E17"/>
    <w:rsid w:val="6A9D076F"/>
    <w:rsid w:val="6AAB3FE1"/>
    <w:rsid w:val="6AAE27AE"/>
    <w:rsid w:val="6AB9187F"/>
    <w:rsid w:val="6ABA55F7"/>
    <w:rsid w:val="6AC81AC2"/>
    <w:rsid w:val="6AD2649C"/>
    <w:rsid w:val="6ADA17F5"/>
    <w:rsid w:val="6ADF1441"/>
    <w:rsid w:val="6AE00865"/>
    <w:rsid w:val="6AE13680"/>
    <w:rsid w:val="6AEF704E"/>
    <w:rsid w:val="6AFB3C45"/>
    <w:rsid w:val="6B0625EA"/>
    <w:rsid w:val="6B0B7C00"/>
    <w:rsid w:val="6B15282D"/>
    <w:rsid w:val="6B225676"/>
    <w:rsid w:val="6B2C2051"/>
    <w:rsid w:val="6B4A6F94"/>
    <w:rsid w:val="6B513865"/>
    <w:rsid w:val="6B5B0B88"/>
    <w:rsid w:val="6B5E41D4"/>
    <w:rsid w:val="6B601CFA"/>
    <w:rsid w:val="6B60619E"/>
    <w:rsid w:val="6B6F4633"/>
    <w:rsid w:val="6B735ED1"/>
    <w:rsid w:val="6B945E48"/>
    <w:rsid w:val="6BA53BB1"/>
    <w:rsid w:val="6BA65274"/>
    <w:rsid w:val="6BA75B7B"/>
    <w:rsid w:val="6BA77929"/>
    <w:rsid w:val="6BBB56E5"/>
    <w:rsid w:val="6BC9093E"/>
    <w:rsid w:val="6BD44496"/>
    <w:rsid w:val="6BDB75D3"/>
    <w:rsid w:val="6BE566A3"/>
    <w:rsid w:val="6BE96194"/>
    <w:rsid w:val="6BEC17E0"/>
    <w:rsid w:val="6BF14874"/>
    <w:rsid w:val="6BF568E6"/>
    <w:rsid w:val="6C0E79A8"/>
    <w:rsid w:val="6C136D6D"/>
    <w:rsid w:val="6C1440A9"/>
    <w:rsid w:val="6C1A634D"/>
    <w:rsid w:val="6C1F1BB5"/>
    <w:rsid w:val="6C2947E2"/>
    <w:rsid w:val="6C2F085B"/>
    <w:rsid w:val="6C3118E9"/>
    <w:rsid w:val="6C445178"/>
    <w:rsid w:val="6C4C04D0"/>
    <w:rsid w:val="6C53185F"/>
    <w:rsid w:val="6C6A0C76"/>
    <w:rsid w:val="6C726189"/>
    <w:rsid w:val="6C727F37"/>
    <w:rsid w:val="6C735A5D"/>
    <w:rsid w:val="6C7A3290"/>
    <w:rsid w:val="6C8639E2"/>
    <w:rsid w:val="6C8D2FC3"/>
    <w:rsid w:val="6C9854C4"/>
    <w:rsid w:val="6C9C6D62"/>
    <w:rsid w:val="6CA95923"/>
    <w:rsid w:val="6CAC6597"/>
    <w:rsid w:val="6CBD3914"/>
    <w:rsid w:val="6CBF0CA2"/>
    <w:rsid w:val="6CC462B9"/>
    <w:rsid w:val="6CC87B57"/>
    <w:rsid w:val="6CCA5E4B"/>
    <w:rsid w:val="6CCD7863"/>
    <w:rsid w:val="6CD429A0"/>
    <w:rsid w:val="6CEB5F3B"/>
    <w:rsid w:val="6D116E29"/>
    <w:rsid w:val="6D1F1741"/>
    <w:rsid w:val="6D237483"/>
    <w:rsid w:val="6D2C27DC"/>
    <w:rsid w:val="6D4E1734"/>
    <w:rsid w:val="6D617FAC"/>
    <w:rsid w:val="6D6A3304"/>
    <w:rsid w:val="6D837F22"/>
    <w:rsid w:val="6D8723F0"/>
    <w:rsid w:val="6D8E53ED"/>
    <w:rsid w:val="6D8F2D6B"/>
    <w:rsid w:val="6D9D5488"/>
    <w:rsid w:val="6D9D7236"/>
    <w:rsid w:val="6DA22A9E"/>
    <w:rsid w:val="6DB602F7"/>
    <w:rsid w:val="6DB66549"/>
    <w:rsid w:val="6DC26C9C"/>
    <w:rsid w:val="6DCF3167"/>
    <w:rsid w:val="6DE035C6"/>
    <w:rsid w:val="6DE22E9A"/>
    <w:rsid w:val="6DE85FD7"/>
    <w:rsid w:val="6DF332FA"/>
    <w:rsid w:val="6DF42BCE"/>
    <w:rsid w:val="6DF8052E"/>
    <w:rsid w:val="6DFC5763"/>
    <w:rsid w:val="6E0077C5"/>
    <w:rsid w:val="6E032E11"/>
    <w:rsid w:val="6E056D59"/>
    <w:rsid w:val="6E0C43BB"/>
    <w:rsid w:val="6E2D74A0"/>
    <w:rsid w:val="6E337B9A"/>
    <w:rsid w:val="6E362EDC"/>
    <w:rsid w:val="6E3B6A4F"/>
    <w:rsid w:val="6E421B8B"/>
    <w:rsid w:val="6E8421A4"/>
    <w:rsid w:val="6E8A2F09"/>
    <w:rsid w:val="6E8E4DD0"/>
    <w:rsid w:val="6E9C74ED"/>
    <w:rsid w:val="6EB26D11"/>
    <w:rsid w:val="6EC46A44"/>
    <w:rsid w:val="6EE42C42"/>
    <w:rsid w:val="6EE449F0"/>
    <w:rsid w:val="6EEB2223"/>
    <w:rsid w:val="6EF47329"/>
    <w:rsid w:val="6EF94940"/>
    <w:rsid w:val="6EF966EE"/>
    <w:rsid w:val="6EFF7A7C"/>
    <w:rsid w:val="6F084B83"/>
    <w:rsid w:val="6F1E7F02"/>
    <w:rsid w:val="6F265009"/>
    <w:rsid w:val="6F285225"/>
    <w:rsid w:val="6F291470"/>
    <w:rsid w:val="6F3239AE"/>
    <w:rsid w:val="6F377216"/>
    <w:rsid w:val="6F3C65DA"/>
    <w:rsid w:val="6F481F3A"/>
    <w:rsid w:val="6F484F7F"/>
    <w:rsid w:val="6F4F4560"/>
    <w:rsid w:val="6F534EE9"/>
    <w:rsid w:val="6F573414"/>
    <w:rsid w:val="6F767D3E"/>
    <w:rsid w:val="6F975F07"/>
    <w:rsid w:val="6FAF3250"/>
    <w:rsid w:val="6FB5C77F"/>
    <w:rsid w:val="6FBB1BF5"/>
    <w:rsid w:val="6FBD0161"/>
    <w:rsid w:val="6FD26F3F"/>
    <w:rsid w:val="6FD3541F"/>
    <w:rsid w:val="6FE81251"/>
    <w:rsid w:val="6FEB7F51"/>
    <w:rsid w:val="6FF354DE"/>
    <w:rsid w:val="6FFD045F"/>
    <w:rsid w:val="700F4D60"/>
    <w:rsid w:val="70293003"/>
    <w:rsid w:val="70294DB1"/>
    <w:rsid w:val="705B5186"/>
    <w:rsid w:val="707B407D"/>
    <w:rsid w:val="70860455"/>
    <w:rsid w:val="708E2E66"/>
    <w:rsid w:val="70904E30"/>
    <w:rsid w:val="709A5CAE"/>
    <w:rsid w:val="709B37D5"/>
    <w:rsid w:val="70A1528F"/>
    <w:rsid w:val="70B07280"/>
    <w:rsid w:val="70B76860"/>
    <w:rsid w:val="70C364EC"/>
    <w:rsid w:val="70C40F7D"/>
    <w:rsid w:val="70CC1BE0"/>
    <w:rsid w:val="70CE3BAA"/>
    <w:rsid w:val="70D3496E"/>
    <w:rsid w:val="70DC0075"/>
    <w:rsid w:val="70DC0935"/>
    <w:rsid w:val="70E138DD"/>
    <w:rsid w:val="70E909E4"/>
    <w:rsid w:val="70EC6259"/>
    <w:rsid w:val="71265794"/>
    <w:rsid w:val="71267542"/>
    <w:rsid w:val="712F423E"/>
    <w:rsid w:val="71324139"/>
    <w:rsid w:val="713F0604"/>
    <w:rsid w:val="714300F4"/>
    <w:rsid w:val="714F6A99"/>
    <w:rsid w:val="71502811"/>
    <w:rsid w:val="715220E5"/>
    <w:rsid w:val="71573B9F"/>
    <w:rsid w:val="7157594D"/>
    <w:rsid w:val="715C0F73"/>
    <w:rsid w:val="716167CC"/>
    <w:rsid w:val="71687B5B"/>
    <w:rsid w:val="7177563A"/>
    <w:rsid w:val="71777D9E"/>
    <w:rsid w:val="717B788E"/>
    <w:rsid w:val="717C7162"/>
    <w:rsid w:val="717E737E"/>
    <w:rsid w:val="718235A0"/>
    <w:rsid w:val="718A7AD1"/>
    <w:rsid w:val="71956476"/>
    <w:rsid w:val="71AA3CCF"/>
    <w:rsid w:val="71B33DA4"/>
    <w:rsid w:val="71B72890"/>
    <w:rsid w:val="71C254BD"/>
    <w:rsid w:val="71CA1ADE"/>
    <w:rsid w:val="71D074AE"/>
    <w:rsid w:val="71D21478"/>
    <w:rsid w:val="71D376CA"/>
    <w:rsid w:val="71E13469"/>
    <w:rsid w:val="71EC42E8"/>
    <w:rsid w:val="71ED0060"/>
    <w:rsid w:val="720C498A"/>
    <w:rsid w:val="72127AC6"/>
    <w:rsid w:val="72141A90"/>
    <w:rsid w:val="722872EA"/>
    <w:rsid w:val="722A12B4"/>
    <w:rsid w:val="722C0B88"/>
    <w:rsid w:val="723932A5"/>
    <w:rsid w:val="723B526F"/>
    <w:rsid w:val="724177ED"/>
    <w:rsid w:val="72452140"/>
    <w:rsid w:val="7249173A"/>
    <w:rsid w:val="725F4402"/>
    <w:rsid w:val="7269693D"/>
    <w:rsid w:val="726A5CB0"/>
    <w:rsid w:val="72716128"/>
    <w:rsid w:val="727367B7"/>
    <w:rsid w:val="729606F7"/>
    <w:rsid w:val="72A050D2"/>
    <w:rsid w:val="72A76216"/>
    <w:rsid w:val="72AB5F51"/>
    <w:rsid w:val="72B55050"/>
    <w:rsid w:val="72B94E61"/>
    <w:rsid w:val="72BE4276"/>
    <w:rsid w:val="72E27499"/>
    <w:rsid w:val="72E67114"/>
    <w:rsid w:val="72F0605A"/>
    <w:rsid w:val="72FA0C86"/>
    <w:rsid w:val="73165394"/>
    <w:rsid w:val="73336329"/>
    <w:rsid w:val="73552361"/>
    <w:rsid w:val="7355410F"/>
    <w:rsid w:val="735C36EF"/>
    <w:rsid w:val="7379778A"/>
    <w:rsid w:val="737A1DC7"/>
    <w:rsid w:val="73813156"/>
    <w:rsid w:val="7391153E"/>
    <w:rsid w:val="73927111"/>
    <w:rsid w:val="73966C01"/>
    <w:rsid w:val="739C1D3D"/>
    <w:rsid w:val="73A34E7A"/>
    <w:rsid w:val="73A82490"/>
    <w:rsid w:val="73B01345"/>
    <w:rsid w:val="73C21122"/>
    <w:rsid w:val="73D96AEE"/>
    <w:rsid w:val="73E21E46"/>
    <w:rsid w:val="73F751C6"/>
    <w:rsid w:val="73F92CEC"/>
    <w:rsid w:val="7405403A"/>
    <w:rsid w:val="74081181"/>
    <w:rsid w:val="740F0761"/>
    <w:rsid w:val="741714DE"/>
    <w:rsid w:val="742A559B"/>
    <w:rsid w:val="74343D24"/>
    <w:rsid w:val="74602D6B"/>
    <w:rsid w:val="746960C4"/>
    <w:rsid w:val="746A5998"/>
    <w:rsid w:val="74793E2D"/>
    <w:rsid w:val="74A40EAA"/>
    <w:rsid w:val="74A621C9"/>
    <w:rsid w:val="74BA06CD"/>
    <w:rsid w:val="74C652C4"/>
    <w:rsid w:val="74D72FBD"/>
    <w:rsid w:val="74DD0860"/>
    <w:rsid w:val="74DD616A"/>
    <w:rsid w:val="74EC0AA3"/>
    <w:rsid w:val="74EE481B"/>
    <w:rsid w:val="74F040EF"/>
    <w:rsid w:val="74F636CF"/>
    <w:rsid w:val="74F6547D"/>
    <w:rsid w:val="74FF07D6"/>
    <w:rsid w:val="74FF2584"/>
    <w:rsid w:val="75091655"/>
    <w:rsid w:val="750C6A4F"/>
    <w:rsid w:val="751D2A0A"/>
    <w:rsid w:val="75232716"/>
    <w:rsid w:val="752B50A4"/>
    <w:rsid w:val="752D42B7"/>
    <w:rsid w:val="7533222E"/>
    <w:rsid w:val="75454A9D"/>
    <w:rsid w:val="75610B49"/>
    <w:rsid w:val="75640639"/>
    <w:rsid w:val="757F36C5"/>
    <w:rsid w:val="758E56B6"/>
    <w:rsid w:val="75932CCC"/>
    <w:rsid w:val="75A2558A"/>
    <w:rsid w:val="75A66EA3"/>
    <w:rsid w:val="75B82733"/>
    <w:rsid w:val="75B90985"/>
    <w:rsid w:val="75BA64AB"/>
    <w:rsid w:val="75C615D3"/>
    <w:rsid w:val="75D21A46"/>
    <w:rsid w:val="75DE1617"/>
    <w:rsid w:val="75EB48B6"/>
    <w:rsid w:val="75EF43A6"/>
    <w:rsid w:val="75FE45EA"/>
    <w:rsid w:val="76004A08"/>
    <w:rsid w:val="76085468"/>
    <w:rsid w:val="762322A2"/>
    <w:rsid w:val="763132FC"/>
    <w:rsid w:val="76375D4D"/>
    <w:rsid w:val="763C3364"/>
    <w:rsid w:val="764A3CD3"/>
    <w:rsid w:val="764A782F"/>
    <w:rsid w:val="764F54F5"/>
    <w:rsid w:val="76564426"/>
    <w:rsid w:val="765863F0"/>
    <w:rsid w:val="765B7C8E"/>
    <w:rsid w:val="76640ECB"/>
    <w:rsid w:val="766E26D2"/>
    <w:rsid w:val="7671300D"/>
    <w:rsid w:val="76766876"/>
    <w:rsid w:val="767C19B2"/>
    <w:rsid w:val="767E397C"/>
    <w:rsid w:val="76820AEE"/>
    <w:rsid w:val="76944F4E"/>
    <w:rsid w:val="76984A3E"/>
    <w:rsid w:val="76A83044"/>
    <w:rsid w:val="76AE4262"/>
    <w:rsid w:val="76B70C36"/>
    <w:rsid w:val="76BB24DB"/>
    <w:rsid w:val="76C03F95"/>
    <w:rsid w:val="76C27D0D"/>
    <w:rsid w:val="76E00193"/>
    <w:rsid w:val="76EF03D6"/>
    <w:rsid w:val="76F12BB2"/>
    <w:rsid w:val="76FD0D45"/>
    <w:rsid w:val="76FF686B"/>
    <w:rsid w:val="7706409E"/>
    <w:rsid w:val="771542E1"/>
    <w:rsid w:val="77277B70"/>
    <w:rsid w:val="772A140E"/>
    <w:rsid w:val="772E7150"/>
    <w:rsid w:val="77304C77"/>
    <w:rsid w:val="7731279D"/>
    <w:rsid w:val="773B361B"/>
    <w:rsid w:val="77446974"/>
    <w:rsid w:val="774510F2"/>
    <w:rsid w:val="77530965"/>
    <w:rsid w:val="77560455"/>
    <w:rsid w:val="775F656B"/>
    <w:rsid w:val="77660698"/>
    <w:rsid w:val="776C14F0"/>
    <w:rsid w:val="77701517"/>
    <w:rsid w:val="77764653"/>
    <w:rsid w:val="778154D2"/>
    <w:rsid w:val="7783749C"/>
    <w:rsid w:val="77843214"/>
    <w:rsid w:val="77894387"/>
    <w:rsid w:val="778B00FF"/>
    <w:rsid w:val="77972015"/>
    <w:rsid w:val="779E422C"/>
    <w:rsid w:val="779F1DFC"/>
    <w:rsid w:val="779F3BAA"/>
    <w:rsid w:val="77A411C1"/>
    <w:rsid w:val="77AB07A1"/>
    <w:rsid w:val="77B04009"/>
    <w:rsid w:val="77B32A7B"/>
    <w:rsid w:val="77C74EAF"/>
    <w:rsid w:val="77D870BC"/>
    <w:rsid w:val="77E141C3"/>
    <w:rsid w:val="77E872FF"/>
    <w:rsid w:val="77EF68E0"/>
    <w:rsid w:val="77F43EF6"/>
    <w:rsid w:val="77F8480C"/>
    <w:rsid w:val="78006D3F"/>
    <w:rsid w:val="78041EA1"/>
    <w:rsid w:val="78061E7B"/>
    <w:rsid w:val="780B7492"/>
    <w:rsid w:val="781A5071"/>
    <w:rsid w:val="781C2EF4"/>
    <w:rsid w:val="781E71C5"/>
    <w:rsid w:val="782347DB"/>
    <w:rsid w:val="782C7B34"/>
    <w:rsid w:val="78414C61"/>
    <w:rsid w:val="784309DA"/>
    <w:rsid w:val="784A7FBA"/>
    <w:rsid w:val="784C4C29"/>
    <w:rsid w:val="78746DE5"/>
    <w:rsid w:val="7880578A"/>
    <w:rsid w:val="78866B18"/>
    <w:rsid w:val="7892370F"/>
    <w:rsid w:val="78A3591C"/>
    <w:rsid w:val="78A70F68"/>
    <w:rsid w:val="78AD22F7"/>
    <w:rsid w:val="78B10039"/>
    <w:rsid w:val="78BB4A14"/>
    <w:rsid w:val="78C7785D"/>
    <w:rsid w:val="78C80EDF"/>
    <w:rsid w:val="78CA10FB"/>
    <w:rsid w:val="78CF4963"/>
    <w:rsid w:val="78D14237"/>
    <w:rsid w:val="78D6184E"/>
    <w:rsid w:val="78EA6C59"/>
    <w:rsid w:val="78F41CD4"/>
    <w:rsid w:val="79075EAB"/>
    <w:rsid w:val="790F485A"/>
    <w:rsid w:val="790F4D60"/>
    <w:rsid w:val="79134850"/>
    <w:rsid w:val="7919798C"/>
    <w:rsid w:val="791F1447"/>
    <w:rsid w:val="79200D1B"/>
    <w:rsid w:val="79273E57"/>
    <w:rsid w:val="7927654D"/>
    <w:rsid w:val="79381A3D"/>
    <w:rsid w:val="79393B8B"/>
    <w:rsid w:val="794B3FEA"/>
    <w:rsid w:val="794C1B10"/>
    <w:rsid w:val="7964030A"/>
    <w:rsid w:val="796E7CD8"/>
    <w:rsid w:val="797057FE"/>
    <w:rsid w:val="79782905"/>
    <w:rsid w:val="797C23F5"/>
    <w:rsid w:val="79870D9A"/>
    <w:rsid w:val="798968C0"/>
    <w:rsid w:val="798E3ED6"/>
    <w:rsid w:val="79984D55"/>
    <w:rsid w:val="799A6D1F"/>
    <w:rsid w:val="79A74F98"/>
    <w:rsid w:val="79B0209F"/>
    <w:rsid w:val="79C1605A"/>
    <w:rsid w:val="79CB0C87"/>
    <w:rsid w:val="79CF4D7C"/>
    <w:rsid w:val="79D55FA9"/>
    <w:rsid w:val="79DF4732"/>
    <w:rsid w:val="79E104AA"/>
    <w:rsid w:val="79E955B1"/>
    <w:rsid w:val="79EE2BC7"/>
    <w:rsid w:val="7A0348C4"/>
    <w:rsid w:val="7A0917AF"/>
    <w:rsid w:val="7A0D5743"/>
    <w:rsid w:val="7A150154"/>
    <w:rsid w:val="7A1F0FD2"/>
    <w:rsid w:val="7A410F49"/>
    <w:rsid w:val="7A432F13"/>
    <w:rsid w:val="7A4901E0"/>
    <w:rsid w:val="7A5830EB"/>
    <w:rsid w:val="7A5F5873"/>
    <w:rsid w:val="7A6D1D3E"/>
    <w:rsid w:val="7A7237F8"/>
    <w:rsid w:val="7A792DD8"/>
    <w:rsid w:val="7A835A05"/>
    <w:rsid w:val="7A97325F"/>
    <w:rsid w:val="7AA716F4"/>
    <w:rsid w:val="7ABB6F4D"/>
    <w:rsid w:val="7AC04563"/>
    <w:rsid w:val="7AC322A6"/>
    <w:rsid w:val="7AC53928"/>
    <w:rsid w:val="7ACE4ED2"/>
    <w:rsid w:val="7AE364A4"/>
    <w:rsid w:val="7AEA338E"/>
    <w:rsid w:val="7AF406B1"/>
    <w:rsid w:val="7AF661D7"/>
    <w:rsid w:val="7AF67F85"/>
    <w:rsid w:val="7AFB559C"/>
    <w:rsid w:val="7B060B3E"/>
    <w:rsid w:val="7B113011"/>
    <w:rsid w:val="7B3F7B7E"/>
    <w:rsid w:val="7B42766E"/>
    <w:rsid w:val="7B4A02D1"/>
    <w:rsid w:val="7B5A6766"/>
    <w:rsid w:val="7B694BFB"/>
    <w:rsid w:val="7B6C6499"/>
    <w:rsid w:val="7B76172D"/>
    <w:rsid w:val="7B8437E3"/>
    <w:rsid w:val="7B86755B"/>
    <w:rsid w:val="7B9559F0"/>
    <w:rsid w:val="7B9A4DB4"/>
    <w:rsid w:val="7BA43E85"/>
    <w:rsid w:val="7BB045D8"/>
    <w:rsid w:val="7BB302F8"/>
    <w:rsid w:val="7BB340C8"/>
    <w:rsid w:val="7BE6624C"/>
    <w:rsid w:val="7BFA3AA5"/>
    <w:rsid w:val="7BFD5343"/>
    <w:rsid w:val="7C232FFC"/>
    <w:rsid w:val="7C374CF9"/>
    <w:rsid w:val="7C3D6ED4"/>
    <w:rsid w:val="7C480CB4"/>
    <w:rsid w:val="7C4F2043"/>
    <w:rsid w:val="7C534DFF"/>
    <w:rsid w:val="7C5C02BC"/>
    <w:rsid w:val="7C5F7DAC"/>
    <w:rsid w:val="7C705B15"/>
    <w:rsid w:val="7C8617DD"/>
    <w:rsid w:val="7C9537CE"/>
    <w:rsid w:val="7C991510"/>
    <w:rsid w:val="7CA26617"/>
    <w:rsid w:val="7CA67789"/>
    <w:rsid w:val="7CAF6B09"/>
    <w:rsid w:val="7CC054FB"/>
    <w:rsid w:val="7CC55E61"/>
    <w:rsid w:val="7CC7607D"/>
    <w:rsid w:val="7CC876FF"/>
    <w:rsid w:val="7CCC3693"/>
    <w:rsid w:val="7CDE5175"/>
    <w:rsid w:val="7CE04A49"/>
    <w:rsid w:val="7CE3278B"/>
    <w:rsid w:val="7CE54755"/>
    <w:rsid w:val="7CF16C56"/>
    <w:rsid w:val="7D0270B5"/>
    <w:rsid w:val="7D0D15B6"/>
    <w:rsid w:val="7D126BCC"/>
    <w:rsid w:val="7D2A12C1"/>
    <w:rsid w:val="7D2D1C58"/>
    <w:rsid w:val="7D2E7EAA"/>
    <w:rsid w:val="7D360B0D"/>
    <w:rsid w:val="7D40373A"/>
    <w:rsid w:val="7D592A4D"/>
    <w:rsid w:val="7D5E24C1"/>
    <w:rsid w:val="7D6733BC"/>
    <w:rsid w:val="7D6E474B"/>
    <w:rsid w:val="7D7D04EA"/>
    <w:rsid w:val="7D7D498E"/>
    <w:rsid w:val="7D9F2B56"/>
    <w:rsid w:val="7DA261A2"/>
    <w:rsid w:val="7DA4409C"/>
    <w:rsid w:val="7DB008BF"/>
    <w:rsid w:val="7DB52379"/>
    <w:rsid w:val="7DC66335"/>
    <w:rsid w:val="7DDD367E"/>
    <w:rsid w:val="7DE4244E"/>
    <w:rsid w:val="7DEB7B49"/>
    <w:rsid w:val="7DF10ED8"/>
    <w:rsid w:val="7DF26E3A"/>
    <w:rsid w:val="7DF369FE"/>
    <w:rsid w:val="7DFA4230"/>
    <w:rsid w:val="7DFC3B04"/>
    <w:rsid w:val="7E0276DF"/>
    <w:rsid w:val="7E0429B9"/>
    <w:rsid w:val="7E0B3D48"/>
    <w:rsid w:val="7E0D5D12"/>
    <w:rsid w:val="7E12157A"/>
    <w:rsid w:val="7E132BFC"/>
    <w:rsid w:val="7E1626EC"/>
    <w:rsid w:val="7E192908"/>
    <w:rsid w:val="7E1C5F55"/>
    <w:rsid w:val="7E2412AD"/>
    <w:rsid w:val="7E260B81"/>
    <w:rsid w:val="7E290672"/>
    <w:rsid w:val="7E3314F0"/>
    <w:rsid w:val="7E38629C"/>
    <w:rsid w:val="7E3E411D"/>
    <w:rsid w:val="7E4159BB"/>
    <w:rsid w:val="7E53749D"/>
    <w:rsid w:val="7E543940"/>
    <w:rsid w:val="7E5576B9"/>
    <w:rsid w:val="7E573431"/>
    <w:rsid w:val="7E576F8D"/>
    <w:rsid w:val="7E5A4CCF"/>
    <w:rsid w:val="7E61605D"/>
    <w:rsid w:val="7E696CC0"/>
    <w:rsid w:val="7E8D6E52"/>
    <w:rsid w:val="7EAB1087"/>
    <w:rsid w:val="7EAD3051"/>
    <w:rsid w:val="7EB10D93"/>
    <w:rsid w:val="7EBB576E"/>
    <w:rsid w:val="7EBC7738"/>
    <w:rsid w:val="7EDC56E4"/>
    <w:rsid w:val="7EE73102"/>
    <w:rsid w:val="7F0F40ED"/>
    <w:rsid w:val="7F141322"/>
    <w:rsid w:val="7F1B445E"/>
    <w:rsid w:val="7F2C666B"/>
    <w:rsid w:val="7F323556"/>
    <w:rsid w:val="7F4A6AF1"/>
    <w:rsid w:val="7F4E0519"/>
    <w:rsid w:val="7F604567"/>
    <w:rsid w:val="7F6106E9"/>
    <w:rsid w:val="7F623E3B"/>
    <w:rsid w:val="7F805B09"/>
    <w:rsid w:val="7F862F7E"/>
    <w:rsid w:val="7F8813C8"/>
    <w:rsid w:val="7F8A3392"/>
    <w:rsid w:val="7F8A5140"/>
    <w:rsid w:val="7F8F6BFA"/>
    <w:rsid w:val="7F967F89"/>
    <w:rsid w:val="7F9E0BEB"/>
    <w:rsid w:val="7FB3085A"/>
    <w:rsid w:val="7FB64187"/>
    <w:rsid w:val="7FBF128D"/>
    <w:rsid w:val="7FC20D7E"/>
    <w:rsid w:val="7FC468A4"/>
    <w:rsid w:val="7FD10FC1"/>
    <w:rsid w:val="7FE505C8"/>
    <w:rsid w:val="7FE9630A"/>
    <w:rsid w:val="7FF52F01"/>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qFormat/>
    <w:uiPriority w:val="1"/>
    <w:pPr>
      <w:ind w:left="9" w:right="122"/>
      <w:jc w:val="center"/>
      <w:outlineLvl w:val="0"/>
    </w:pPr>
    <w:rPr>
      <w:sz w:val="36"/>
      <w:szCs w:val="84"/>
    </w:rPr>
  </w:style>
  <w:style w:type="paragraph" w:styleId="3">
    <w:name w:val="heading 2"/>
    <w:basedOn w:val="1"/>
    <w:next w:val="1"/>
    <w:qFormat/>
    <w:uiPriority w:val="0"/>
    <w:pPr>
      <w:spacing w:before="100" w:beforeAutospacing="1" w:after="100" w:afterAutospacing="1"/>
      <w:outlineLvl w:val="1"/>
    </w:pPr>
    <w:rPr>
      <w:rFonts w:hint="eastAsia" w:ascii="宋体" w:hAnsi="宋体" w:eastAsia="宋体" w:cs="Times New Roman"/>
      <w:b/>
      <w:bCs/>
      <w:sz w:val="36"/>
      <w:szCs w:val="36"/>
      <w:lang w:eastAsia="zh-CN"/>
    </w:rPr>
  </w:style>
  <w:style w:type="paragraph" w:styleId="4">
    <w:name w:val="heading 3"/>
    <w:basedOn w:val="1"/>
    <w:next w:val="1"/>
    <w:qFormat/>
    <w:uiPriority w:val="1"/>
    <w:pPr>
      <w:spacing w:before="113"/>
      <w:ind w:left="8"/>
      <w:jc w:val="center"/>
      <w:outlineLvl w:val="2"/>
    </w:pPr>
    <w:rPr>
      <w:sz w:val="32"/>
      <w:szCs w:val="36"/>
    </w:rPr>
  </w:style>
  <w:style w:type="paragraph" w:styleId="5">
    <w:name w:val="heading 4"/>
    <w:basedOn w:val="1"/>
    <w:next w:val="6"/>
    <w:qFormat/>
    <w:uiPriority w:val="0"/>
    <w:pPr>
      <w:keepNext/>
      <w:keepLines/>
      <w:ind w:firstLine="420" w:firstLineChars="150"/>
      <w:outlineLvl w:val="3"/>
    </w:pPr>
    <w:rPr>
      <w:b/>
      <w:sz w:val="28"/>
      <w:szCs w:val="28"/>
    </w:rPr>
  </w:style>
  <w:style w:type="paragraph" w:styleId="7">
    <w:name w:val="heading 5"/>
    <w:basedOn w:val="1"/>
    <w:next w:val="6"/>
    <w:qFormat/>
    <w:uiPriority w:val="0"/>
    <w:pPr>
      <w:keepNext/>
      <w:outlineLvl w:val="4"/>
    </w:pPr>
    <w:rPr>
      <w:rFonts w:ascii="宋体"/>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8">
    <w:name w:val="toa heading"/>
    <w:basedOn w:val="1"/>
    <w:next w:val="1"/>
    <w:qFormat/>
    <w:uiPriority w:val="0"/>
    <w:pPr>
      <w:spacing w:before="120"/>
    </w:pPr>
    <w:rPr>
      <w:sz w:val="24"/>
    </w:rPr>
  </w:style>
  <w:style w:type="paragraph" w:styleId="9">
    <w:name w:val="annotation text"/>
    <w:basedOn w:val="1"/>
    <w:link w:val="105"/>
    <w:semiHidden/>
    <w:qFormat/>
    <w:uiPriority w:val="0"/>
    <w:rPr>
      <w:rFonts w:ascii="Calibri" w:hAnsi="Calibri" w:eastAsia="宋体"/>
      <w:szCs w:val="24"/>
    </w:rPr>
  </w:style>
  <w:style w:type="paragraph" w:styleId="10">
    <w:name w:val="Body Text"/>
    <w:basedOn w:val="1"/>
    <w:next w:val="11"/>
    <w:semiHidden/>
    <w:qFormat/>
    <w:uiPriority w:val="0"/>
    <w:rPr>
      <w:rFonts w:ascii="仿宋" w:hAnsi="仿宋" w:eastAsia="仿宋" w:cs="仿宋"/>
      <w:sz w:val="35"/>
      <w:szCs w:val="35"/>
    </w:rPr>
  </w:style>
  <w:style w:type="paragraph" w:styleId="11">
    <w:name w:val="Body Text 2"/>
    <w:basedOn w:val="1"/>
    <w:qFormat/>
    <w:uiPriority w:val="0"/>
    <w:pPr>
      <w:spacing w:line="360" w:lineRule="atLeast"/>
      <w:jc w:val="center"/>
    </w:pPr>
    <w:rPr>
      <w:rFonts w:ascii="仿宋_GB2312" w:hAnsi="Dotum" w:eastAsia="仿宋_GB2312" w:cs="Times New Roman"/>
      <w:sz w:val="28"/>
    </w:rPr>
  </w:style>
  <w:style w:type="paragraph" w:styleId="12">
    <w:name w:val="Body Text Indent"/>
    <w:basedOn w:val="1"/>
    <w:next w:val="1"/>
    <w:qFormat/>
    <w:uiPriority w:val="0"/>
    <w:pPr>
      <w:ind w:firstLine="540"/>
    </w:pPr>
    <w:rPr>
      <w:rFonts w:eastAsia="方正仿宋_GB2312"/>
      <w:sz w:val="28"/>
      <w:szCs w:val="28"/>
    </w:rPr>
  </w:style>
  <w:style w:type="paragraph" w:styleId="13">
    <w:name w:val="toc 3"/>
    <w:basedOn w:val="1"/>
    <w:next w:val="1"/>
    <w:qFormat/>
    <w:uiPriority w:val="0"/>
    <w:pPr>
      <w:ind w:left="840" w:leftChars="400"/>
    </w:pPr>
  </w:style>
  <w:style w:type="paragraph" w:styleId="14">
    <w:name w:val="Plain Text"/>
    <w:basedOn w:val="1"/>
    <w:unhideWhenUsed/>
    <w:qFormat/>
    <w:uiPriority w:val="99"/>
    <w:pPr>
      <w:autoSpaceDE/>
      <w:autoSpaceDN/>
      <w:jc w:val="both"/>
    </w:pPr>
    <w:rPr>
      <w:rFonts w:hAnsi="Courier New" w:cs="Times New Roman"/>
      <w:kern w:val="2"/>
      <w:szCs w:val="20"/>
      <w:lang w:eastAsia="zh-CN"/>
    </w:rPr>
  </w:style>
  <w:style w:type="paragraph" w:styleId="15">
    <w:name w:val="Balloon Text"/>
    <w:basedOn w:val="1"/>
    <w:link w:val="88"/>
    <w:qFormat/>
    <w:uiPriority w:val="0"/>
    <w:rPr>
      <w:sz w:val="18"/>
      <w:szCs w:val="18"/>
    </w:rPr>
  </w:style>
  <w:style w:type="paragraph" w:styleId="16">
    <w:name w:val="footer"/>
    <w:basedOn w:val="1"/>
    <w:qFormat/>
    <w:uiPriority w:val="0"/>
    <w:pPr>
      <w:tabs>
        <w:tab w:val="center" w:pos="4153"/>
        <w:tab w:val="right" w:pos="8306"/>
      </w:tabs>
    </w:pPr>
    <w:rPr>
      <w:sz w:val="18"/>
    </w:rPr>
  </w:style>
  <w:style w:type="paragraph" w:styleId="17">
    <w:name w:val="header"/>
    <w:basedOn w:val="1"/>
    <w:qFormat/>
    <w:uiPriority w:val="0"/>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0"/>
  </w:style>
  <w:style w:type="paragraph" w:styleId="19">
    <w:name w:val="footnote text"/>
    <w:basedOn w:val="1"/>
    <w:semiHidden/>
    <w:qFormat/>
    <w:uiPriority w:val="0"/>
    <w:rPr>
      <w:rFonts w:ascii="Times New Roman" w:hAnsi="Times New Roman" w:eastAsia="宋体" w:cs="Times New Roman"/>
      <w:sz w:val="18"/>
      <w:szCs w:val="18"/>
    </w:rPr>
  </w:style>
  <w:style w:type="paragraph" w:styleId="20">
    <w:name w:val="toc 6"/>
    <w:next w:val="1"/>
    <w:unhideWhenUsed/>
    <w:qFormat/>
    <w:uiPriority w:val="39"/>
    <w:pPr>
      <w:widowControl w:val="0"/>
      <w:ind w:left="2100" w:leftChars="1000"/>
      <w:jc w:val="both"/>
    </w:pPr>
    <w:rPr>
      <w:rFonts w:asciiTheme="minorHAnsi" w:hAnsiTheme="minorHAnsi" w:eastAsiaTheme="minorEastAsia" w:cstheme="minorBidi"/>
      <w:kern w:val="2"/>
      <w:sz w:val="21"/>
      <w:szCs w:val="22"/>
      <w:lang w:val="en-US" w:eastAsia="zh-CN" w:bidi="ar-SA"/>
    </w:rPr>
  </w:style>
  <w:style w:type="paragraph" w:styleId="21">
    <w:name w:val="toc 2"/>
    <w:basedOn w:val="1"/>
    <w:next w:val="1"/>
    <w:qFormat/>
    <w:uiPriority w:val="0"/>
    <w:pPr>
      <w:ind w:left="420" w:leftChars="200"/>
    </w:pPr>
  </w:style>
  <w:style w:type="paragraph" w:styleId="22">
    <w:name w:val="Normal (Web)"/>
    <w:basedOn w:val="1"/>
    <w:qFormat/>
    <w:uiPriority w:val="0"/>
    <w:pPr>
      <w:spacing w:before="100" w:beforeAutospacing="1" w:after="100" w:afterAutospacing="1"/>
    </w:pPr>
    <w:rPr>
      <w:rFonts w:cs="Times New Roman"/>
      <w:sz w:val="24"/>
      <w:lang w:eastAsia="zh-CN"/>
    </w:rPr>
  </w:style>
  <w:style w:type="paragraph" w:styleId="23">
    <w:name w:val="annotation subject"/>
    <w:basedOn w:val="9"/>
    <w:next w:val="9"/>
    <w:link w:val="106"/>
    <w:qFormat/>
    <w:uiPriority w:val="0"/>
    <w:rPr>
      <w:rFonts w:ascii="Arial" w:hAnsi="Arial" w:eastAsia="Arial"/>
      <w:b/>
      <w:bCs/>
      <w:szCs w:val="21"/>
    </w:rPr>
  </w:style>
  <w:style w:type="paragraph" w:styleId="24">
    <w:name w:val="Body Text First Indent"/>
    <w:basedOn w:val="10"/>
    <w:qFormat/>
    <w:uiPriority w:val="0"/>
    <w:pPr>
      <w:spacing w:line="360" w:lineRule="auto"/>
      <w:ind w:firstLine="200" w:firstLineChars="200"/>
    </w:pPr>
    <w:rPr>
      <w:rFonts w:ascii="仿宋_GB2312" w:eastAsia="仿宋_GB2312"/>
      <w:sz w:val="30"/>
      <w:szCs w:val="30"/>
    </w:rPr>
  </w:style>
  <w:style w:type="paragraph" w:styleId="25">
    <w:name w:val="Body Text First Indent 2"/>
    <w:basedOn w:val="12"/>
    <w:next w:val="24"/>
    <w:qFormat/>
    <w:uiPriority w:val="0"/>
    <w:pPr>
      <w:spacing w:after="120"/>
      <w:ind w:left="420" w:leftChars="200" w:firstLine="420" w:firstLineChars="200"/>
    </w:pPr>
    <w:rPr>
      <w:rFonts w:ascii="Times New Roman"/>
      <w:sz w:val="21"/>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Hyperlink"/>
    <w:basedOn w:val="28"/>
    <w:qFormat/>
    <w:uiPriority w:val="0"/>
    <w:rPr>
      <w:color w:val="0000FF"/>
      <w:u w:val="single"/>
    </w:rPr>
  </w:style>
  <w:style w:type="character" w:styleId="31">
    <w:name w:val="annotation reference"/>
    <w:basedOn w:val="28"/>
    <w:qFormat/>
    <w:uiPriority w:val="0"/>
    <w:rPr>
      <w:sz w:val="21"/>
      <w:szCs w:val="21"/>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仿宋" w:hAnsi="仿宋" w:eastAsia="仿宋" w:cs="仿宋"/>
      <w:sz w:val="23"/>
      <w:szCs w:val="23"/>
    </w:rPr>
  </w:style>
  <w:style w:type="paragraph" w:styleId="34">
    <w:name w:val="List Paragraph"/>
    <w:basedOn w:val="1"/>
    <w:qFormat/>
    <w:uiPriority w:val="1"/>
    <w:pPr>
      <w:ind w:left="1776" w:hanging="720"/>
    </w:pPr>
  </w:style>
  <w:style w:type="paragraph" w:customStyle="1" w:styleId="35">
    <w:name w:val="Table Paragraph"/>
    <w:basedOn w:val="1"/>
    <w:qFormat/>
    <w:uiPriority w:val="1"/>
  </w:style>
  <w:style w:type="paragraph" w:customStyle="1" w:styleId="36">
    <w:name w:val="样式1"/>
    <w:basedOn w:val="1"/>
    <w:qFormat/>
    <w:uiPriority w:val="99"/>
    <w:pPr>
      <w:tabs>
        <w:tab w:val="left" w:pos="540"/>
        <w:tab w:val="left" w:pos="900"/>
        <w:tab w:val="left" w:pos="2070"/>
        <w:tab w:val="left" w:pos="3150"/>
        <w:tab w:val="center" w:pos="5940"/>
        <w:tab w:val="right" w:pos="8100"/>
      </w:tabs>
      <w:wordWrap w:val="0"/>
      <w:overflowPunct w:val="0"/>
      <w:autoSpaceDE/>
      <w:autoSpaceDN/>
      <w:spacing w:before="120" w:after="120" w:line="360" w:lineRule="auto"/>
      <w:ind w:left="1155"/>
      <w:jc w:val="both"/>
    </w:pPr>
    <w:rPr>
      <w:rFonts w:cs="Times New Roman"/>
      <w:kern w:val="2"/>
      <w:szCs w:val="20"/>
      <w:lang w:eastAsia="zh-CN"/>
    </w:rPr>
  </w:style>
  <w:style w:type="character" w:customStyle="1" w:styleId="37">
    <w:name w:val="NormalCharacter"/>
    <w:link w:val="38"/>
    <w:semiHidden/>
    <w:qFormat/>
    <w:uiPriority w:val="0"/>
  </w:style>
  <w:style w:type="paragraph" w:customStyle="1" w:styleId="38">
    <w:name w:val="UserStyle_5"/>
    <w:basedOn w:val="1"/>
    <w:link w:val="37"/>
    <w:qFormat/>
    <w:uiPriority w:val="0"/>
    <w:pPr>
      <w:widowControl/>
      <w:spacing w:after="160" w:line="240" w:lineRule="exact"/>
      <w:jc w:val="left"/>
      <w:textAlignment w:val="baseline"/>
    </w:pPr>
  </w:style>
  <w:style w:type="character" w:customStyle="1" w:styleId="39">
    <w:name w:val="font41"/>
    <w:basedOn w:val="28"/>
    <w:qFormat/>
    <w:uiPriority w:val="0"/>
    <w:rPr>
      <w:rFonts w:hint="eastAsia" w:ascii="仿宋_GB2312" w:eastAsia="仿宋_GB2312" w:cs="仿宋_GB2312"/>
      <w:color w:val="305496"/>
      <w:sz w:val="24"/>
      <w:szCs w:val="24"/>
      <w:u w:val="none"/>
    </w:rPr>
  </w:style>
  <w:style w:type="character" w:customStyle="1" w:styleId="40">
    <w:name w:val="font51"/>
    <w:basedOn w:val="28"/>
    <w:qFormat/>
    <w:uiPriority w:val="0"/>
    <w:rPr>
      <w:rFonts w:ascii="Arial" w:hAnsi="Arial" w:cs="Arial"/>
      <w:color w:val="000000"/>
      <w:sz w:val="24"/>
      <w:szCs w:val="24"/>
      <w:u w:val="none"/>
    </w:rPr>
  </w:style>
  <w:style w:type="character" w:customStyle="1" w:styleId="41">
    <w:name w:val="font11"/>
    <w:basedOn w:val="28"/>
    <w:qFormat/>
    <w:uiPriority w:val="0"/>
    <w:rPr>
      <w:rFonts w:hint="eastAsia" w:ascii="仿宋_GB2312" w:eastAsia="仿宋_GB2312" w:cs="仿宋_GB2312"/>
      <w:color w:val="000000"/>
      <w:sz w:val="24"/>
      <w:szCs w:val="24"/>
      <w:u w:val="none"/>
    </w:rPr>
  </w:style>
  <w:style w:type="character" w:customStyle="1" w:styleId="42">
    <w:name w:val="font61"/>
    <w:basedOn w:val="28"/>
    <w:qFormat/>
    <w:uiPriority w:val="0"/>
    <w:rPr>
      <w:rFonts w:hint="eastAsia" w:ascii="宋体" w:hAnsi="宋体" w:eastAsia="宋体" w:cs="宋体"/>
      <w:color w:val="000000"/>
      <w:sz w:val="24"/>
      <w:szCs w:val="24"/>
      <w:u w:val="none"/>
    </w:rPr>
  </w:style>
  <w:style w:type="character" w:customStyle="1" w:styleId="43">
    <w:name w:val="font71"/>
    <w:basedOn w:val="28"/>
    <w:qFormat/>
    <w:uiPriority w:val="0"/>
    <w:rPr>
      <w:rFonts w:hint="default" w:ascii="Times New Roman" w:hAnsi="Times New Roman" w:cs="Times New Roman"/>
      <w:color w:val="000000"/>
      <w:sz w:val="24"/>
      <w:szCs w:val="24"/>
      <w:u w:val="none"/>
    </w:rPr>
  </w:style>
  <w:style w:type="character" w:customStyle="1" w:styleId="44">
    <w:name w:val="font21"/>
    <w:basedOn w:val="28"/>
    <w:qFormat/>
    <w:uiPriority w:val="0"/>
    <w:rPr>
      <w:rFonts w:hint="eastAsia" w:ascii="仿宋_GB2312" w:eastAsia="仿宋_GB2312" w:cs="仿宋_GB2312"/>
      <w:color w:val="000000"/>
      <w:sz w:val="24"/>
      <w:szCs w:val="24"/>
      <w:u w:val="none"/>
    </w:rPr>
  </w:style>
  <w:style w:type="character" w:customStyle="1" w:styleId="45">
    <w:name w:val="font81"/>
    <w:basedOn w:val="28"/>
    <w:qFormat/>
    <w:uiPriority w:val="0"/>
    <w:rPr>
      <w:rFonts w:ascii="Wingdings 2" w:hAnsi="Wingdings 2" w:eastAsia="Wingdings 2" w:cs="Wingdings 2"/>
      <w:color w:val="000000"/>
      <w:sz w:val="24"/>
      <w:szCs w:val="24"/>
      <w:u w:val="none"/>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9">
    <w:name w:val="Body text|1"/>
    <w:basedOn w:val="1"/>
    <w:qFormat/>
    <w:uiPriority w:val="0"/>
    <w:pPr>
      <w:spacing w:line="413" w:lineRule="auto"/>
      <w:ind w:firstLine="400"/>
    </w:pPr>
    <w:rPr>
      <w:rFonts w:ascii="宋体" w:hAnsi="宋体" w:cs="宋体"/>
      <w:sz w:val="20"/>
      <w:szCs w:val="20"/>
      <w:lang w:val="zh-TW" w:eastAsia="zh-TW" w:bidi="zh-TW"/>
    </w:rPr>
  </w:style>
  <w:style w:type="paragraph" w:customStyle="1" w:styleId="50">
    <w:name w:val="Normal Indent1"/>
    <w:basedOn w:val="1"/>
    <w:qFormat/>
    <w:uiPriority w:val="0"/>
    <w:pPr>
      <w:ind w:firstLine="420" w:firstLineChars="200"/>
    </w:pPr>
  </w:style>
  <w:style w:type="table" w:customStyle="1" w:styleId="51">
    <w:name w:val="Table Normal1"/>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52">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正文_1_0"/>
    <w:basedOn w:val="54"/>
    <w:next w:val="79"/>
    <w:qFormat/>
    <w:uiPriority w:val="0"/>
  </w:style>
  <w:style w:type="paragraph" w:customStyle="1" w:styleId="54">
    <w:name w:val="正文_2_0_0"/>
    <w:basedOn w:val="55"/>
    <w:next w:val="76"/>
    <w:qFormat/>
    <w:uiPriority w:val="0"/>
    <w:rPr>
      <w:rFonts w:ascii="等线" w:hAnsi="等线"/>
    </w:rPr>
  </w:style>
  <w:style w:type="paragraph" w:customStyle="1" w:styleId="55">
    <w:name w:val="正文_3_1"/>
    <w:basedOn w:val="56"/>
    <w:next w:val="58"/>
    <w:qFormat/>
    <w:uiPriority w:val="0"/>
    <w:pPr>
      <w:widowControl w:val="0"/>
      <w:jc w:val="both"/>
    </w:pPr>
    <w:rPr>
      <w:rFonts w:ascii="Calibri" w:hAnsi="Calibri"/>
      <w:kern w:val="2"/>
      <w:sz w:val="21"/>
      <w:szCs w:val="22"/>
    </w:rPr>
  </w:style>
  <w:style w:type="paragraph" w:customStyle="1" w:styleId="56">
    <w:name w:val="Normal_0_1"/>
    <w:basedOn w:val="57"/>
    <w:qFormat/>
    <w:uiPriority w:val="0"/>
  </w:style>
  <w:style w:type="paragraph" w:customStyle="1" w:styleId="57">
    <w:name w:val="Normal_2"/>
    <w:qFormat/>
    <w:uiPriority w:val="0"/>
    <w:rPr>
      <w:rFonts w:ascii="黑体" w:hAnsi="黑体" w:eastAsia="黑体" w:cs="Times New Roman"/>
      <w:b/>
      <w:sz w:val="32"/>
      <w:szCs w:val="24"/>
      <w:lang w:val="en-US" w:eastAsia="zh-CN" w:bidi="ar-SA"/>
    </w:rPr>
  </w:style>
  <w:style w:type="paragraph" w:customStyle="1" w:styleId="58">
    <w:name w:val="正文缩进_0_0_0"/>
    <w:basedOn w:val="59"/>
    <w:unhideWhenUsed/>
    <w:qFormat/>
    <w:uiPriority w:val="0"/>
    <w:pPr>
      <w:ind w:firstLine="420" w:firstLineChars="200"/>
    </w:pPr>
  </w:style>
  <w:style w:type="paragraph" w:customStyle="1" w:styleId="59">
    <w:name w:val="正文_0_1_0"/>
    <w:basedOn w:val="60"/>
    <w:next w:val="65"/>
    <w:qFormat/>
    <w:uiPriority w:val="0"/>
    <w:rPr>
      <w:rFonts w:ascii="Calibri" w:hAnsi="Calibri" w:eastAsia="等线" w:cs="宋体"/>
      <w:szCs w:val="21"/>
    </w:rPr>
  </w:style>
  <w:style w:type="paragraph" w:customStyle="1" w:styleId="60">
    <w:name w:val="正文_1_1"/>
    <w:basedOn w:val="61"/>
    <w:next w:val="65"/>
    <w:qFormat/>
    <w:uiPriority w:val="0"/>
    <w:rPr>
      <w:szCs w:val="24"/>
    </w:rPr>
  </w:style>
  <w:style w:type="paragraph" w:customStyle="1" w:styleId="61">
    <w:name w:val="正文_0_1"/>
    <w:basedOn w:val="62"/>
    <w:qFormat/>
    <w:uiPriority w:val="0"/>
    <w:rPr>
      <w:szCs w:val="21"/>
    </w:rPr>
  </w:style>
  <w:style w:type="paragraph" w:customStyle="1" w:styleId="62">
    <w:name w:val="正文_3"/>
    <w:basedOn w:val="63"/>
    <w:qFormat/>
    <w:uiPriority w:val="0"/>
    <w:rPr>
      <w:rFonts w:ascii="Times New Roman" w:hAnsi="Times New Roman"/>
      <w:szCs w:val="24"/>
    </w:rPr>
  </w:style>
  <w:style w:type="paragraph" w:customStyle="1" w:styleId="63">
    <w:name w:val="正文_4"/>
    <w:next w:val="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首行缩进"/>
    <w:basedOn w:val="63"/>
    <w:qFormat/>
    <w:uiPriority w:val="0"/>
    <w:pPr>
      <w:ind w:firstLine="480" w:firstLineChars="200"/>
    </w:pPr>
    <w:rPr>
      <w:lang w:val="zh-CN"/>
    </w:rPr>
  </w:style>
  <w:style w:type="paragraph" w:customStyle="1" w:styleId="65">
    <w:name w:val="脚注文本_0"/>
    <w:basedOn w:val="66"/>
    <w:next w:val="75"/>
    <w:unhideWhenUsed/>
    <w:qFormat/>
    <w:uiPriority w:val="99"/>
    <w:pPr>
      <w:snapToGrid w:val="0"/>
    </w:pPr>
    <w:rPr>
      <w:rFonts w:ascii="Calibri" w:hAnsi="Calibri" w:eastAsia="Calibri"/>
      <w:sz w:val="18"/>
    </w:rPr>
  </w:style>
  <w:style w:type="paragraph" w:customStyle="1" w:styleId="66">
    <w:name w:val="正文_0_2"/>
    <w:basedOn w:val="67"/>
    <w:next w:val="74"/>
    <w:qFormat/>
    <w:uiPriority w:val="0"/>
    <w:rPr>
      <w:szCs w:val="24"/>
    </w:rPr>
  </w:style>
  <w:style w:type="paragraph" w:customStyle="1" w:styleId="67">
    <w:name w:val="正文_2_1"/>
    <w:basedOn w:val="68"/>
    <w:next w:val="69"/>
    <w:qFormat/>
    <w:uiPriority w:val="0"/>
    <w:rPr>
      <w:rFonts w:ascii="等线" w:hAnsi="等线" w:eastAsia="等线" w:cs="宋体"/>
      <w:szCs w:val="21"/>
    </w:rPr>
  </w:style>
  <w:style w:type="paragraph" w:customStyle="1" w:styleId="68">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No Spacing_0"/>
    <w:basedOn w:val="70"/>
    <w:qFormat/>
    <w:uiPriority w:val="1"/>
  </w:style>
  <w:style w:type="paragraph" w:customStyle="1" w:styleId="70">
    <w:name w:val="正文_5"/>
    <w:basedOn w:val="71"/>
    <w:next w:val="73"/>
    <w:qFormat/>
    <w:uiPriority w:val="0"/>
  </w:style>
  <w:style w:type="paragraph" w:customStyle="1" w:styleId="71">
    <w:name w:val="正文_6"/>
    <w:next w:val="7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列表_1"/>
    <w:basedOn w:val="71"/>
    <w:semiHidden/>
    <w:qFormat/>
    <w:locked/>
    <w:uiPriority w:val="0"/>
    <w:pPr>
      <w:ind w:left="200" w:hanging="200" w:hangingChars="200"/>
    </w:pPr>
  </w:style>
  <w:style w:type="paragraph" w:customStyle="1" w:styleId="73">
    <w:name w:val="段_0"/>
    <w:next w:val="70"/>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4">
    <w:name w:val="页脚_0_0"/>
    <w:basedOn w:val="66"/>
    <w:unhideWhenUsed/>
    <w:qFormat/>
    <w:uiPriority w:val="99"/>
    <w:pPr>
      <w:tabs>
        <w:tab w:val="center" w:pos="4153"/>
        <w:tab w:val="right" w:pos="8306"/>
      </w:tabs>
      <w:snapToGrid w:val="0"/>
    </w:pPr>
    <w:rPr>
      <w:sz w:val="18"/>
      <w:szCs w:val="18"/>
    </w:rPr>
  </w:style>
  <w:style w:type="paragraph" w:customStyle="1" w:styleId="7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文本_0_1"/>
    <w:basedOn w:val="77"/>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77">
    <w:name w:val="正文_2_2"/>
    <w:basedOn w:val="78"/>
    <w:qFormat/>
    <w:uiPriority w:val="0"/>
    <w:rPr>
      <w:rFonts w:ascii="等线" w:hAnsi="等线" w:eastAsia="等线" w:cs="宋体"/>
      <w:szCs w:val="21"/>
    </w:rPr>
  </w:style>
  <w:style w:type="paragraph" w:customStyle="1" w:styleId="78">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首行缩进1"/>
    <w:basedOn w:val="80"/>
    <w:unhideWhenUsed/>
    <w:qFormat/>
    <w:uiPriority w:val="99"/>
    <w:pPr>
      <w:ind w:firstLine="420" w:firstLineChars="100"/>
    </w:pPr>
  </w:style>
  <w:style w:type="paragraph" w:customStyle="1" w:styleId="80">
    <w:name w:val="正文文本_0_0"/>
    <w:basedOn w:val="81"/>
    <w:qFormat/>
    <w:uiPriority w:val="0"/>
    <w:pPr>
      <w:spacing w:after="120"/>
    </w:pPr>
    <w:rPr>
      <w:kern w:val="0"/>
      <w:sz w:val="20"/>
    </w:rPr>
  </w:style>
  <w:style w:type="paragraph" w:customStyle="1" w:styleId="81">
    <w:name w:val="正文_1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文文本缩进_1_0"/>
    <w:basedOn w:val="84"/>
    <w:qFormat/>
    <w:uiPriority w:val="0"/>
    <w:pPr>
      <w:spacing w:line="500" w:lineRule="exact"/>
      <w:ind w:left="1588" w:leftChars="832" w:firstLine="433" w:firstLineChars="196"/>
    </w:pPr>
    <w:rPr>
      <w:kern w:val="0"/>
      <w:sz w:val="24"/>
    </w:rPr>
  </w:style>
  <w:style w:type="paragraph" w:customStyle="1" w:styleId="84">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日期_0"/>
    <w:basedOn w:val="86"/>
    <w:next w:val="86"/>
    <w:qFormat/>
    <w:uiPriority w:val="0"/>
    <w:pPr>
      <w:ind w:left="100" w:leftChars="2500"/>
    </w:pPr>
    <w:rPr>
      <w:kern w:val="0"/>
      <w:sz w:val="20"/>
    </w:rPr>
  </w:style>
  <w:style w:type="paragraph" w:customStyle="1" w:styleId="8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8">
    <w:name w:val="批注框文本 字符"/>
    <w:basedOn w:val="28"/>
    <w:link w:val="15"/>
    <w:qFormat/>
    <w:uiPriority w:val="0"/>
    <w:rPr>
      <w:rFonts w:ascii="Arial" w:hAnsi="Arial" w:eastAsia="Arial" w:cs="Arial"/>
      <w:snapToGrid w:val="0"/>
      <w:color w:val="000000"/>
      <w:sz w:val="18"/>
      <w:szCs w:val="18"/>
      <w:lang w:eastAsia="en-US"/>
    </w:rPr>
  </w:style>
  <w:style w:type="paragraph" w:customStyle="1" w:styleId="89">
    <w:name w:val="正文缩进11"/>
    <w:basedOn w:val="1"/>
    <w:next w:val="1"/>
    <w:qFormat/>
    <w:uiPriority w:val="0"/>
    <w:pPr>
      <w:ind w:firstLine="420"/>
    </w:pPr>
    <w:rPr>
      <w:sz w:val="24"/>
    </w:rPr>
  </w:style>
  <w:style w:type="paragraph" w:customStyle="1" w:styleId="90">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1">
    <w:name w:val="正文_3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文档正文"/>
    <w:basedOn w:val="1"/>
    <w:qFormat/>
    <w:uiPriority w:val="0"/>
    <w:pPr>
      <w:spacing w:line="480" w:lineRule="atLeast"/>
      <w:ind w:firstLine="567"/>
    </w:pPr>
    <w:rPr>
      <w:sz w:val="24"/>
      <w:szCs w:val="20"/>
    </w:rPr>
  </w:style>
  <w:style w:type="paragraph" w:customStyle="1" w:styleId="94">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96">
    <w:name w:val="正文_5_0"/>
    <w:next w:val="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Normal_0_0"/>
    <w:basedOn w:val="98"/>
    <w:qFormat/>
    <w:uiPriority w:val="0"/>
  </w:style>
  <w:style w:type="paragraph" w:customStyle="1" w:styleId="98">
    <w:name w:val="Normal_1"/>
    <w:qFormat/>
    <w:uiPriority w:val="0"/>
    <w:rPr>
      <w:rFonts w:ascii="黑体" w:hAnsi="黑体" w:eastAsia="黑体" w:cs="Times New Roman"/>
      <w:b/>
      <w:sz w:val="32"/>
      <w:szCs w:val="24"/>
      <w:lang w:val="en-US" w:eastAsia="zh-CN" w:bidi="ar-SA"/>
    </w:rPr>
  </w:style>
  <w:style w:type="paragraph" w:customStyle="1" w:styleId="99">
    <w:name w:val="正文文本_1_0"/>
    <w:basedOn w:val="100"/>
    <w:qFormat/>
    <w:uiPriority w:val="0"/>
    <w:pPr>
      <w:adjustRightInd w:val="0"/>
      <w:spacing w:after="60" w:line="360" w:lineRule="atLeast"/>
      <w:ind w:left="72" w:leftChars="30" w:right="30" w:rightChars="30"/>
      <w:jc w:val="center"/>
      <w:textAlignment w:val="baseline"/>
    </w:pPr>
    <w:rPr>
      <w:szCs w:val="21"/>
    </w:rPr>
  </w:style>
  <w:style w:type="paragraph" w:customStyle="1" w:styleId="100">
    <w:name w:val="正文_2_0_0_0"/>
    <w:basedOn w:val="101"/>
    <w:next w:val="99"/>
    <w:qFormat/>
    <w:uiPriority w:val="0"/>
  </w:style>
  <w:style w:type="paragraph" w:customStyle="1" w:styleId="101">
    <w:name w:val="正文_0_1_1"/>
    <w:basedOn w:val="55"/>
    <w:next w:val="102"/>
    <w:qFormat/>
    <w:uiPriority w:val="0"/>
  </w:style>
  <w:style w:type="paragraph" w:customStyle="1" w:styleId="102">
    <w:name w:val="脚注文本1"/>
    <w:basedOn w:val="53"/>
    <w:next w:val="103"/>
    <w:unhideWhenUsed/>
    <w:qFormat/>
    <w:uiPriority w:val="0"/>
    <w:pPr>
      <w:snapToGrid w:val="0"/>
      <w:jc w:val="left"/>
    </w:pPr>
    <w:rPr>
      <w:rFonts w:eastAsia="宋体"/>
      <w:kern w:val="0"/>
      <w:sz w:val="18"/>
      <w:szCs w:val="18"/>
    </w:rPr>
  </w:style>
  <w:style w:type="paragraph" w:customStyle="1" w:styleId="103">
    <w:name w:val="索引 51"/>
    <w:basedOn w:val="53"/>
    <w:next w:val="53"/>
    <w:unhideWhenUsed/>
    <w:qFormat/>
    <w:uiPriority w:val="99"/>
    <w:pPr>
      <w:ind w:left="1680"/>
    </w:pPr>
  </w:style>
  <w:style w:type="character" w:customStyle="1" w:styleId="104">
    <w:name w:val="font01"/>
    <w:qFormat/>
    <w:uiPriority w:val="99"/>
    <w:rPr>
      <w:rFonts w:hint="eastAsia" w:ascii="宋体" w:hAnsi="宋体" w:eastAsia="宋体" w:cs="宋体"/>
      <w:color w:val="000000"/>
      <w:sz w:val="22"/>
      <w:szCs w:val="22"/>
      <w:u w:val="none"/>
    </w:rPr>
  </w:style>
  <w:style w:type="character" w:customStyle="1" w:styleId="105">
    <w:name w:val="批注文字 字符"/>
    <w:basedOn w:val="28"/>
    <w:link w:val="9"/>
    <w:semiHidden/>
    <w:qFormat/>
    <w:uiPriority w:val="0"/>
    <w:rPr>
      <w:rFonts w:ascii="Calibri" w:hAnsi="Calibri" w:cs="Arial"/>
      <w:snapToGrid w:val="0"/>
      <w:color w:val="000000"/>
      <w:sz w:val="21"/>
      <w:szCs w:val="24"/>
      <w:lang w:eastAsia="en-US"/>
    </w:rPr>
  </w:style>
  <w:style w:type="character" w:customStyle="1" w:styleId="106">
    <w:name w:val="批注主题 字符"/>
    <w:basedOn w:val="105"/>
    <w:link w:val="23"/>
    <w:qFormat/>
    <w:uiPriority w:val="0"/>
    <w:rPr>
      <w:rFonts w:ascii="Arial" w:hAnsi="Arial" w:eastAsia="Arial" w:cs="Arial"/>
      <w:b/>
      <w:bCs/>
      <w:snapToGrid w:val="0"/>
      <w:color w:val="000000"/>
      <w:sz w:val="21"/>
      <w:szCs w:val="21"/>
      <w:lang w:eastAsia="en-US"/>
    </w:rPr>
  </w:style>
  <w:style w:type="paragraph" w:customStyle="1" w:styleId="107">
    <w:name w:val="Normal (Web)"/>
    <w:basedOn w:val="1"/>
    <w:qFormat/>
    <w:uiPriority w:val="0"/>
    <w:pPr>
      <w:spacing w:before="0" w:beforeAutospacing="0" w:after="0" w:afterAutospacing="0"/>
      <w:ind w:left="0" w:right="0"/>
      <w:jc w:val="left"/>
    </w:pPr>
    <w:rPr>
      <w:rFonts w:ascii="Times New Roman" w:hAnsi="Times New Roman" w:eastAsia="宋体" w:cs="Times New Roman"/>
      <w:kern w:val="0"/>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14499</Words>
  <Characters>15568</Characters>
  <Lines>455</Lines>
  <Paragraphs>128</Paragraphs>
  <TotalTime>9</TotalTime>
  <ScaleCrop>false</ScaleCrop>
  <LinksUpToDate>false</LinksUpToDate>
  <CharactersWithSpaces>15957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2024-08-16T01:47:00Z</dcterms:created>
  <dc:creator>China</dc:creator>
  <cp:lastModifiedBy>Administrator</cp:lastModifiedBy>
  <dcterms:modified xsi:type="dcterms:W3CDTF">2026-06-17T10:22:27Z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2024-10-30T11:44:35Z</vt:filetime>
  </property>
  <property fmtid="{D5CDD505-2E9C-101B-9397-08002B2CF9AE}" pid="4" name="KSOProductBuildVer">
    <vt:lpwstr>2052-12.1.0.26375</vt:lpwstr>
  </property>
  <property fmtid="{D5CDD505-2E9C-101B-9397-08002B2CF9AE}" pid="5" name="ICV">
    <vt:lpwstr>34533545A80044F084FCBE56B887AF9C_13</vt:lpwstr>
  </property>
  <property fmtid="{D5CDD505-2E9C-101B-9397-08002B2CF9AE}" pid="6" name="KSOTemplateDocerSaveRecord">
    <vt:lpwstr>eyJoZGlkIjoiYjk5MGQ5YzMwMmQ3OTdmMzkwYjhlZGQ1NmQ3NGI1ZGIiLCJ1c2VySWQiOiIxMjgzNDYyODczIn0=</vt:lpwstr>
  </property>
</Properties>
</file>