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A61A5">
      <w:pPr>
        <w:snapToGrid w:val="0"/>
        <w:spacing w:after="120" w:line="540" w:lineRule="exact"/>
        <w:jc w:val="left"/>
        <w:rPr>
          <w:rFonts w:ascii="宋体" w:hAnsi="宋体"/>
          <w:color w:val="000000"/>
          <w:sz w:val="44"/>
          <w:highlight w:val="none"/>
        </w:rPr>
      </w:pPr>
    </w:p>
    <w:p w14:paraId="422081AD">
      <w:pPr>
        <w:snapToGrid w:val="0"/>
        <w:spacing w:line="360" w:lineRule="auto"/>
        <w:jc w:val="center"/>
        <w:rPr>
          <w:rStyle w:val="43"/>
          <w:color w:val="000000"/>
          <w:sz w:val="36"/>
          <w:szCs w:val="36"/>
          <w:highlight w:val="none"/>
        </w:rPr>
      </w:pPr>
      <w:r>
        <w:rPr>
          <w:rFonts w:hint="eastAsia" w:ascii="宋体" w:hAnsi="宋体"/>
          <w:b/>
          <w:color w:val="000000"/>
          <w:sz w:val="52"/>
          <w:szCs w:val="52"/>
          <w:highlight w:val="none"/>
        </w:rPr>
        <w:t xml:space="preserve">招 标 </w:t>
      </w:r>
      <w:r>
        <w:rPr>
          <w:rFonts w:ascii="宋体" w:hAnsi="宋体"/>
          <w:b/>
          <w:color w:val="000000"/>
          <w:sz w:val="52"/>
          <w:szCs w:val="52"/>
          <w:highlight w:val="none"/>
        </w:rPr>
        <w:t>文</w:t>
      </w:r>
      <w:r>
        <w:rPr>
          <w:rFonts w:hint="eastAsia" w:ascii="宋体" w:hAnsi="宋体"/>
          <w:b/>
          <w:color w:val="000000"/>
          <w:sz w:val="52"/>
          <w:szCs w:val="52"/>
          <w:highlight w:val="none"/>
        </w:rPr>
        <w:t xml:space="preserve"> </w:t>
      </w:r>
      <w:r>
        <w:rPr>
          <w:rFonts w:ascii="宋体" w:hAnsi="宋体"/>
          <w:b/>
          <w:color w:val="000000"/>
          <w:sz w:val="52"/>
          <w:szCs w:val="52"/>
          <w:highlight w:val="none"/>
        </w:rPr>
        <w:t>件</w:t>
      </w:r>
    </w:p>
    <w:p w14:paraId="224C39F5">
      <w:pPr>
        <w:snapToGrid w:val="0"/>
        <w:jc w:val="center"/>
        <w:rPr>
          <w:rStyle w:val="43"/>
          <w:rFonts w:cs="仿宋"/>
          <w:b w:val="0"/>
          <w:bCs/>
          <w:color w:val="000000"/>
          <w:highlight w:val="none"/>
        </w:rPr>
      </w:pPr>
    </w:p>
    <w:p w14:paraId="672F8064">
      <w:pPr>
        <w:snapToGrid w:val="0"/>
        <w:jc w:val="center"/>
        <w:rPr>
          <w:rStyle w:val="43"/>
          <w:rFonts w:cs="仿宋"/>
          <w:b w:val="0"/>
          <w:bCs/>
          <w:color w:val="000000"/>
          <w:highlight w:val="none"/>
        </w:rPr>
      </w:pPr>
    </w:p>
    <w:p w14:paraId="3B56CC11">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项目名称：</w:t>
      </w:r>
      <w:r>
        <w:rPr>
          <w:rStyle w:val="41"/>
          <w:rFonts w:hint="eastAsia" w:ascii="宋体" w:hAnsi="宋体"/>
          <w:bCs/>
          <w:color w:val="000000"/>
          <w:sz w:val="28"/>
          <w:szCs w:val="28"/>
          <w:highlight w:val="none"/>
          <w:lang w:eastAsia="zh-CN"/>
        </w:rPr>
        <w:t>新疆塔里木河胡杨林生态系统国家定位观测研究站二期建设项目仪器设备采购</w:t>
      </w:r>
    </w:p>
    <w:p w14:paraId="6287D26C">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项目编号：</w:t>
      </w:r>
      <w:r>
        <w:rPr>
          <w:rStyle w:val="41"/>
          <w:rFonts w:hint="eastAsia" w:ascii="宋体" w:hAnsi="宋体"/>
          <w:bCs/>
          <w:color w:val="000000"/>
          <w:sz w:val="28"/>
          <w:szCs w:val="28"/>
          <w:highlight w:val="none"/>
        </w:rPr>
        <w:fldChar w:fldCharType="begin"/>
      </w:r>
      <w:r>
        <w:rPr>
          <w:rStyle w:val="41"/>
          <w:rFonts w:hint="eastAsia" w:ascii="宋体" w:hAnsi="宋体"/>
          <w:bCs/>
          <w:color w:val="000000"/>
          <w:sz w:val="28"/>
          <w:szCs w:val="28"/>
          <w:highlight w:val="none"/>
        </w:rPr>
        <w:instrText xml:space="preserve"> HYPERLINK "https://pay.zcygov.cn/purchaseplan_front/" \l "/plan/apply/detail/1000007196944" </w:instrText>
      </w:r>
      <w:r>
        <w:rPr>
          <w:rStyle w:val="41"/>
          <w:rFonts w:hint="eastAsia" w:ascii="宋体" w:hAnsi="宋体"/>
          <w:bCs/>
          <w:color w:val="000000"/>
          <w:sz w:val="28"/>
          <w:szCs w:val="28"/>
          <w:highlight w:val="none"/>
        </w:rPr>
        <w:fldChar w:fldCharType="separate"/>
      </w:r>
      <w:r>
        <w:rPr>
          <w:rStyle w:val="41"/>
          <w:rFonts w:hint="eastAsia" w:ascii="宋体" w:hAnsi="宋体"/>
          <w:bCs/>
          <w:color w:val="000000"/>
          <w:sz w:val="28"/>
          <w:szCs w:val="28"/>
          <w:highlight w:val="none"/>
        </w:rPr>
        <w:t>[2026]11802号</w:t>
      </w:r>
      <w:r>
        <w:rPr>
          <w:rStyle w:val="41"/>
          <w:rFonts w:hint="eastAsia" w:ascii="宋体" w:hAnsi="宋体"/>
          <w:bCs/>
          <w:color w:val="000000"/>
          <w:sz w:val="28"/>
          <w:szCs w:val="28"/>
          <w:highlight w:val="none"/>
        </w:rPr>
        <w:fldChar w:fldCharType="end"/>
      </w:r>
    </w:p>
    <w:p w14:paraId="6E719D45">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采购人（盖章）:</w:t>
      </w:r>
      <w:r>
        <w:rPr>
          <w:rStyle w:val="41"/>
          <w:rFonts w:hint="eastAsia" w:ascii="宋体" w:hAnsi="宋体"/>
          <w:bCs/>
          <w:color w:val="000000"/>
          <w:sz w:val="28"/>
          <w:szCs w:val="28"/>
          <w:highlight w:val="none"/>
          <w:lang w:eastAsia="zh-CN"/>
        </w:rPr>
        <w:t>新疆维吾尔自治区林业科学院</w:t>
      </w:r>
    </w:p>
    <w:p w14:paraId="200BDC06">
      <w:pPr>
        <w:snapToGrid w:val="0"/>
        <w:spacing w:line="480" w:lineRule="auto"/>
        <w:ind w:firstLine="357"/>
        <w:rPr>
          <w:rStyle w:val="41"/>
          <w:rFonts w:ascii="宋体" w:hAnsi="宋体"/>
          <w:bCs/>
          <w:color w:val="000000"/>
          <w:sz w:val="28"/>
          <w:szCs w:val="28"/>
          <w:highlight w:val="none"/>
        </w:rPr>
      </w:pPr>
      <w:r>
        <w:rPr>
          <w:rStyle w:val="41"/>
          <w:rFonts w:hint="eastAsia" w:ascii="宋体" w:hAnsi="宋体"/>
          <w:bCs/>
          <w:color w:val="000000"/>
          <w:sz w:val="28"/>
          <w:szCs w:val="28"/>
          <w:highlight w:val="none"/>
        </w:rPr>
        <w:t>法定代表人（签章）:/</w:t>
      </w:r>
    </w:p>
    <w:p w14:paraId="0117F831">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联系人：</w:t>
      </w:r>
      <w:r>
        <w:rPr>
          <w:rStyle w:val="41"/>
          <w:rFonts w:hint="eastAsia" w:ascii="宋体" w:hAnsi="宋体"/>
          <w:bCs/>
          <w:color w:val="000000"/>
          <w:sz w:val="28"/>
          <w:szCs w:val="28"/>
          <w:highlight w:val="none"/>
          <w:lang w:val="en-US" w:eastAsia="zh-CN"/>
        </w:rPr>
        <w:t>刘茂秀</w:t>
      </w:r>
    </w:p>
    <w:p w14:paraId="0DE83A0C">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电话：</w:t>
      </w:r>
      <w:r>
        <w:rPr>
          <w:rStyle w:val="41"/>
          <w:rFonts w:hint="eastAsia" w:ascii="宋体" w:hAnsi="宋体"/>
          <w:bCs/>
          <w:color w:val="000000"/>
          <w:sz w:val="28"/>
          <w:szCs w:val="28"/>
          <w:highlight w:val="none"/>
          <w:lang w:val="en-US" w:eastAsia="zh-CN"/>
        </w:rPr>
        <w:t xml:space="preserve"> 18999892530</w:t>
      </w:r>
    </w:p>
    <w:p w14:paraId="1E482FCD">
      <w:pPr>
        <w:snapToGrid w:val="0"/>
        <w:spacing w:line="480" w:lineRule="auto"/>
        <w:ind w:firstLine="357"/>
        <w:rPr>
          <w:rStyle w:val="41"/>
          <w:rFonts w:hint="eastAsia" w:ascii="宋体" w:hAnsi="宋体" w:eastAsia="宋体"/>
          <w:bCs/>
          <w:color w:val="000000"/>
          <w:sz w:val="28"/>
          <w:szCs w:val="28"/>
          <w:highlight w:val="none"/>
          <w:lang w:eastAsia="zh-CN"/>
        </w:rPr>
      </w:pPr>
      <w:r>
        <w:rPr>
          <w:rStyle w:val="41"/>
          <w:rFonts w:hint="eastAsia" w:ascii="宋体" w:hAnsi="宋体"/>
          <w:bCs/>
          <w:color w:val="000000"/>
          <w:sz w:val="28"/>
          <w:szCs w:val="28"/>
          <w:highlight w:val="none"/>
        </w:rPr>
        <w:t>详细地址：</w:t>
      </w:r>
      <w:r>
        <w:rPr>
          <w:rStyle w:val="41"/>
          <w:rFonts w:hint="eastAsia" w:ascii="宋体" w:hAnsi="宋体"/>
          <w:bCs/>
          <w:color w:val="000000"/>
          <w:sz w:val="28"/>
          <w:szCs w:val="28"/>
          <w:highlight w:val="none"/>
          <w:lang w:eastAsia="zh-CN"/>
        </w:rPr>
        <w:t>乌鲁木齐市水磨沟区安居南路191号</w:t>
      </w:r>
    </w:p>
    <w:p w14:paraId="491B5836">
      <w:pPr>
        <w:snapToGrid w:val="0"/>
        <w:spacing w:line="480" w:lineRule="auto"/>
        <w:ind w:firstLine="357"/>
        <w:rPr>
          <w:rStyle w:val="41"/>
          <w:rFonts w:ascii="宋体" w:hAnsi="宋体"/>
          <w:bCs/>
          <w:color w:val="000000"/>
          <w:sz w:val="28"/>
          <w:szCs w:val="28"/>
          <w:highlight w:val="none"/>
        </w:rPr>
      </w:pPr>
    </w:p>
    <w:p w14:paraId="5BCABB21">
      <w:pPr>
        <w:snapToGrid w:val="0"/>
        <w:spacing w:line="480" w:lineRule="auto"/>
        <w:ind w:firstLine="357"/>
        <w:rPr>
          <w:rStyle w:val="41"/>
          <w:rFonts w:ascii="宋体" w:hAnsi="宋体"/>
          <w:bCs/>
          <w:color w:val="000000"/>
          <w:sz w:val="28"/>
          <w:szCs w:val="28"/>
          <w:highlight w:val="none"/>
        </w:rPr>
      </w:pPr>
    </w:p>
    <w:p w14:paraId="5E17F8FD">
      <w:pPr>
        <w:snapToGrid w:val="0"/>
        <w:spacing w:line="480" w:lineRule="auto"/>
        <w:ind w:firstLine="357"/>
        <w:rPr>
          <w:rStyle w:val="41"/>
          <w:rFonts w:ascii="宋体" w:hAnsi="宋体"/>
          <w:bCs/>
          <w:color w:val="000000"/>
          <w:sz w:val="28"/>
          <w:szCs w:val="28"/>
          <w:highlight w:val="none"/>
        </w:rPr>
      </w:pPr>
      <w:r>
        <w:rPr>
          <w:rStyle w:val="41"/>
          <w:rFonts w:hint="eastAsia" w:ascii="宋体" w:hAnsi="宋体"/>
          <w:bCs/>
          <w:color w:val="000000"/>
          <w:sz w:val="28"/>
          <w:szCs w:val="28"/>
          <w:highlight w:val="none"/>
        </w:rPr>
        <w:t>采购代理机构</w:t>
      </w:r>
      <w:r>
        <w:rPr>
          <w:rStyle w:val="41"/>
          <w:rFonts w:ascii="宋体" w:hAnsi="宋体"/>
          <w:bCs/>
          <w:color w:val="000000"/>
          <w:sz w:val="28"/>
          <w:szCs w:val="28"/>
          <w:highlight w:val="none"/>
        </w:rPr>
        <w:t>（盖章）:新疆拓源工程管理咨询有限公司</w:t>
      </w:r>
    </w:p>
    <w:p w14:paraId="18F80E83">
      <w:pPr>
        <w:snapToGrid w:val="0"/>
        <w:spacing w:line="480" w:lineRule="auto"/>
        <w:ind w:firstLine="357"/>
        <w:rPr>
          <w:rFonts w:ascii="宋体" w:hAnsi="宋体"/>
          <w:bCs/>
          <w:color w:val="000000"/>
          <w:sz w:val="28"/>
          <w:szCs w:val="28"/>
          <w:highlight w:val="none"/>
        </w:rPr>
      </w:pPr>
      <w:r>
        <w:rPr>
          <w:rStyle w:val="41"/>
          <w:rFonts w:ascii="宋体" w:hAnsi="宋体"/>
          <w:bCs/>
          <w:color w:val="000000"/>
          <w:spacing w:val="35"/>
          <w:kern w:val="0"/>
          <w:sz w:val="28"/>
          <w:szCs w:val="28"/>
          <w:highlight w:val="none"/>
        </w:rPr>
        <w:t>法定代表</w:t>
      </w:r>
      <w:r>
        <w:rPr>
          <w:rStyle w:val="41"/>
          <w:rFonts w:ascii="宋体" w:hAnsi="宋体"/>
          <w:bCs/>
          <w:color w:val="000000"/>
          <w:spacing w:val="3"/>
          <w:kern w:val="0"/>
          <w:sz w:val="28"/>
          <w:szCs w:val="28"/>
          <w:highlight w:val="none"/>
        </w:rPr>
        <w:t>人</w:t>
      </w:r>
      <w:r>
        <w:rPr>
          <w:rStyle w:val="41"/>
          <w:rFonts w:ascii="宋体" w:hAnsi="宋体"/>
          <w:bCs/>
          <w:color w:val="000000"/>
          <w:sz w:val="28"/>
          <w:szCs w:val="28"/>
          <w:highlight w:val="none"/>
        </w:rPr>
        <w:t>（盖章）:石崇华</w:t>
      </w:r>
    </w:p>
    <w:p w14:paraId="451AF325">
      <w:pPr>
        <w:snapToGrid w:val="0"/>
        <w:spacing w:line="480" w:lineRule="auto"/>
        <w:ind w:firstLine="357"/>
        <w:rPr>
          <w:rStyle w:val="41"/>
          <w:rFonts w:ascii="宋体" w:hAnsi="宋体"/>
          <w:bCs/>
          <w:color w:val="000000"/>
          <w:sz w:val="28"/>
          <w:szCs w:val="28"/>
          <w:highlight w:val="none"/>
        </w:rPr>
      </w:pPr>
      <w:r>
        <w:rPr>
          <w:rStyle w:val="41"/>
          <w:rFonts w:ascii="宋体" w:hAnsi="宋体"/>
          <w:bCs/>
          <w:color w:val="000000"/>
          <w:spacing w:val="35"/>
          <w:kern w:val="0"/>
          <w:sz w:val="28"/>
          <w:szCs w:val="28"/>
          <w:highlight w:val="none"/>
        </w:rPr>
        <w:t>项</w:t>
      </w:r>
      <w:r>
        <w:rPr>
          <w:rStyle w:val="41"/>
          <w:rFonts w:hint="eastAsia" w:ascii="宋体" w:hAnsi="宋体"/>
          <w:bCs/>
          <w:color w:val="000000"/>
          <w:spacing w:val="35"/>
          <w:kern w:val="0"/>
          <w:sz w:val="28"/>
          <w:szCs w:val="28"/>
          <w:highlight w:val="none"/>
        </w:rPr>
        <w:t xml:space="preserve"> </w:t>
      </w:r>
      <w:r>
        <w:rPr>
          <w:rStyle w:val="41"/>
          <w:rFonts w:ascii="宋体" w:hAnsi="宋体"/>
          <w:bCs/>
          <w:color w:val="000000"/>
          <w:spacing w:val="35"/>
          <w:kern w:val="0"/>
          <w:sz w:val="28"/>
          <w:szCs w:val="28"/>
          <w:highlight w:val="none"/>
        </w:rPr>
        <w:t>目</w:t>
      </w:r>
      <w:r>
        <w:rPr>
          <w:rStyle w:val="41"/>
          <w:rFonts w:hint="eastAsia" w:ascii="宋体" w:hAnsi="宋体"/>
          <w:bCs/>
          <w:color w:val="000000"/>
          <w:spacing w:val="35"/>
          <w:kern w:val="0"/>
          <w:sz w:val="28"/>
          <w:szCs w:val="28"/>
          <w:highlight w:val="none"/>
        </w:rPr>
        <w:t xml:space="preserve"> 联系人</w:t>
      </w:r>
      <w:r>
        <w:rPr>
          <w:rStyle w:val="41"/>
          <w:rFonts w:ascii="宋体" w:hAnsi="宋体"/>
          <w:bCs/>
          <w:color w:val="000000"/>
          <w:sz w:val="28"/>
          <w:szCs w:val="28"/>
          <w:highlight w:val="none"/>
        </w:rPr>
        <w:t>：</w:t>
      </w:r>
      <w:r>
        <w:rPr>
          <w:rStyle w:val="41"/>
          <w:rFonts w:hint="eastAsia" w:ascii="宋体" w:hAnsi="宋体"/>
          <w:bCs/>
          <w:color w:val="000000"/>
          <w:sz w:val="28"/>
          <w:szCs w:val="28"/>
          <w:highlight w:val="none"/>
          <w:lang w:eastAsia="zh-CN"/>
        </w:rPr>
        <w:t>刘恒运、张曼、</w:t>
      </w:r>
      <w:r>
        <w:rPr>
          <w:rStyle w:val="41"/>
          <w:rFonts w:hint="eastAsia" w:ascii="宋体" w:hAnsi="宋体"/>
          <w:bCs/>
          <w:color w:val="000000"/>
          <w:sz w:val="28"/>
          <w:szCs w:val="28"/>
          <w:highlight w:val="none"/>
          <w:lang w:val="en-US" w:eastAsia="zh-CN"/>
        </w:rPr>
        <w:t>余宗键</w:t>
      </w:r>
      <w:r>
        <w:rPr>
          <w:rStyle w:val="41"/>
          <w:rFonts w:hint="eastAsia" w:ascii="宋体" w:hAnsi="宋体"/>
          <w:bCs/>
          <w:color w:val="000000"/>
          <w:sz w:val="28"/>
          <w:szCs w:val="28"/>
          <w:highlight w:val="none"/>
          <w:lang w:eastAsia="zh-CN"/>
        </w:rPr>
        <w:t>、田释月</w:t>
      </w:r>
    </w:p>
    <w:p w14:paraId="17B8228F">
      <w:pPr>
        <w:snapToGrid w:val="0"/>
        <w:spacing w:line="480" w:lineRule="auto"/>
        <w:ind w:firstLine="357"/>
        <w:rPr>
          <w:rStyle w:val="41"/>
          <w:rFonts w:ascii="宋体" w:hAnsi="宋体"/>
          <w:bCs/>
          <w:color w:val="000000"/>
          <w:sz w:val="28"/>
          <w:szCs w:val="28"/>
          <w:highlight w:val="none"/>
        </w:rPr>
      </w:pPr>
      <w:r>
        <w:rPr>
          <w:rStyle w:val="41"/>
          <w:rFonts w:ascii="宋体" w:hAnsi="宋体"/>
          <w:bCs/>
          <w:color w:val="000000"/>
          <w:spacing w:val="560"/>
          <w:kern w:val="0"/>
          <w:sz w:val="28"/>
          <w:szCs w:val="28"/>
          <w:highlight w:val="none"/>
        </w:rPr>
        <w:t>电</w:t>
      </w:r>
      <w:r>
        <w:rPr>
          <w:rStyle w:val="41"/>
          <w:rFonts w:ascii="宋体" w:hAnsi="宋体"/>
          <w:bCs/>
          <w:color w:val="000000"/>
          <w:kern w:val="0"/>
          <w:sz w:val="28"/>
          <w:szCs w:val="28"/>
          <w:highlight w:val="none"/>
        </w:rPr>
        <w:t>话</w:t>
      </w:r>
      <w:r>
        <w:rPr>
          <w:rStyle w:val="41"/>
          <w:rFonts w:ascii="宋体" w:hAnsi="宋体"/>
          <w:bCs/>
          <w:color w:val="000000"/>
          <w:sz w:val="28"/>
          <w:szCs w:val="28"/>
          <w:highlight w:val="none"/>
        </w:rPr>
        <w:t>：</w:t>
      </w:r>
      <w:r>
        <w:rPr>
          <w:rStyle w:val="41"/>
          <w:rFonts w:hint="eastAsia" w:ascii="宋体" w:hAnsi="宋体"/>
          <w:bCs/>
          <w:color w:val="000000"/>
          <w:sz w:val="28"/>
          <w:szCs w:val="28"/>
          <w:highlight w:val="none"/>
          <w:lang w:val="en-US" w:eastAsia="zh-CN"/>
        </w:rPr>
        <w:t>19909911103</w:t>
      </w:r>
    </w:p>
    <w:p w14:paraId="359B7B90">
      <w:pPr>
        <w:snapToGrid w:val="0"/>
        <w:spacing w:line="480" w:lineRule="auto"/>
        <w:ind w:firstLine="357"/>
        <w:rPr>
          <w:rStyle w:val="41"/>
          <w:rFonts w:ascii="宋体" w:hAnsi="宋体"/>
          <w:bCs/>
          <w:color w:val="000000"/>
          <w:sz w:val="28"/>
          <w:szCs w:val="28"/>
          <w:highlight w:val="none"/>
        </w:rPr>
      </w:pPr>
      <w:r>
        <w:rPr>
          <w:rStyle w:val="41"/>
          <w:rFonts w:ascii="宋体" w:hAnsi="宋体"/>
          <w:bCs/>
          <w:color w:val="000000"/>
          <w:spacing w:val="93"/>
          <w:kern w:val="0"/>
          <w:sz w:val="28"/>
          <w:szCs w:val="28"/>
          <w:highlight w:val="none"/>
        </w:rPr>
        <w:t>详细地</w:t>
      </w:r>
      <w:r>
        <w:rPr>
          <w:rStyle w:val="41"/>
          <w:rFonts w:ascii="宋体" w:hAnsi="宋体"/>
          <w:bCs/>
          <w:color w:val="000000"/>
          <w:spacing w:val="1"/>
          <w:kern w:val="0"/>
          <w:sz w:val="28"/>
          <w:szCs w:val="28"/>
          <w:highlight w:val="none"/>
        </w:rPr>
        <w:t>址</w:t>
      </w:r>
      <w:r>
        <w:rPr>
          <w:rStyle w:val="41"/>
          <w:rFonts w:hint="eastAsia" w:ascii="宋体" w:hAnsi="宋体"/>
          <w:bCs/>
          <w:color w:val="000000"/>
          <w:spacing w:val="1"/>
          <w:kern w:val="0"/>
          <w:sz w:val="28"/>
          <w:szCs w:val="28"/>
          <w:highlight w:val="none"/>
        </w:rPr>
        <w:t>：</w:t>
      </w:r>
      <w:r>
        <w:rPr>
          <w:rStyle w:val="41"/>
          <w:rFonts w:hint="eastAsia" w:ascii="宋体" w:hAnsi="宋体"/>
          <w:bCs/>
          <w:color w:val="000000"/>
          <w:sz w:val="28"/>
          <w:szCs w:val="28"/>
          <w:highlight w:val="none"/>
        </w:rPr>
        <w:t>乌鲁木齐市水磨沟区龙盛街898号万科中央公园S6栋5层</w:t>
      </w:r>
    </w:p>
    <w:p w14:paraId="42C68BBB">
      <w:pPr>
        <w:pStyle w:val="12"/>
        <w:rPr>
          <w:rStyle w:val="41"/>
          <w:rFonts w:ascii="宋体" w:hAnsi="宋体"/>
          <w:bCs/>
          <w:color w:val="000000"/>
          <w:sz w:val="28"/>
          <w:szCs w:val="28"/>
          <w:highlight w:val="none"/>
        </w:rPr>
      </w:pPr>
    </w:p>
    <w:p w14:paraId="75959B85">
      <w:pPr>
        <w:pStyle w:val="6"/>
        <w:rPr>
          <w:sz w:val="28"/>
          <w:szCs w:val="28"/>
          <w:highlight w:val="none"/>
        </w:rPr>
      </w:pPr>
    </w:p>
    <w:p w14:paraId="276689F1">
      <w:pPr>
        <w:snapToGrid w:val="0"/>
        <w:spacing w:after="120" w:line="480" w:lineRule="auto"/>
        <w:jc w:val="left"/>
        <w:rPr>
          <w:rFonts w:hint="eastAsia" w:eastAsia="宋体"/>
          <w:color w:val="000000"/>
          <w:sz w:val="28"/>
          <w:szCs w:val="28"/>
          <w:highlight w:val="none"/>
          <w:lang w:eastAsia="zh-CN"/>
        </w:rPr>
      </w:pPr>
      <w:r>
        <w:rPr>
          <w:rFonts w:ascii="宋体" w:hAnsi="宋体"/>
          <w:color w:val="000000"/>
          <w:sz w:val="28"/>
          <w:szCs w:val="28"/>
          <w:highlight w:val="none"/>
        </w:rPr>
        <w:t xml:space="preserve">                文件编制:</w:t>
      </w:r>
      <w:r>
        <w:rPr>
          <w:rFonts w:hint="eastAsia" w:ascii="宋体" w:hAnsi="宋体"/>
          <w:color w:val="000000"/>
          <w:sz w:val="28"/>
          <w:szCs w:val="28"/>
          <w:highlight w:val="none"/>
          <w:lang w:val="en-US" w:eastAsia="zh-CN"/>
        </w:rPr>
        <w:t>刘恒运</w:t>
      </w:r>
    </w:p>
    <w:p w14:paraId="22A945F0">
      <w:pPr>
        <w:snapToGrid w:val="0"/>
        <w:spacing w:after="120" w:line="480" w:lineRule="auto"/>
        <w:jc w:val="left"/>
        <w:rPr>
          <w:color w:val="000000"/>
          <w:sz w:val="28"/>
          <w:szCs w:val="28"/>
          <w:highlight w:val="none"/>
        </w:rPr>
      </w:pPr>
      <w:r>
        <w:rPr>
          <w:rFonts w:ascii="宋体" w:hAnsi="宋体"/>
          <w:color w:val="000000"/>
          <w:sz w:val="28"/>
          <w:szCs w:val="28"/>
          <w:highlight w:val="none"/>
        </w:rPr>
        <w:t xml:space="preserve">                文件复核:</w:t>
      </w:r>
      <w:r>
        <w:rPr>
          <w:rFonts w:hint="eastAsia" w:ascii="宋体" w:hAnsi="宋体"/>
          <w:color w:val="000000"/>
          <w:sz w:val="28"/>
          <w:szCs w:val="28"/>
          <w:highlight w:val="none"/>
          <w:lang w:val="en-US" w:eastAsia="zh-CN"/>
        </w:rPr>
        <w:t>张曼</w:t>
      </w:r>
      <w:r>
        <w:rPr>
          <w:rFonts w:hint="eastAsia" w:ascii="宋体" w:hAnsi="宋体"/>
          <w:color w:val="000000"/>
          <w:sz w:val="28"/>
          <w:szCs w:val="28"/>
          <w:highlight w:val="none"/>
        </w:rPr>
        <w:t xml:space="preserve"> </w:t>
      </w:r>
    </w:p>
    <w:p w14:paraId="0325F38D">
      <w:pPr>
        <w:snapToGrid w:val="0"/>
        <w:spacing w:after="120" w:line="480" w:lineRule="auto"/>
        <w:jc w:val="left"/>
        <w:rPr>
          <w:rFonts w:ascii="宋体" w:hAnsi="宋体"/>
          <w:color w:val="000000"/>
          <w:sz w:val="28"/>
          <w:szCs w:val="28"/>
          <w:highlight w:val="none"/>
        </w:rPr>
      </w:pPr>
      <w:r>
        <w:rPr>
          <w:rFonts w:ascii="宋体" w:hAnsi="宋体"/>
          <w:color w:val="000000"/>
          <w:sz w:val="28"/>
          <w:szCs w:val="28"/>
          <w:highlight w:val="none"/>
        </w:rPr>
        <w:t xml:space="preserve">                文件终审:</w:t>
      </w:r>
      <w:r>
        <w:rPr>
          <w:rFonts w:hint="eastAsia" w:ascii="宋体" w:hAnsi="宋体"/>
          <w:color w:val="000000"/>
          <w:sz w:val="28"/>
          <w:szCs w:val="28"/>
          <w:highlight w:val="none"/>
          <w:lang w:val="en-US" w:eastAsia="zh-CN"/>
        </w:rPr>
        <w:t>田释月</w:t>
      </w:r>
      <w:r>
        <w:rPr>
          <w:rFonts w:ascii="宋体" w:hAnsi="宋体"/>
          <w:color w:val="000000"/>
          <w:sz w:val="28"/>
          <w:szCs w:val="28"/>
          <w:highlight w:val="none"/>
        </w:rPr>
        <w:t xml:space="preserve">   </w:t>
      </w:r>
    </w:p>
    <w:p w14:paraId="44B27114">
      <w:pPr>
        <w:snapToGrid w:val="0"/>
        <w:spacing w:after="120" w:line="480" w:lineRule="auto"/>
        <w:jc w:val="left"/>
        <w:rPr>
          <w:rFonts w:ascii="宋体" w:hAnsi="宋体"/>
          <w:color w:val="000000"/>
          <w:sz w:val="28"/>
          <w:szCs w:val="28"/>
          <w:highlight w:val="none"/>
        </w:rPr>
      </w:pPr>
      <w:r>
        <w:rPr>
          <w:rFonts w:ascii="宋体" w:hAnsi="宋体"/>
          <w:color w:val="000000"/>
          <w:sz w:val="28"/>
          <w:szCs w:val="28"/>
          <w:highlight w:val="none"/>
        </w:rPr>
        <w:t xml:space="preserve">                法律顾问:杜红</w:t>
      </w:r>
    </w:p>
    <w:p w14:paraId="329A6358">
      <w:pPr>
        <w:snapToGrid w:val="0"/>
        <w:spacing w:after="120" w:line="540" w:lineRule="exact"/>
        <w:jc w:val="left"/>
        <w:rPr>
          <w:rFonts w:ascii="宋体" w:hAnsi="宋体"/>
          <w:color w:val="000000"/>
          <w:sz w:val="28"/>
          <w:szCs w:val="28"/>
          <w:highlight w:val="none"/>
        </w:rPr>
      </w:pPr>
    </w:p>
    <w:p w14:paraId="5ECAFE1A">
      <w:pPr>
        <w:snapToGrid w:val="0"/>
        <w:spacing w:after="120" w:line="540" w:lineRule="exact"/>
        <w:jc w:val="left"/>
        <w:rPr>
          <w:rFonts w:ascii="宋体" w:hAnsi="宋体"/>
          <w:color w:val="000000"/>
          <w:sz w:val="28"/>
          <w:szCs w:val="28"/>
          <w:highlight w:val="none"/>
        </w:rPr>
      </w:pPr>
    </w:p>
    <w:p w14:paraId="2E5FAA42">
      <w:pPr>
        <w:snapToGrid w:val="0"/>
        <w:spacing w:after="120" w:line="540" w:lineRule="exact"/>
        <w:jc w:val="left"/>
        <w:rPr>
          <w:rFonts w:ascii="宋体" w:hAnsi="宋体"/>
          <w:color w:val="000000"/>
          <w:sz w:val="28"/>
          <w:szCs w:val="28"/>
          <w:highlight w:val="none"/>
        </w:rPr>
      </w:pPr>
    </w:p>
    <w:p w14:paraId="04EC7715">
      <w:pPr>
        <w:snapToGrid w:val="0"/>
        <w:spacing w:after="120" w:line="540" w:lineRule="exact"/>
        <w:jc w:val="left"/>
        <w:rPr>
          <w:rFonts w:ascii="宋体" w:hAnsi="宋体"/>
          <w:color w:val="000000"/>
          <w:sz w:val="28"/>
          <w:szCs w:val="28"/>
          <w:highlight w:val="none"/>
        </w:rPr>
      </w:pPr>
    </w:p>
    <w:p w14:paraId="5C93C348">
      <w:pPr>
        <w:snapToGrid w:val="0"/>
        <w:spacing w:after="120" w:line="540" w:lineRule="exact"/>
        <w:jc w:val="left"/>
        <w:rPr>
          <w:rFonts w:ascii="宋体" w:hAnsi="宋体"/>
          <w:color w:val="000000"/>
          <w:sz w:val="28"/>
          <w:szCs w:val="28"/>
          <w:highlight w:val="none"/>
        </w:rPr>
      </w:pPr>
    </w:p>
    <w:p w14:paraId="7D2A8AAC">
      <w:pPr>
        <w:snapToGrid w:val="0"/>
        <w:spacing w:after="120" w:line="540" w:lineRule="exact"/>
        <w:jc w:val="left"/>
        <w:rPr>
          <w:rFonts w:ascii="宋体" w:hAnsi="宋体"/>
          <w:color w:val="000000"/>
          <w:sz w:val="44"/>
          <w:highlight w:val="none"/>
        </w:rPr>
      </w:pPr>
    </w:p>
    <w:p w14:paraId="39810DAF">
      <w:pPr>
        <w:rPr>
          <w:highlight w:val="none"/>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4B7611CA">
      <w:pPr>
        <w:spacing w:line="500" w:lineRule="exact"/>
        <w:jc w:val="center"/>
        <w:outlineLvl w:val="0"/>
        <w:rPr>
          <w:rFonts w:hint="eastAsia" w:ascii="宋体" w:hAnsi="宋体" w:eastAsia="宋体" w:cs="宋体"/>
          <w:b/>
          <w:color w:val="000000"/>
          <w:sz w:val="24"/>
          <w:szCs w:val="24"/>
          <w:highlight w:val="none"/>
        </w:rPr>
      </w:pPr>
      <w:bookmarkStart w:id="0" w:name="_Toc9822"/>
      <w:bookmarkStart w:id="1" w:name="_Toc31371"/>
      <w:r>
        <w:rPr>
          <w:rFonts w:hint="eastAsia" w:ascii="宋体" w:hAnsi="宋体" w:eastAsia="宋体" w:cs="宋体"/>
          <w:b/>
          <w:color w:val="000000"/>
          <w:sz w:val="24"/>
          <w:szCs w:val="24"/>
          <w:highlight w:val="none"/>
        </w:rPr>
        <w:t>目    录</w:t>
      </w:r>
      <w:bookmarkEnd w:id="0"/>
      <w:bookmarkEnd w:id="1"/>
    </w:p>
    <w:p w14:paraId="6E2C7BC8">
      <w:pPr>
        <w:pStyle w:val="21"/>
        <w:tabs>
          <w:tab w:val="right" w:leader="dot" w:pos="8959"/>
        </w:tabs>
        <w:rPr>
          <w:rFonts w:hint="eastAsia" w:ascii="宋体" w:hAnsi="宋体" w:eastAsia="宋体" w:cs="宋体"/>
          <w:color w:val="000000"/>
          <w:sz w:val="24"/>
          <w:szCs w:val="24"/>
          <w:highlight w:val="none"/>
        </w:rPr>
      </w:pPr>
    </w:p>
    <w:sdt>
      <w:sdtPr>
        <w:rPr>
          <w:rFonts w:ascii="宋体" w:hAnsi="宋体" w:eastAsia="宋体" w:cs="Times New Roman"/>
          <w:kern w:val="2"/>
          <w:sz w:val="18"/>
          <w:szCs w:val="21"/>
          <w:highlight w:val="none"/>
          <w:lang w:val="en-US" w:eastAsia="zh-CN" w:bidi="ar-SA"/>
        </w:rPr>
        <w:id w:val="147476755"/>
        <w15:color w:val="DBDBDB"/>
        <w:docPartObj>
          <w:docPartGallery w:val="Table of Contents"/>
          <w:docPartUnique/>
        </w:docPartObj>
      </w:sdtPr>
      <w:sdtEndPr>
        <w:rPr>
          <w:rFonts w:ascii="宋体" w:hAnsi="宋体" w:eastAsia="宋体" w:cs="宋体"/>
          <w:bCs w:val="0"/>
          <w:color w:val="000000"/>
          <w:kern w:val="44"/>
          <w:sz w:val="44"/>
          <w:szCs w:val="24"/>
          <w:highlight w:val="none"/>
          <w:lang w:val="en-US" w:eastAsia="zh-CN" w:bidi="ar-SA"/>
        </w:rPr>
      </w:sdtEndPr>
      <w:sdtContent>
        <w:p w14:paraId="6BB2A8E7">
          <w:pPr>
            <w:spacing w:before="0" w:beforeLines="0" w:after="0" w:afterLines="0" w:line="240" w:lineRule="auto"/>
            <w:ind w:left="0" w:leftChars="0" w:right="0" w:rightChars="0" w:firstLine="0" w:firstLineChars="0"/>
            <w:jc w:val="center"/>
            <w:rPr>
              <w:sz w:val="18"/>
              <w:szCs w:val="21"/>
              <w:highlight w:val="none"/>
            </w:rPr>
          </w:pPr>
        </w:p>
        <w:p w14:paraId="698D15EA">
          <w:pPr>
            <w:pStyle w:val="81"/>
            <w:tabs>
              <w:tab w:val="right" w:leader="dot" w:pos="9747"/>
            </w:tabs>
            <w:spacing w:line="480" w:lineRule="auto"/>
            <w:rPr>
              <w:sz w:val="28"/>
              <w:szCs w:val="28"/>
              <w:highlight w:val="none"/>
            </w:rPr>
          </w:pPr>
          <w:r>
            <w:rPr>
              <w:rFonts w:ascii="宋体" w:hAnsi="宋体" w:cs="宋体"/>
              <w:bCs w:val="0"/>
              <w:color w:val="000000"/>
              <w:sz w:val="40"/>
              <w:szCs w:val="40"/>
              <w:highlight w:val="none"/>
            </w:rPr>
            <w:fldChar w:fldCharType="begin"/>
          </w:r>
          <w:r>
            <w:rPr>
              <w:rFonts w:ascii="宋体" w:hAnsi="宋体" w:cs="宋体"/>
              <w:bCs w:val="0"/>
              <w:color w:val="000000"/>
              <w:sz w:val="40"/>
              <w:szCs w:val="40"/>
              <w:highlight w:val="none"/>
            </w:rPr>
            <w:instrText xml:space="preserve">TOC \o "1-1" \h \u </w:instrText>
          </w:r>
          <w:r>
            <w:rPr>
              <w:rFonts w:ascii="宋体" w:hAnsi="宋体" w:cs="宋体"/>
              <w:bCs w:val="0"/>
              <w:color w:val="000000"/>
              <w:sz w:val="40"/>
              <w:szCs w:val="40"/>
              <w:highlight w:val="none"/>
            </w:rPr>
            <w:fldChar w:fldCharType="separate"/>
          </w: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_Toc24711 </w:instrText>
          </w:r>
          <w:r>
            <w:rPr>
              <w:rFonts w:ascii="宋体" w:hAnsi="宋体" w:cs="宋体"/>
              <w:bCs w:val="0"/>
              <w:sz w:val="28"/>
              <w:szCs w:val="40"/>
              <w:highlight w:val="none"/>
            </w:rPr>
            <w:fldChar w:fldCharType="separate"/>
          </w:r>
          <w:r>
            <w:rPr>
              <w:rFonts w:hint="eastAsia"/>
              <w:sz w:val="28"/>
              <w:szCs w:val="28"/>
              <w:highlight w:val="none"/>
            </w:rPr>
            <w:t>第一章  招标公告</w:t>
          </w:r>
          <w:r>
            <w:rPr>
              <w:sz w:val="28"/>
              <w:szCs w:val="28"/>
              <w:highlight w:val="none"/>
            </w:rPr>
            <w:tab/>
          </w:r>
          <w:r>
            <w:rPr>
              <w:sz w:val="28"/>
              <w:szCs w:val="28"/>
              <w:highlight w:val="none"/>
            </w:rPr>
            <w:fldChar w:fldCharType="begin"/>
          </w:r>
          <w:r>
            <w:rPr>
              <w:sz w:val="28"/>
              <w:szCs w:val="28"/>
              <w:highlight w:val="none"/>
            </w:rPr>
            <w:instrText xml:space="preserve"> PAGEREF _Toc24711 \h </w:instrText>
          </w:r>
          <w:r>
            <w:rPr>
              <w:sz w:val="28"/>
              <w:szCs w:val="28"/>
              <w:highlight w:val="none"/>
            </w:rPr>
            <w:fldChar w:fldCharType="separate"/>
          </w:r>
          <w:r>
            <w:rPr>
              <w:sz w:val="28"/>
              <w:szCs w:val="28"/>
              <w:highlight w:val="none"/>
            </w:rPr>
            <w:t>1</w:t>
          </w:r>
          <w:r>
            <w:rPr>
              <w:sz w:val="28"/>
              <w:szCs w:val="28"/>
              <w:highlight w:val="none"/>
            </w:rPr>
            <w:fldChar w:fldCharType="end"/>
          </w:r>
          <w:r>
            <w:rPr>
              <w:rFonts w:ascii="宋体" w:hAnsi="宋体" w:cs="宋体"/>
              <w:bCs w:val="0"/>
              <w:color w:val="000000"/>
              <w:sz w:val="28"/>
              <w:szCs w:val="40"/>
              <w:highlight w:val="none"/>
            </w:rPr>
            <w:fldChar w:fldCharType="end"/>
          </w:r>
        </w:p>
        <w:p w14:paraId="46D8D854">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_Toc12635 </w:instrText>
          </w:r>
          <w:r>
            <w:rPr>
              <w:rFonts w:ascii="宋体" w:hAnsi="宋体" w:cs="宋体"/>
              <w:bCs w:val="0"/>
              <w:sz w:val="28"/>
              <w:szCs w:val="40"/>
              <w:highlight w:val="none"/>
            </w:rPr>
            <w:fldChar w:fldCharType="separate"/>
          </w:r>
          <w:r>
            <w:rPr>
              <w:rFonts w:hint="eastAsia"/>
              <w:sz w:val="28"/>
              <w:szCs w:val="28"/>
              <w:highlight w:val="none"/>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_Toc12635 \h </w:instrText>
          </w:r>
          <w:r>
            <w:rPr>
              <w:sz w:val="28"/>
              <w:szCs w:val="28"/>
              <w:highlight w:val="none"/>
            </w:rPr>
            <w:fldChar w:fldCharType="separate"/>
          </w:r>
          <w:r>
            <w:rPr>
              <w:sz w:val="28"/>
              <w:szCs w:val="28"/>
              <w:highlight w:val="none"/>
            </w:rPr>
            <w:t>4</w:t>
          </w:r>
          <w:r>
            <w:rPr>
              <w:sz w:val="28"/>
              <w:szCs w:val="28"/>
              <w:highlight w:val="none"/>
            </w:rPr>
            <w:fldChar w:fldCharType="end"/>
          </w:r>
          <w:r>
            <w:rPr>
              <w:rFonts w:ascii="宋体" w:hAnsi="宋体" w:cs="宋体"/>
              <w:bCs w:val="0"/>
              <w:color w:val="000000"/>
              <w:sz w:val="28"/>
              <w:szCs w:val="40"/>
              <w:highlight w:val="none"/>
            </w:rPr>
            <w:fldChar w:fldCharType="end"/>
          </w:r>
        </w:p>
        <w:p w14:paraId="7DFF9AD7">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_Toc12260 </w:instrText>
          </w:r>
          <w:r>
            <w:rPr>
              <w:rFonts w:ascii="宋体" w:hAnsi="宋体" w:cs="宋体"/>
              <w:bCs w:val="0"/>
              <w:sz w:val="28"/>
              <w:szCs w:val="40"/>
              <w:highlight w:val="none"/>
            </w:rPr>
            <w:fldChar w:fldCharType="separate"/>
          </w:r>
          <w:r>
            <w:rPr>
              <w:rFonts w:hint="eastAsia"/>
              <w:sz w:val="28"/>
              <w:szCs w:val="28"/>
              <w:highlight w:val="none"/>
            </w:rPr>
            <w:t>第三章  投标文件格式</w:t>
          </w:r>
          <w:r>
            <w:rPr>
              <w:sz w:val="28"/>
              <w:szCs w:val="28"/>
              <w:highlight w:val="none"/>
            </w:rPr>
            <w:tab/>
          </w:r>
          <w:r>
            <w:rPr>
              <w:sz w:val="28"/>
              <w:szCs w:val="28"/>
              <w:highlight w:val="none"/>
            </w:rPr>
            <w:fldChar w:fldCharType="begin"/>
          </w:r>
          <w:r>
            <w:rPr>
              <w:sz w:val="28"/>
              <w:szCs w:val="28"/>
              <w:highlight w:val="none"/>
            </w:rPr>
            <w:instrText xml:space="preserve"> PAGEREF _Toc12260 \h </w:instrText>
          </w:r>
          <w:r>
            <w:rPr>
              <w:sz w:val="28"/>
              <w:szCs w:val="28"/>
              <w:highlight w:val="none"/>
            </w:rPr>
            <w:fldChar w:fldCharType="separate"/>
          </w:r>
          <w:r>
            <w:rPr>
              <w:sz w:val="28"/>
              <w:szCs w:val="28"/>
              <w:highlight w:val="none"/>
            </w:rPr>
            <w:t>23</w:t>
          </w:r>
          <w:r>
            <w:rPr>
              <w:sz w:val="28"/>
              <w:szCs w:val="28"/>
              <w:highlight w:val="none"/>
            </w:rPr>
            <w:fldChar w:fldCharType="end"/>
          </w:r>
          <w:r>
            <w:rPr>
              <w:rFonts w:ascii="宋体" w:hAnsi="宋体" w:cs="宋体"/>
              <w:bCs w:val="0"/>
              <w:color w:val="000000"/>
              <w:sz w:val="28"/>
              <w:szCs w:val="40"/>
              <w:highlight w:val="none"/>
            </w:rPr>
            <w:fldChar w:fldCharType="end"/>
          </w:r>
        </w:p>
        <w:p w14:paraId="06F70F11">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_Toc21616 </w:instrText>
          </w:r>
          <w:r>
            <w:rPr>
              <w:rFonts w:ascii="宋体" w:hAnsi="宋体" w:cs="宋体"/>
              <w:bCs w:val="0"/>
              <w:sz w:val="28"/>
              <w:szCs w:val="40"/>
              <w:highlight w:val="none"/>
            </w:rPr>
            <w:fldChar w:fldCharType="separate"/>
          </w:r>
          <w:r>
            <w:rPr>
              <w:rFonts w:hint="eastAsia"/>
              <w:sz w:val="28"/>
              <w:szCs w:val="28"/>
              <w:highlight w:val="none"/>
              <w:lang w:eastAsia="zh-CN"/>
            </w:rPr>
            <w:t>第四章  招标项目技术要求</w:t>
          </w:r>
          <w:r>
            <w:rPr>
              <w:sz w:val="28"/>
              <w:szCs w:val="28"/>
              <w:highlight w:val="none"/>
            </w:rPr>
            <w:tab/>
          </w:r>
          <w:r>
            <w:rPr>
              <w:sz w:val="28"/>
              <w:szCs w:val="28"/>
              <w:highlight w:val="none"/>
            </w:rPr>
            <w:fldChar w:fldCharType="begin"/>
          </w:r>
          <w:r>
            <w:rPr>
              <w:sz w:val="28"/>
              <w:szCs w:val="28"/>
              <w:highlight w:val="none"/>
            </w:rPr>
            <w:instrText xml:space="preserve"> PAGEREF _Toc21616 \h </w:instrText>
          </w:r>
          <w:r>
            <w:rPr>
              <w:sz w:val="28"/>
              <w:szCs w:val="28"/>
              <w:highlight w:val="none"/>
            </w:rPr>
            <w:fldChar w:fldCharType="separate"/>
          </w:r>
          <w:r>
            <w:rPr>
              <w:sz w:val="28"/>
              <w:szCs w:val="28"/>
              <w:highlight w:val="none"/>
            </w:rPr>
            <w:t>41</w:t>
          </w:r>
          <w:r>
            <w:rPr>
              <w:sz w:val="28"/>
              <w:szCs w:val="28"/>
              <w:highlight w:val="none"/>
            </w:rPr>
            <w:fldChar w:fldCharType="end"/>
          </w:r>
          <w:r>
            <w:rPr>
              <w:rFonts w:ascii="宋体" w:hAnsi="宋体" w:cs="宋体"/>
              <w:bCs w:val="0"/>
              <w:color w:val="000000"/>
              <w:sz w:val="28"/>
              <w:szCs w:val="40"/>
              <w:highlight w:val="none"/>
            </w:rPr>
            <w:fldChar w:fldCharType="end"/>
          </w:r>
        </w:p>
        <w:p w14:paraId="4A1A6CE7">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_Toc27846 </w:instrText>
          </w:r>
          <w:r>
            <w:rPr>
              <w:rFonts w:ascii="宋体" w:hAnsi="宋体" w:cs="宋体"/>
              <w:bCs w:val="0"/>
              <w:sz w:val="28"/>
              <w:szCs w:val="40"/>
              <w:highlight w:val="none"/>
            </w:rPr>
            <w:fldChar w:fldCharType="separate"/>
          </w:r>
          <w:r>
            <w:rPr>
              <w:rFonts w:hint="eastAsia"/>
              <w:sz w:val="28"/>
              <w:szCs w:val="28"/>
              <w:highlight w:val="none"/>
            </w:rPr>
            <w:t>第五章  评标办法</w:t>
          </w:r>
          <w:r>
            <w:rPr>
              <w:sz w:val="28"/>
              <w:szCs w:val="28"/>
              <w:highlight w:val="none"/>
            </w:rPr>
            <w:tab/>
          </w:r>
          <w:r>
            <w:rPr>
              <w:sz w:val="28"/>
              <w:szCs w:val="28"/>
              <w:highlight w:val="none"/>
            </w:rPr>
            <w:fldChar w:fldCharType="begin"/>
          </w:r>
          <w:r>
            <w:rPr>
              <w:sz w:val="28"/>
              <w:szCs w:val="28"/>
              <w:highlight w:val="none"/>
            </w:rPr>
            <w:instrText xml:space="preserve"> PAGEREF _Toc27846 \h </w:instrText>
          </w:r>
          <w:r>
            <w:rPr>
              <w:sz w:val="28"/>
              <w:szCs w:val="28"/>
              <w:highlight w:val="none"/>
            </w:rPr>
            <w:fldChar w:fldCharType="separate"/>
          </w:r>
          <w:r>
            <w:rPr>
              <w:sz w:val="28"/>
              <w:szCs w:val="28"/>
              <w:highlight w:val="none"/>
            </w:rPr>
            <w:t>46</w:t>
          </w:r>
          <w:r>
            <w:rPr>
              <w:sz w:val="28"/>
              <w:szCs w:val="28"/>
              <w:highlight w:val="none"/>
            </w:rPr>
            <w:fldChar w:fldCharType="end"/>
          </w:r>
          <w:r>
            <w:rPr>
              <w:rFonts w:ascii="宋体" w:hAnsi="宋体" w:cs="宋体"/>
              <w:bCs w:val="0"/>
              <w:color w:val="000000"/>
              <w:sz w:val="28"/>
              <w:szCs w:val="40"/>
              <w:highlight w:val="none"/>
            </w:rPr>
            <w:fldChar w:fldCharType="end"/>
          </w:r>
        </w:p>
        <w:p w14:paraId="11209309">
          <w:pPr>
            <w:pStyle w:val="81"/>
            <w:tabs>
              <w:tab w:val="right" w:leader="dot" w:pos="9747"/>
            </w:tabs>
            <w:spacing w:line="480" w:lineRule="auto"/>
            <w:rPr>
              <w:sz w:val="28"/>
              <w:szCs w:val="28"/>
              <w:highlight w:val="none"/>
            </w:rPr>
          </w:pPr>
          <w:r>
            <w:rPr>
              <w:rFonts w:ascii="宋体" w:hAnsi="宋体" w:cs="宋体"/>
              <w:bCs w:val="0"/>
              <w:color w:val="000000"/>
              <w:sz w:val="28"/>
              <w:szCs w:val="40"/>
              <w:highlight w:val="none"/>
            </w:rPr>
            <w:fldChar w:fldCharType="begin"/>
          </w:r>
          <w:r>
            <w:rPr>
              <w:rFonts w:ascii="宋体" w:hAnsi="宋体" w:cs="宋体"/>
              <w:bCs w:val="0"/>
              <w:sz w:val="28"/>
              <w:szCs w:val="40"/>
              <w:highlight w:val="none"/>
            </w:rPr>
            <w:instrText xml:space="preserve"> HYPERLINK \l _Toc7810 </w:instrText>
          </w:r>
          <w:r>
            <w:rPr>
              <w:rFonts w:ascii="宋体" w:hAnsi="宋体" w:cs="宋体"/>
              <w:bCs w:val="0"/>
              <w:sz w:val="28"/>
              <w:szCs w:val="40"/>
              <w:highlight w:val="none"/>
            </w:rPr>
            <w:fldChar w:fldCharType="separate"/>
          </w:r>
          <w:r>
            <w:rPr>
              <w:rFonts w:hint="eastAsia"/>
              <w:sz w:val="28"/>
              <w:szCs w:val="28"/>
              <w:highlight w:val="none"/>
            </w:rPr>
            <w:t>第六章  拟签订的合同文本</w:t>
          </w:r>
          <w:r>
            <w:rPr>
              <w:sz w:val="28"/>
              <w:szCs w:val="28"/>
              <w:highlight w:val="none"/>
            </w:rPr>
            <w:tab/>
          </w:r>
          <w:r>
            <w:rPr>
              <w:sz w:val="28"/>
              <w:szCs w:val="28"/>
              <w:highlight w:val="none"/>
            </w:rPr>
            <w:fldChar w:fldCharType="begin"/>
          </w:r>
          <w:r>
            <w:rPr>
              <w:sz w:val="28"/>
              <w:szCs w:val="28"/>
              <w:highlight w:val="none"/>
            </w:rPr>
            <w:instrText xml:space="preserve"> PAGEREF _Toc7810 \h </w:instrText>
          </w:r>
          <w:r>
            <w:rPr>
              <w:sz w:val="28"/>
              <w:szCs w:val="28"/>
              <w:highlight w:val="none"/>
            </w:rPr>
            <w:fldChar w:fldCharType="separate"/>
          </w:r>
          <w:r>
            <w:rPr>
              <w:sz w:val="28"/>
              <w:szCs w:val="28"/>
              <w:highlight w:val="none"/>
            </w:rPr>
            <w:t>57</w:t>
          </w:r>
          <w:r>
            <w:rPr>
              <w:sz w:val="28"/>
              <w:szCs w:val="28"/>
              <w:highlight w:val="none"/>
            </w:rPr>
            <w:fldChar w:fldCharType="end"/>
          </w:r>
          <w:r>
            <w:rPr>
              <w:rFonts w:ascii="宋体" w:hAnsi="宋体" w:cs="宋体"/>
              <w:bCs w:val="0"/>
              <w:color w:val="000000"/>
              <w:sz w:val="28"/>
              <w:szCs w:val="40"/>
              <w:highlight w:val="none"/>
            </w:rPr>
            <w:fldChar w:fldCharType="end"/>
          </w:r>
        </w:p>
        <w:p w14:paraId="57416BFF">
          <w:pPr>
            <w:pStyle w:val="2"/>
            <w:spacing w:line="480" w:lineRule="auto"/>
            <w:outlineLvl w:val="9"/>
            <w:rPr>
              <w:rFonts w:ascii="宋体" w:hAnsi="宋体" w:eastAsia="宋体" w:cs="宋体"/>
              <w:bCs w:val="0"/>
              <w:color w:val="000000"/>
              <w:kern w:val="44"/>
              <w:sz w:val="44"/>
              <w:szCs w:val="24"/>
              <w:highlight w:val="none"/>
              <w:lang w:val="en-US" w:eastAsia="zh-CN" w:bidi="ar-SA"/>
            </w:rPr>
          </w:pPr>
          <w:r>
            <w:rPr>
              <w:rFonts w:ascii="宋体" w:hAnsi="宋体" w:cs="宋体"/>
              <w:bCs w:val="0"/>
              <w:color w:val="000000"/>
              <w:sz w:val="60"/>
              <w:szCs w:val="40"/>
              <w:highlight w:val="none"/>
            </w:rPr>
            <w:fldChar w:fldCharType="end"/>
          </w:r>
        </w:p>
      </w:sdtContent>
    </w:sdt>
    <w:p w14:paraId="4C4448AE">
      <w:pPr>
        <w:pStyle w:val="3"/>
        <w:rPr>
          <w:highlight w:val="none"/>
        </w:rPr>
        <w:sectPr>
          <w:headerReference r:id="rId5" w:type="default"/>
          <w:footerReference r:id="rId6" w:type="default"/>
          <w:pgSz w:w="11907" w:h="16840"/>
          <w:pgMar w:top="1440" w:right="1080" w:bottom="1440" w:left="1080" w:header="851" w:footer="992" w:gutter="0"/>
          <w:pgBorders>
            <w:top w:val="none" w:sz="0" w:space="0"/>
            <w:left w:val="none" w:sz="0" w:space="0"/>
            <w:bottom w:val="none" w:sz="0" w:space="0"/>
            <w:right w:val="none" w:sz="0" w:space="0"/>
          </w:pgBorders>
          <w:pgNumType w:start="1"/>
          <w:cols w:space="720" w:num="1"/>
          <w:docGrid w:linePitch="312" w:charSpace="0"/>
        </w:sectPr>
      </w:pPr>
    </w:p>
    <w:p w14:paraId="0BA3EC98">
      <w:pPr>
        <w:pStyle w:val="4"/>
        <w:bidi w:val="0"/>
        <w:jc w:val="center"/>
        <w:outlineLvl w:val="0"/>
        <w:rPr>
          <w:rFonts w:hint="eastAsia"/>
          <w:sz w:val="24"/>
          <w:szCs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647_WPSOffice_Level1"/>
      <w:bookmarkStart w:id="3" w:name="_Toc24711"/>
      <w:bookmarkStart w:id="4" w:name="_Toc3427"/>
    </w:p>
    <w:p w14:paraId="1FE55804">
      <w:pPr>
        <w:pStyle w:val="4"/>
        <w:bidi w:val="0"/>
        <w:jc w:val="center"/>
        <w:outlineLvl w:val="0"/>
        <w:rPr>
          <w:rFonts w:hint="eastAsia"/>
          <w:sz w:val="24"/>
          <w:szCs w:val="24"/>
          <w:highlight w:val="none"/>
        </w:rPr>
      </w:pPr>
      <w:r>
        <w:rPr>
          <w:rFonts w:hint="eastAsia"/>
          <w:sz w:val="24"/>
          <w:szCs w:val="24"/>
          <w:highlight w:val="none"/>
        </w:rPr>
        <w:t xml:space="preserve">第一章  </w:t>
      </w:r>
      <w:bookmarkEnd w:id="2"/>
      <w:r>
        <w:rPr>
          <w:rFonts w:hint="eastAsia"/>
          <w:sz w:val="24"/>
          <w:szCs w:val="24"/>
          <w:highlight w:val="none"/>
        </w:rPr>
        <w:t>招标公告</w:t>
      </w:r>
      <w:bookmarkEnd w:id="3"/>
      <w:bookmarkEnd w:id="4"/>
    </w:p>
    <w:p w14:paraId="56C3492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bookmarkStart w:id="5" w:name="_Toc213496267"/>
      <w:bookmarkStart w:id="6" w:name="_Toc856_WPSOffice_Level1"/>
      <w:bookmarkStart w:id="7" w:name="_Toc213396759"/>
      <w:bookmarkStart w:id="8" w:name="_Toc213396945"/>
      <w:bookmarkStart w:id="9" w:name="_Toc213397009"/>
      <w:bookmarkStart w:id="10" w:name="_Toc217446031"/>
      <w:r>
        <w:rPr>
          <w:rFonts w:hint="eastAsia" w:ascii="宋体" w:hAnsi="宋体" w:eastAsia="宋体" w:cs="宋体"/>
          <w:sz w:val="24"/>
          <w:szCs w:val="24"/>
          <w:highlight w:val="none"/>
        </w:rPr>
        <w:t>项目概况</w:t>
      </w:r>
    </w:p>
    <w:p w14:paraId="19E44C66">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新疆塔里木河胡杨林生态系统国家定位观测研究站二期建设项目仪器设备采购</w:t>
      </w:r>
      <w:r>
        <w:rPr>
          <w:rFonts w:hint="eastAsia" w:ascii="宋体" w:hAnsi="宋体" w:eastAsia="宋体" w:cs="宋体"/>
          <w:sz w:val="24"/>
          <w:szCs w:val="24"/>
          <w:highlight w:val="none"/>
        </w:rPr>
        <w:t xml:space="preserve"> 招标项目的潜在投标人应在</w:t>
      </w:r>
      <w:r>
        <w:rPr>
          <w:rFonts w:hint="eastAsia" w:ascii="宋体" w:hAnsi="宋体" w:eastAsia="宋体" w:cs="宋体"/>
          <w:bCs/>
          <w:sz w:val="24"/>
          <w:szCs w:val="24"/>
          <w:highlight w:val="none"/>
          <w:u w:val="single"/>
        </w:rPr>
        <w:t>新疆政府采购云平台https://www.zcygov.cn/</w:t>
      </w:r>
      <w:r>
        <w:rPr>
          <w:rFonts w:hint="eastAsia" w:ascii="宋体" w:hAnsi="宋体" w:eastAsia="宋体" w:cs="宋体"/>
          <w:sz w:val="24"/>
          <w:szCs w:val="24"/>
          <w:highlight w:val="none"/>
        </w:rPr>
        <w:t>获取招标文件，并于</w:t>
      </w:r>
      <w:r>
        <w:rPr>
          <w:rFonts w:hint="eastAsia" w:ascii="宋体" w:hAnsi="宋体" w:eastAsia="宋体" w:cs="宋体"/>
          <w:color w:val="auto"/>
          <w:sz w:val="24"/>
          <w:szCs w:val="24"/>
          <w:highlight w:val="yellow"/>
          <w:u w:val="single"/>
        </w:rPr>
        <w:t>202</w:t>
      </w:r>
      <w:r>
        <w:rPr>
          <w:rFonts w:hint="eastAsia" w:ascii="宋体" w:hAnsi="宋体" w:cs="宋体"/>
          <w:color w:val="auto"/>
          <w:sz w:val="24"/>
          <w:szCs w:val="24"/>
          <w:highlight w:val="yellow"/>
          <w:u w:val="single"/>
          <w:lang w:val="en-US" w:eastAsia="zh-CN"/>
        </w:rPr>
        <w:t>6</w:t>
      </w:r>
      <w:r>
        <w:rPr>
          <w:rFonts w:hint="eastAsia" w:ascii="宋体" w:hAnsi="宋体" w:eastAsia="宋体" w:cs="宋体"/>
          <w:bCs/>
          <w:color w:val="auto"/>
          <w:sz w:val="24"/>
          <w:szCs w:val="24"/>
          <w:highlight w:val="yellow"/>
          <w:u w:val="single"/>
        </w:rPr>
        <w:t>年</w:t>
      </w:r>
      <w:r>
        <w:rPr>
          <w:rFonts w:hint="eastAsia" w:ascii="宋体" w:hAnsi="宋体" w:cs="宋体"/>
          <w:bCs/>
          <w:color w:val="auto"/>
          <w:sz w:val="24"/>
          <w:szCs w:val="24"/>
          <w:highlight w:val="yellow"/>
          <w:u w:val="single"/>
          <w:lang w:val="en-US" w:eastAsia="zh-CN"/>
        </w:rPr>
        <w:t>06</w:t>
      </w:r>
      <w:r>
        <w:rPr>
          <w:rFonts w:hint="eastAsia" w:ascii="宋体" w:hAnsi="宋体" w:eastAsia="宋体" w:cs="宋体"/>
          <w:bCs/>
          <w:color w:val="auto"/>
          <w:sz w:val="24"/>
          <w:szCs w:val="24"/>
          <w:highlight w:val="yellow"/>
          <w:u w:val="single"/>
        </w:rPr>
        <w:t>月</w:t>
      </w:r>
      <w:r>
        <w:rPr>
          <w:rFonts w:hint="eastAsia" w:ascii="宋体" w:hAnsi="宋体" w:cs="宋体"/>
          <w:bCs/>
          <w:color w:val="auto"/>
          <w:sz w:val="24"/>
          <w:szCs w:val="24"/>
          <w:highlight w:val="yellow"/>
          <w:u w:val="single"/>
          <w:lang w:val="en-US" w:eastAsia="zh-CN"/>
        </w:rPr>
        <w:t>23</w:t>
      </w:r>
      <w:r>
        <w:rPr>
          <w:rFonts w:hint="eastAsia" w:ascii="宋体" w:hAnsi="宋体" w:eastAsia="宋体" w:cs="宋体"/>
          <w:bCs/>
          <w:color w:val="auto"/>
          <w:sz w:val="24"/>
          <w:szCs w:val="24"/>
          <w:highlight w:val="yellow"/>
          <w:u w:val="single"/>
        </w:rPr>
        <w:t>日 11 点 00 分</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北京时间）前</w:t>
      </w:r>
      <w:r>
        <w:rPr>
          <w:rFonts w:hint="eastAsia" w:ascii="宋体" w:hAnsi="宋体" w:eastAsia="宋体" w:cs="宋体"/>
          <w:bCs/>
          <w:sz w:val="24"/>
          <w:szCs w:val="24"/>
          <w:highlight w:val="none"/>
          <w:lang w:eastAsia="zh-CN"/>
        </w:rPr>
        <w:t>上传</w:t>
      </w:r>
      <w:r>
        <w:rPr>
          <w:rFonts w:hint="eastAsia" w:ascii="宋体" w:hAnsi="宋体" w:eastAsia="宋体" w:cs="宋体"/>
          <w:bCs/>
          <w:sz w:val="24"/>
          <w:szCs w:val="24"/>
          <w:highlight w:val="none"/>
        </w:rPr>
        <w:t>投标文件</w:t>
      </w:r>
      <w:r>
        <w:rPr>
          <w:rFonts w:hint="eastAsia" w:ascii="宋体" w:hAnsi="宋体" w:eastAsia="宋体" w:cs="宋体"/>
          <w:sz w:val="24"/>
          <w:szCs w:val="24"/>
          <w:highlight w:val="none"/>
        </w:rPr>
        <w:t>。</w:t>
      </w:r>
    </w:p>
    <w:p w14:paraId="7E890D69">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bookmarkStart w:id="11" w:name="_Toc35393622"/>
      <w:bookmarkStart w:id="12" w:name="_Toc28359003"/>
      <w:bookmarkStart w:id="13" w:name="_Toc28359080"/>
      <w:bookmarkStart w:id="14" w:name="_Toc35393791"/>
      <w:r>
        <w:rPr>
          <w:rFonts w:hint="eastAsia" w:ascii="宋体" w:hAnsi="宋体" w:eastAsia="宋体" w:cs="宋体"/>
          <w:b w:val="0"/>
          <w:bCs/>
          <w:color w:val="auto"/>
          <w:sz w:val="24"/>
          <w:szCs w:val="24"/>
          <w:highlight w:val="none"/>
          <w:shd w:val="clear" w:color="auto" w:fill="auto"/>
        </w:rPr>
        <w:t>一、项目基本情况</w:t>
      </w:r>
      <w:r>
        <w:rPr>
          <w:rFonts w:hint="eastAsia" w:ascii="宋体" w:hAnsi="宋体" w:eastAsia="宋体" w:cs="宋体"/>
          <w:b w:val="0"/>
          <w:bCs/>
          <w:color w:val="auto"/>
          <w:sz w:val="24"/>
          <w:szCs w:val="24"/>
          <w:highlight w:val="none"/>
          <w:shd w:val="clear" w:color="auto" w:fill="auto"/>
          <w:lang w:eastAsia="zh-CN"/>
        </w:rPr>
        <w:t>：</w:t>
      </w:r>
    </w:p>
    <w:p w14:paraId="4D0B9F4B">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 xml:space="preserve">项目编号： </w:t>
      </w:r>
      <w:r>
        <w:rPr>
          <w:rFonts w:hint="eastAsia" w:ascii="宋体" w:hAnsi="宋体" w:eastAsia="宋体" w:cs="宋体"/>
          <w:b w:val="0"/>
          <w:bCs/>
          <w:color w:val="auto"/>
          <w:sz w:val="24"/>
          <w:szCs w:val="24"/>
          <w:highlight w:val="none"/>
          <w:shd w:val="clear" w:color="auto" w:fill="auto"/>
        </w:rPr>
        <w:fldChar w:fldCharType="begin"/>
      </w:r>
      <w:r>
        <w:rPr>
          <w:rFonts w:hint="eastAsia" w:ascii="宋体" w:hAnsi="宋体" w:eastAsia="宋体" w:cs="宋体"/>
          <w:b w:val="0"/>
          <w:bCs/>
          <w:color w:val="auto"/>
          <w:sz w:val="24"/>
          <w:szCs w:val="24"/>
          <w:highlight w:val="none"/>
          <w:shd w:val="clear" w:color="auto" w:fill="auto"/>
        </w:rPr>
        <w:instrText xml:space="preserve"> HYPERLINK "https://pay.zcygov.cn/purchaseplan_front/" \l "/plan/apply/detail/1000007196944" </w:instrText>
      </w:r>
      <w:r>
        <w:rPr>
          <w:rFonts w:hint="eastAsia" w:ascii="宋体" w:hAnsi="宋体" w:eastAsia="宋体" w:cs="宋体"/>
          <w:b w:val="0"/>
          <w:bCs/>
          <w:color w:val="auto"/>
          <w:sz w:val="24"/>
          <w:szCs w:val="24"/>
          <w:highlight w:val="none"/>
          <w:shd w:val="clear" w:color="auto" w:fill="auto"/>
        </w:rPr>
        <w:fldChar w:fldCharType="separate"/>
      </w:r>
      <w:r>
        <w:rPr>
          <w:rFonts w:hint="eastAsia" w:ascii="宋体" w:hAnsi="宋体" w:eastAsia="宋体" w:cs="宋体"/>
          <w:b w:val="0"/>
          <w:bCs/>
          <w:color w:val="auto"/>
          <w:sz w:val="24"/>
          <w:szCs w:val="24"/>
          <w:highlight w:val="none"/>
          <w:shd w:val="clear" w:color="auto" w:fill="auto"/>
        </w:rPr>
        <w:t>[2026]11802号</w:t>
      </w:r>
      <w:r>
        <w:rPr>
          <w:rFonts w:hint="eastAsia" w:ascii="宋体" w:hAnsi="宋体" w:eastAsia="宋体" w:cs="宋体"/>
          <w:b w:val="0"/>
          <w:bCs/>
          <w:color w:val="auto"/>
          <w:sz w:val="24"/>
          <w:szCs w:val="24"/>
          <w:highlight w:val="none"/>
          <w:shd w:val="clear" w:color="auto" w:fill="auto"/>
        </w:rPr>
        <w:fldChar w:fldCharType="end"/>
      </w:r>
    </w:p>
    <w:p w14:paraId="2FCE5CD8">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b w:val="0"/>
          <w:bCs/>
          <w:color w:val="auto"/>
          <w:sz w:val="24"/>
          <w:szCs w:val="24"/>
          <w:highlight w:val="none"/>
          <w:shd w:val="clear" w:color="auto" w:fill="auto"/>
        </w:rPr>
        <w:t>项目名称：</w:t>
      </w:r>
      <w:r>
        <w:rPr>
          <w:rFonts w:hint="eastAsia" w:hAnsi="宋体" w:cs="宋体"/>
          <w:sz w:val="24"/>
          <w:szCs w:val="24"/>
          <w:highlight w:val="none"/>
          <w:u w:val="none"/>
          <w:lang w:eastAsia="zh-CN"/>
        </w:rPr>
        <w:t>新疆塔里木河胡杨林生态系统国家定位观测研究站二期建设项目仪器设备采购</w:t>
      </w:r>
    </w:p>
    <w:p w14:paraId="46F60307">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采购方式：</w:t>
      </w:r>
      <w:r>
        <w:rPr>
          <w:rFonts w:hint="eastAsia" w:ascii="宋体" w:hAnsi="宋体" w:eastAsia="宋体" w:cs="宋体"/>
          <w:b w:val="0"/>
          <w:bCs/>
          <w:color w:val="auto"/>
          <w:sz w:val="24"/>
          <w:szCs w:val="24"/>
          <w:highlight w:val="none"/>
          <w:shd w:val="clear" w:color="auto" w:fill="auto"/>
          <w:lang w:val="en-US" w:eastAsia="zh-CN"/>
        </w:rPr>
        <w:t>公开招标</w:t>
      </w:r>
    </w:p>
    <w:p w14:paraId="0105BCA1">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预算金额（元）：2469000.00</w:t>
      </w:r>
    </w:p>
    <w:p w14:paraId="48A3B863">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最高限价（元）：</w:t>
      </w:r>
      <w:r>
        <w:rPr>
          <w:rFonts w:hint="eastAsia" w:hAnsi="宋体" w:cs="宋体"/>
          <w:b w:val="0"/>
          <w:bCs/>
          <w:color w:val="auto"/>
          <w:sz w:val="24"/>
          <w:szCs w:val="24"/>
          <w:highlight w:val="none"/>
          <w:shd w:val="clear" w:color="auto" w:fill="auto"/>
          <w:lang w:val="en-US" w:eastAsia="zh-CN"/>
        </w:rPr>
        <w:t>2446000.00</w:t>
      </w:r>
    </w:p>
    <w:p w14:paraId="2C400A84">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采购需求：</w:t>
      </w:r>
    </w:p>
    <w:p w14:paraId="027B31F7">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hAnsi="宋体" w:cs="宋体"/>
          <w:sz w:val="24"/>
          <w:szCs w:val="24"/>
          <w:highlight w:val="none"/>
          <w:u w:val="none"/>
          <w:lang w:eastAsia="zh-CN"/>
        </w:rPr>
      </w:pPr>
      <w:r>
        <w:rPr>
          <w:rFonts w:hint="eastAsia" w:ascii="宋体" w:hAnsi="宋体" w:eastAsia="宋体" w:cs="宋体"/>
          <w:b w:val="0"/>
          <w:bCs/>
          <w:color w:val="auto"/>
          <w:sz w:val="24"/>
          <w:szCs w:val="24"/>
          <w:highlight w:val="none"/>
          <w:shd w:val="clear" w:color="auto" w:fill="auto"/>
        </w:rPr>
        <w:t xml:space="preserve">   标项名称:</w:t>
      </w:r>
      <w:r>
        <w:rPr>
          <w:rFonts w:hint="eastAsia" w:hAnsi="宋体" w:cs="宋体"/>
          <w:sz w:val="24"/>
          <w:szCs w:val="24"/>
          <w:highlight w:val="none"/>
          <w:u w:val="none"/>
          <w:lang w:eastAsia="zh-CN"/>
        </w:rPr>
        <w:t>新疆塔里木河胡杨林生态系统国家定位观测研究站二期建设项目仪器设备采购</w:t>
      </w:r>
    </w:p>
    <w:p w14:paraId="427CA3EA">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eastAsia="zh-CN"/>
        </w:rPr>
      </w:pPr>
      <w:r>
        <w:rPr>
          <w:rFonts w:hint="eastAsia" w:ascii="宋体" w:hAnsi="宋体" w:eastAsia="宋体" w:cs="宋体"/>
          <w:b w:val="0"/>
          <w:bCs/>
          <w:color w:val="auto"/>
          <w:sz w:val="24"/>
          <w:szCs w:val="24"/>
          <w:highlight w:val="none"/>
          <w:shd w:val="clear" w:color="auto" w:fill="auto"/>
        </w:rPr>
        <w:t xml:space="preserve">   数量:</w:t>
      </w:r>
      <w:r>
        <w:rPr>
          <w:rFonts w:hint="eastAsia" w:ascii="宋体" w:hAnsi="宋体" w:eastAsia="宋体" w:cs="宋体"/>
          <w:b w:val="0"/>
          <w:bCs/>
          <w:color w:val="auto"/>
          <w:sz w:val="24"/>
          <w:szCs w:val="24"/>
          <w:highlight w:val="none"/>
          <w:shd w:val="clear" w:color="auto" w:fill="auto"/>
          <w:lang w:val="en-US" w:eastAsia="zh-CN"/>
        </w:rPr>
        <w:t>1</w:t>
      </w:r>
    </w:p>
    <w:p w14:paraId="6C3962E8">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预算金额（元）:2469000.00</w:t>
      </w:r>
      <w:bookmarkStart w:id="181" w:name="_GoBack"/>
      <w:bookmarkEnd w:id="181"/>
    </w:p>
    <w:p w14:paraId="3F763132">
      <w:pPr>
        <w:pStyle w:val="30"/>
        <w:spacing w:line="360" w:lineRule="auto"/>
        <w:ind w:firstLine="480"/>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 xml:space="preserve">   简要规格描述或项目基本概况介绍、用途：通过胡杨林生态定位站二期建设，进一步完善野外监测系统，提升监测能力，更好服务于塔河流域胡杨林生态治理，为区域生态建设提供数据支撑</w:t>
      </w:r>
      <w:r>
        <w:rPr>
          <w:rFonts w:hint="eastAsia" w:ascii="宋体" w:hAnsi="宋体" w:eastAsia="宋体" w:cs="宋体"/>
          <w:sz w:val="24"/>
          <w:szCs w:val="24"/>
          <w:highlight w:val="none"/>
          <w:lang w:val="en-US" w:eastAsia="zh-CN"/>
        </w:rPr>
        <w:t>；</w:t>
      </w:r>
    </w:p>
    <w:p w14:paraId="25C2244C">
      <w:pPr>
        <w:pStyle w:val="38"/>
        <w:spacing w:line="360" w:lineRule="auto"/>
        <w:ind w:firstLine="480"/>
        <w:rPr>
          <w:rFonts w:hint="eastAsia" w:ascii="宋体" w:hAnsi="宋体" w:eastAsia="宋体" w:cs="宋体"/>
          <w:b w:val="0"/>
          <w:bCs/>
          <w:color w:val="auto"/>
          <w:kern w:val="0"/>
          <w:sz w:val="24"/>
          <w:szCs w:val="24"/>
          <w:highlight w:val="none"/>
          <w:shd w:val="clear" w:color="auto" w:fill="auto"/>
          <w:lang w:val="en-US" w:eastAsia="zh-CN" w:bidi="ar-SA"/>
        </w:rPr>
      </w:pPr>
      <w:r>
        <w:rPr>
          <w:rFonts w:hint="eastAsia" w:ascii="宋体" w:hAnsi="宋体" w:eastAsia="宋体" w:cs="宋体"/>
          <w:b w:val="0"/>
          <w:bCs/>
          <w:color w:val="auto"/>
          <w:kern w:val="0"/>
          <w:sz w:val="24"/>
          <w:szCs w:val="24"/>
          <w:highlight w:val="none"/>
          <w:shd w:val="clear" w:color="auto" w:fill="auto"/>
          <w:lang w:val="en-US" w:eastAsia="zh-CN" w:bidi="ar-SA"/>
        </w:rPr>
        <w:t>备注：/</w:t>
      </w:r>
    </w:p>
    <w:p w14:paraId="184AA7C0">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合同履约期限：</w:t>
      </w:r>
      <w:r>
        <w:rPr>
          <w:rFonts w:hint="eastAsia" w:ascii="宋体" w:hAnsi="宋体" w:eastAsia="宋体" w:cs="宋体"/>
          <w:b w:val="0"/>
          <w:bCs/>
          <w:color w:val="auto"/>
          <w:sz w:val="24"/>
          <w:szCs w:val="24"/>
          <w:highlight w:val="none"/>
          <w:shd w:val="clear" w:color="auto" w:fill="auto"/>
          <w:lang w:val="en-US" w:eastAsia="zh-CN"/>
        </w:rPr>
        <w:t>详见招标文件</w:t>
      </w:r>
      <w:r>
        <w:rPr>
          <w:rFonts w:hint="eastAsia" w:ascii="宋体" w:hAnsi="宋体" w:eastAsia="宋体" w:cs="宋体"/>
          <w:b w:val="0"/>
          <w:bCs/>
          <w:color w:val="auto"/>
          <w:sz w:val="24"/>
          <w:szCs w:val="24"/>
          <w:highlight w:val="none"/>
          <w:shd w:val="clear" w:color="auto" w:fill="auto"/>
        </w:rPr>
        <w:t>。</w:t>
      </w:r>
    </w:p>
    <w:p w14:paraId="4F8308C7">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本项目（否）接受联合体投标。</w:t>
      </w:r>
    </w:p>
    <w:p w14:paraId="573559F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bookmarkEnd w:id="11"/>
      <w:bookmarkEnd w:id="12"/>
      <w:bookmarkEnd w:id="13"/>
      <w:bookmarkEnd w:id="14"/>
    </w:p>
    <w:p w14:paraId="02F253D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7A41C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5" w:name="_Toc28359081"/>
      <w:bookmarkStart w:id="16" w:name="_Toc28359004"/>
      <w:r>
        <w:rPr>
          <w:rFonts w:hint="eastAsia" w:ascii="宋体" w:hAnsi="宋体" w:eastAsia="宋体" w:cs="宋体"/>
          <w:sz w:val="24"/>
          <w:szCs w:val="24"/>
          <w:highlight w:val="none"/>
        </w:rPr>
        <w:t>2.落实政府采购政策需满足的资格要求：</w:t>
      </w:r>
    </w:p>
    <w:p w14:paraId="5850B34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b w:val="0"/>
          <w:bCs/>
          <w:color w:val="auto"/>
          <w:sz w:val="24"/>
          <w:szCs w:val="24"/>
          <w:highlight w:val="none"/>
          <w:shd w:val="clear" w:color="auto" w:fill="auto"/>
          <w:lang w:val="en-US" w:eastAsia="zh-CN"/>
        </w:rPr>
        <w:t>本项目为非专门面向中小企业（含中型、小型、微型企业）采购项目，根据《政府采购促进中小企业发展管理办法》（财库[2020]46号）的规定，评标时将给予小微企业进行价格10%的优惠，用优惠后的价格参与评审</w:t>
      </w:r>
      <w:r>
        <w:rPr>
          <w:rFonts w:hint="eastAsia" w:ascii="宋体" w:hAnsi="宋体" w:eastAsia="宋体" w:cs="宋体"/>
          <w:sz w:val="24"/>
          <w:szCs w:val="24"/>
          <w:highlight w:val="none"/>
        </w:rPr>
        <w:t>；</w:t>
      </w:r>
    </w:p>
    <w:p w14:paraId="2EA22276">
      <w:pPr>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本项目的特定资格要求：</w:t>
      </w:r>
      <w:r>
        <w:rPr>
          <w:rFonts w:hint="eastAsia" w:ascii="宋体" w:hAnsi="宋体" w:eastAsia="宋体" w:cs="宋体"/>
          <w:b w:val="0"/>
          <w:bCs/>
          <w:color w:val="auto"/>
          <w:sz w:val="24"/>
          <w:szCs w:val="24"/>
          <w:highlight w:val="none"/>
          <w:shd w:val="clear" w:color="auto" w:fill="auto"/>
          <w:lang w:eastAsia="zh-CN"/>
        </w:rPr>
        <w:t>单位负责人为同一人或者存在直接控股、管理关系的不同供应商，不得参加同一合同项下的采购活动</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b w:val="0"/>
          <w:bCs/>
          <w:color w:val="auto"/>
          <w:sz w:val="24"/>
          <w:szCs w:val="24"/>
          <w:highlight w:val="none"/>
          <w:shd w:val="clear" w:color="auto" w:fill="auto"/>
          <w:lang w:eastAsia="zh-CN"/>
        </w:rPr>
        <w:t>须</w:t>
      </w:r>
      <w:r>
        <w:rPr>
          <w:rFonts w:hint="eastAsia" w:ascii="宋体" w:hAnsi="宋体" w:eastAsia="宋体" w:cs="宋体"/>
          <w:b w:val="0"/>
          <w:bCs/>
          <w:color w:val="auto"/>
          <w:sz w:val="24"/>
          <w:szCs w:val="24"/>
          <w:highlight w:val="none"/>
          <w:shd w:val="clear" w:color="auto" w:fill="auto"/>
        </w:rPr>
        <w:t>提供书面声明</w:t>
      </w:r>
      <w:r>
        <w:rPr>
          <w:rFonts w:hint="eastAsia" w:ascii="宋体" w:hAnsi="宋体" w:eastAsia="宋体" w:cs="宋体"/>
          <w:b w:val="0"/>
          <w:bCs/>
          <w:color w:val="auto"/>
          <w:sz w:val="24"/>
          <w:szCs w:val="24"/>
          <w:highlight w:val="none"/>
          <w:shd w:val="clear" w:color="auto" w:fill="auto"/>
          <w:lang w:eastAsia="zh-CN"/>
        </w:rPr>
        <w:t>，供应商</w:t>
      </w:r>
      <w:r>
        <w:rPr>
          <w:rFonts w:hint="eastAsia" w:ascii="宋体" w:hAnsi="宋体" w:eastAsia="宋体" w:cs="宋体"/>
          <w:b w:val="0"/>
          <w:bCs/>
          <w:color w:val="auto"/>
          <w:sz w:val="24"/>
          <w:szCs w:val="24"/>
          <w:highlight w:val="none"/>
          <w:shd w:val="clear" w:color="auto" w:fill="auto"/>
        </w:rPr>
        <w:t xml:space="preserve">自行承诺并承担后果，声明函不实的，按《政府采购法》及相关法律法规中提供虚假材料的有关规定处理。】 </w:t>
      </w:r>
    </w:p>
    <w:p w14:paraId="7D6128E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17" w:name="_Toc35393792"/>
      <w:bookmarkStart w:id="18" w:name="_Toc35393623"/>
      <w:r>
        <w:rPr>
          <w:rFonts w:hint="eastAsia" w:ascii="宋体" w:hAnsi="宋体" w:eastAsia="宋体" w:cs="宋体"/>
          <w:sz w:val="24"/>
          <w:szCs w:val="24"/>
          <w:highlight w:val="none"/>
        </w:rPr>
        <w:t>三、获取招标文件</w:t>
      </w:r>
      <w:bookmarkEnd w:id="15"/>
      <w:bookmarkEnd w:id="16"/>
      <w:bookmarkEnd w:id="17"/>
      <w:bookmarkEnd w:id="18"/>
    </w:p>
    <w:p w14:paraId="1DE1DA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yellow"/>
        </w:rPr>
        <w:t>202</w:t>
      </w:r>
      <w:r>
        <w:rPr>
          <w:rFonts w:hint="eastAsia" w:ascii="宋体" w:hAnsi="宋体" w:cs="宋体"/>
          <w:sz w:val="24"/>
          <w:szCs w:val="24"/>
          <w:highlight w:val="yellow"/>
          <w:lang w:val="en-US" w:eastAsia="zh-CN"/>
        </w:rPr>
        <w:t>6</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06</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02</w:t>
      </w:r>
      <w:r>
        <w:rPr>
          <w:rFonts w:hint="eastAsia" w:ascii="宋体" w:hAnsi="宋体" w:eastAsia="宋体" w:cs="宋体"/>
          <w:sz w:val="24"/>
          <w:szCs w:val="24"/>
          <w:highlight w:val="yellow"/>
        </w:rPr>
        <w:t>日至202</w:t>
      </w:r>
      <w:r>
        <w:rPr>
          <w:rFonts w:hint="eastAsia" w:ascii="宋体" w:hAnsi="宋体" w:cs="宋体"/>
          <w:sz w:val="24"/>
          <w:szCs w:val="24"/>
          <w:highlight w:val="yellow"/>
          <w:lang w:val="en-US" w:eastAsia="zh-CN"/>
        </w:rPr>
        <w:t>6</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06</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09</w:t>
      </w:r>
      <w:r>
        <w:rPr>
          <w:rFonts w:hint="eastAsia" w:ascii="宋体" w:hAnsi="宋体" w:eastAsia="宋体" w:cs="宋体"/>
          <w:sz w:val="24"/>
          <w:szCs w:val="24"/>
          <w:highlight w:val="yellow"/>
        </w:rPr>
        <w:t>日</w:t>
      </w:r>
      <w:r>
        <w:rPr>
          <w:rFonts w:hint="eastAsia" w:ascii="宋体" w:hAnsi="宋体" w:eastAsia="宋体" w:cs="宋体"/>
          <w:sz w:val="24"/>
          <w:szCs w:val="24"/>
          <w:highlight w:val="none"/>
        </w:rPr>
        <w:t>，每天上午</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:00至</w:t>
      </w: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59</w:t>
      </w:r>
      <w:r>
        <w:rPr>
          <w:rFonts w:hint="eastAsia" w:ascii="宋体" w:hAnsi="宋体" w:eastAsia="宋体" w:cs="宋体"/>
          <w:sz w:val="24"/>
          <w:szCs w:val="24"/>
          <w:highlight w:val="none"/>
        </w:rPr>
        <w:t>（北京时间，线上获取法定节假日均可 ）</w:t>
      </w:r>
    </w:p>
    <w:p w14:paraId="12CC7801">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登陆政采云平台http://www.zcygov.cn/，在线申请获取招标文件（登录政府采购云平台 → 项目采购 → 获取招标文件→申请，审核通过后可下载招标文件，如有操作性问题，可与政采云在线客服进行咨询，咨询电话：95763）。</w:t>
      </w:r>
    </w:p>
    <w:p w14:paraId="30EF39AE">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方式：投标人登录新疆政府采购云平台https://www.zcygov.cn/在线申请获取</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（登录政府采购云平台 → 项目采购 → 获取招标文件→ 申请，审核通过后可下载招标文件）</w:t>
      </w:r>
    </w:p>
    <w:p w14:paraId="7319A964">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售价：0元</w:t>
      </w:r>
    </w:p>
    <w:p w14:paraId="23E9FDF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19" w:name="_Toc28359005"/>
      <w:bookmarkStart w:id="20" w:name="_Toc28359082"/>
      <w:bookmarkStart w:id="21" w:name="_Toc35393624"/>
      <w:bookmarkStart w:id="22" w:name="_Toc35393793"/>
      <w:r>
        <w:rPr>
          <w:rFonts w:hint="eastAsia" w:ascii="宋体" w:hAnsi="宋体" w:eastAsia="宋体" w:cs="宋体"/>
          <w:sz w:val="24"/>
          <w:szCs w:val="24"/>
          <w:highlight w:val="none"/>
        </w:rPr>
        <w:t>四、提交投标文件</w:t>
      </w:r>
      <w:bookmarkEnd w:id="19"/>
      <w:bookmarkEnd w:id="20"/>
      <w:r>
        <w:rPr>
          <w:rFonts w:hint="eastAsia" w:ascii="宋体" w:hAnsi="宋体" w:eastAsia="宋体" w:cs="宋体"/>
          <w:sz w:val="24"/>
          <w:szCs w:val="24"/>
          <w:highlight w:val="none"/>
        </w:rPr>
        <w:t>截止时间、开标时间和地点</w:t>
      </w:r>
      <w:bookmarkEnd w:id="21"/>
      <w:bookmarkEnd w:id="22"/>
    </w:p>
    <w:p w14:paraId="66EEADF5">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提交投标文件截止时间：</w:t>
      </w:r>
      <w:r>
        <w:rPr>
          <w:rFonts w:hint="eastAsia" w:ascii="宋体" w:hAnsi="宋体" w:eastAsia="宋体" w:cs="宋体"/>
          <w:color w:val="auto"/>
          <w:sz w:val="24"/>
          <w:szCs w:val="24"/>
          <w:highlight w:val="yellow"/>
          <w:u w:val="single"/>
        </w:rPr>
        <w:t>202</w:t>
      </w:r>
      <w:r>
        <w:rPr>
          <w:rFonts w:hint="eastAsia" w:ascii="宋体" w:hAnsi="宋体" w:cs="宋体"/>
          <w:color w:val="auto"/>
          <w:sz w:val="24"/>
          <w:szCs w:val="24"/>
          <w:highlight w:val="yellow"/>
          <w:u w:val="single"/>
          <w:lang w:val="en-US" w:eastAsia="zh-CN"/>
        </w:rPr>
        <w:t>6</w:t>
      </w:r>
      <w:r>
        <w:rPr>
          <w:rFonts w:hint="eastAsia" w:ascii="宋体" w:hAnsi="宋体" w:eastAsia="宋体" w:cs="宋体"/>
          <w:bCs/>
          <w:color w:val="auto"/>
          <w:sz w:val="24"/>
          <w:szCs w:val="24"/>
          <w:highlight w:val="yellow"/>
          <w:u w:val="single"/>
        </w:rPr>
        <w:t>年</w:t>
      </w:r>
      <w:r>
        <w:rPr>
          <w:rFonts w:hint="eastAsia" w:ascii="宋体" w:hAnsi="宋体" w:cs="宋体"/>
          <w:bCs/>
          <w:color w:val="auto"/>
          <w:sz w:val="24"/>
          <w:szCs w:val="24"/>
          <w:highlight w:val="yellow"/>
          <w:u w:val="single"/>
          <w:lang w:val="en-US" w:eastAsia="zh-CN"/>
        </w:rPr>
        <w:t>06</w:t>
      </w:r>
      <w:r>
        <w:rPr>
          <w:rFonts w:hint="eastAsia" w:ascii="宋体" w:hAnsi="宋体" w:eastAsia="宋体" w:cs="宋体"/>
          <w:bCs/>
          <w:color w:val="auto"/>
          <w:sz w:val="24"/>
          <w:szCs w:val="24"/>
          <w:highlight w:val="yellow"/>
          <w:u w:val="single"/>
        </w:rPr>
        <w:t>月</w:t>
      </w:r>
      <w:r>
        <w:rPr>
          <w:rFonts w:hint="eastAsia" w:ascii="宋体" w:hAnsi="宋体" w:cs="宋体"/>
          <w:bCs/>
          <w:color w:val="auto"/>
          <w:sz w:val="24"/>
          <w:szCs w:val="24"/>
          <w:highlight w:val="yellow"/>
          <w:u w:val="single"/>
          <w:lang w:val="en-US" w:eastAsia="zh-CN"/>
        </w:rPr>
        <w:t>23</w:t>
      </w:r>
      <w:r>
        <w:rPr>
          <w:rFonts w:hint="eastAsia" w:ascii="宋体" w:hAnsi="宋体" w:eastAsia="宋体" w:cs="宋体"/>
          <w:bCs/>
          <w:color w:val="auto"/>
          <w:sz w:val="24"/>
          <w:szCs w:val="24"/>
          <w:highlight w:val="yellow"/>
          <w:u w:val="single"/>
        </w:rPr>
        <w:t>日</w:t>
      </w:r>
      <w:r>
        <w:rPr>
          <w:rFonts w:hint="eastAsia" w:ascii="宋体" w:hAnsi="宋体" w:eastAsia="宋体" w:cs="宋体"/>
          <w:bCs/>
          <w:color w:val="auto"/>
          <w:sz w:val="24"/>
          <w:szCs w:val="24"/>
          <w:highlight w:val="none"/>
          <w:u w:val="single"/>
        </w:rPr>
        <w:t xml:space="preserve"> 11 点 00 分</w:t>
      </w:r>
      <w:r>
        <w:rPr>
          <w:rFonts w:hint="eastAsia" w:ascii="宋体" w:hAnsi="宋体" w:eastAsia="宋体" w:cs="宋体"/>
          <w:sz w:val="24"/>
          <w:szCs w:val="24"/>
          <w:highlight w:val="none"/>
        </w:rPr>
        <w:t>（北京时间）</w:t>
      </w:r>
    </w:p>
    <w:p w14:paraId="02EBDD04">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Fonts w:hint="eastAsia" w:ascii="宋体" w:hAnsi="宋体" w:eastAsia="宋体" w:cs="宋体"/>
          <w:color w:val="auto"/>
          <w:sz w:val="24"/>
          <w:szCs w:val="24"/>
          <w:highlight w:val="yellow"/>
          <w:u w:val="single"/>
        </w:rPr>
        <w:t>202</w:t>
      </w:r>
      <w:r>
        <w:rPr>
          <w:rFonts w:hint="eastAsia" w:ascii="宋体" w:hAnsi="宋体" w:cs="宋体"/>
          <w:color w:val="auto"/>
          <w:sz w:val="24"/>
          <w:szCs w:val="24"/>
          <w:highlight w:val="yellow"/>
          <w:u w:val="single"/>
          <w:lang w:val="en-US" w:eastAsia="zh-CN"/>
        </w:rPr>
        <w:t>6</w:t>
      </w:r>
      <w:r>
        <w:rPr>
          <w:rFonts w:hint="eastAsia" w:ascii="宋体" w:hAnsi="宋体" w:eastAsia="宋体" w:cs="宋体"/>
          <w:bCs/>
          <w:color w:val="auto"/>
          <w:sz w:val="24"/>
          <w:szCs w:val="24"/>
          <w:highlight w:val="yellow"/>
          <w:u w:val="single"/>
        </w:rPr>
        <w:t>年</w:t>
      </w:r>
      <w:r>
        <w:rPr>
          <w:rFonts w:hint="eastAsia" w:ascii="宋体" w:hAnsi="宋体" w:cs="宋体"/>
          <w:bCs/>
          <w:color w:val="auto"/>
          <w:sz w:val="24"/>
          <w:szCs w:val="24"/>
          <w:highlight w:val="yellow"/>
          <w:u w:val="single"/>
          <w:lang w:val="en-US" w:eastAsia="zh-CN"/>
        </w:rPr>
        <w:t>06</w:t>
      </w:r>
      <w:r>
        <w:rPr>
          <w:rFonts w:hint="eastAsia" w:ascii="宋体" w:hAnsi="宋体" w:eastAsia="宋体" w:cs="宋体"/>
          <w:bCs/>
          <w:color w:val="auto"/>
          <w:sz w:val="24"/>
          <w:szCs w:val="24"/>
          <w:highlight w:val="yellow"/>
          <w:u w:val="single"/>
        </w:rPr>
        <w:t>月</w:t>
      </w:r>
      <w:r>
        <w:rPr>
          <w:rFonts w:hint="eastAsia" w:ascii="宋体" w:hAnsi="宋体" w:cs="宋体"/>
          <w:bCs/>
          <w:color w:val="auto"/>
          <w:sz w:val="24"/>
          <w:szCs w:val="24"/>
          <w:highlight w:val="yellow"/>
          <w:u w:val="single"/>
          <w:lang w:val="en-US" w:eastAsia="zh-CN"/>
        </w:rPr>
        <w:t>23</w:t>
      </w:r>
      <w:r>
        <w:rPr>
          <w:rFonts w:hint="eastAsia" w:ascii="宋体" w:hAnsi="宋体" w:eastAsia="宋体" w:cs="宋体"/>
          <w:bCs/>
          <w:color w:val="auto"/>
          <w:sz w:val="24"/>
          <w:szCs w:val="24"/>
          <w:highlight w:val="yellow"/>
          <w:u w:val="single"/>
        </w:rPr>
        <w:t>日</w:t>
      </w:r>
      <w:r>
        <w:rPr>
          <w:rFonts w:hint="eastAsia" w:ascii="宋体" w:hAnsi="宋体" w:eastAsia="宋体" w:cs="宋体"/>
          <w:bCs/>
          <w:color w:val="auto"/>
          <w:sz w:val="24"/>
          <w:szCs w:val="24"/>
          <w:highlight w:val="none"/>
          <w:u w:val="single"/>
        </w:rPr>
        <w:t xml:space="preserve"> 11 点 00 分</w:t>
      </w:r>
      <w:r>
        <w:rPr>
          <w:rFonts w:hint="eastAsia" w:ascii="宋体" w:hAnsi="宋体" w:eastAsia="宋体" w:cs="宋体"/>
          <w:sz w:val="24"/>
          <w:szCs w:val="24"/>
          <w:highlight w:val="none"/>
        </w:rPr>
        <w:t>（北京时间）</w:t>
      </w:r>
    </w:p>
    <w:p w14:paraId="3CE25914">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bookmarkStart w:id="23" w:name="_Toc28359007"/>
      <w:bookmarkStart w:id="24" w:name="_Toc28359084"/>
      <w:bookmarkStart w:id="25" w:name="_Toc35393794"/>
      <w:bookmarkStart w:id="26" w:name="_Toc35393625"/>
      <w:r>
        <w:rPr>
          <w:rFonts w:hint="eastAsia" w:ascii="宋体" w:hAnsi="宋体" w:eastAsia="宋体" w:cs="宋体"/>
          <w:sz w:val="24"/>
          <w:szCs w:val="24"/>
          <w:highlight w:val="none"/>
        </w:rPr>
        <w:t>政采云平台http://www.zcygov.cn/</w:t>
      </w:r>
    </w:p>
    <w:p w14:paraId="214E27D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3"/>
      <w:bookmarkEnd w:id="24"/>
      <w:bookmarkEnd w:id="25"/>
      <w:bookmarkEnd w:id="26"/>
    </w:p>
    <w:p w14:paraId="27444EF0">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7194CB9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27" w:name="_Toc35393795"/>
      <w:bookmarkStart w:id="28" w:name="_Toc35393626"/>
      <w:r>
        <w:rPr>
          <w:rFonts w:hint="eastAsia" w:ascii="宋体" w:hAnsi="宋体" w:eastAsia="宋体" w:cs="宋体"/>
          <w:sz w:val="24"/>
          <w:szCs w:val="24"/>
          <w:highlight w:val="none"/>
        </w:rPr>
        <w:t>六、其他补充事宜</w:t>
      </w:r>
      <w:bookmarkEnd w:id="27"/>
      <w:bookmarkEnd w:id="28"/>
    </w:p>
    <w:p w14:paraId="2826D05F">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bookmarkStart w:id="29" w:name="_Toc35393796"/>
      <w:bookmarkStart w:id="30" w:name="_Toc28359085"/>
      <w:bookmarkStart w:id="31" w:name="_Toc28359008"/>
      <w:bookmarkStart w:id="32" w:name="_Toc35393627"/>
      <w:r>
        <w:rPr>
          <w:rFonts w:hint="eastAsia" w:ascii="宋体" w:hAnsi="宋体" w:eastAsia="宋体" w:cs="宋体"/>
          <w:b w:val="0"/>
          <w:bCs/>
          <w:color w:val="auto"/>
          <w:sz w:val="24"/>
          <w:szCs w:val="24"/>
          <w:highlight w:val="none"/>
          <w:shd w:val="clear" w:color="auto" w:fill="auto"/>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60418EE5">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39234E86">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3.供应商可前往新疆政府采购网（http://www.ccgp-xinjiang.gov.cn/）下载专区，下载政采云电子投标客户端，安装完成后，可通过账号密码或CA登录客户端进行投标文件制作。</w:t>
      </w:r>
    </w:p>
    <w:p w14:paraId="4A21D17C">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4..供应商在开标时须携带制作加密电子投标文件所使用的CA锁，电脑须提前配置好浏览器，以便开标时在线解密。</w:t>
      </w:r>
    </w:p>
    <w:p w14:paraId="44966425">
      <w:pPr>
        <w:pStyle w:val="63"/>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lang w:val="en-US" w:eastAsia="zh-CN"/>
        </w:rPr>
        <w:t>5.投标供应商应当在投标截止时间前，将生成的“电子加密投标文件”上传递交至“政府采购云平台”，投标截止时间以后上传递交的投标文件将被“政府采购云平台”拒收。</w:t>
      </w:r>
    </w:p>
    <w:p w14:paraId="7D87C28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七、对本次招标提出询问，请按以下方式联系</w:t>
      </w:r>
      <w:bookmarkEnd w:id="29"/>
      <w:bookmarkEnd w:id="30"/>
      <w:bookmarkEnd w:id="31"/>
      <w:bookmarkEnd w:id="32"/>
      <w:r>
        <w:rPr>
          <w:rFonts w:hint="eastAsia" w:ascii="宋体" w:hAnsi="宋体" w:eastAsia="宋体" w:cs="宋体"/>
          <w:sz w:val="24"/>
          <w:szCs w:val="24"/>
          <w:highlight w:val="none"/>
          <w:lang w:eastAsia="zh-CN"/>
        </w:rPr>
        <w:t>：</w:t>
      </w:r>
    </w:p>
    <w:p w14:paraId="79C4CFCD">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185A2305">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cs="宋体"/>
          <w:sz w:val="24"/>
          <w:szCs w:val="24"/>
          <w:highlight w:val="none"/>
          <w:lang w:eastAsia="zh-CN"/>
        </w:rPr>
        <w:t>新疆维吾尔自治区林业科学院</w:t>
      </w:r>
      <w:r>
        <w:rPr>
          <w:rFonts w:hint="eastAsia" w:ascii="宋体" w:hAnsi="宋体" w:eastAsia="宋体" w:cs="宋体"/>
          <w:sz w:val="24"/>
          <w:szCs w:val="24"/>
          <w:highlight w:val="none"/>
        </w:rPr>
        <w:t>　　　　　　　　　　　</w:t>
      </w:r>
    </w:p>
    <w:p w14:paraId="0C67AF13">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乌鲁木齐市水磨沟区安居南路191号</w:t>
      </w:r>
      <w:r>
        <w:rPr>
          <w:rFonts w:hint="eastAsia" w:ascii="宋体" w:hAnsi="宋体" w:eastAsia="宋体" w:cs="宋体"/>
          <w:sz w:val="24"/>
          <w:szCs w:val="24"/>
          <w:highlight w:val="none"/>
        </w:rPr>
        <w:t>　　　　　　　　　</w:t>
      </w:r>
    </w:p>
    <w:p w14:paraId="1000A081">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18999892530</w:t>
      </w:r>
    </w:p>
    <w:p w14:paraId="1355EEA6">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33" w:name="_Toc28359009"/>
      <w:bookmarkStart w:id="34" w:name="_Toc28359086"/>
    </w:p>
    <w:p w14:paraId="73A1C4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bookmarkEnd w:id="33"/>
      <w:bookmarkEnd w:id="34"/>
    </w:p>
    <w:p w14:paraId="572184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称：新疆拓源工程管理咨询有限公司　　　　　　　　　　　　</w:t>
      </w:r>
    </w:p>
    <w:p w14:paraId="06ED393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址：乌鲁木齐市水磨沟区龙盛街898号万科中央公园S6栋5层　　　　　　　　　　　　</w:t>
      </w:r>
    </w:p>
    <w:p w14:paraId="1FDD74B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cs="宋体"/>
          <w:sz w:val="24"/>
          <w:szCs w:val="24"/>
          <w:highlight w:val="none"/>
          <w:lang w:eastAsia="zh-CN"/>
        </w:rPr>
        <w:t>刘恒运、张曼、</w:t>
      </w:r>
      <w:r>
        <w:rPr>
          <w:rFonts w:hint="eastAsia" w:ascii="宋体" w:hAnsi="宋体" w:cs="宋体"/>
          <w:sz w:val="24"/>
          <w:szCs w:val="24"/>
          <w:highlight w:val="none"/>
          <w:lang w:val="en-US" w:eastAsia="zh-CN"/>
        </w:rPr>
        <w:t>余宗键</w:t>
      </w:r>
      <w:r>
        <w:rPr>
          <w:rFonts w:hint="eastAsia" w:ascii="宋体" w:hAnsi="宋体" w:cs="宋体"/>
          <w:sz w:val="24"/>
          <w:szCs w:val="24"/>
          <w:highlight w:val="none"/>
          <w:lang w:eastAsia="zh-CN"/>
        </w:rPr>
        <w:t>、田释月</w:t>
      </w:r>
    </w:p>
    <w:p w14:paraId="6A751E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19909911103</w:t>
      </w:r>
    </w:p>
    <w:p w14:paraId="3D8D27F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216B7A24">
      <w:pPr>
        <w:pStyle w:val="4"/>
        <w:bidi w:val="0"/>
        <w:jc w:val="center"/>
        <w:outlineLvl w:val="0"/>
        <w:rPr>
          <w:rFonts w:hint="eastAsia"/>
          <w:highlight w:val="none"/>
        </w:rPr>
      </w:pPr>
      <w:r>
        <w:rPr>
          <w:rFonts w:hint="eastAsia" w:ascii="宋体" w:hAnsi="宋体" w:eastAsia="宋体" w:cs="宋体"/>
          <w:color w:val="000000"/>
          <w:szCs w:val="24"/>
          <w:highlight w:val="none"/>
        </w:rPr>
        <w:br w:type="page"/>
      </w:r>
      <w:bookmarkStart w:id="35" w:name="_Toc12635"/>
      <w:bookmarkStart w:id="36" w:name="_Toc28983"/>
      <w:r>
        <w:rPr>
          <w:rFonts w:hint="eastAsia"/>
          <w:highlight w:val="none"/>
        </w:rPr>
        <w:t>第二章  投标人须知</w:t>
      </w:r>
      <w:bookmarkEnd w:id="5"/>
      <w:bookmarkEnd w:id="6"/>
      <w:bookmarkEnd w:id="7"/>
      <w:bookmarkEnd w:id="8"/>
      <w:bookmarkEnd w:id="9"/>
      <w:bookmarkEnd w:id="10"/>
      <w:bookmarkEnd w:id="35"/>
      <w:bookmarkEnd w:id="36"/>
    </w:p>
    <w:p w14:paraId="1A090A4E">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000000"/>
          <w:sz w:val="24"/>
          <w:szCs w:val="24"/>
          <w:highlight w:val="none"/>
        </w:rPr>
      </w:pPr>
      <w:bookmarkStart w:id="37" w:name="_Toc213396946"/>
      <w:bookmarkStart w:id="38" w:name="_Toc217446032"/>
      <w:bookmarkStart w:id="39" w:name="_Toc189727030"/>
      <w:bookmarkStart w:id="40" w:name="_Toc213396760"/>
      <w:bookmarkStart w:id="41" w:name="_Toc213496268"/>
      <w:bookmarkStart w:id="42" w:name="_Toc213397010"/>
      <w:r>
        <w:rPr>
          <w:rFonts w:hint="eastAsia" w:ascii="宋体" w:hAnsi="宋体" w:eastAsia="宋体" w:cs="宋体"/>
          <w:b/>
          <w:bCs/>
          <w:color w:val="000000"/>
          <w:sz w:val="24"/>
          <w:szCs w:val="24"/>
          <w:highlight w:val="none"/>
        </w:rPr>
        <w:t>一、投标人须知前附表</w:t>
      </w:r>
      <w:bookmarkEnd w:id="37"/>
      <w:bookmarkEnd w:id="38"/>
      <w:bookmarkEnd w:id="39"/>
      <w:bookmarkEnd w:id="40"/>
      <w:bookmarkEnd w:id="41"/>
      <w:bookmarkEnd w:id="42"/>
    </w:p>
    <w:tbl>
      <w:tblPr>
        <w:tblStyle w:val="31"/>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40"/>
        <w:gridCol w:w="6540"/>
      </w:tblGrid>
      <w:tr w14:paraId="78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0F77BA2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440" w:type="dxa"/>
            <w:vAlign w:val="center"/>
          </w:tcPr>
          <w:p w14:paraId="32FF374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名 称</w:t>
            </w:r>
          </w:p>
        </w:tc>
        <w:tc>
          <w:tcPr>
            <w:tcW w:w="6540" w:type="dxa"/>
            <w:vAlign w:val="center"/>
          </w:tcPr>
          <w:p w14:paraId="5A821C6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内   容</w:t>
            </w:r>
          </w:p>
        </w:tc>
      </w:tr>
      <w:tr w14:paraId="635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671" w:type="dxa"/>
            <w:vAlign w:val="center"/>
          </w:tcPr>
          <w:p w14:paraId="1A15635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440" w:type="dxa"/>
            <w:vAlign w:val="center"/>
          </w:tcPr>
          <w:p w14:paraId="032C8EE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w:t>
            </w:r>
          </w:p>
        </w:tc>
        <w:tc>
          <w:tcPr>
            <w:tcW w:w="6540" w:type="dxa"/>
            <w:vAlign w:val="center"/>
          </w:tcPr>
          <w:p w14:paraId="3FD04C0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名  称：</w:t>
            </w:r>
            <w:r>
              <w:rPr>
                <w:rFonts w:hint="eastAsia" w:ascii="宋体" w:hAnsi="宋体" w:cs="宋体"/>
                <w:color w:val="000000"/>
                <w:sz w:val="24"/>
                <w:szCs w:val="24"/>
                <w:highlight w:val="none"/>
                <w:lang w:eastAsia="zh-CN"/>
              </w:rPr>
              <w:t>新疆维吾尔自治区林业科学院</w:t>
            </w:r>
          </w:p>
          <w:p w14:paraId="7BD308B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  址：</w:t>
            </w:r>
            <w:r>
              <w:rPr>
                <w:rFonts w:hint="eastAsia" w:ascii="宋体" w:hAnsi="宋体" w:cs="宋体"/>
                <w:sz w:val="24"/>
                <w:szCs w:val="24"/>
                <w:highlight w:val="none"/>
                <w:lang w:eastAsia="zh-CN"/>
              </w:rPr>
              <w:t>乌鲁木齐市水磨沟区安居南路191号</w:t>
            </w:r>
          </w:p>
          <w:p w14:paraId="644FA65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val="en-US" w:eastAsia="zh-CN"/>
              </w:rPr>
              <w:t>刘茂秀</w:t>
            </w:r>
          </w:p>
          <w:p w14:paraId="7D0B330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电话： </w:t>
            </w:r>
            <w:r>
              <w:rPr>
                <w:rFonts w:hint="eastAsia" w:ascii="宋体" w:hAnsi="宋体" w:cs="宋体"/>
                <w:color w:val="000000"/>
                <w:sz w:val="24"/>
                <w:szCs w:val="24"/>
                <w:highlight w:val="none"/>
                <w:lang w:eastAsia="zh-CN"/>
              </w:rPr>
              <w:t>18999892530</w:t>
            </w:r>
          </w:p>
        </w:tc>
      </w:tr>
      <w:tr w14:paraId="58C6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0FF78B0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440" w:type="dxa"/>
            <w:vAlign w:val="center"/>
          </w:tcPr>
          <w:p w14:paraId="6F66831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采购代理机构</w:t>
            </w:r>
          </w:p>
        </w:tc>
        <w:tc>
          <w:tcPr>
            <w:tcW w:w="6540" w:type="dxa"/>
            <w:vAlign w:val="center"/>
          </w:tcPr>
          <w:p w14:paraId="4CDE928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称：新疆拓源工程管理咨询有限公司</w:t>
            </w:r>
          </w:p>
          <w:p w14:paraId="0380FB2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lang w:val="zh-CN"/>
              </w:rPr>
              <w:t>乌鲁木齐市水磨沟区龙盛街898号万科中央公园S6栋5层</w:t>
            </w:r>
          </w:p>
          <w:p w14:paraId="7D67E73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项目联系人：</w:t>
            </w:r>
            <w:r>
              <w:rPr>
                <w:rFonts w:hint="eastAsia" w:ascii="宋体" w:hAnsi="宋体" w:cs="宋体"/>
                <w:color w:val="000000"/>
                <w:sz w:val="24"/>
                <w:szCs w:val="24"/>
                <w:highlight w:val="none"/>
                <w:lang w:eastAsia="zh-CN"/>
              </w:rPr>
              <w:t>刘恒运、张曼、</w:t>
            </w:r>
            <w:r>
              <w:rPr>
                <w:rFonts w:hint="eastAsia" w:ascii="宋体" w:hAnsi="宋体" w:cs="宋体"/>
                <w:color w:val="000000"/>
                <w:sz w:val="24"/>
                <w:szCs w:val="24"/>
                <w:highlight w:val="none"/>
                <w:lang w:val="en-US" w:eastAsia="zh-CN"/>
              </w:rPr>
              <w:t>余宗键</w:t>
            </w:r>
            <w:r>
              <w:rPr>
                <w:rFonts w:hint="eastAsia" w:ascii="宋体" w:hAnsi="宋体" w:cs="宋体"/>
                <w:color w:val="000000"/>
                <w:sz w:val="24"/>
                <w:szCs w:val="24"/>
                <w:highlight w:val="none"/>
                <w:lang w:eastAsia="zh-CN"/>
              </w:rPr>
              <w:t>、田释月</w:t>
            </w:r>
            <w:r>
              <w:rPr>
                <w:rFonts w:hint="eastAsia" w:ascii="宋体" w:hAnsi="宋体" w:eastAsia="宋体" w:cs="宋体"/>
                <w:color w:val="000000"/>
                <w:sz w:val="24"/>
                <w:szCs w:val="24"/>
                <w:highlight w:val="none"/>
              </w:rPr>
              <w:t xml:space="preserve"> </w:t>
            </w:r>
          </w:p>
          <w:p w14:paraId="678440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cs="宋体"/>
                <w:color w:val="000000"/>
                <w:sz w:val="24"/>
                <w:szCs w:val="24"/>
                <w:highlight w:val="none"/>
                <w:lang w:eastAsia="zh-CN"/>
              </w:rPr>
              <w:t>19909911103</w:t>
            </w:r>
            <w:r>
              <w:rPr>
                <w:rFonts w:hint="eastAsia" w:ascii="宋体" w:hAnsi="宋体" w:eastAsia="宋体" w:cs="宋体"/>
                <w:color w:val="000000"/>
                <w:sz w:val="24"/>
                <w:szCs w:val="24"/>
                <w:highlight w:val="none"/>
              </w:rPr>
              <w:t xml:space="preserve"> </w:t>
            </w:r>
          </w:p>
        </w:tc>
      </w:tr>
      <w:tr w14:paraId="3CCC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1" w:type="dxa"/>
            <w:vAlign w:val="center"/>
          </w:tcPr>
          <w:p w14:paraId="6E3283E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440" w:type="dxa"/>
            <w:vAlign w:val="center"/>
          </w:tcPr>
          <w:p w14:paraId="77FEA96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6540" w:type="dxa"/>
            <w:vAlign w:val="center"/>
          </w:tcPr>
          <w:p w14:paraId="7B70327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新疆塔里木河胡杨林生态系统国家定位观测研究站二期建设项目仪器设备采购</w:t>
            </w:r>
          </w:p>
        </w:tc>
      </w:tr>
      <w:tr w14:paraId="7547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F07FCF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440" w:type="dxa"/>
            <w:vAlign w:val="center"/>
          </w:tcPr>
          <w:p w14:paraId="2F41A77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项目编号</w:t>
            </w:r>
          </w:p>
        </w:tc>
        <w:tc>
          <w:tcPr>
            <w:tcW w:w="6540" w:type="dxa"/>
            <w:vAlign w:val="center"/>
          </w:tcPr>
          <w:p w14:paraId="6ED2D11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fldChar w:fldCharType="begin"/>
            </w:r>
            <w:r>
              <w:rPr>
                <w:rFonts w:hint="eastAsia" w:ascii="宋体" w:hAnsi="宋体" w:eastAsia="宋体" w:cs="宋体"/>
                <w:color w:val="000000"/>
                <w:sz w:val="24"/>
                <w:szCs w:val="24"/>
                <w:highlight w:val="none"/>
                <w:lang w:eastAsia="zh-CN"/>
              </w:rPr>
              <w:instrText xml:space="preserve"> HYPERLINK "https://pay.zcygov.cn/purchaseplan_front/" \l "/plan/apply/detail/1000007196944" </w:instrText>
            </w:r>
            <w:r>
              <w:rPr>
                <w:rFonts w:hint="eastAsia" w:ascii="宋体" w:hAnsi="宋体" w:eastAsia="宋体" w:cs="宋体"/>
                <w:color w:val="000000"/>
                <w:sz w:val="24"/>
                <w:szCs w:val="24"/>
                <w:highlight w:val="none"/>
                <w:lang w:eastAsia="zh-CN"/>
              </w:rPr>
              <w:fldChar w:fldCharType="separate"/>
            </w:r>
            <w:r>
              <w:rPr>
                <w:rFonts w:hint="eastAsia" w:ascii="宋体" w:hAnsi="宋体" w:eastAsia="宋体" w:cs="宋体"/>
                <w:color w:val="000000"/>
                <w:sz w:val="24"/>
                <w:szCs w:val="24"/>
                <w:highlight w:val="none"/>
                <w:lang w:eastAsia="zh-CN"/>
              </w:rPr>
              <w:t>[2026]11802号</w:t>
            </w:r>
            <w:r>
              <w:rPr>
                <w:rFonts w:hint="eastAsia" w:ascii="宋体" w:hAnsi="宋体" w:eastAsia="宋体" w:cs="宋体"/>
                <w:color w:val="000000"/>
                <w:sz w:val="24"/>
                <w:szCs w:val="24"/>
                <w:highlight w:val="none"/>
                <w:lang w:eastAsia="zh-CN"/>
              </w:rPr>
              <w:fldChar w:fldCharType="end"/>
            </w:r>
          </w:p>
        </w:tc>
      </w:tr>
      <w:tr w14:paraId="19F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Align w:val="center"/>
          </w:tcPr>
          <w:p w14:paraId="4E2D6E6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440" w:type="dxa"/>
            <w:vAlign w:val="center"/>
          </w:tcPr>
          <w:p w14:paraId="4057FA4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资金来源、预算金额及最高限价</w:t>
            </w:r>
          </w:p>
        </w:tc>
        <w:tc>
          <w:tcPr>
            <w:tcW w:w="6540" w:type="dxa"/>
            <w:vAlign w:val="center"/>
          </w:tcPr>
          <w:p w14:paraId="4326F5C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资金来源：</w:t>
            </w:r>
            <w:r>
              <w:rPr>
                <w:rFonts w:hint="eastAsia" w:ascii="宋体" w:hAnsi="宋体" w:eastAsia="宋体" w:cs="宋体"/>
                <w:color w:val="000000"/>
                <w:sz w:val="24"/>
                <w:szCs w:val="24"/>
                <w:highlight w:val="none"/>
                <w:lang w:val="en-US" w:eastAsia="zh-CN"/>
              </w:rPr>
              <w:t>财政资金</w:t>
            </w:r>
          </w:p>
          <w:p w14:paraId="6AC834CC">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预算金额（元）：2469000.00</w:t>
            </w:r>
          </w:p>
          <w:p w14:paraId="259E9B39">
            <w:pPr>
              <w:pStyle w:val="63"/>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val="0"/>
                <w:bCs/>
                <w:color w:val="auto"/>
                <w:sz w:val="24"/>
                <w:szCs w:val="24"/>
                <w:highlight w:val="none"/>
                <w:shd w:val="clear" w:color="auto" w:fill="auto"/>
                <w:lang w:val="en-US" w:eastAsia="zh-CN"/>
              </w:rPr>
            </w:pPr>
            <w:r>
              <w:rPr>
                <w:rFonts w:hint="eastAsia" w:ascii="宋体" w:hAnsi="宋体" w:eastAsia="宋体" w:cs="宋体"/>
                <w:b w:val="0"/>
                <w:bCs/>
                <w:color w:val="auto"/>
                <w:sz w:val="24"/>
                <w:szCs w:val="24"/>
                <w:highlight w:val="none"/>
                <w:shd w:val="clear" w:color="auto" w:fill="auto"/>
              </w:rPr>
              <w:t>最高限价（元）：</w:t>
            </w:r>
            <w:r>
              <w:rPr>
                <w:rFonts w:hint="eastAsia" w:hAnsi="宋体" w:cs="宋体"/>
                <w:b w:val="0"/>
                <w:bCs/>
                <w:color w:val="auto"/>
                <w:sz w:val="24"/>
                <w:szCs w:val="24"/>
                <w:highlight w:val="none"/>
                <w:shd w:val="clear" w:color="auto" w:fill="auto"/>
                <w:lang w:val="en-US" w:eastAsia="zh-CN"/>
              </w:rPr>
              <w:t>2446000.00</w:t>
            </w:r>
          </w:p>
          <w:p w14:paraId="0CF96D3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投标人报价不得高于最高投标限价，如超过上述最高投标限价的</w:t>
            </w:r>
            <w:r>
              <w:rPr>
                <w:rFonts w:hint="eastAsia" w:ascii="宋体" w:hAnsi="宋体" w:eastAsia="宋体" w:cs="宋体"/>
                <w:b/>
                <w:bCs/>
                <w:color w:val="auto"/>
                <w:sz w:val="24"/>
                <w:szCs w:val="24"/>
                <w:highlight w:val="none"/>
              </w:rPr>
              <w:t>投标无效</w:t>
            </w:r>
            <w:r>
              <w:rPr>
                <w:rFonts w:hint="eastAsia" w:ascii="宋体" w:hAnsi="宋体" w:eastAsia="宋体" w:cs="宋体"/>
                <w:b/>
                <w:color w:val="000000"/>
                <w:sz w:val="24"/>
                <w:szCs w:val="24"/>
                <w:highlight w:val="none"/>
              </w:rPr>
              <w:t>。</w:t>
            </w:r>
          </w:p>
        </w:tc>
      </w:tr>
      <w:tr w14:paraId="67B9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1" w:type="dxa"/>
            <w:vAlign w:val="center"/>
          </w:tcPr>
          <w:p w14:paraId="5E0A12C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440" w:type="dxa"/>
            <w:vAlign w:val="center"/>
          </w:tcPr>
          <w:p w14:paraId="2C794D3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采购需求</w:t>
            </w:r>
          </w:p>
        </w:tc>
        <w:tc>
          <w:tcPr>
            <w:tcW w:w="6540" w:type="dxa"/>
            <w:vAlign w:val="center"/>
          </w:tcPr>
          <w:p w14:paraId="7AEBD7F5">
            <w:pPr>
              <w:pStyle w:val="38"/>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val="0"/>
                <w:bCs/>
                <w:color w:val="auto"/>
                <w:sz w:val="24"/>
                <w:szCs w:val="24"/>
                <w:highlight w:val="none"/>
                <w:shd w:val="clear" w:color="auto" w:fill="auto"/>
              </w:rPr>
              <w:t>通过胡杨林生态定位站二期建设，进一步完善野外监测系统，提升监测能力，更好服务于塔河流域胡杨林生态治理，为区域生态建设提供数据支撑</w:t>
            </w:r>
            <w:r>
              <w:rPr>
                <w:rFonts w:hint="eastAsia" w:ascii="宋体" w:hAnsi="宋体" w:eastAsia="宋体" w:cs="宋体"/>
                <w:sz w:val="24"/>
                <w:szCs w:val="24"/>
                <w:highlight w:val="none"/>
                <w:lang w:val="en-US" w:eastAsia="zh-CN"/>
              </w:rPr>
              <w:t>；</w:t>
            </w:r>
          </w:p>
        </w:tc>
      </w:tr>
      <w:tr w14:paraId="6729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1" w:type="dxa"/>
            <w:vAlign w:val="center"/>
          </w:tcPr>
          <w:p w14:paraId="501BBC4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1440" w:type="dxa"/>
            <w:vAlign w:val="center"/>
          </w:tcPr>
          <w:p w14:paraId="3D768C8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标段（包）划分</w:t>
            </w:r>
          </w:p>
        </w:tc>
        <w:tc>
          <w:tcPr>
            <w:tcW w:w="6540" w:type="dxa"/>
            <w:vAlign w:val="center"/>
          </w:tcPr>
          <w:p w14:paraId="37007FF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本次招标共</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个标项</w:t>
            </w:r>
          </w:p>
        </w:tc>
      </w:tr>
      <w:tr w14:paraId="686F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09A2476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1440" w:type="dxa"/>
            <w:vAlign w:val="center"/>
          </w:tcPr>
          <w:p w14:paraId="0B97073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供货期</w:t>
            </w:r>
          </w:p>
        </w:tc>
        <w:tc>
          <w:tcPr>
            <w:tcW w:w="6540" w:type="dxa"/>
            <w:vAlign w:val="center"/>
          </w:tcPr>
          <w:p w14:paraId="52D32804">
            <w:pPr>
              <w:pStyle w:val="38"/>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国产设备60天，进口设备120天</w:t>
            </w:r>
          </w:p>
        </w:tc>
      </w:tr>
      <w:tr w14:paraId="68C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69F8EAD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1440" w:type="dxa"/>
            <w:vAlign w:val="center"/>
          </w:tcPr>
          <w:p w14:paraId="0082A93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质保期</w:t>
            </w:r>
          </w:p>
        </w:tc>
        <w:tc>
          <w:tcPr>
            <w:tcW w:w="6540" w:type="dxa"/>
            <w:vAlign w:val="center"/>
          </w:tcPr>
          <w:p w14:paraId="493DE22C">
            <w:pPr>
              <w:pStyle w:val="38"/>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安装调试验收完一年</w:t>
            </w:r>
          </w:p>
        </w:tc>
      </w:tr>
      <w:tr w14:paraId="6F8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E7111A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1440" w:type="dxa"/>
            <w:vAlign w:val="center"/>
          </w:tcPr>
          <w:p w14:paraId="7A6875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质量标准</w:t>
            </w:r>
          </w:p>
        </w:tc>
        <w:tc>
          <w:tcPr>
            <w:tcW w:w="6540" w:type="dxa"/>
            <w:vAlign w:val="center"/>
          </w:tcPr>
          <w:p w14:paraId="220B276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合格</w:t>
            </w:r>
          </w:p>
        </w:tc>
      </w:tr>
      <w:tr w14:paraId="4307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71" w:type="dxa"/>
            <w:vAlign w:val="center"/>
          </w:tcPr>
          <w:p w14:paraId="32D3648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1440" w:type="dxa"/>
            <w:vAlign w:val="center"/>
          </w:tcPr>
          <w:p w14:paraId="763FA12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落实的政府采购政策</w:t>
            </w:r>
          </w:p>
        </w:tc>
        <w:tc>
          <w:tcPr>
            <w:tcW w:w="6540" w:type="dxa"/>
            <w:vAlign w:val="center"/>
          </w:tcPr>
          <w:p w14:paraId="48015E89">
            <w:pPr>
              <w:keepNext w:val="0"/>
              <w:keepLines w:val="0"/>
              <w:pageBreakBefore w:val="0"/>
              <w:numPr>
                <w:ilvl w:val="0"/>
                <w:numId w:val="0"/>
              </w:numPr>
              <w:kinsoku/>
              <w:wordWrap/>
              <w:overflowPunct/>
              <w:topLinePunct w:val="0"/>
              <w:autoSpaceDE/>
              <w:autoSpaceDN/>
              <w:bidi w:val="0"/>
              <w:spacing w:line="360" w:lineRule="auto"/>
              <w:ind w:left="420" w:leftChars="0" w:firstLine="0" w:firstLineChars="0"/>
              <w:jc w:val="left"/>
              <w:textAlignment w:val="auto"/>
              <w:rPr>
                <w:rFonts w:hint="eastAsia" w:ascii="宋体" w:hAnsi="宋体" w:eastAsia="宋体" w:cs="宋体"/>
                <w:b w:val="0"/>
                <w:bCs/>
                <w:color w:val="auto"/>
                <w:kern w:val="0"/>
                <w:sz w:val="24"/>
                <w:szCs w:val="24"/>
                <w:highlight w:val="none"/>
                <w:shd w:val="clear" w:color="auto" w:fill="auto"/>
                <w:lang w:val="en-US" w:eastAsia="zh-CN"/>
              </w:rPr>
            </w:pPr>
            <w:r>
              <w:rPr>
                <w:rFonts w:hint="eastAsia" w:ascii="宋体" w:hAnsi="宋体" w:eastAsia="宋体" w:cs="宋体"/>
                <w:b w:val="0"/>
                <w:bCs/>
                <w:color w:val="auto"/>
                <w:kern w:val="0"/>
                <w:sz w:val="24"/>
                <w:szCs w:val="24"/>
                <w:highlight w:val="none"/>
                <w:shd w:val="clear" w:fill="auto"/>
                <w:lang w:val="en-US" w:eastAsia="zh-CN" w:bidi="ar-SA"/>
              </w:rPr>
              <w:t>1、</w:t>
            </w:r>
            <w:r>
              <w:rPr>
                <w:rFonts w:hint="eastAsia" w:ascii="宋体" w:hAnsi="宋体" w:cs="宋体"/>
                <w:b w:val="0"/>
                <w:bCs/>
                <w:color w:val="auto"/>
                <w:kern w:val="0"/>
                <w:sz w:val="24"/>
                <w:szCs w:val="24"/>
                <w:highlight w:val="none"/>
                <w:shd w:val="clear" w:color="auto" w:fill="auto"/>
                <w:lang w:val="en-US" w:eastAsia="zh-CN"/>
              </w:rPr>
              <w:t>本项目为非专门面向中小企业（含中型、小型、微型企业）采购项目，根据《政府采购促进中小企业发展管理办法》（财库[2020]46号）的规定，评标时将给予小微企业进行价格10%的优惠，用优惠后的价格参与评审</w:t>
            </w:r>
            <w:r>
              <w:rPr>
                <w:rFonts w:hint="eastAsia" w:ascii="宋体" w:hAnsi="宋体" w:eastAsia="宋体" w:cs="宋体"/>
                <w:i w:val="0"/>
                <w:iCs w:val="0"/>
                <w:color w:val="auto"/>
                <w:sz w:val="24"/>
                <w:szCs w:val="24"/>
                <w:highlight w:val="none"/>
              </w:rPr>
              <w:t>。</w:t>
            </w:r>
          </w:p>
          <w:p w14:paraId="625107D2">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auto"/>
                <w:kern w:val="0"/>
                <w:sz w:val="24"/>
                <w:szCs w:val="24"/>
                <w:highlight w:val="none"/>
                <w:shd w:val="clear" w:color="auto" w:fill="auto"/>
                <w:lang w:val="en-US" w:eastAsia="zh-CN"/>
              </w:rPr>
              <w:t>2</w:t>
            </w:r>
            <w:r>
              <w:rPr>
                <w:rFonts w:hint="eastAsia" w:ascii="宋体" w:hAnsi="宋体" w:eastAsia="宋体" w:cs="宋体"/>
                <w:b w:val="0"/>
                <w:bCs/>
                <w:color w:val="auto"/>
                <w:kern w:val="0"/>
                <w:sz w:val="24"/>
                <w:szCs w:val="24"/>
                <w:highlight w:val="none"/>
                <w:shd w:val="clear" w:color="auto" w:fill="auto"/>
                <w:lang w:eastAsia="zh-CN"/>
              </w:rPr>
              <w:t>、所属行业：</w:t>
            </w:r>
            <w:r>
              <w:rPr>
                <w:rFonts w:hint="eastAsia" w:ascii="宋体" w:hAnsi="宋体" w:eastAsia="宋体" w:cs="宋体"/>
                <w:sz w:val="24"/>
                <w:szCs w:val="24"/>
                <w:highlight w:val="none"/>
                <w:lang w:val="en-US" w:eastAsia="zh-CN"/>
              </w:rPr>
              <w:t>工业</w:t>
            </w:r>
            <w:r>
              <w:rPr>
                <w:rFonts w:hint="eastAsia" w:ascii="宋体" w:hAnsi="宋体" w:eastAsia="宋体" w:cs="宋体"/>
                <w:b w:val="0"/>
                <w:bCs/>
                <w:color w:val="auto"/>
                <w:kern w:val="0"/>
                <w:sz w:val="24"/>
                <w:szCs w:val="24"/>
                <w:highlight w:val="none"/>
                <w:shd w:val="clear" w:color="auto" w:fill="auto"/>
                <w:lang w:eastAsia="zh-CN"/>
              </w:rPr>
              <w:t>。</w:t>
            </w:r>
          </w:p>
        </w:tc>
      </w:tr>
      <w:tr w14:paraId="72E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14:paraId="68D69CA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1440" w:type="dxa"/>
            <w:vAlign w:val="center"/>
          </w:tcPr>
          <w:p w14:paraId="2853799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投标人资格要求</w:t>
            </w:r>
          </w:p>
        </w:tc>
        <w:tc>
          <w:tcPr>
            <w:tcW w:w="6540" w:type="dxa"/>
            <w:vAlign w:val="center"/>
          </w:tcPr>
          <w:p w14:paraId="2B206D98">
            <w:pPr>
              <w:pStyle w:val="44"/>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5008AACF">
            <w:pPr>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b w:val="0"/>
                <w:bCs/>
                <w:color w:val="auto"/>
                <w:kern w:val="0"/>
                <w:sz w:val="24"/>
                <w:szCs w:val="24"/>
                <w:highlight w:val="none"/>
                <w:shd w:val="clear" w:color="auto" w:fill="auto"/>
                <w:lang w:val="en-US" w:eastAsia="zh-CN"/>
              </w:rPr>
            </w:pPr>
            <w:r>
              <w:rPr>
                <w:rFonts w:hint="eastAsia" w:ascii="宋体" w:hAnsi="宋体" w:eastAsia="宋体" w:cs="宋体"/>
                <w:color w:val="000000"/>
                <w:sz w:val="24"/>
                <w:szCs w:val="24"/>
                <w:highlight w:val="none"/>
              </w:rPr>
              <w:t>2.落实政府采购政策需满足的资格要求：</w:t>
            </w:r>
            <w:r>
              <w:rPr>
                <w:rFonts w:hint="eastAsia" w:ascii="宋体" w:hAnsi="宋体" w:cs="宋体"/>
                <w:b w:val="0"/>
                <w:bCs/>
                <w:color w:val="auto"/>
                <w:kern w:val="0"/>
                <w:sz w:val="24"/>
                <w:szCs w:val="24"/>
                <w:highlight w:val="none"/>
                <w:shd w:val="clear" w:color="auto" w:fill="auto"/>
                <w:lang w:val="en-US" w:eastAsia="zh-CN"/>
              </w:rPr>
              <w:t>本项目为非专门面向中小企业（含中型、小型、微型企业）采购项目，根据《政府采购促进中小企业发展管理办法》（财库[2020]46号）的规定，评标时将给予小微企业进行价格10%的优惠，用优惠后的价格参与评审</w:t>
            </w:r>
            <w:r>
              <w:rPr>
                <w:rFonts w:hint="eastAsia" w:ascii="宋体" w:hAnsi="宋体" w:eastAsia="宋体" w:cs="宋体"/>
                <w:i w:val="0"/>
                <w:iCs w:val="0"/>
                <w:color w:val="auto"/>
                <w:sz w:val="24"/>
                <w:szCs w:val="24"/>
                <w:highlight w:val="none"/>
              </w:rPr>
              <w:t>。</w:t>
            </w:r>
          </w:p>
          <w:p w14:paraId="6F2DE154">
            <w:pPr>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3.本项目的特定资格要求：</w:t>
            </w:r>
            <w:r>
              <w:rPr>
                <w:rFonts w:hint="eastAsia" w:ascii="宋体" w:hAnsi="宋体" w:eastAsia="宋体" w:cs="宋体"/>
                <w:b w:val="0"/>
                <w:bCs/>
                <w:color w:val="auto"/>
                <w:sz w:val="24"/>
                <w:szCs w:val="24"/>
                <w:highlight w:val="none"/>
                <w:shd w:val="clear" w:color="auto" w:fill="auto"/>
                <w:lang w:eastAsia="zh-CN"/>
              </w:rPr>
              <w:t>单位负责人为同一人或者存在直接控股、管理关系的不同供应商，不得参加同一合同项下的采购活动</w:t>
            </w:r>
            <w:r>
              <w:rPr>
                <w:rFonts w:hint="eastAsia" w:ascii="宋体" w:hAnsi="宋体" w:eastAsia="宋体" w:cs="宋体"/>
                <w:b w:val="0"/>
                <w:bCs/>
                <w:color w:val="auto"/>
                <w:sz w:val="24"/>
                <w:szCs w:val="24"/>
                <w:highlight w:val="none"/>
                <w:shd w:val="clear" w:color="auto" w:fill="auto"/>
              </w:rPr>
              <w:t>。【</w:t>
            </w:r>
            <w:r>
              <w:rPr>
                <w:rFonts w:hint="eastAsia" w:ascii="宋体" w:hAnsi="宋体" w:eastAsia="宋体" w:cs="宋体"/>
                <w:b w:val="0"/>
                <w:bCs/>
                <w:color w:val="auto"/>
                <w:sz w:val="24"/>
                <w:szCs w:val="24"/>
                <w:highlight w:val="none"/>
                <w:shd w:val="clear" w:color="auto" w:fill="auto"/>
                <w:lang w:eastAsia="zh-CN"/>
              </w:rPr>
              <w:t>须</w:t>
            </w:r>
            <w:r>
              <w:rPr>
                <w:rFonts w:hint="eastAsia" w:ascii="宋体" w:hAnsi="宋体" w:eastAsia="宋体" w:cs="宋体"/>
                <w:b w:val="0"/>
                <w:bCs/>
                <w:color w:val="auto"/>
                <w:sz w:val="24"/>
                <w:szCs w:val="24"/>
                <w:highlight w:val="none"/>
                <w:shd w:val="clear" w:color="auto" w:fill="auto"/>
              </w:rPr>
              <w:t>提供书面声明</w:t>
            </w:r>
            <w:r>
              <w:rPr>
                <w:rFonts w:hint="eastAsia" w:ascii="宋体" w:hAnsi="宋体" w:eastAsia="宋体" w:cs="宋体"/>
                <w:b w:val="0"/>
                <w:bCs/>
                <w:color w:val="auto"/>
                <w:sz w:val="24"/>
                <w:szCs w:val="24"/>
                <w:highlight w:val="none"/>
                <w:shd w:val="clear" w:color="auto" w:fill="auto"/>
                <w:lang w:eastAsia="zh-CN"/>
              </w:rPr>
              <w:t>，供应商</w:t>
            </w:r>
            <w:r>
              <w:rPr>
                <w:rFonts w:hint="eastAsia" w:ascii="宋体" w:hAnsi="宋体" w:eastAsia="宋体" w:cs="宋体"/>
                <w:b w:val="0"/>
                <w:bCs/>
                <w:color w:val="auto"/>
                <w:sz w:val="24"/>
                <w:szCs w:val="24"/>
                <w:highlight w:val="none"/>
                <w:shd w:val="clear" w:color="auto" w:fill="auto"/>
              </w:rPr>
              <w:t xml:space="preserve">自行承诺并承担后果，声明函不实的，按《政府采购法》及相关法律法规中提供虚假材料的有关规定处理。】 </w:t>
            </w:r>
          </w:p>
        </w:tc>
      </w:tr>
      <w:tr w14:paraId="247B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Align w:val="center"/>
          </w:tcPr>
          <w:p w14:paraId="36BDC7F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p>
        </w:tc>
        <w:tc>
          <w:tcPr>
            <w:tcW w:w="1440" w:type="dxa"/>
            <w:vAlign w:val="center"/>
          </w:tcPr>
          <w:p w14:paraId="53E8237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w:t>
            </w:r>
          </w:p>
        </w:tc>
        <w:tc>
          <w:tcPr>
            <w:tcW w:w="6540" w:type="dxa"/>
            <w:vAlign w:val="center"/>
          </w:tcPr>
          <w:p w14:paraId="5E689D61">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投标保证金的金额：</w:t>
            </w:r>
          </w:p>
          <w:p w14:paraId="5B0C0EDD">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小写：</w:t>
            </w:r>
            <w:r>
              <w:rPr>
                <w:rFonts w:hint="eastAsia" w:ascii="宋体" w:hAnsi="宋体" w:cs="宋体"/>
                <w:color w:val="000000"/>
                <w:sz w:val="24"/>
                <w:szCs w:val="24"/>
                <w:highlight w:val="none"/>
                <w:lang w:val="en-US" w:eastAsia="zh-CN"/>
              </w:rPr>
              <w:t>20000.00</w:t>
            </w:r>
            <w:r>
              <w:rPr>
                <w:rFonts w:hint="eastAsia" w:ascii="宋体" w:hAnsi="宋体" w:eastAsia="宋体" w:cs="宋体"/>
                <w:color w:val="000000"/>
                <w:sz w:val="24"/>
                <w:szCs w:val="24"/>
                <w:highlight w:val="none"/>
                <w:lang w:val="en-US" w:eastAsia="zh-CN"/>
              </w:rPr>
              <w:t>元（大写：</w:t>
            </w:r>
            <w:r>
              <w:rPr>
                <w:rFonts w:hint="eastAsia" w:ascii="宋体" w:hAnsi="宋体" w:cs="宋体"/>
                <w:color w:val="000000"/>
                <w:sz w:val="24"/>
                <w:szCs w:val="24"/>
                <w:highlight w:val="none"/>
                <w:lang w:val="en-US" w:eastAsia="zh-CN"/>
              </w:rPr>
              <w:t>贰万元整</w:t>
            </w:r>
            <w:r>
              <w:rPr>
                <w:rFonts w:hint="eastAsia" w:ascii="宋体" w:hAnsi="宋体" w:eastAsia="宋体" w:cs="宋体"/>
                <w:color w:val="000000"/>
                <w:sz w:val="24"/>
                <w:szCs w:val="24"/>
                <w:highlight w:val="none"/>
                <w:lang w:val="en-US" w:eastAsia="zh-CN"/>
              </w:rPr>
              <w:t>）</w:t>
            </w:r>
          </w:p>
          <w:p w14:paraId="528CFEE4">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投标保证金须在投标文件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截止时间前确认到账。</w:t>
            </w:r>
          </w:p>
          <w:p w14:paraId="30686096">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一、投标保证金缴纳：</w:t>
            </w:r>
          </w:p>
          <w:p w14:paraId="5F3D51C9">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1.投标保证金应当以电汇、网银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保函</w:t>
            </w:r>
            <w:r>
              <w:rPr>
                <w:rFonts w:hint="eastAsia" w:ascii="宋体" w:hAnsi="宋体" w:eastAsia="宋体" w:cs="宋体"/>
                <w:color w:val="000000"/>
                <w:sz w:val="24"/>
                <w:szCs w:val="24"/>
                <w:highlight w:val="none"/>
              </w:rPr>
              <w:t>等非现金形式提交；</w:t>
            </w:r>
          </w:p>
          <w:p w14:paraId="4F6DC7DE">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2.缴纳投标保证金时需备注项目名称</w:t>
            </w:r>
            <w:r>
              <w:rPr>
                <w:rFonts w:hint="eastAsia" w:ascii="宋体" w:hAnsi="宋体" w:eastAsia="宋体" w:cs="宋体"/>
                <w:color w:val="000000"/>
                <w:sz w:val="24"/>
                <w:szCs w:val="24"/>
                <w:highlight w:val="none"/>
                <w:lang w:val="en-US" w:eastAsia="zh-CN"/>
              </w:rPr>
              <w:t>+标项</w:t>
            </w:r>
            <w:r>
              <w:rPr>
                <w:rFonts w:hint="eastAsia" w:ascii="宋体" w:hAnsi="宋体" w:eastAsia="宋体" w:cs="宋体"/>
                <w:color w:val="000000"/>
                <w:sz w:val="24"/>
                <w:szCs w:val="24"/>
                <w:highlight w:val="none"/>
              </w:rPr>
              <w:t>；</w:t>
            </w:r>
          </w:p>
          <w:p w14:paraId="38392F2E">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3.投标保证金</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截止时间：与投标文件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截止时间相同；</w:t>
            </w:r>
          </w:p>
          <w:p w14:paraId="64CB22AA">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投标保证金缴纳账户：</w:t>
            </w:r>
          </w:p>
          <w:p w14:paraId="28C0DCCC">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单位名称：新疆拓源工程管理咨询有限公司</w:t>
            </w:r>
          </w:p>
          <w:p w14:paraId="2275C938">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账号：107675470537</w:t>
            </w:r>
          </w:p>
          <w:p w14:paraId="17DF21B8">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开户行名称：中国银行乌鲁木齐市</w:t>
            </w:r>
            <w:r>
              <w:rPr>
                <w:rFonts w:hint="eastAsia" w:ascii="宋体" w:hAnsi="宋体" w:eastAsia="宋体" w:cs="宋体"/>
                <w:color w:val="000000"/>
                <w:sz w:val="24"/>
                <w:szCs w:val="24"/>
                <w:highlight w:val="none"/>
                <w:lang w:val="en-US" w:eastAsia="zh-CN"/>
              </w:rPr>
              <w:t>银川</w:t>
            </w:r>
            <w:r>
              <w:rPr>
                <w:rFonts w:hint="eastAsia" w:ascii="宋体" w:hAnsi="宋体" w:eastAsia="宋体" w:cs="宋体"/>
                <w:color w:val="000000"/>
                <w:sz w:val="24"/>
                <w:szCs w:val="24"/>
                <w:highlight w:val="none"/>
              </w:rPr>
              <w:t>路支行</w:t>
            </w:r>
          </w:p>
          <w:p w14:paraId="0234CB21">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行号：104881006135</w:t>
            </w:r>
          </w:p>
          <w:p w14:paraId="5C971A51">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二、投标保证金退还：</w:t>
            </w:r>
          </w:p>
          <w:p w14:paraId="7CD626A0">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1.未中标人的投标保证金将在中标通知书发出后5个工作日内退还；</w:t>
            </w:r>
          </w:p>
          <w:p w14:paraId="052B921A">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2.中标人的投标保证金将在自采购合同签订之日起5个工作日内无息退还；</w:t>
            </w:r>
          </w:p>
          <w:p w14:paraId="04CFD362">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3.有下列情形之一的，投标保证金不予退还：详见总则第15.5条。</w:t>
            </w:r>
          </w:p>
          <w:p w14:paraId="1507C5A9">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三、加盖公章的投标保证金缴纳凭证</w:t>
            </w:r>
            <w:r>
              <w:rPr>
                <w:rFonts w:hint="eastAsia" w:ascii="宋体" w:hAnsi="宋体" w:eastAsia="宋体" w:cs="宋体"/>
                <w:caps w:val="0"/>
                <w:color w:val="auto"/>
                <w:spacing w:val="0"/>
                <w:kern w:val="0"/>
                <w:sz w:val="24"/>
                <w:szCs w:val="24"/>
                <w:highlight w:val="none"/>
                <w:lang w:eastAsia="zh-CN" w:bidi="ar"/>
              </w:rPr>
              <w:t>彩色扫描件</w:t>
            </w:r>
            <w:r>
              <w:rPr>
                <w:rFonts w:hint="eastAsia" w:ascii="宋体" w:hAnsi="宋体" w:eastAsia="宋体" w:cs="宋体"/>
                <w:color w:val="000000"/>
                <w:sz w:val="24"/>
                <w:szCs w:val="24"/>
                <w:highlight w:val="none"/>
              </w:rPr>
              <w:t>需装订在投标文件中相应位置。</w:t>
            </w:r>
          </w:p>
          <w:p w14:paraId="044E6ED5">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注：投标人未按照招标文件的规定提交投标保证金的，将被视为</w:t>
            </w:r>
            <w:r>
              <w:rPr>
                <w:rFonts w:hint="eastAsia" w:ascii="宋体" w:hAnsi="宋体" w:eastAsia="宋体" w:cs="宋体"/>
                <w:b/>
                <w:bCs/>
                <w:color w:val="000000"/>
                <w:sz w:val="24"/>
                <w:szCs w:val="24"/>
                <w:highlight w:val="none"/>
                <w:lang w:eastAsia="zh-CN"/>
              </w:rPr>
              <w:t>投标</w:t>
            </w:r>
            <w:r>
              <w:rPr>
                <w:rFonts w:hint="eastAsia" w:ascii="宋体" w:hAnsi="宋体" w:eastAsia="宋体" w:cs="宋体"/>
                <w:b/>
                <w:bCs/>
                <w:color w:val="000000"/>
                <w:sz w:val="24"/>
                <w:szCs w:val="24"/>
                <w:highlight w:val="none"/>
              </w:rPr>
              <w:t>无效</w:t>
            </w:r>
            <w:r>
              <w:rPr>
                <w:rFonts w:hint="eastAsia" w:ascii="宋体" w:hAnsi="宋体" w:eastAsia="宋体" w:cs="宋体"/>
                <w:color w:val="000000"/>
                <w:sz w:val="24"/>
                <w:szCs w:val="24"/>
                <w:highlight w:val="none"/>
              </w:rPr>
              <w:t>。</w:t>
            </w:r>
          </w:p>
          <w:p w14:paraId="4D02D0C6">
            <w:pPr>
              <w:pStyle w:val="30"/>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财务部联系电话：0991-2338817</w:t>
            </w:r>
          </w:p>
        </w:tc>
      </w:tr>
      <w:tr w14:paraId="099D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8F4D4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w:t>
            </w:r>
          </w:p>
        </w:tc>
        <w:tc>
          <w:tcPr>
            <w:tcW w:w="1440" w:type="dxa"/>
            <w:vAlign w:val="center"/>
          </w:tcPr>
          <w:p w14:paraId="2DDB825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是否接受联合体投标</w:t>
            </w:r>
          </w:p>
        </w:tc>
        <w:tc>
          <w:tcPr>
            <w:tcW w:w="6540" w:type="dxa"/>
            <w:vAlign w:val="center"/>
          </w:tcPr>
          <w:p w14:paraId="587F1D9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不接受/</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接受</w:t>
            </w:r>
          </w:p>
        </w:tc>
      </w:tr>
      <w:tr w14:paraId="75A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32848FC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1440" w:type="dxa"/>
            <w:vAlign w:val="center"/>
          </w:tcPr>
          <w:p w14:paraId="791CD48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分包</w:t>
            </w:r>
          </w:p>
        </w:tc>
        <w:tc>
          <w:tcPr>
            <w:tcW w:w="6540" w:type="dxa"/>
            <w:vAlign w:val="center"/>
          </w:tcPr>
          <w:p w14:paraId="1D02E1E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不允许/</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允许</w:t>
            </w:r>
          </w:p>
        </w:tc>
      </w:tr>
      <w:tr w14:paraId="766C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294DBF3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w:t>
            </w:r>
          </w:p>
        </w:tc>
        <w:tc>
          <w:tcPr>
            <w:tcW w:w="1440" w:type="dxa"/>
            <w:vAlign w:val="center"/>
          </w:tcPr>
          <w:p w14:paraId="4C8EDDA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w:t>
            </w:r>
            <w:r>
              <w:rPr>
                <w:rFonts w:hint="eastAsia" w:ascii="宋体" w:hAnsi="宋体" w:eastAsia="宋体" w:cs="宋体"/>
                <w:sz w:val="24"/>
                <w:szCs w:val="24"/>
                <w:highlight w:val="none"/>
              </w:rPr>
              <w:t>及地点</w:t>
            </w:r>
          </w:p>
        </w:tc>
        <w:tc>
          <w:tcPr>
            <w:tcW w:w="6540" w:type="dxa"/>
            <w:vAlign w:val="center"/>
          </w:tcPr>
          <w:p w14:paraId="0FEE578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val="0"/>
                <w:bCs/>
                <w:color w:val="auto"/>
                <w:kern w:val="0"/>
                <w:sz w:val="24"/>
                <w:szCs w:val="24"/>
                <w:highlight w:val="none"/>
                <w:u w:val="none"/>
                <w:shd w:val="clear" w:color="auto" w:fill="auto"/>
                <w:lang w:eastAsia="zh-CN"/>
              </w:rPr>
            </w:pPr>
            <w:r>
              <w:rPr>
                <w:rFonts w:hint="eastAsia" w:ascii="宋体" w:hAnsi="宋体" w:eastAsia="宋体" w:cs="宋体"/>
                <w:b w:val="0"/>
                <w:bCs/>
                <w:color w:val="auto"/>
                <w:sz w:val="24"/>
                <w:szCs w:val="24"/>
                <w:highlight w:val="none"/>
                <w:u w:val="none"/>
                <w:shd w:val="clear" w:color="auto" w:fill="auto"/>
                <w:lang w:val="en-US" w:eastAsia="zh-CN"/>
              </w:rPr>
              <w:t>投标</w:t>
            </w:r>
            <w:r>
              <w:rPr>
                <w:rFonts w:hint="eastAsia" w:ascii="宋体" w:hAnsi="宋体" w:eastAsia="宋体" w:cs="宋体"/>
                <w:b w:val="0"/>
                <w:bCs/>
                <w:color w:val="auto"/>
                <w:sz w:val="24"/>
                <w:szCs w:val="24"/>
                <w:highlight w:val="none"/>
                <w:u w:val="none"/>
                <w:shd w:val="clear" w:color="auto" w:fill="auto"/>
              </w:rPr>
              <w:t>文件</w:t>
            </w:r>
            <w:r>
              <w:rPr>
                <w:rFonts w:hint="eastAsia" w:ascii="宋体" w:hAnsi="宋体" w:eastAsia="宋体" w:cs="宋体"/>
                <w:b w:val="0"/>
                <w:bCs/>
                <w:color w:val="auto"/>
                <w:sz w:val="24"/>
                <w:szCs w:val="24"/>
                <w:highlight w:val="none"/>
                <w:u w:val="none"/>
                <w:shd w:val="clear" w:color="auto" w:fill="auto"/>
                <w:lang w:val="en-US" w:eastAsia="zh-CN"/>
              </w:rPr>
              <w:t>上传</w:t>
            </w:r>
            <w:r>
              <w:rPr>
                <w:rFonts w:hint="eastAsia" w:ascii="宋体" w:hAnsi="宋体" w:eastAsia="宋体" w:cs="宋体"/>
                <w:b w:val="0"/>
                <w:bCs/>
                <w:color w:val="auto"/>
                <w:sz w:val="24"/>
                <w:szCs w:val="24"/>
                <w:highlight w:val="none"/>
                <w:u w:val="none"/>
                <w:shd w:val="clear" w:color="auto" w:fill="auto"/>
              </w:rPr>
              <w:t>截止时间</w:t>
            </w:r>
            <w:r>
              <w:rPr>
                <w:rFonts w:hint="eastAsia" w:ascii="宋体" w:hAnsi="宋体" w:eastAsia="宋体" w:cs="宋体"/>
                <w:b w:val="0"/>
                <w:bCs/>
                <w:color w:val="auto"/>
                <w:sz w:val="24"/>
                <w:szCs w:val="24"/>
                <w:highlight w:val="none"/>
                <w:u w:val="none"/>
                <w:shd w:val="clear" w:color="auto" w:fill="auto"/>
                <w:lang w:eastAsia="zh-CN"/>
              </w:rPr>
              <w:t>：</w:t>
            </w:r>
            <w:r>
              <w:rPr>
                <w:rFonts w:hint="eastAsia" w:ascii="宋体" w:hAnsi="宋体" w:eastAsia="宋体" w:cs="宋体"/>
                <w:color w:val="auto"/>
                <w:sz w:val="24"/>
                <w:szCs w:val="24"/>
                <w:highlight w:val="yellow"/>
                <w:u w:val="single"/>
              </w:rPr>
              <w:t>202</w:t>
            </w:r>
            <w:r>
              <w:rPr>
                <w:rFonts w:hint="eastAsia" w:ascii="宋体" w:hAnsi="宋体" w:cs="宋体"/>
                <w:color w:val="auto"/>
                <w:sz w:val="24"/>
                <w:szCs w:val="24"/>
                <w:highlight w:val="yellow"/>
                <w:u w:val="single"/>
                <w:lang w:val="en-US" w:eastAsia="zh-CN"/>
              </w:rPr>
              <w:t>6</w:t>
            </w:r>
            <w:r>
              <w:rPr>
                <w:rFonts w:hint="eastAsia" w:ascii="宋体" w:hAnsi="宋体" w:eastAsia="宋体" w:cs="宋体"/>
                <w:bCs/>
                <w:color w:val="auto"/>
                <w:sz w:val="24"/>
                <w:szCs w:val="24"/>
                <w:highlight w:val="yellow"/>
                <w:u w:val="single"/>
              </w:rPr>
              <w:t>年</w:t>
            </w:r>
            <w:r>
              <w:rPr>
                <w:rFonts w:hint="eastAsia" w:ascii="宋体" w:hAnsi="宋体" w:cs="宋体"/>
                <w:bCs/>
                <w:color w:val="auto"/>
                <w:sz w:val="24"/>
                <w:szCs w:val="24"/>
                <w:highlight w:val="yellow"/>
                <w:u w:val="single"/>
                <w:lang w:val="en-US" w:eastAsia="zh-CN"/>
              </w:rPr>
              <w:t>06</w:t>
            </w:r>
            <w:r>
              <w:rPr>
                <w:rFonts w:hint="eastAsia" w:ascii="宋体" w:hAnsi="宋体" w:eastAsia="宋体" w:cs="宋体"/>
                <w:bCs/>
                <w:color w:val="auto"/>
                <w:sz w:val="24"/>
                <w:szCs w:val="24"/>
                <w:highlight w:val="yellow"/>
                <w:u w:val="single"/>
              </w:rPr>
              <w:t>月</w:t>
            </w:r>
            <w:r>
              <w:rPr>
                <w:rFonts w:hint="eastAsia" w:ascii="宋体" w:hAnsi="宋体" w:cs="宋体"/>
                <w:bCs/>
                <w:color w:val="auto"/>
                <w:sz w:val="24"/>
                <w:szCs w:val="24"/>
                <w:highlight w:val="yellow"/>
                <w:u w:val="single"/>
                <w:lang w:val="en-US" w:eastAsia="zh-CN"/>
              </w:rPr>
              <w:t>23</w:t>
            </w:r>
            <w:r>
              <w:rPr>
                <w:rFonts w:hint="eastAsia" w:ascii="宋体" w:hAnsi="宋体" w:eastAsia="宋体" w:cs="宋体"/>
                <w:bCs/>
                <w:color w:val="auto"/>
                <w:sz w:val="24"/>
                <w:szCs w:val="24"/>
                <w:highlight w:val="yellow"/>
                <w:u w:val="single"/>
              </w:rPr>
              <w:t>日</w:t>
            </w:r>
            <w:r>
              <w:rPr>
                <w:rFonts w:hint="eastAsia" w:ascii="宋体" w:hAnsi="宋体" w:eastAsia="宋体" w:cs="宋体"/>
                <w:bCs/>
                <w:color w:val="auto"/>
                <w:sz w:val="24"/>
                <w:szCs w:val="24"/>
                <w:highlight w:val="none"/>
                <w:u w:val="single"/>
              </w:rPr>
              <w:t xml:space="preserve"> 11 点 00 分</w:t>
            </w:r>
            <w:r>
              <w:rPr>
                <w:rFonts w:hint="eastAsia" w:ascii="宋体" w:hAnsi="宋体" w:eastAsia="宋体" w:cs="宋体"/>
                <w:b w:val="0"/>
                <w:bCs/>
                <w:color w:val="auto"/>
                <w:kern w:val="0"/>
                <w:sz w:val="24"/>
                <w:szCs w:val="24"/>
                <w:highlight w:val="none"/>
                <w:u w:val="none"/>
                <w:shd w:val="clear" w:color="auto" w:fill="auto"/>
              </w:rPr>
              <w:t>（北京时间）</w:t>
            </w:r>
            <w:r>
              <w:rPr>
                <w:rFonts w:hint="eastAsia" w:ascii="宋体" w:hAnsi="宋体" w:eastAsia="宋体" w:cs="宋体"/>
                <w:b w:val="0"/>
                <w:bCs/>
                <w:color w:val="auto"/>
                <w:kern w:val="0"/>
                <w:sz w:val="24"/>
                <w:szCs w:val="24"/>
                <w:highlight w:val="none"/>
                <w:u w:val="none"/>
                <w:shd w:val="clear" w:color="auto" w:fill="auto"/>
                <w:lang w:eastAsia="zh-CN"/>
              </w:rPr>
              <w:t>；</w:t>
            </w:r>
          </w:p>
          <w:p w14:paraId="17E0A086">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应在投标截止时间前将“电子加密投标文件”成功</w:t>
            </w:r>
            <w:r>
              <w:rPr>
                <w:rFonts w:hint="eastAsia" w:ascii="宋体" w:hAnsi="宋体" w:eastAsia="宋体" w:cs="宋体"/>
                <w:sz w:val="24"/>
                <w:szCs w:val="24"/>
                <w:highlight w:val="none"/>
                <w:lang w:eastAsia="zh-CN"/>
              </w:rPr>
              <w:t>上传</w:t>
            </w:r>
            <w:r>
              <w:rPr>
                <w:rFonts w:hint="eastAsia" w:ascii="宋体" w:hAnsi="宋体" w:eastAsia="宋体" w:cs="宋体"/>
                <w:sz w:val="24"/>
                <w:szCs w:val="24"/>
                <w:highlight w:val="none"/>
              </w:rPr>
              <w:t>至“政府采购云平台”，否则投标无效。</w:t>
            </w:r>
          </w:p>
        </w:tc>
      </w:tr>
      <w:tr w14:paraId="6E64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5D29EEF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w:t>
            </w:r>
          </w:p>
        </w:tc>
        <w:tc>
          <w:tcPr>
            <w:tcW w:w="1440" w:type="dxa"/>
            <w:vAlign w:val="center"/>
          </w:tcPr>
          <w:p w14:paraId="421282D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采用电子招标投标</w:t>
            </w:r>
          </w:p>
        </w:tc>
        <w:tc>
          <w:tcPr>
            <w:tcW w:w="6540" w:type="dxa"/>
            <w:vAlign w:val="center"/>
          </w:tcPr>
          <w:p w14:paraId="16E9DB2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具体要求：</w:t>
            </w:r>
          </w:p>
          <w:p w14:paraId="669917D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1、投标文件解密时间：</w:t>
            </w:r>
            <w:r>
              <w:rPr>
                <w:rFonts w:hint="eastAsia" w:ascii="宋体" w:hAnsi="宋体" w:eastAsia="宋体" w:cs="宋体"/>
                <w:sz w:val="24"/>
                <w:szCs w:val="24"/>
                <w:highlight w:val="none"/>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eastAsia="宋体" w:cs="宋体"/>
                <w:sz w:val="24"/>
                <w:szCs w:val="24"/>
                <w:highlight w:val="none"/>
                <w:lang w:eastAsia="zh-CN"/>
              </w:rPr>
              <w:t>投标无效</w:t>
            </w:r>
            <w:r>
              <w:rPr>
                <w:rFonts w:hint="eastAsia" w:ascii="宋体" w:hAnsi="宋体" w:eastAsia="宋体" w:cs="宋体"/>
                <w:sz w:val="24"/>
                <w:szCs w:val="24"/>
                <w:highlight w:val="none"/>
              </w:rPr>
              <w:t>。（解密时间开始时政采云平台将以短信形式向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在政采云平台预留的手机号发送短信通知，请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及时关注。）</w:t>
            </w:r>
          </w:p>
          <w:p w14:paraId="59BE2EF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报价CA签字确认：</w:t>
            </w:r>
            <w:r>
              <w:rPr>
                <w:rFonts w:hint="eastAsia" w:ascii="宋体" w:hAnsi="宋体" w:eastAsia="宋体" w:cs="宋体"/>
                <w:sz w:val="24"/>
                <w:szCs w:val="24"/>
                <w:highlight w:val="none"/>
              </w:rPr>
              <w:t>报价文件开启后将开启签字时段，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须在20分钟内用CA证书对报价进行签字确认。</w:t>
            </w:r>
          </w:p>
          <w:p w14:paraId="26B54EF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3、备注:</w:t>
            </w:r>
          </w:p>
          <w:p w14:paraId="29DCDC7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（1）本次采购采用电子交易方式，电子交易平台为“政府采购云平台（www.zcygov.cn）”。</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参与本项目电子交易活动前，应注册成为政府采购平台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。编制电子投标文件前还需申领CA证书并绑定帐号.</w:t>
            </w:r>
          </w:p>
          <w:p w14:paraId="048FAFA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编制电子投标文件应安装“电子招投标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客户端”软件，并按照本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和电子招投标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客户端的要求编制并加密投标文件。未按规定加密的投标文件，将被电子招投标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客户端拒收。“电子招投标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自行前往“新疆政府采购网—下载专区—新疆维吾尔自治区全流程电子招投标项目管理系统--电子招投标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客户端”版块获取。</w:t>
            </w:r>
          </w:p>
          <w:p w14:paraId="5270222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应当在投标截止时间前，将“电子招投标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客户端”生成的“电子加密投标文件”上传电子交易平台。</w:t>
            </w:r>
          </w:p>
          <w:p w14:paraId="1483734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（5）服务与支持。各政府采购代理机构（含集采机构）及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对不见面开评标系统的技术操作咨询，可通过</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"https://edu.zcygov.cn/luban/xinjiang-e-biding"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https://edu.zcygov.cn/luban/xinjiang-e-biding</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自助查询，也可在政采云帮助中心常见问题解答和操作流程讲解视频中自助查询，网址为：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"https://service.zcygov.cn/" \l "/help"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https://service.zcygov.cn/#/help</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，“项目采购—操作流程—电子招投标—政府采购项目电子交易管理操作指南-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”版面获取操作指南，同时对自助查询无法解决的问题可通过钉钉群及政采云在线客服获取服务支持。政采云热线人工号码：400-881-7190（工作时间：工作日08:00~20：00）</w:t>
            </w:r>
          </w:p>
        </w:tc>
      </w:tr>
      <w:tr w14:paraId="3214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76571CF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w:t>
            </w:r>
          </w:p>
        </w:tc>
        <w:tc>
          <w:tcPr>
            <w:tcW w:w="1440" w:type="dxa"/>
            <w:vAlign w:val="center"/>
          </w:tcPr>
          <w:p w14:paraId="0CB7B51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6540" w:type="dxa"/>
            <w:vAlign w:val="center"/>
          </w:tcPr>
          <w:p w14:paraId="61B3A5D5">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1、报价合理性：采购评审中出现下列情形之一的，评标委员会启动异常低价响应审查程序：</w:t>
            </w:r>
          </w:p>
          <w:p w14:paraId="480CD4B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0D6776BE">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2.投标(响应)报价低于通过符合性审查的「次低报价」供应商投标(响应)报价50%的，即投标(响应)报价&lt;通过符合性审查供应商投标(响应)报价×50%；</w:t>
            </w:r>
          </w:p>
          <w:p w14:paraId="0036B6A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3.投标(响应)报价低于采购项目「最高限价」45%的，即投标(响应)报价&lt;采购项目最高限价×45%；</w:t>
            </w:r>
          </w:p>
          <w:p w14:paraId="621D38FB">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4.评审委员会基于专业判断，认为供应商报价过低，有可能影响产品质量或者不能诚信履约的其他情形。</w:t>
            </w:r>
          </w:p>
          <w:p w14:paraId="0E099FA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B2833E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36037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2、投标人的报价包含提供的所有</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及相关工作范围内所有费用的总价。</w:t>
            </w:r>
          </w:p>
        </w:tc>
      </w:tr>
      <w:tr w14:paraId="2A7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 w:type="dxa"/>
            <w:vAlign w:val="center"/>
          </w:tcPr>
          <w:p w14:paraId="05DC45F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w:t>
            </w:r>
          </w:p>
        </w:tc>
        <w:tc>
          <w:tcPr>
            <w:tcW w:w="1440" w:type="dxa"/>
            <w:vAlign w:val="center"/>
          </w:tcPr>
          <w:p w14:paraId="4B6C912E">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踏勘现场</w:t>
            </w:r>
          </w:p>
        </w:tc>
        <w:tc>
          <w:tcPr>
            <w:tcW w:w="6540" w:type="dxa"/>
            <w:vAlign w:val="center"/>
          </w:tcPr>
          <w:p w14:paraId="7AC1A93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不组织，投标人自行踏勘，无论投标人对现场考察与否，都将被视为熟悉履行合同有关的一切情况，投标人现场踏勘发生的费用自理。</w:t>
            </w:r>
          </w:p>
        </w:tc>
      </w:tr>
      <w:tr w14:paraId="62BB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29FCA00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1440" w:type="dxa"/>
            <w:vAlign w:val="center"/>
          </w:tcPr>
          <w:p w14:paraId="1A20C77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投标答疑会</w:t>
            </w:r>
          </w:p>
        </w:tc>
        <w:tc>
          <w:tcPr>
            <w:tcW w:w="6540" w:type="dxa"/>
            <w:vAlign w:val="center"/>
          </w:tcPr>
          <w:p w14:paraId="28F0CBD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 xml:space="preserve">不召开  </w:t>
            </w:r>
          </w:p>
        </w:tc>
      </w:tr>
      <w:tr w14:paraId="3660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51C3A8A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w:t>
            </w:r>
          </w:p>
        </w:tc>
        <w:tc>
          <w:tcPr>
            <w:tcW w:w="1440" w:type="dxa"/>
            <w:vAlign w:val="center"/>
          </w:tcPr>
          <w:p w14:paraId="09BD407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近年财务状况年份要求</w:t>
            </w:r>
          </w:p>
        </w:tc>
        <w:tc>
          <w:tcPr>
            <w:tcW w:w="6540" w:type="dxa"/>
            <w:vAlign w:val="center"/>
          </w:tcPr>
          <w:p w14:paraId="3E81D28B">
            <w:pPr>
              <w:pStyle w:val="26"/>
              <w:keepNext w:val="0"/>
              <w:keepLines w:val="0"/>
              <w:pageBreakBefore w:val="0"/>
              <w:kinsoku/>
              <w:wordWrap/>
              <w:overflowPunct/>
              <w:topLinePunct w:val="0"/>
              <w:autoSpaceDE/>
              <w:autoSpaceDN/>
              <w:bidi w:val="0"/>
              <w:spacing w:line="360" w:lineRule="auto"/>
              <w:ind w:left="0" w:firstLine="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银行出具的近1年内资信证明或2025年度（如2025年审计报告未出可提供2024年度审计报告）经审计的财务报告</w:t>
            </w:r>
          </w:p>
        </w:tc>
      </w:tr>
      <w:tr w14:paraId="7EF6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48385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p>
        </w:tc>
        <w:tc>
          <w:tcPr>
            <w:tcW w:w="1440" w:type="dxa"/>
            <w:vAlign w:val="center"/>
          </w:tcPr>
          <w:p w14:paraId="7FEE0B5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6540" w:type="dxa"/>
            <w:vAlign w:val="center"/>
          </w:tcPr>
          <w:p w14:paraId="05EBA4D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从开标之日起60日历天</w:t>
            </w:r>
          </w:p>
        </w:tc>
      </w:tr>
      <w:tr w14:paraId="6D9C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3F176C7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w:t>
            </w:r>
          </w:p>
        </w:tc>
        <w:tc>
          <w:tcPr>
            <w:tcW w:w="1440" w:type="dxa"/>
            <w:vAlign w:val="center"/>
          </w:tcPr>
          <w:p w14:paraId="51F24DC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评标委员会的组建</w:t>
            </w:r>
          </w:p>
        </w:tc>
        <w:tc>
          <w:tcPr>
            <w:tcW w:w="6540" w:type="dxa"/>
            <w:vAlign w:val="center"/>
          </w:tcPr>
          <w:p w14:paraId="025CDE3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评标委员会构成：</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人；</w:t>
            </w:r>
          </w:p>
          <w:p w14:paraId="79386FE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评标专家确定方式：经济、技术专家不少于评标委员会组成人员的三分之二，按相关规定从政府采购专家库中随机抽取。</w:t>
            </w:r>
          </w:p>
        </w:tc>
      </w:tr>
      <w:tr w14:paraId="67D7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71" w:type="dxa"/>
            <w:vAlign w:val="center"/>
          </w:tcPr>
          <w:p w14:paraId="0C8EE87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w:t>
            </w:r>
          </w:p>
        </w:tc>
        <w:tc>
          <w:tcPr>
            <w:tcW w:w="1440" w:type="dxa"/>
            <w:vAlign w:val="center"/>
          </w:tcPr>
          <w:p w14:paraId="30C9E99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评标办法</w:t>
            </w:r>
          </w:p>
        </w:tc>
        <w:tc>
          <w:tcPr>
            <w:tcW w:w="6540" w:type="dxa"/>
            <w:vAlign w:val="center"/>
          </w:tcPr>
          <w:p w14:paraId="2843C18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w:t>
            </w:r>
          </w:p>
        </w:tc>
      </w:tr>
      <w:tr w14:paraId="2410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7ED0E94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w:t>
            </w:r>
          </w:p>
        </w:tc>
        <w:tc>
          <w:tcPr>
            <w:tcW w:w="1440" w:type="dxa"/>
            <w:vAlign w:val="center"/>
          </w:tcPr>
          <w:p w14:paraId="4D0C88A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是否授权评标委员会确定中标人</w:t>
            </w:r>
          </w:p>
        </w:tc>
        <w:tc>
          <w:tcPr>
            <w:tcW w:w="6540" w:type="dxa"/>
            <w:vAlign w:val="center"/>
          </w:tcPr>
          <w:p w14:paraId="509A534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否，推荐3名中标候选人。</w:t>
            </w:r>
          </w:p>
        </w:tc>
      </w:tr>
      <w:tr w14:paraId="6A7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647AB6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26</w:t>
            </w:r>
          </w:p>
        </w:tc>
        <w:tc>
          <w:tcPr>
            <w:tcW w:w="1440" w:type="dxa"/>
            <w:vAlign w:val="center"/>
          </w:tcPr>
          <w:p w14:paraId="26A8812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履约保证金</w:t>
            </w:r>
          </w:p>
        </w:tc>
        <w:tc>
          <w:tcPr>
            <w:tcW w:w="6540" w:type="dxa"/>
            <w:vAlign w:val="center"/>
          </w:tcPr>
          <w:p w14:paraId="13ED89D1">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以合同签订为准</w:t>
            </w:r>
          </w:p>
        </w:tc>
      </w:tr>
      <w:tr w14:paraId="471A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4F1B34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27</w:t>
            </w:r>
          </w:p>
        </w:tc>
        <w:tc>
          <w:tcPr>
            <w:tcW w:w="1440" w:type="dxa"/>
            <w:vAlign w:val="center"/>
          </w:tcPr>
          <w:p w14:paraId="1CE44C9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代理费用</w:t>
            </w:r>
          </w:p>
        </w:tc>
        <w:tc>
          <w:tcPr>
            <w:tcW w:w="6540" w:type="dxa"/>
            <w:vAlign w:val="center"/>
          </w:tcPr>
          <w:p w14:paraId="4DD31D8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招标代理服务费</w:t>
            </w:r>
            <w:r>
              <w:rPr>
                <w:rFonts w:hint="eastAsia" w:ascii="宋体" w:hAnsi="宋体" w:eastAsia="宋体" w:cs="宋体"/>
                <w:color w:val="000000"/>
                <w:sz w:val="24"/>
                <w:szCs w:val="24"/>
                <w:highlight w:val="none"/>
                <w:lang w:val="en-US" w:eastAsia="zh-CN"/>
              </w:rPr>
              <w:t>参照</w:t>
            </w:r>
            <w:r>
              <w:rPr>
                <w:rFonts w:hint="eastAsia" w:ascii="宋体" w:hAnsi="宋体" w:eastAsia="宋体" w:cs="宋体"/>
                <w:sz w:val="24"/>
                <w:szCs w:val="24"/>
                <w:highlight w:val="none"/>
                <w:lang w:val="en-US" w:eastAsia="zh-CN"/>
              </w:rPr>
              <w:t>国家计委关于《招标代理服务收费管理暂行办法》（计价格[2002]1980号）和国家发改价格【2011】534号文件的取费标准，以中标价为基准</w:t>
            </w:r>
            <w:r>
              <w:rPr>
                <w:rFonts w:hint="eastAsia" w:ascii="宋体" w:hAnsi="宋体" w:cs="宋体"/>
                <w:sz w:val="24"/>
                <w:szCs w:val="24"/>
                <w:highlight w:val="none"/>
                <w:lang w:val="en-US" w:eastAsia="zh-CN"/>
              </w:rPr>
              <w:t>下浮20%</w:t>
            </w:r>
            <w:r>
              <w:rPr>
                <w:rFonts w:hint="eastAsia" w:ascii="宋体" w:hAnsi="宋体" w:eastAsia="宋体" w:cs="宋体"/>
                <w:color w:val="000000"/>
                <w:sz w:val="24"/>
                <w:szCs w:val="24"/>
                <w:highlight w:val="none"/>
              </w:rPr>
              <w:t>,由中标单位支付。</w:t>
            </w:r>
          </w:p>
        </w:tc>
      </w:tr>
      <w:tr w14:paraId="7B3C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DB19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8</w:t>
            </w:r>
          </w:p>
        </w:tc>
        <w:tc>
          <w:tcPr>
            <w:tcW w:w="1440" w:type="dxa"/>
            <w:vAlign w:val="center"/>
          </w:tcPr>
          <w:p w14:paraId="208BF87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付款方式</w:t>
            </w:r>
          </w:p>
        </w:tc>
        <w:tc>
          <w:tcPr>
            <w:tcW w:w="6540" w:type="dxa"/>
            <w:vAlign w:val="center"/>
          </w:tcPr>
          <w:p w14:paraId="485BE47B">
            <w:pPr>
              <w:pStyle w:val="6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以合同签订为准</w:t>
            </w:r>
          </w:p>
        </w:tc>
      </w:tr>
      <w:tr w14:paraId="4E07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Align w:val="center"/>
          </w:tcPr>
          <w:p w14:paraId="0CC7201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9</w:t>
            </w:r>
          </w:p>
        </w:tc>
        <w:tc>
          <w:tcPr>
            <w:tcW w:w="1440" w:type="dxa"/>
            <w:vAlign w:val="center"/>
          </w:tcPr>
          <w:p w14:paraId="70AC9927">
            <w:pPr>
              <w:widowControl/>
              <w:tabs>
                <w:tab w:val="left" w:pos="720"/>
                <w:tab w:val="left" w:pos="900"/>
                <w:tab w:val="left" w:pos="1080"/>
                <w:tab w:val="left" w:pos="1260"/>
                <w:tab w:val="left" w:pos="1440"/>
                <w:tab w:val="left" w:pos="180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6540" w:type="dxa"/>
            <w:vAlign w:val="center"/>
          </w:tcPr>
          <w:p w14:paraId="56521E10">
            <w:pPr>
              <w:widowControl/>
              <w:numPr>
                <w:numId w:val="0"/>
              </w:numPr>
              <w:tabs>
                <w:tab w:val="left" w:pos="720"/>
                <w:tab w:val="left" w:pos="900"/>
                <w:tab w:val="left" w:pos="1080"/>
                <w:tab w:val="left" w:pos="1260"/>
                <w:tab w:val="left" w:pos="1440"/>
                <w:tab w:val="left" w:pos="1800"/>
              </w:tabs>
              <w:spacing w:line="360" w:lineRule="auto"/>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本次招标如有变更、澄清或其他通知将在发布招标公告的网站上公布。</w:t>
            </w:r>
          </w:p>
          <w:p w14:paraId="12700E93">
            <w:pPr>
              <w:widowControl/>
              <w:numPr>
                <w:numId w:val="0"/>
              </w:numPr>
              <w:tabs>
                <w:tab w:val="left" w:pos="720"/>
                <w:tab w:val="left" w:pos="900"/>
                <w:tab w:val="left" w:pos="1080"/>
                <w:tab w:val="left" w:pos="1260"/>
                <w:tab w:val="left" w:pos="1440"/>
                <w:tab w:val="left" w:pos="1800"/>
              </w:tabs>
              <w:spacing w:line="360"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2.项目类型：货物。</w:t>
            </w:r>
          </w:p>
        </w:tc>
      </w:tr>
      <w:tr w14:paraId="5C4F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Align w:val="center"/>
          </w:tcPr>
          <w:p w14:paraId="1082376C">
            <w:pPr>
              <w:keepNext w:val="0"/>
              <w:keepLines w:val="0"/>
              <w:pageBreakBefore w:val="0"/>
              <w:kinsoku/>
              <w:wordWrap/>
              <w:overflowPunct/>
              <w:topLinePunct w:val="0"/>
              <w:autoSpaceDE/>
              <w:autoSpaceDN/>
              <w:bidi w:val="0"/>
              <w:spacing w:line="360" w:lineRule="auto"/>
              <w:jc w:val="center"/>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30</w:t>
            </w:r>
          </w:p>
        </w:tc>
        <w:tc>
          <w:tcPr>
            <w:tcW w:w="1440" w:type="dxa"/>
            <w:vAlign w:val="center"/>
          </w:tcPr>
          <w:p w14:paraId="70C5AD14">
            <w:pPr>
              <w:widowControl/>
              <w:tabs>
                <w:tab w:val="left" w:pos="720"/>
                <w:tab w:val="left" w:pos="900"/>
                <w:tab w:val="left" w:pos="1080"/>
                <w:tab w:val="left" w:pos="1260"/>
                <w:tab w:val="left" w:pos="1440"/>
                <w:tab w:val="left" w:pos="1800"/>
              </w:tabs>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本国产品</w:t>
            </w:r>
          </w:p>
        </w:tc>
        <w:tc>
          <w:tcPr>
            <w:tcW w:w="6540" w:type="dxa"/>
            <w:shd w:val="clear" w:color="auto" w:fill="auto"/>
            <w:vAlign w:val="center"/>
          </w:tcPr>
          <w:p w14:paraId="4C7E99FD">
            <w:pPr>
              <w:keepNext w:val="0"/>
              <w:keepLines w:val="0"/>
              <w:suppressLineNumbers w:val="0"/>
              <w:spacing w:before="0" w:beforeAutospacing="0" w:after="0" w:afterAutospacing="0" w:line="480" w:lineRule="exact"/>
              <w:ind w:left="0" w:right="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注：本项目部分设备支持采用进口产品，具体详见招标文件第四章 招标项目技术要求。</w:t>
            </w:r>
          </w:p>
          <w:p w14:paraId="019777A9">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1.支持本国产品</w:t>
            </w:r>
          </w:p>
          <w:p w14:paraId="563EC223">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1.1本国产品标准(依据《国务院办公厅关于在政府采购中实施本国产品标准及相关政策的通知》国办发〔2025〕34号)</w:t>
            </w:r>
          </w:p>
          <w:p w14:paraId="455B84C6">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本国产品应当符合以下条件：</w:t>
            </w:r>
          </w:p>
          <w:p w14:paraId="642F6731">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（一）在中国境内生产</w:t>
            </w:r>
          </w:p>
          <w:p w14:paraId="032F3EB8">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A758688">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1.为确保产品在运输或者储存期间保持某种状态而进行的操作；</w:t>
            </w:r>
          </w:p>
          <w:p w14:paraId="04F77E7E">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2.为产品运输或者销售进行的包装或者展示；</w:t>
            </w:r>
          </w:p>
          <w:p w14:paraId="2926EBAA">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3.在产品或者其包装上粘贴或者印刷品牌、标志、标识以及其他用于区别的标记；</w:t>
            </w:r>
          </w:p>
          <w:p w14:paraId="5A0E4689">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4.简单的上漆、磨光和分装；</w:t>
            </w:r>
          </w:p>
          <w:p w14:paraId="246EC8FD">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5.其他不属于属性改变的情形。</w:t>
            </w:r>
          </w:p>
          <w:p w14:paraId="02AC431E">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（二）在中国境内生产的组件成本占比达到规定比例产品在中国境内生产的组件成本占比应当达到规定比例，计算公式为：（产品在中国境内生产的组件成本/产品总成本）≥规定比例。</w:t>
            </w:r>
          </w:p>
          <w:p w14:paraId="114679CB">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8C0D69C">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特定产品的关键组件、关键工序符合相关要求对特定产品，在符合本通知第一条第（一）项和第（二）项条件的基础上，应当符合财政部会同有关行业主管部门确定的其关键组件、关键工序在中国境内生产、完成等要求。</w:t>
            </w:r>
          </w:p>
          <w:p w14:paraId="5BAF75B6">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5C3806F">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本国产品标准的适用范围</w:t>
            </w:r>
          </w:p>
          <w:p w14:paraId="6614D0B6">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32AD0F">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对本国产品的支持政策</w:t>
            </w:r>
          </w:p>
          <w:p w14:paraId="05255437">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5474009C">
            <w:pPr>
              <w:keepNext w:val="0"/>
              <w:keepLines w:val="0"/>
              <w:suppressLineNumbers w:val="0"/>
              <w:spacing w:before="0" w:beforeAutospacing="0" w:after="0" w:afterAutospacing="0" w:line="480" w:lineRule="exact"/>
              <w:ind w:left="0" w:righ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23EAC2">
            <w:pPr>
              <w:keepNext w:val="0"/>
              <w:keepLines w:val="0"/>
              <w:suppressLineNumbers w:val="0"/>
              <w:spacing w:before="0" w:beforeAutospacing="0" w:after="0" w:afterAutospacing="0" w:line="480" w:lineRule="exact"/>
              <w:ind w:left="0" w:right="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1.4有关证明文件</w:t>
            </w:r>
          </w:p>
          <w:p w14:paraId="1E12C8A0">
            <w:pPr>
              <w:autoSpaceDE w:val="0"/>
              <w:autoSpaceDN w:val="0"/>
              <w:adjustRightIn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享受本国产品支持政策的投标人应按照招标文件格式要求提供《关于符合本国产品标准的声明函》或财政部会同有关部门规定的有关证明文件。投标人提供虚假《关于符合本国产品标准的声明函》、虚假证明文件谋取中标的，依照《中华人民共和国政府采购法》等法律法规规定追究相应责任。</w:t>
            </w:r>
          </w:p>
        </w:tc>
      </w:tr>
    </w:tbl>
    <w:p w14:paraId="4DAC0506">
      <w:pPr>
        <w:pStyle w:val="4"/>
        <w:pageBreakBefore w:val="0"/>
        <w:widowControl w:val="0"/>
        <w:kinsoku/>
        <w:wordWrap/>
        <w:overflowPunct/>
        <w:topLinePunct w:val="0"/>
        <w:autoSpaceDE/>
        <w:autoSpaceDN/>
        <w:bidi w:val="0"/>
        <w:adjustRightInd/>
        <w:spacing w:before="156" w:after="156" w:line="360" w:lineRule="auto"/>
        <w:textAlignment w:val="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br w:type="page"/>
      </w:r>
      <w:r>
        <w:rPr>
          <w:rFonts w:hint="eastAsia" w:ascii="宋体" w:hAnsi="宋体" w:eastAsia="宋体" w:cs="宋体"/>
          <w:bCs w:val="0"/>
          <w:color w:val="000000"/>
          <w:sz w:val="24"/>
          <w:szCs w:val="24"/>
          <w:highlight w:val="none"/>
        </w:rPr>
        <w:t>二、总  则</w:t>
      </w:r>
    </w:p>
    <w:p w14:paraId="7004E91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43" w:name="_Toc183582205"/>
      <w:bookmarkStart w:id="44" w:name="_Toc183682342"/>
      <w:bookmarkStart w:id="45" w:name="_Toc217446034"/>
      <w:r>
        <w:rPr>
          <w:rFonts w:hint="eastAsia" w:ascii="宋体" w:hAnsi="宋体" w:eastAsia="宋体" w:cs="宋体"/>
          <w:color w:val="000000"/>
          <w:sz w:val="24"/>
          <w:szCs w:val="24"/>
          <w:highlight w:val="none"/>
        </w:rPr>
        <w:t>1.</w:t>
      </w:r>
      <w:bookmarkEnd w:id="43"/>
      <w:bookmarkEnd w:id="44"/>
      <w:r>
        <w:rPr>
          <w:rFonts w:hint="eastAsia" w:ascii="宋体" w:hAnsi="宋体" w:eastAsia="宋体" w:cs="宋体"/>
          <w:color w:val="000000"/>
          <w:sz w:val="24"/>
          <w:szCs w:val="24"/>
          <w:highlight w:val="none"/>
        </w:rPr>
        <w:t xml:space="preserve"> 适用范围</w:t>
      </w:r>
      <w:bookmarkEnd w:id="45"/>
    </w:p>
    <w:p w14:paraId="213F69AF">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本招标文件仅适用于本次招标项目。</w:t>
      </w:r>
    </w:p>
    <w:p w14:paraId="0DEBD89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46" w:name="_Toc183682343"/>
      <w:bookmarkStart w:id="47" w:name="_Toc183582206"/>
      <w:bookmarkStart w:id="48" w:name="_Toc217446035"/>
      <w:r>
        <w:rPr>
          <w:rFonts w:hint="eastAsia" w:ascii="宋体" w:hAnsi="宋体" w:eastAsia="宋体" w:cs="宋体"/>
          <w:color w:val="000000"/>
          <w:sz w:val="24"/>
          <w:szCs w:val="24"/>
          <w:highlight w:val="none"/>
        </w:rPr>
        <w:t xml:space="preserve">2. </w:t>
      </w:r>
      <w:bookmarkEnd w:id="46"/>
      <w:bookmarkEnd w:id="47"/>
      <w:r>
        <w:rPr>
          <w:rFonts w:hint="eastAsia" w:ascii="宋体" w:hAnsi="宋体" w:eastAsia="宋体" w:cs="宋体"/>
          <w:color w:val="000000"/>
          <w:sz w:val="24"/>
          <w:szCs w:val="24"/>
          <w:highlight w:val="none"/>
        </w:rPr>
        <w:t>有关定义</w:t>
      </w:r>
      <w:bookmarkEnd w:id="48"/>
    </w:p>
    <w:p w14:paraId="4A553B38">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“采购人”系指依法进行政府采购的国家机关、事业单位、团体组织。本项目采购人是</w:t>
      </w:r>
      <w:r>
        <w:rPr>
          <w:rFonts w:hint="eastAsia" w:ascii="宋体" w:hAnsi="宋体" w:cs="宋体"/>
          <w:color w:val="000000"/>
          <w:sz w:val="24"/>
          <w:szCs w:val="24"/>
          <w:highlight w:val="none"/>
          <w:u w:val="single"/>
          <w:lang w:eastAsia="zh-CN"/>
        </w:rPr>
        <w:t>新疆维吾尔自治区林业科学院</w:t>
      </w:r>
      <w:r>
        <w:rPr>
          <w:rFonts w:hint="eastAsia" w:ascii="宋体" w:hAnsi="宋体" w:eastAsia="宋体" w:cs="宋体"/>
          <w:color w:val="000000"/>
          <w:sz w:val="24"/>
          <w:szCs w:val="24"/>
          <w:highlight w:val="none"/>
        </w:rPr>
        <w:t>。</w:t>
      </w:r>
    </w:p>
    <w:p w14:paraId="32FAE97A">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“采购代理机构”系指根据采购人的委托依法办理招标事宜的采购机构。本次招标的采购代理机构是</w:t>
      </w:r>
      <w:r>
        <w:rPr>
          <w:rFonts w:hint="eastAsia" w:ascii="宋体" w:hAnsi="宋体" w:eastAsia="宋体" w:cs="宋体"/>
          <w:color w:val="000000"/>
          <w:sz w:val="24"/>
          <w:szCs w:val="24"/>
          <w:highlight w:val="none"/>
          <w:u w:val="single"/>
        </w:rPr>
        <w:t>新疆拓源工程管理咨询有限公司</w:t>
      </w:r>
      <w:r>
        <w:rPr>
          <w:rFonts w:hint="eastAsia" w:ascii="宋体" w:hAnsi="宋体" w:eastAsia="宋体" w:cs="宋体"/>
          <w:color w:val="000000"/>
          <w:sz w:val="24"/>
          <w:szCs w:val="24"/>
          <w:highlight w:val="none"/>
        </w:rPr>
        <w:t>。</w:t>
      </w:r>
    </w:p>
    <w:p w14:paraId="2841EAC3">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“采购单位”系指“采购人”和“采购代理机构”的统称。</w:t>
      </w:r>
    </w:p>
    <w:p w14:paraId="15A6F092">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“投标人”系指下载了招标文件拟参加投标和向采购人提供货物的投标人。</w:t>
      </w:r>
    </w:p>
    <w:p w14:paraId="08C53B6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49" w:name="_Toc183682344"/>
      <w:bookmarkStart w:id="50" w:name="_Toc183582207"/>
      <w:bookmarkStart w:id="51" w:name="_Toc217390843"/>
      <w:bookmarkStart w:id="52" w:name="_Toc217446036"/>
      <w:r>
        <w:rPr>
          <w:rFonts w:hint="eastAsia" w:ascii="宋体" w:hAnsi="宋体" w:eastAsia="宋体" w:cs="宋体"/>
          <w:color w:val="000000"/>
          <w:sz w:val="24"/>
          <w:szCs w:val="24"/>
          <w:highlight w:val="none"/>
        </w:rPr>
        <w:t>3. 合格的</w:t>
      </w:r>
      <w:bookmarkEnd w:id="49"/>
      <w:bookmarkEnd w:id="50"/>
      <w:bookmarkEnd w:id="51"/>
      <w:bookmarkEnd w:id="52"/>
      <w:r>
        <w:rPr>
          <w:rFonts w:hint="eastAsia" w:ascii="宋体" w:hAnsi="宋体" w:eastAsia="宋体" w:cs="宋体"/>
          <w:color w:val="000000"/>
          <w:sz w:val="24"/>
          <w:szCs w:val="24"/>
          <w:highlight w:val="none"/>
        </w:rPr>
        <w:t>投标人</w:t>
      </w:r>
    </w:p>
    <w:p w14:paraId="5E8AD51C">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合格的投标人应具备以下条件：</w:t>
      </w:r>
    </w:p>
    <w:p w14:paraId="7E2B8E05">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（1）本招标文件“招标公告”第二条规定的条件</w:t>
      </w:r>
      <w:r>
        <w:rPr>
          <w:rFonts w:hint="eastAsia" w:ascii="宋体" w:hAnsi="宋体" w:eastAsia="宋体" w:cs="宋体"/>
          <w:color w:val="000000"/>
          <w:spacing w:val="-4"/>
          <w:sz w:val="24"/>
          <w:szCs w:val="24"/>
          <w:highlight w:val="none"/>
        </w:rPr>
        <w:t>；</w:t>
      </w:r>
    </w:p>
    <w:p w14:paraId="068DB1D3">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（2）遵守国家有关的法律、法规、规章和其他政策规定；</w:t>
      </w:r>
    </w:p>
    <w:p w14:paraId="0B456E8F">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（3）下载招标文件并参与竞争。</w:t>
      </w:r>
    </w:p>
    <w:p w14:paraId="054B950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53" w:name="_Toc183682345"/>
      <w:bookmarkStart w:id="54" w:name="_Toc217446037"/>
      <w:bookmarkStart w:id="55" w:name="_Toc183582208"/>
      <w:r>
        <w:rPr>
          <w:rFonts w:hint="eastAsia" w:ascii="宋体" w:hAnsi="宋体" w:eastAsia="宋体" w:cs="宋体"/>
          <w:color w:val="000000"/>
          <w:sz w:val="24"/>
          <w:szCs w:val="24"/>
          <w:highlight w:val="none"/>
        </w:rPr>
        <w:t>4. 投标费用</w:t>
      </w:r>
      <w:bookmarkEnd w:id="53"/>
      <w:bookmarkEnd w:id="54"/>
      <w:bookmarkEnd w:id="55"/>
    </w:p>
    <w:p w14:paraId="08AB82DB">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投标人参加投标的有关费用由投标人自行承担。</w:t>
      </w:r>
    </w:p>
    <w:p w14:paraId="54FA401B">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bCs w:val="0"/>
          <w:color w:val="000000"/>
          <w:sz w:val="24"/>
          <w:szCs w:val="24"/>
          <w:highlight w:val="none"/>
        </w:rPr>
      </w:pPr>
      <w:bookmarkStart w:id="56" w:name="_Toc89075875"/>
      <w:bookmarkStart w:id="57" w:name="_Toc217446038"/>
      <w:bookmarkStart w:id="58" w:name="_Toc183582209"/>
      <w:bookmarkStart w:id="59" w:name="_Toc77400779"/>
      <w:bookmarkStart w:id="60" w:name="_Toc183682346"/>
      <w:r>
        <w:rPr>
          <w:rFonts w:hint="eastAsia" w:ascii="宋体" w:hAnsi="宋体" w:eastAsia="宋体" w:cs="宋体"/>
          <w:bCs w:val="0"/>
          <w:color w:val="000000"/>
          <w:sz w:val="24"/>
          <w:szCs w:val="24"/>
          <w:highlight w:val="none"/>
        </w:rPr>
        <w:t>三、</w:t>
      </w:r>
      <w:bookmarkEnd w:id="56"/>
      <w:bookmarkEnd w:id="57"/>
      <w:bookmarkEnd w:id="58"/>
      <w:bookmarkEnd w:id="59"/>
      <w:bookmarkEnd w:id="60"/>
      <w:r>
        <w:rPr>
          <w:rFonts w:hint="eastAsia" w:ascii="宋体" w:hAnsi="宋体" w:eastAsia="宋体" w:cs="宋体"/>
          <w:bCs w:val="0"/>
          <w:color w:val="000000"/>
          <w:sz w:val="24"/>
          <w:szCs w:val="24"/>
          <w:highlight w:val="none"/>
        </w:rPr>
        <w:t>招标文件</w:t>
      </w:r>
    </w:p>
    <w:p w14:paraId="4EDE00F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61" w:name="_Toc217446039"/>
      <w:bookmarkStart w:id="62" w:name="_Toc183582210"/>
      <w:bookmarkStart w:id="63" w:name="_Toc183682347"/>
      <w:r>
        <w:rPr>
          <w:rFonts w:hint="eastAsia" w:ascii="宋体" w:hAnsi="宋体" w:eastAsia="宋体" w:cs="宋体"/>
          <w:color w:val="000000"/>
          <w:sz w:val="24"/>
          <w:szCs w:val="24"/>
          <w:highlight w:val="none"/>
        </w:rPr>
        <w:t>5．招标文件的构成</w:t>
      </w:r>
      <w:bookmarkEnd w:id="61"/>
      <w:bookmarkEnd w:id="62"/>
      <w:bookmarkEnd w:id="63"/>
    </w:p>
    <w:p w14:paraId="4FFC90C5">
      <w:pPr>
        <w:pageBreakBefore w:val="0"/>
        <w:widowControl w:val="0"/>
        <w:tabs>
          <w:tab w:val="left" w:pos="72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388403C3">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（1）招标公告</w:t>
      </w:r>
      <w:r>
        <w:rPr>
          <w:rFonts w:hint="eastAsia" w:ascii="宋体" w:hAnsi="宋体" w:eastAsia="宋体" w:cs="宋体"/>
          <w:color w:val="000000"/>
          <w:sz w:val="24"/>
          <w:szCs w:val="24"/>
          <w:highlight w:val="none"/>
        </w:rPr>
        <w:tab/>
      </w:r>
    </w:p>
    <w:p w14:paraId="1AEED1E6">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（2）投标人须知</w:t>
      </w:r>
      <w:r>
        <w:rPr>
          <w:rFonts w:hint="eastAsia" w:ascii="宋体" w:hAnsi="宋体" w:eastAsia="宋体" w:cs="宋体"/>
          <w:color w:val="000000"/>
          <w:sz w:val="24"/>
          <w:szCs w:val="24"/>
          <w:highlight w:val="none"/>
        </w:rPr>
        <w:tab/>
      </w:r>
    </w:p>
    <w:p w14:paraId="584175D8">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（3）投标文件格式</w:t>
      </w:r>
      <w:r>
        <w:rPr>
          <w:rFonts w:hint="eastAsia" w:ascii="宋体" w:hAnsi="宋体" w:eastAsia="宋体" w:cs="宋体"/>
          <w:color w:val="000000"/>
          <w:sz w:val="24"/>
          <w:szCs w:val="24"/>
          <w:highlight w:val="none"/>
        </w:rPr>
        <w:tab/>
      </w:r>
    </w:p>
    <w:p w14:paraId="5CBFFDBD">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（4）招标项目技术要求</w:t>
      </w:r>
      <w:r>
        <w:rPr>
          <w:rFonts w:hint="eastAsia" w:ascii="宋体" w:hAnsi="宋体" w:eastAsia="宋体" w:cs="宋体"/>
          <w:color w:val="000000"/>
          <w:sz w:val="24"/>
          <w:szCs w:val="24"/>
          <w:highlight w:val="none"/>
        </w:rPr>
        <w:tab/>
      </w:r>
    </w:p>
    <w:p w14:paraId="51AAD27D">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（5）评标办法</w:t>
      </w:r>
      <w:r>
        <w:rPr>
          <w:rFonts w:hint="eastAsia" w:ascii="宋体" w:hAnsi="宋体" w:eastAsia="宋体" w:cs="宋体"/>
          <w:color w:val="000000"/>
          <w:sz w:val="24"/>
          <w:szCs w:val="24"/>
          <w:highlight w:val="none"/>
        </w:rPr>
        <w:tab/>
      </w:r>
    </w:p>
    <w:p w14:paraId="5E6BD620">
      <w:pPr>
        <w:pageBreakBefore w:val="0"/>
        <w:widowControl w:val="0"/>
        <w:tabs>
          <w:tab w:val="left" w:pos="0"/>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（6）拟签订的合同文本</w:t>
      </w:r>
      <w:r>
        <w:rPr>
          <w:rFonts w:hint="eastAsia" w:ascii="宋体" w:hAnsi="宋体" w:eastAsia="宋体" w:cs="宋体"/>
          <w:color w:val="000000"/>
          <w:sz w:val="24"/>
          <w:szCs w:val="24"/>
          <w:highlight w:val="none"/>
        </w:rPr>
        <w:tab/>
      </w:r>
    </w:p>
    <w:p w14:paraId="60B1D1F7">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000000"/>
          <w:sz w:val="24"/>
          <w:szCs w:val="24"/>
          <w:highlight w:val="none"/>
        </w:rPr>
        <w:t>无效处理</w:t>
      </w:r>
      <w:r>
        <w:rPr>
          <w:rFonts w:hint="eastAsia" w:ascii="宋体" w:hAnsi="宋体" w:eastAsia="宋体" w:cs="宋体"/>
          <w:color w:val="000000"/>
          <w:sz w:val="24"/>
          <w:szCs w:val="24"/>
          <w:highlight w:val="none"/>
        </w:rPr>
        <w:t>。</w:t>
      </w:r>
    </w:p>
    <w:p w14:paraId="5B474A6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64" w:name="_Toc183582211"/>
      <w:bookmarkStart w:id="65" w:name="_Toc183682348"/>
      <w:bookmarkStart w:id="66" w:name="_Toc217446040"/>
      <w:r>
        <w:rPr>
          <w:rFonts w:hint="eastAsia" w:ascii="宋体" w:hAnsi="宋体" w:eastAsia="宋体" w:cs="宋体"/>
          <w:color w:val="000000"/>
          <w:sz w:val="24"/>
          <w:szCs w:val="24"/>
          <w:highlight w:val="none"/>
        </w:rPr>
        <w:t>6. 招标文件的澄清</w:t>
      </w:r>
      <w:bookmarkEnd w:id="64"/>
      <w:bookmarkEnd w:id="65"/>
      <w:r>
        <w:rPr>
          <w:rFonts w:hint="eastAsia" w:ascii="宋体" w:hAnsi="宋体" w:eastAsia="宋体" w:cs="宋体"/>
          <w:color w:val="000000"/>
          <w:sz w:val="24"/>
          <w:szCs w:val="24"/>
          <w:highlight w:val="none"/>
        </w:rPr>
        <w:t>和修改</w:t>
      </w:r>
      <w:bookmarkEnd w:id="66"/>
    </w:p>
    <w:p w14:paraId="25C7832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6.1 </w:t>
      </w:r>
      <w:bookmarkStart w:id="67" w:name="_Toc208848971"/>
      <w:bookmarkStart w:id="68" w:name="_Toc217446041"/>
      <w:r>
        <w:rPr>
          <w:rFonts w:hint="eastAsia" w:ascii="宋体" w:hAnsi="宋体" w:eastAsia="宋体" w:cs="宋体"/>
          <w:color w:val="000000"/>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62F9B1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C0D205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 答疑会和现场考察</w:t>
      </w:r>
      <w:bookmarkEnd w:id="67"/>
      <w:bookmarkEnd w:id="68"/>
      <w:r>
        <w:rPr>
          <w:rFonts w:hint="eastAsia" w:ascii="宋体" w:hAnsi="宋体" w:eastAsia="宋体" w:cs="宋体"/>
          <w:color w:val="000000"/>
          <w:sz w:val="24"/>
          <w:szCs w:val="24"/>
          <w:highlight w:val="none"/>
        </w:rPr>
        <w:t>。</w:t>
      </w:r>
    </w:p>
    <w:p w14:paraId="1342080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69" w:name="_Toc77400780"/>
      <w:bookmarkStart w:id="70" w:name="_Toc183682351"/>
      <w:bookmarkStart w:id="71" w:name="_Toc217446042"/>
      <w:bookmarkStart w:id="72" w:name="_Toc89075876"/>
      <w:bookmarkStart w:id="73" w:name="_Toc183582214"/>
      <w:r>
        <w:rPr>
          <w:rFonts w:hint="eastAsia" w:ascii="宋体" w:hAnsi="宋体" w:eastAsia="宋体" w:cs="宋体"/>
          <w:color w:val="000000"/>
          <w:sz w:val="24"/>
          <w:szCs w:val="24"/>
          <w:highlight w:val="none"/>
        </w:rPr>
        <w:t>7.1 本项目不组织答疑会和现场考察。</w:t>
      </w:r>
    </w:p>
    <w:p w14:paraId="7764CC02">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四、</w:t>
      </w:r>
      <w:bookmarkEnd w:id="69"/>
      <w:bookmarkEnd w:id="70"/>
      <w:bookmarkEnd w:id="71"/>
      <w:bookmarkEnd w:id="72"/>
      <w:bookmarkEnd w:id="73"/>
      <w:r>
        <w:rPr>
          <w:rFonts w:hint="eastAsia" w:ascii="宋体" w:hAnsi="宋体" w:eastAsia="宋体" w:cs="宋体"/>
          <w:bCs w:val="0"/>
          <w:color w:val="000000"/>
          <w:sz w:val="24"/>
          <w:szCs w:val="24"/>
          <w:highlight w:val="none"/>
        </w:rPr>
        <w:t>投标文件</w:t>
      </w:r>
    </w:p>
    <w:p w14:paraId="48065A1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74" w:name="_Toc183582215"/>
      <w:bookmarkStart w:id="75" w:name="_Toc217446043"/>
      <w:bookmarkStart w:id="76" w:name="_Toc183682352"/>
      <w:r>
        <w:rPr>
          <w:rFonts w:hint="eastAsia" w:ascii="宋体" w:hAnsi="宋体" w:eastAsia="宋体" w:cs="宋体"/>
          <w:color w:val="000000"/>
          <w:sz w:val="24"/>
          <w:szCs w:val="24"/>
          <w:highlight w:val="none"/>
        </w:rPr>
        <w:t>8．投标文件的语言</w:t>
      </w:r>
      <w:bookmarkEnd w:id="74"/>
      <w:bookmarkEnd w:id="75"/>
      <w:bookmarkEnd w:id="76"/>
    </w:p>
    <w:p w14:paraId="2534CBE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2AAE431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1DACB2C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77" w:name="_Toc183682353"/>
      <w:bookmarkStart w:id="78" w:name="_Toc217446044"/>
      <w:bookmarkStart w:id="79" w:name="_Toc183582216"/>
      <w:r>
        <w:rPr>
          <w:rFonts w:hint="eastAsia" w:ascii="宋体" w:hAnsi="宋体" w:eastAsia="宋体" w:cs="宋体"/>
          <w:color w:val="000000"/>
          <w:sz w:val="24"/>
          <w:szCs w:val="24"/>
          <w:highlight w:val="none"/>
        </w:rPr>
        <w:t>9．计量单位</w:t>
      </w:r>
      <w:bookmarkEnd w:id="77"/>
      <w:bookmarkEnd w:id="78"/>
      <w:bookmarkEnd w:id="79"/>
    </w:p>
    <w:p w14:paraId="4B2DB17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除招标文件中另有规定外，本招标项下的投标均采用国家法定的计量单位。</w:t>
      </w:r>
    </w:p>
    <w:p w14:paraId="4E1768F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0" w:name="_Toc217446045"/>
      <w:r>
        <w:rPr>
          <w:rFonts w:hint="eastAsia" w:ascii="宋体" w:hAnsi="宋体" w:eastAsia="宋体" w:cs="宋体"/>
          <w:color w:val="000000"/>
          <w:sz w:val="24"/>
          <w:szCs w:val="24"/>
          <w:highlight w:val="none"/>
        </w:rPr>
        <w:t>10. 投标货币</w:t>
      </w:r>
      <w:bookmarkEnd w:id="80"/>
    </w:p>
    <w:p w14:paraId="4358FB00">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本次招标项目的投标均以人民币报价。</w:t>
      </w:r>
    </w:p>
    <w:p w14:paraId="653EBE0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1" w:name="_Toc217446046"/>
      <w:r>
        <w:rPr>
          <w:rFonts w:hint="eastAsia" w:ascii="宋体" w:hAnsi="宋体" w:eastAsia="宋体" w:cs="宋体"/>
          <w:color w:val="000000"/>
          <w:sz w:val="24"/>
          <w:szCs w:val="24"/>
          <w:highlight w:val="none"/>
        </w:rPr>
        <w:t>11. 联合体投标</w:t>
      </w:r>
      <w:bookmarkEnd w:id="81"/>
    </w:p>
    <w:p w14:paraId="71C2F649">
      <w:pPr>
        <w:pStyle w:val="1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详见“投标人须知前附表”第13条。</w:t>
      </w:r>
    </w:p>
    <w:p w14:paraId="1ED65FD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2" w:name="_Toc217446047"/>
      <w:r>
        <w:rPr>
          <w:rFonts w:hint="eastAsia" w:ascii="宋体" w:hAnsi="宋体" w:eastAsia="宋体" w:cs="宋体"/>
          <w:color w:val="000000"/>
          <w:sz w:val="24"/>
          <w:szCs w:val="24"/>
          <w:highlight w:val="none"/>
        </w:rPr>
        <w:t>12. 知识产权</w:t>
      </w:r>
      <w:bookmarkEnd w:id="82"/>
    </w:p>
    <w:p w14:paraId="3EF61830">
      <w:pPr>
        <w:pStyle w:val="1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51D31C57">
      <w:pPr>
        <w:pStyle w:val="1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 采购人享有本项目实施过程中产生的知识成果及知识产权。</w:t>
      </w:r>
    </w:p>
    <w:p w14:paraId="1D03A1E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C8A067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12.4 如采用投标人所不拥有的知识产权，则在投标报价中必须包括合法获取该知识产权的相关费用。 </w:t>
      </w:r>
    </w:p>
    <w:p w14:paraId="023A9C4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3" w:name="_Toc183582217"/>
      <w:bookmarkStart w:id="84" w:name="_Toc183682354"/>
      <w:bookmarkStart w:id="85" w:name="_Toc217446048"/>
      <w:r>
        <w:rPr>
          <w:rFonts w:hint="eastAsia" w:ascii="宋体" w:hAnsi="宋体" w:eastAsia="宋体" w:cs="宋体"/>
          <w:color w:val="000000"/>
          <w:sz w:val="24"/>
          <w:szCs w:val="24"/>
          <w:highlight w:val="none"/>
        </w:rPr>
        <w:t>13．投标文件的组成</w:t>
      </w:r>
      <w:bookmarkEnd w:id="83"/>
      <w:bookmarkEnd w:id="84"/>
      <w:bookmarkEnd w:id="85"/>
    </w:p>
    <w:p w14:paraId="4A9794E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7237E8C1">
      <w:pPr>
        <w:tabs>
          <w:tab w:val="left" w:pos="3480"/>
        </w:tabs>
        <w:spacing w:line="360" w:lineRule="auto"/>
        <w:ind w:firstLine="480" w:firstLineChars="200"/>
        <w:rPr>
          <w:rFonts w:hint="eastAsia" w:ascii="宋体" w:hAnsi="宋体" w:eastAsia="宋体" w:cs="宋体"/>
          <w:color w:val="000000"/>
          <w:sz w:val="24"/>
          <w:szCs w:val="24"/>
          <w:highlight w:val="none"/>
        </w:rPr>
      </w:pPr>
      <w:bookmarkStart w:id="86" w:name="_Toc183682355"/>
      <w:bookmarkStart w:id="87" w:name="_Toc183582218"/>
      <w:bookmarkStart w:id="88" w:name="_Toc217446049"/>
      <w:r>
        <w:rPr>
          <w:rFonts w:hint="eastAsia" w:ascii="宋体" w:hAnsi="宋体" w:eastAsia="宋体" w:cs="宋体"/>
          <w:color w:val="000000"/>
          <w:sz w:val="24"/>
          <w:szCs w:val="24"/>
          <w:highlight w:val="none"/>
        </w:rPr>
        <w:t>一、投标函</w:t>
      </w:r>
    </w:p>
    <w:p w14:paraId="7BFC107E">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71259B25">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rPr>
        <w:t>投标报价明细表</w:t>
      </w:r>
    </w:p>
    <w:p w14:paraId="0268F408">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rPr>
        <w:t>、投标人基本情况表</w:t>
      </w:r>
    </w:p>
    <w:p w14:paraId="3F13ABD9">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、投标人</w:t>
      </w:r>
      <w:r>
        <w:rPr>
          <w:rFonts w:hint="eastAsia" w:ascii="宋体" w:hAnsi="宋体" w:cs="宋体"/>
          <w:color w:val="000000"/>
          <w:sz w:val="24"/>
          <w:szCs w:val="24"/>
          <w:highlight w:val="none"/>
          <w:lang w:eastAsia="zh-CN"/>
        </w:rPr>
        <w:t>类似项目</w:t>
      </w:r>
      <w:r>
        <w:rPr>
          <w:rFonts w:hint="eastAsia" w:ascii="宋体" w:hAnsi="宋体" w:eastAsia="宋体" w:cs="宋体"/>
          <w:color w:val="000000"/>
          <w:sz w:val="24"/>
          <w:szCs w:val="24"/>
          <w:highlight w:val="none"/>
        </w:rPr>
        <w:t>业绩一览表</w:t>
      </w:r>
    </w:p>
    <w:p w14:paraId="416523FA">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、商务、技术需求偏离表</w:t>
      </w:r>
    </w:p>
    <w:p w14:paraId="190CC095">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、拟配备人员情况</w:t>
      </w:r>
    </w:p>
    <w:p w14:paraId="3F71AD3D">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、实施方案</w:t>
      </w:r>
    </w:p>
    <w:p w14:paraId="5B0D9AB8">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、投标人认为需要提供的其他文件和资料</w:t>
      </w:r>
    </w:p>
    <w:p w14:paraId="1D3622E5">
      <w:pPr>
        <w:pageBreakBefore w:val="0"/>
        <w:widowControl w:val="0"/>
        <w:tabs>
          <w:tab w:val="left" w:pos="348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14．投标文件格式</w:t>
      </w:r>
      <w:bookmarkEnd w:id="86"/>
      <w:bookmarkEnd w:id="87"/>
      <w:bookmarkEnd w:id="88"/>
      <w:r>
        <w:rPr>
          <w:rFonts w:hint="eastAsia" w:ascii="宋体" w:hAnsi="宋体" w:eastAsia="宋体" w:cs="宋体"/>
          <w:color w:val="000000"/>
          <w:sz w:val="24"/>
          <w:szCs w:val="24"/>
          <w:highlight w:val="none"/>
        </w:rPr>
        <w:tab/>
      </w:r>
    </w:p>
    <w:p w14:paraId="47BE2E06">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512B1777">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对于没有格式要求的投标文件由投标人自行编写。</w:t>
      </w:r>
    </w:p>
    <w:p w14:paraId="40A5D2B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89" w:name="_Toc217446050"/>
      <w:bookmarkStart w:id="90" w:name="_Toc183582223"/>
      <w:bookmarkStart w:id="91" w:name="_Toc183682360"/>
      <w:r>
        <w:rPr>
          <w:rFonts w:hint="eastAsia" w:ascii="宋体" w:hAnsi="宋体" w:eastAsia="宋体" w:cs="宋体"/>
          <w:color w:val="000000"/>
          <w:sz w:val="24"/>
          <w:szCs w:val="24"/>
          <w:highlight w:val="none"/>
        </w:rPr>
        <w:t>15．投标保证金</w:t>
      </w:r>
      <w:bookmarkEnd w:id="89"/>
      <w:bookmarkEnd w:id="90"/>
      <w:bookmarkEnd w:id="91"/>
    </w:p>
    <w:p w14:paraId="73C436C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 投标人投标时，必须按招标文件规定数额和形式缴纳投标保证金，并作为其投标文件的一部分。</w:t>
      </w:r>
    </w:p>
    <w:p w14:paraId="4B64C46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15.2未按招标文件要求在规定时间前缴纳规定数额和形式的投标保证金，将被视为</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DAF6EA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投标人所缴纳的投标保证金不计利息。</w:t>
      </w:r>
    </w:p>
    <w:p w14:paraId="57D958B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15.4未中标人的投标保证金，将在中标通知书发出后五个工作日内全额退还。中标人的投标保证金，自采购合同签订之日起5个工作日内退还中标人的投标保证金。</w:t>
      </w:r>
    </w:p>
    <w:p w14:paraId="4395BBF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15.5发生下列情形之一的，采购代理机构将不予退还投标人缴纳的投标保证金：</w:t>
      </w:r>
    </w:p>
    <w:p w14:paraId="6E1CEF5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92" w:name="_Toc217446051"/>
      <w:bookmarkStart w:id="93" w:name="_Toc183582224"/>
      <w:bookmarkStart w:id="94" w:name="_Toc183682361"/>
      <w:r>
        <w:rPr>
          <w:rFonts w:hint="eastAsia" w:ascii="宋体" w:hAnsi="宋体" w:eastAsia="宋体" w:cs="宋体"/>
          <w:color w:val="000000"/>
          <w:sz w:val="24"/>
          <w:szCs w:val="24"/>
          <w:highlight w:val="none"/>
        </w:rPr>
        <w:t>（1）投标人在提交投标文件截止时间后撤回投标文件的；</w:t>
      </w:r>
    </w:p>
    <w:p w14:paraId="486BED8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（2）投标人在投标文件中提供虚假材料的；</w:t>
      </w:r>
    </w:p>
    <w:p w14:paraId="2BF3F24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（3）投标人不接受按投标文件规定对其投标报价进行修正的；</w:t>
      </w:r>
    </w:p>
    <w:p w14:paraId="7114D02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（4）除因不可抗力或投标文件认可的情形以外，中标人不履行与采购人签订合同的，在签订合同时向采购人提出附加条件；</w:t>
      </w:r>
    </w:p>
    <w:p w14:paraId="31A3FDE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（5）中标人未能在规定期限内与采购人签署合同协议书或提交履约保证金的；</w:t>
      </w:r>
    </w:p>
    <w:p w14:paraId="4852710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（6）投标人与采购人、其他投标人或者采购代理机构恶意串通的；</w:t>
      </w:r>
    </w:p>
    <w:p w14:paraId="16B62A8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（7）招标文件规定的其他情形；</w:t>
      </w:r>
    </w:p>
    <w:p w14:paraId="45C4EC6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（8）符合法律、法规规定的其他情形的。 </w:t>
      </w:r>
    </w:p>
    <w:p w14:paraId="5386E67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16．投标有效期</w:t>
      </w:r>
      <w:bookmarkEnd w:id="92"/>
      <w:bookmarkEnd w:id="93"/>
      <w:bookmarkEnd w:id="94"/>
    </w:p>
    <w:p w14:paraId="4CE6A411">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投标有效期详见投标人须知前附表。投标有效期短于此规定期限的，</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122747A">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000000"/>
          <w:spacing w:val="8"/>
          <w:sz w:val="24"/>
          <w:szCs w:val="24"/>
          <w:highlight w:val="none"/>
        </w:rPr>
        <w:t>不被没收。</w:t>
      </w:r>
      <w:r>
        <w:rPr>
          <w:rFonts w:hint="eastAsia" w:ascii="宋体" w:hAnsi="宋体" w:eastAsia="宋体" w:cs="宋体"/>
          <w:color w:val="000000"/>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4E6D673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rPr>
      </w:pPr>
      <w:bookmarkStart w:id="95" w:name="_Toc183582225"/>
      <w:bookmarkStart w:id="96" w:name="_Toc217446052"/>
      <w:bookmarkStart w:id="97" w:name="_Toc183682362"/>
      <w:bookmarkStart w:id="98" w:name="_Toc183682365"/>
      <w:bookmarkStart w:id="99" w:name="_Toc183582228"/>
      <w:bookmarkStart w:id="100" w:name="_Toc217446055"/>
      <w:r>
        <w:rPr>
          <w:rFonts w:hint="eastAsia" w:ascii="宋体" w:hAnsi="宋体" w:eastAsia="宋体" w:cs="宋体"/>
          <w:color w:val="auto"/>
          <w:sz w:val="24"/>
          <w:szCs w:val="24"/>
          <w:highlight w:val="none"/>
        </w:rPr>
        <w:t>17．投标文件的印制和签署</w:t>
      </w:r>
      <w:bookmarkEnd w:id="95"/>
      <w:bookmarkEnd w:id="96"/>
      <w:bookmarkEnd w:id="97"/>
    </w:p>
    <w:p w14:paraId="263A5C24">
      <w:pPr>
        <w:pageBreakBefore w:val="0"/>
        <w:widowControl w:val="0"/>
        <w:tabs>
          <w:tab w:val="left" w:pos="108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sz w:val="24"/>
          <w:szCs w:val="24"/>
          <w:highlight w:val="none"/>
        </w:rPr>
        <w:t>招标文件要求供应商法定代表人或者被授权代表签字处，均须加盖其 个人电子印章，并逐页加盖单位公章的电子印章。</w:t>
      </w:r>
    </w:p>
    <w:p w14:paraId="2E16523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bookmarkStart w:id="101" w:name="_Toc89075877"/>
      <w:bookmarkStart w:id="102" w:name="_Toc77400781"/>
      <w:bookmarkStart w:id="103" w:name="_Toc183582226"/>
      <w:bookmarkStart w:id="104" w:name="_Toc183682363"/>
      <w:bookmarkStart w:id="105" w:name="_Toc217446053"/>
      <w:r>
        <w:rPr>
          <w:rFonts w:hint="eastAsia" w:ascii="宋体" w:hAnsi="宋体" w:eastAsia="宋体" w:cs="宋体"/>
          <w:color w:val="auto"/>
          <w:sz w:val="24"/>
          <w:szCs w:val="24"/>
          <w:highlight w:val="none"/>
        </w:rPr>
        <w:t>18. 投标文件的密封和标</w:t>
      </w:r>
      <w:bookmarkEnd w:id="101"/>
      <w:bookmarkEnd w:id="102"/>
      <w:bookmarkEnd w:id="103"/>
      <w:bookmarkEnd w:id="104"/>
      <w:r>
        <w:rPr>
          <w:rFonts w:hint="eastAsia" w:ascii="宋体" w:hAnsi="宋体" w:eastAsia="宋体" w:cs="宋体"/>
          <w:color w:val="auto"/>
          <w:sz w:val="24"/>
          <w:szCs w:val="24"/>
          <w:highlight w:val="none"/>
        </w:rPr>
        <w:t>注</w:t>
      </w:r>
      <w:bookmarkEnd w:id="105"/>
    </w:p>
    <w:p w14:paraId="25A0F42C">
      <w:pPr>
        <w:pageBreakBefore w:val="0"/>
        <w:widowControl w:val="0"/>
        <w:tabs>
          <w:tab w:val="left" w:pos="108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59C5ADA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106" w:name="_Toc217446054"/>
      <w:bookmarkStart w:id="107" w:name="_Toc183582227"/>
      <w:bookmarkStart w:id="108" w:name="_Toc183682364"/>
      <w:r>
        <w:rPr>
          <w:rFonts w:hint="eastAsia" w:ascii="宋体" w:hAnsi="宋体" w:eastAsia="宋体" w:cs="宋体"/>
          <w:color w:val="auto"/>
          <w:sz w:val="24"/>
          <w:szCs w:val="24"/>
          <w:highlight w:val="none"/>
        </w:rPr>
        <w:t>19．投标文件的</w:t>
      </w:r>
      <w:bookmarkEnd w:id="106"/>
      <w:bookmarkEnd w:id="107"/>
      <w:bookmarkEnd w:id="108"/>
      <w:r>
        <w:rPr>
          <w:rFonts w:hint="eastAsia" w:ascii="宋体" w:hAnsi="宋体" w:eastAsia="宋体" w:cs="宋体"/>
          <w:color w:val="auto"/>
          <w:sz w:val="24"/>
          <w:szCs w:val="24"/>
          <w:highlight w:val="none"/>
          <w:lang w:eastAsia="zh-CN"/>
        </w:rPr>
        <w:t>上传</w:t>
      </w:r>
    </w:p>
    <w:p w14:paraId="1EAB44E2">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供应商应在磋商文件规定的磋商截止时间前，将响应文件按供应商须 知第15条规定加密上传，磋商截止时间以后上传递交的响应文件将被“政府采购云平台”拒收。</w:t>
      </w:r>
    </w:p>
    <w:p w14:paraId="0C9C363C">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20．投标文件的修改和撤</w:t>
      </w:r>
      <w:bookmarkEnd w:id="98"/>
      <w:bookmarkEnd w:id="99"/>
      <w:r>
        <w:rPr>
          <w:rFonts w:hint="eastAsia" w:ascii="宋体" w:hAnsi="宋体" w:eastAsia="宋体" w:cs="宋体"/>
          <w:color w:val="000000"/>
          <w:sz w:val="24"/>
          <w:szCs w:val="24"/>
          <w:highlight w:val="none"/>
        </w:rPr>
        <w:t>回</w:t>
      </w:r>
      <w:bookmarkEnd w:id="100"/>
    </w:p>
    <w:p w14:paraId="12FF40E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20.1 投标人在投标截止时间前，可以对所</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的投标文件进行补充、修改或者撤回</w:t>
      </w:r>
      <w:r>
        <w:rPr>
          <w:rFonts w:hint="eastAsia" w:ascii="宋体" w:hAnsi="宋体" w:eastAsia="宋体" w:cs="宋体"/>
          <w:color w:val="000000"/>
          <w:sz w:val="24"/>
          <w:szCs w:val="24"/>
          <w:highlight w:val="none"/>
          <w:lang w:eastAsia="zh-CN"/>
        </w:rPr>
        <w:t>。</w:t>
      </w:r>
    </w:p>
    <w:p w14:paraId="49C4915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 在投标截止时间之后，投标人不得对其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的投标文件做任何修改或撤回投标。</w:t>
      </w:r>
    </w:p>
    <w:p w14:paraId="4707053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 投标文件中如果出现计算上或累加上的算术错误，可按以下原则进行修改：</w:t>
      </w:r>
    </w:p>
    <w:p w14:paraId="7D99738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（1）投标文件中投标函内容与投标报价明细表不一致的，以投标函为准；</w:t>
      </w:r>
    </w:p>
    <w:p w14:paraId="055B8F3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（2）用小写金额和大写金额不一致，应以大写金额为准；</w:t>
      </w:r>
    </w:p>
    <w:p w14:paraId="6BE51F3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（3）总价金额与按单价汇总金额不一致的，以单价金额计算结果为准；</w:t>
      </w:r>
    </w:p>
    <w:p w14:paraId="0F38F1C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（4）单价金额小数点或者百分比有明显错位的，以投标函的总价为准，并修改单价。</w:t>
      </w:r>
    </w:p>
    <w:p w14:paraId="41462F7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同时出现两种以上不一致的，按照前款规定的顺序修正。修正后的投标报价经投标人确认后产生约束力，投标人不确认的，其</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3B6030AE">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color w:val="000000"/>
          <w:sz w:val="24"/>
          <w:szCs w:val="24"/>
          <w:highlight w:val="none"/>
        </w:rPr>
      </w:pPr>
      <w:bookmarkStart w:id="109" w:name="_Toc77400782"/>
      <w:bookmarkStart w:id="110" w:name="_Toc183682368"/>
      <w:bookmarkStart w:id="111" w:name="_Toc89075878"/>
      <w:bookmarkStart w:id="112" w:name="_Toc183582231"/>
      <w:bookmarkStart w:id="113" w:name="_Toc217446056"/>
      <w:r>
        <w:rPr>
          <w:rFonts w:hint="eastAsia" w:ascii="宋体" w:hAnsi="宋体" w:eastAsia="宋体" w:cs="宋体"/>
          <w:color w:val="000000"/>
          <w:sz w:val="24"/>
          <w:szCs w:val="24"/>
          <w:highlight w:val="none"/>
        </w:rPr>
        <w:t>五、开标和</w:t>
      </w:r>
      <w:bookmarkEnd w:id="109"/>
      <w:bookmarkEnd w:id="110"/>
      <w:bookmarkEnd w:id="111"/>
      <w:bookmarkEnd w:id="112"/>
      <w:bookmarkEnd w:id="113"/>
      <w:r>
        <w:rPr>
          <w:rFonts w:hint="eastAsia" w:ascii="宋体" w:hAnsi="宋体" w:eastAsia="宋体" w:cs="宋体"/>
          <w:color w:val="000000"/>
          <w:sz w:val="24"/>
          <w:szCs w:val="24"/>
          <w:highlight w:val="none"/>
        </w:rPr>
        <w:t>中标</w:t>
      </w:r>
    </w:p>
    <w:p w14:paraId="343FBA2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14" w:name="_Toc183682369"/>
      <w:bookmarkStart w:id="115" w:name="_Toc183582232"/>
      <w:bookmarkStart w:id="116" w:name="_Toc217446057"/>
      <w:r>
        <w:rPr>
          <w:rFonts w:hint="eastAsia" w:ascii="宋体" w:hAnsi="宋体" w:eastAsia="宋体" w:cs="宋体"/>
          <w:color w:val="000000"/>
          <w:sz w:val="24"/>
          <w:szCs w:val="24"/>
          <w:highlight w:val="none"/>
        </w:rPr>
        <w:t>21．开标</w:t>
      </w:r>
      <w:bookmarkEnd w:id="114"/>
      <w:bookmarkEnd w:id="115"/>
      <w:bookmarkEnd w:id="116"/>
    </w:p>
    <w:p w14:paraId="44AB2D8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 采购代理机构在招标文件规定的时间和地点组织招标活动，邀请下载招标文件并参与竞争的投标人参加开标，投标人未参加开标的，视同认可开标结果。</w:t>
      </w:r>
    </w:p>
    <w:p w14:paraId="7241F22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投标人不足3家的，不得开标。</w:t>
      </w:r>
    </w:p>
    <w:p w14:paraId="03886C4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 开标时，采购代理机构可以邀请有关监督管理部门对开标进行现场监督。</w:t>
      </w:r>
    </w:p>
    <w:p w14:paraId="15F753A2">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4201ECA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21.4宣布会场纪律和有关注意事项。</w:t>
      </w:r>
    </w:p>
    <w:p w14:paraId="432699C7">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21.5开标时，</w:t>
      </w:r>
      <w:r>
        <w:rPr>
          <w:rFonts w:hint="eastAsia" w:ascii="宋体" w:hAnsi="宋体" w:eastAsia="宋体" w:cs="宋体"/>
          <w:color w:val="000000"/>
          <w:sz w:val="24"/>
          <w:szCs w:val="24"/>
          <w:highlight w:val="none"/>
          <w:lang w:eastAsia="zh-CN"/>
        </w:rPr>
        <w:t>投标单位完成在线解密后，由工作人员开始唱标</w:t>
      </w:r>
    </w:p>
    <w:p w14:paraId="7EB84D1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21.6</w:t>
      </w:r>
      <w:r>
        <w:rPr>
          <w:rFonts w:hint="eastAsia" w:ascii="宋体" w:hAnsi="宋体" w:eastAsia="宋体" w:cs="宋体"/>
          <w:color w:val="000000"/>
          <w:sz w:val="24"/>
          <w:szCs w:val="24"/>
          <w:highlight w:val="none"/>
          <w:lang w:eastAsia="zh-CN"/>
        </w:rPr>
        <w:t>唱标完毕后，如果投标人对所唱“报价一览表”内容有异议，应当立即提出。经现场监标人员确认，认为有必要重新唱标的，由唱标人员重新唱标。</w:t>
      </w:r>
    </w:p>
    <w:p w14:paraId="632557B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22.资格审查及组建评标委员会</w:t>
      </w:r>
    </w:p>
    <w:p w14:paraId="5834C4F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22.1公开招标采购项目开标结束后，采购人或者采购代理机构应当依法对投标人的资格进行审查。合格投标人不足3家的，不得评标。</w:t>
      </w:r>
    </w:p>
    <w:p w14:paraId="628F9265">
      <w:pPr>
        <w:pStyle w:val="45"/>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22.2符合性审查。符合性审查是指依据招标文件的规定，从商务和技术角度对投标文件的有效性和完整性进行审查，以确定是否对招标文件的实质性要求做出响应。</w:t>
      </w:r>
    </w:p>
    <w:p w14:paraId="0F90740B">
      <w:pPr>
        <w:pStyle w:val="45"/>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22.3评标委员会采用综合评分法对满足招标文件全部实质性要求的投标文件和投标报价进行综合评分。</w:t>
      </w:r>
    </w:p>
    <w:p w14:paraId="0B1DF907">
      <w:pPr>
        <w:pStyle w:val="45"/>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2F960530">
      <w:pPr>
        <w:pStyle w:val="45"/>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22.5采购代理机构在评标结果后2个工作日内将评标报告送采购人确认。</w:t>
      </w:r>
    </w:p>
    <w:p w14:paraId="149DF65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17" w:name="_Toc183682375"/>
      <w:bookmarkStart w:id="118" w:name="_Toc183582238"/>
      <w:bookmarkStart w:id="119" w:name="_Toc217446063"/>
      <w:r>
        <w:rPr>
          <w:rFonts w:hint="eastAsia" w:ascii="宋体" w:hAnsi="宋体" w:eastAsia="宋体" w:cs="宋体"/>
          <w:color w:val="000000"/>
          <w:sz w:val="24"/>
          <w:szCs w:val="24"/>
          <w:highlight w:val="none"/>
        </w:rPr>
        <w:t>23．中标通知</w:t>
      </w:r>
      <w:bookmarkEnd w:id="117"/>
      <w:bookmarkEnd w:id="118"/>
      <w:r>
        <w:rPr>
          <w:rFonts w:hint="eastAsia" w:ascii="宋体" w:hAnsi="宋体" w:eastAsia="宋体" w:cs="宋体"/>
          <w:color w:val="000000"/>
          <w:sz w:val="24"/>
          <w:szCs w:val="24"/>
          <w:highlight w:val="none"/>
        </w:rPr>
        <w:t>书</w:t>
      </w:r>
      <w:bookmarkEnd w:id="119"/>
    </w:p>
    <w:p w14:paraId="6806FE45">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1 中标通知书为签订中标合同的依据，是合同的有效组成部分。</w:t>
      </w:r>
    </w:p>
    <w:p w14:paraId="2EC0894B">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 中标通知书对采购人和中标人均具有法律效力。中标通知书发出后，采购人改变中标结果，或者中标人无正当理由放弃中标的，应当承担相应的法律责任。</w:t>
      </w:r>
    </w:p>
    <w:p w14:paraId="52B3F1FA">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355A3D7A">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color w:val="000000"/>
          <w:sz w:val="24"/>
          <w:szCs w:val="24"/>
          <w:highlight w:val="none"/>
        </w:rPr>
      </w:pPr>
      <w:bookmarkStart w:id="120" w:name="_Toc217446064"/>
      <w:bookmarkStart w:id="121" w:name="_Toc183582240"/>
      <w:bookmarkStart w:id="122" w:name="_Toc183682377"/>
      <w:r>
        <w:rPr>
          <w:rFonts w:hint="eastAsia" w:ascii="宋体" w:hAnsi="宋体" w:eastAsia="宋体" w:cs="宋体"/>
          <w:color w:val="000000"/>
          <w:sz w:val="24"/>
          <w:szCs w:val="24"/>
          <w:highlight w:val="none"/>
        </w:rPr>
        <w:t>六、签订及履行合同和验收</w:t>
      </w:r>
      <w:bookmarkEnd w:id="120"/>
    </w:p>
    <w:p w14:paraId="2B871B2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3" w:name="_Toc217446065"/>
      <w:r>
        <w:rPr>
          <w:rFonts w:hint="eastAsia" w:ascii="宋体" w:hAnsi="宋体" w:eastAsia="宋体" w:cs="宋体"/>
          <w:color w:val="000000"/>
          <w:sz w:val="24"/>
          <w:szCs w:val="24"/>
          <w:highlight w:val="none"/>
        </w:rPr>
        <w:t>24. 签订合同</w:t>
      </w:r>
      <w:bookmarkEnd w:id="123"/>
    </w:p>
    <w:p w14:paraId="1F4B9A2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411AFC9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6972A425">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 中标人因不可抗力原因不能履行招标合同或放弃中标的，采购人可以与排在中标人之后第一位的中标候选人签订采购合同，以此类推。</w:t>
      </w:r>
    </w:p>
    <w:p w14:paraId="76F82A8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 中标人在合同签订之后三个工作日内，将签订的合同（彩色扫描件）交至采购代理机构。</w:t>
      </w:r>
    </w:p>
    <w:p w14:paraId="1342B5B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4" w:name="_Toc217446066"/>
      <w:r>
        <w:rPr>
          <w:rFonts w:hint="eastAsia" w:ascii="宋体" w:hAnsi="宋体" w:eastAsia="宋体" w:cs="宋体"/>
          <w:color w:val="000000"/>
          <w:sz w:val="24"/>
          <w:szCs w:val="24"/>
          <w:highlight w:val="none"/>
        </w:rPr>
        <w:t>25. 合同分包</w:t>
      </w:r>
      <w:bookmarkEnd w:id="124"/>
      <w:r>
        <w:rPr>
          <w:rFonts w:hint="eastAsia" w:ascii="宋体" w:hAnsi="宋体" w:eastAsia="宋体" w:cs="宋体"/>
          <w:color w:val="000000"/>
          <w:sz w:val="24"/>
          <w:szCs w:val="24"/>
          <w:highlight w:val="none"/>
        </w:rPr>
        <w:t>（如有）</w:t>
      </w:r>
    </w:p>
    <w:p w14:paraId="137E336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25.1 若本项目允许分包的，经采购人同意，中标人可以依法采取分包方式履行合同。这种要求应当在合同签订之前征得采购人同意，并且分包人履行分包项目的</w:t>
      </w:r>
      <w:r>
        <w:rPr>
          <w:rFonts w:hint="eastAsia" w:ascii="宋体" w:hAnsi="宋体" w:eastAsia="宋体" w:cs="宋体"/>
          <w:color w:val="000000"/>
          <w:sz w:val="24"/>
          <w:szCs w:val="24"/>
          <w:highlight w:val="none"/>
          <w:lang w:val="en-US" w:eastAsia="zh-CN"/>
        </w:rPr>
        <w:t>货物</w:t>
      </w:r>
      <w:r>
        <w:rPr>
          <w:rFonts w:hint="eastAsia" w:ascii="宋体" w:hAnsi="宋体" w:eastAsia="宋体" w:cs="宋体"/>
          <w:color w:val="000000"/>
          <w:sz w:val="24"/>
          <w:szCs w:val="24"/>
          <w:highlight w:val="none"/>
        </w:rPr>
        <w:t>及技术要求等，必须与中标的一致。</w:t>
      </w:r>
    </w:p>
    <w:p w14:paraId="093A104F">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25.2 招标合同实行分包履行的，中标人就招标项目和分包项目向采购人负责，分包人就分包项目承担责任。</w:t>
      </w:r>
    </w:p>
    <w:p w14:paraId="33B0067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5" w:name="_Toc217446067"/>
      <w:r>
        <w:rPr>
          <w:rFonts w:hint="eastAsia" w:ascii="宋体" w:hAnsi="宋体" w:eastAsia="宋体" w:cs="宋体"/>
          <w:color w:val="000000"/>
          <w:sz w:val="24"/>
          <w:szCs w:val="24"/>
          <w:highlight w:val="none"/>
        </w:rPr>
        <w:t>26. 采购人增加合同标的权</w:t>
      </w:r>
      <w:bookmarkEnd w:id="125"/>
      <w:r>
        <w:rPr>
          <w:rFonts w:hint="eastAsia" w:ascii="宋体" w:hAnsi="宋体" w:eastAsia="宋体" w:cs="宋体"/>
          <w:color w:val="000000"/>
          <w:sz w:val="24"/>
          <w:szCs w:val="24"/>
          <w:highlight w:val="none"/>
        </w:rPr>
        <w:t>利</w:t>
      </w:r>
    </w:p>
    <w:p w14:paraId="7F88DCE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11279B5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6" w:name="_Toc217446068"/>
      <w:r>
        <w:rPr>
          <w:rFonts w:hint="eastAsia" w:ascii="宋体" w:hAnsi="宋体" w:eastAsia="宋体" w:cs="宋体"/>
          <w:color w:val="000000"/>
          <w:sz w:val="24"/>
          <w:szCs w:val="24"/>
          <w:highlight w:val="none"/>
        </w:rPr>
        <w:t>27. 履约保证金</w:t>
      </w:r>
      <w:bookmarkEnd w:id="126"/>
    </w:p>
    <w:p w14:paraId="53B006F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5EF97FB6">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提交履约保证金的时间：中标人应于中标通知书发出之日起7个工作日内；</w:t>
      </w:r>
    </w:p>
    <w:p w14:paraId="745D433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履约保证金有效期：自履约保证金交付之日至货物验收合格，合同约定的全部货物验收合格后，采购人应在7个工作日内无息退还保证金；</w:t>
      </w:r>
    </w:p>
    <w:p w14:paraId="6E7CF8B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履约保证金提交方式：履约保证金应当以支票、汇票、本票或者金融机构、担保机构出具的保函等非现金形式提交。</w:t>
      </w:r>
    </w:p>
    <w:p w14:paraId="6D499810">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不予退还情形：</w:t>
      </w:r>
    </w:p>
    <w:p w14:paraId="706D4A7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中标人出现以下行为时，采购人有权没收全部或部分履约保证金：</w:t>
      </w:r>
    </w:p>
    <w:p w14:paraId="4CD50B3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无正当理由放弃中标/拒绝按照中标结果签订合同或不履行合同义务；</w:t>
      </w:r>
    </w:p>
    <w:p w14:paraId="5CFF8DDE">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未按合同约定完成服务或交付标的，经整改仍不合格；</w:t>
      </w:r>
    </w:p>
    <w:p w14:paraId="0FC550F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擅自转包、分包或改变合同实质性内容；</w:t>
      </w:r>
    </w:p>
    <w:p w14:paraId="2890EE5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auto"/>
          <w:sz w:val="24"/>
          <w:szCs w:val="24"/>
          <w:highlight w:val="none"/>
        </w:rPr>
        <w:t>(4) 存在弄虚作假、围标串标等违法违规行为。</w:t>
      </w:r>
      <w:r>
        <w:rPr>
          <w:rFonts w:hint="eastAsia" w:ascii="宋体" w:hAnsi="宋体" w:eastAsia="宋体" w:cs="宋体"/>
          <w:color w:val="000000"/>
          <w:sz w:val="24"/>
          <w:szCs w:val="24"/>
          <w:highlight w:val="none"/>
        </w:rPr>
        <w:t xml:space="preserve"> </w:t>
      </w:r>
    </w:p>
    <w:p w14:paraId="331DB9F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7" w:name="_Toc217446069"/>
      <w:r>
        <w:rPr>
          <w:rFonts w:hint="eastAsia" w:ascii="宋体" w:hAnsi="宋体" w:eastAsia="宋体" w:cs="宋体"/>
          <w:color w:val="000000"/>
          <w:sz w:val="24"/>
          <w:szCs w:val="24"/>
          <w:highlight w:val="none"/>
        </w:rPr>
        <w:t>28. 履行合同</w:t>
      </w:r>
      <w:bookmarkEnd w:id="127"/>
    </w:p>
    <w:p w14:paraId="250A9C8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28.1 中标人与采购人签订合同后，合同双方应严格执行合同条款，履行合同规定的义务，保证合同的顺利完成。</w:t>
      </w:r>
    </w:p>
    <w:p w14:paraId="59FDD55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28.2 在合同履行过程中，如发生合同纠纷，合同双方应按照《中华人民共和国民法典》的有关规定进行处理。</w:t>
      </w:r>
    </w:p>
    <w:p w14:paraId="6C47C4B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28" w:name="_Toc217446070"/>
      <w:r>
        <w:rPr>
          <w:rFonts w:hint="eastAsia" w:ascii="宋体" w:hAnsi="宋体" w:eastAsia="宋体" w:cs="宋体"/>
          <w:color w:val="000000"/>
          <w:sz w:val="24"/>
          <w:szCs w:val="24"/>
          <w:highlight w:val="none"/>
        </w:rPr>
        <w:t>29. 验收</w:t>
      </w:r>
      <w:bookmarkEnd w:id="128"/>
    </w:p>
    <w:p w14:paraId="5F6DE01D">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bookmarkStart w:id="129" w:name="_Toc217446071"/>
      <w:r>
        <w:rPr>
          <w:rFonts w:hint="eastAsia" w:ascii="宋体" w:hAnsi="宋体" w:eastAsia="宋体" w:cs="宋体"/>
          <w:color w:val="000000"/>
          <w:sz w:val="24"/>
          <w:szCs w:val="24"/>
          <w:highlight w:val="none"/>
        </w:rPr>
        <w:t>中标人与采购人应严格按照国家财政部《关于进一步加强政府采购需求和履约验收管理的指导意见》（</w:t>
      </w:r>
      <w:r>
        <w:rPr>
          <w:rFonts w:hint="eastAsia" w:ascii="宋体" w:hAnsi="宋体" w:eastAsia="宋体" w:cs="宋体"/>
          <w:color w:val="000000"/>
          <w:sz w:val="24"/>
          <w:szCs w:val="24"/>
          <w:highlight w:val="none"/>
          <w:shd w:val="clear" w:color="auto" w:fill="FFFFFF"/>
        </w:rPr>
        <w:t>财库〔2016〕205号</w:t>
      </w:r>
      <w:r>
        <w:rPr>
          <w:rFonts w:hint="eastAsia" w:ascii="宋体" w:hAnsi="宋体" w:eastAsia="宋体" w:cs="宋体"/>
          <w:color w:val="000000"/>
          <w:sz w:val="24"/>
          <w:szCs w:val="24"/>
          <w:highlight w:val="none"/>
        </w:rPr>
        <w:t>）的要求进行验收。</w:t>
      </w:r>
    </w:p>
    <w:bookmarkEnd w:id="121"/>
    <w:bookmarkEnd w:id="122"/>
    <w:bookmarkEnd w:id="129"/>
    <w:p w14:paraId="2635663E">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color w:val="000000"/>
          <w:sz w:val="24"/>
          <w:szCs w:val="24"/>
          <w:highlight w:val="none"/>
        </w:rPr>
      </w:pPr>
      <w:bookmarkStart w:id="130" w:name="_Toc217446074"/>
      <w:bookmarkStart w:id="131" w:name="_Toc183682380"/>
      <w:bookmarkStart w:id="132" w:name="_Toc183582243"/>
      <w:r>
        <w:rPr>
          <w:rFonts w:hint="eastAsia" w:ascii="宋体" w:hAnsi="宋体" w:eastAsia="宋体" w:cs="宋体"/>
          <w:color w:val="000000"/>
          <w:sz w:val="24"/>
          <w:szCs w:val="24"/>
          <w:highlight w:val="none"/>
        </w:rPr>
        <w:t>七、投标纪律要求</w:t>
      </w:r>
      <w:bookmarkEnd w:id="130"/>
    </w:p>
    <w:p w14:paraId="211D6D84">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33" w:name="_Toc217446075"/>
      <w:r>
        <w:rPr>
          <w:rFonts w:hint="eastAsia" w:ascii="宋体" w:hAnsi="宋体" w:eastAsia="宋体" w:cs="宋体"/>
          <w:color w:val="000000"/>
          <w:sz w:val="24"/>
          <w:szCs w:val="24"/>
          <w:highlight w:val="none"/>
        </w:rPr>
        <w:t>30. 投标人不得具有的情形</w:t>
      </w:r>
      <w:bookmarkEnd w:id="133"/>
    </w:p>
    <w:p w14:paraId="71EDBF8E">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投标人参加投标不得有下列情形：</w:t>
      </w:r>
    </w:p>
    <w:p w14:paraId="4AC5CF8C">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（1）提供虚假材料谋取中标；</w:t>
      </w:r>
    </w:p>
    <w:p w14:paraId="26FBDDAD">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（2）采取不正当手段诋毁、排挤其他投标人；</w:t>
      </w:r>
    </w:p>
    <w:p w14:paraId="76C35328">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（3）与采购人、其他投标人恶意串通；</w:t>
      </w:r>
    </w:p>
    <w:p w14:paraId="5A542593">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（4）向采购人、评标委员会成员行贿或者提供其他不正当利益；</w:t>
      </w:r>
    </w:p>
    <w:p w14:paraId="6498F13E">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（5）在招标过程中与采购人进行协商谈判；</w:t>
      </w:r>
    </w:p>
    <w:p w14:paraId="4DEBEAC4">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（6）拒绝有关部门的监督检查或者向监督检查部门提供虚假情况。</w:t>
      </w:r>
    </w:p>
    <w:p w14:paraId="407530DA">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有上述情形之一的投标人，属于不合格投标人，其投标或中标资格将被取消。</w:t>
      </w:r>
    </w:p>
    <w:p w14:paraId="26C7712E">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b w:val="0"/>
          <w:bCs w:val="0"/>
          <w:color w:val="000000"/>
          <w:sz w:val="24"/>
          <w:szCs w:val="24"/>
          <w:highlight w:val="none"/>
        </w:rPr>
      </w:pPr>
      <w:bookmarkStart w:id="134" w:name="_Toc217446076"/>
      <w:r>
        <w:rPr>
          <w:rFonts w:hint="eastAsia" w:ascii="宋体" w:hAnsi="宋体" w:eastAsia="宋体" w:cs="宋体"/>
          <w:color w:val="000000"/>
          <w:sz w:val="24"/>
          <w:szCs w:val="24"/>
          <w:highlight w:val="none"/>
        </w:rPr>
        <w:t>八、</w:t>
      </w:r>
      <w:bookmarkEnd w:id="134"/>
      <w:r>
        <w:rPr>
          <w:rFonts w:hint="eastAsia" w:ascii="宋体" w:hAnsi="宋体" w:eastAsia="宋体" w:cs="宋体"/>
          <w:color w:val="000000"/>
          <w:sz w:val="24"/>
          <w:szCs w:val="24"/>
          <w:highlight w:val="none"/>
        </w:rPr>
        <w:t>合同价款支付</w:t>
      </w:r>
    </w:p>
    <w:p w14:paraId="616FE5C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bookmarkStart w:id="135" w:name="_Toc217446077"/>
      <w:r>
        <w:rPr>
          <w:rFonts w:hint="eastAsia" w:ascii="宋体" w:hAnsi="宋体" w:eastAsia="宋体" w:cs="宋体"/>
          <w:color w:val="000000"/>
          <w:sz w:val="24"/>
          <w:szCs w:val="24"/>
          <w:highlight w:val="none"/>
        </w:rPr>
        <w:t>31. 申请支付</w:t>
      </w:r>
      <w:bookmarkEnd w:id="135"/>
    </w:p>
    <w:p w14:paraId="08B12EB1">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31.1招标项目验收合格，采购人签署《验收结算书》后，向财政部门提出支付申请。采购人的自有资金，由采购人直接支付给中标人或者按照有关合同规定执行。</w:t>
      </w:r>
    </w:p>
    <w:p w14:paraId="2B75CFB3">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 财政部门根据采购人的支付申请，并对采购合同进行审核后，直接支付给中标人。</w:t>
      </w:r>
      <w:bookmarkStart w:id="136" w:name="_Toc217446078"/>
    </w:p>
    <w:p w14:paraId="154D0B35">
      <w:pPr>
        <w:pStyle w:val="4"/>
        <w:pageBreakBefore w:val="0"/>
        <w:widowControl w:val="0"/>
        <w:kinsoku/>
        <w:wordWrap/>
        <w:overflowPunct/>
        <w:topLinePunct w:val="0"/>
        <w:autoSpaceDE/>
        <w:autoSpaceDN/>
        <w:bidi w:val="0"/>
        <w:adjustRightInd/>
        <w:spacing w:before="156" w:after="156"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九、质疑和投诉</w:t>
      </w:r>
      <w:bookmarkEnd w:id="136"/>
      <w:bookmarkStart w:id="137" w:name="_Toc217446079"/>
    </w:p>
    <w:p w14:paraId="756E7EB7">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bookmarkEnd w:id="137"/>
      <w:r>
        <w:rPr>
          <w:rFonts w:hint="eastAsia" w:ascii="宋体" w:hAnsi="宋体" w:eastAsia="宋体" w:cs="宋体"/>
          <w:color w:val="000000"/>
          <w:sz w:val="24"/>
          <w:szCs w:val="24"/>
          <w:highlight w:val="none"/>
        </w:rPr>
        <w:t>2．质疑、投诉的接收和处理严格按照《中华人共和国政府采购法</w:t>
      </w:r>
      <w:bookmarkEnd w:id="131"/>
      <w:bookmarkEnd w:id="132"/>
      <w:r>
        <w:rPr>
          <w:rFonts w:hint="eastAsia" w:ascii="宋体" w:hAnsi="宋体" w:eastAsia="宋体" w:cs="宋体"/>
          <w:color w:val="000000"/>
          <w:sz w:val="24"/>
          <w:szCs w:val="24"/>
          <w:highlight w:val="none"/>
        </w:rPr>
        <w:t>》、《政府采购质疑和投诉办法》、《财政部关于加强政府采购投标人投诉受理审查工作的通知》的规定办理。</w:t>
      </w:r>
    </w:p>
    <w:p w14:paraId="65B68686">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000000"/>
          <w:sz w:val="24"/>
          <w:szCs w:val="24"/>
          <w:highlight w:val="none"/>
        </w:rPr>
        <w:t>32.1投标人认为</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9B0C7B2">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32.2潜在投标人已依法获取其可质疑的</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的，可以对该文件提出质疑。对</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提出质疑的，应当在获取</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或者</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公告期限届满之日起7个工作日内提出。</w:t>
      </w:r>
    </w:p>
    <w:p w14:paraId="37CC7B04">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71EBDF">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代理人提出质疑和投诉，应当提交投标人签署的授权委托书。</w:t>
      </w:r>
    </w:p>
    <w:p w14:paraId="608DD876">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32.4投标人提出质疑应当提交质疑函和必要的证明材料。质疑函应当包括下列内容：</w:t>
      </w:r>
    </w:p>
    <w:p w14:paraId="3FED25BA">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（一）投标人的姓名或者名称、地址、邮编、联系人及联系电话；</w:t>
      </w:r>
    </w:p>
    <w:p w14:paraId="14DF01A2">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（二）质疑项目的名称、编号；</w:t>
      </w:r>
    </w:p>
    <w:p w14:paraId="4A541D82">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（三）具体、明确的质疑事项和与质疑事项相关的请求；</w:t>
      </w:r>
    </w:p>
    <w:p w14:paraId="6266837E">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0458B99F">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（五）必要的法律依据；</w:t>
      </w:r>
    </w:p>
    <w:p w14:paraId="61988DC8">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（六）提出质疑的日期。</w:t>
      </w:r>
    </w:p>
    <w:p w14:paraId="687A85C0">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投标人为自然人的，应当由本人签字；投标人为法人或者其他组织的，应当由法定代表人、主要负责人或者其被授权人签字或盖章，并加盖公章。</w:t>
      </w:r>
    </w:p>
    <w:p w14:paraId="6582845B">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接收质疑函的方式：书面形式</w:t>
      </w:r>
    </w:p>
    <w:p w14:paraId="2E933FBB">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联系部门：新疆拓源工程管理咨询有限公司招标部</w:t>
      </w:r>
    </w:p>
    <w:p w14:paraId="4698A856">
      <w:pPr>
        <w:pStyle w:val="6"/>
        <w:pageBreakBefore w:val="0"/>
        <w:widowControl w:val="0"/>
        <w:kinsoku/>
        <w:wordWrap/>
        <w:overflowPunct/>
        <w:topLinePunct w:val="0"/>
        <w:autoSpaceDE/>
        <w:autoSpaceDN/>
        <w:bidi w:val="0"/>
        <w:adjustRightInd/>
        <w:spacing w:line="360" w:lineRule="auto"/>
        <w:ind w:firstLine="480"/>
        <w:textAlignment w:val="auto"/>
        <w:rPr>
          <w:rStyle w:val="41"/>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联系人及联系电话：</w:t>
      </w:r>
      <w:r>
        <w:rPr>
          <w:rFonts w:hint="eastAsia" w:ascii="宋体" w:hAnsi="宋体" w:cs="宋体"/>
          <w:color w:val="000000"/>
          <w:sz w:val="24"/>
          <w:szCs w:val="24"/>
          <w:highlight w:val="none"/>
          <w:lang w:eastAsia="zh-CN"/>
        </w:rPr>
        <w:t>余宗键、张曼、刘恒运、田释月</w:t>
      </w:r>
      <w:r>
        <w:rPr>
          <w:rStyle w:val="41"/>
          <w:rFonts w:hint="eastAsia" w:ascii="宋体" w:hAnsi="宋体" w:cs="宋体"/>
          <w:bCs/>
          <w:color w:val="000000"/>
          <w:sz w:val="24"/>
          <w:szCs w:val="24"/>
          <w:highlight w:val="none"/>
          <w:lang w:val="en-US" w:eastAsia="zh-CN"/>
        </w:rPr>
        <w:t>19909911103</w:t>
      </w:r>
    </w:p>
    <w:p w14:paraId="5045CBCC">
      <w:pPr>
        <w:pStyle w:val="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通讯地址：乌鲁木齐市水磨沟区龙盛街898号万科中央公园S6栋5层</w:t>
      </w:r>
    </w:p>
    <w:p w14:paraId="6B367E61">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6AD3D964">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0CB217A0">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（一）投诉人和被投诉人的姓名或者名称、通讯地址、邮编、联系人及联系电话；</w:t>
      </w:r>
    </w:p>
    <w:p w14:paraId="284D71AE">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（二）质疑和质疑答复情况说明及相关证明材料；</w:t>
      </w:r>
    </w:p>
    <w:p w14:paraId="66217B1B">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（三）具体、明确的投诉事项和与投诉事项相关的投诉请求；</w:t>
      </w:r>
    </w:p>
    <w:p w14:paraId="4FD415BF">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374C9E3C">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（五）法律依据；</w:t>
      </w:r>
    </w:p>
    <w:p w14:paraId="69B8F6F4">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（六）提起投诉的日期。</w:t>
      </w:r>
    </w:p>
    <w:p w14:paraId="0C0DC938">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投诉人为自然人的，应当由本人签字；投诉人为法人或者其他组织的，应当由法定代表人、主要负责人，或者其授权代表签字或者盖章，并加盖公章。</w:t>
      </w:r>
    </w:p>
    <w:p w14:paraId="031F5115">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32.7投诉人应当根据《政府采购质疑和投诉办法》第七条第二款规定的信息内容，并按照其规定的方式提起投诉。</w:t>
      </w:r>
    </w:p>
    <w:p w14:paraId="1FA0FA97">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投诉人提起投诉应当符合下列条件：</w:t>
      </w:r>
    </w:p>
    <w:p w14:paraId="7FD0BEA4">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（一）提起投诉前已依法进行质疑；</w:t>
      </w:r>
    </w:p>
    <w:p w14:paraId="66A698F1">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（二）投诉书内容符合本办法的规定；</w:t>
      </w:r>
    </w:p>
    <w:p w14:paraId="06FDFB12">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（三）在投诉有效期限内提起投诉；</w:t>
      </w:r>
    </w:p>
    <w:p w14:paraId="012DE169">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（四）同一投诉事项未经财政部门投诉处理；</w:t>
      </w:r>
    </w:p>
    <w:p w14:paraId="5C8E3DDA">
      <w:pPr>
        <w:pStyle w:val="16"/>
        <w:pageBreakBefore w:val="0"/>
        <w:widowControl w:val="0"/>
        <w:kinsoku/>
        <w:wordWrap/>
        <w:overflowPunct/>
        <w:topLinePunct w:val="0"/>
        <w:autoSpaceDE/>
        <w:autoSpaceDN/>
        <w:bidi w:val="0"/>
        <w:adjustRightInd/>
        <w:spacing w:after="0"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（五）财政部规定的其他条件。</w:t>
      </w:r>
    </w:p>
    <w:p w14:paraId="51FFD4AC">
      <w:pPr>
        <w:pStyle w:val="30"/>
        <w:spacing w:line="360" w:lineRule="auto"/>
        <w:rPr>
          <w:rFonts w:hint="eastAsia" w:ascii="宋体" w:hAnsi="宋体" w:eastAsia="宋体" w:cs="宋体"/>
          <w:sz w:val="24"/>
          <w:szCs w:val="24"/>
          <w:highlight w:val="none"/>
        </w:rPr>
      </w:pPr>
    </w:p>
    <w:p w14:paraId="3B763401">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质疑函范本</w:t>
      </w:r>
    </w:p>
    <w:p w14:paraId="7A355F17">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bCs/>
          <w:color w:val="000000"/>
          <w:sz w:val="24"/>
          <w:szCs w:val="24"/>
          <w:highlight w:val="none"/>
        </w:rPr>
        <w:t>基本信息</w:t>
      </w:r>
    </w:p>
    <w:p w14:paraId="6C203946">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dotted"/>
        </w:rPr>
        <w:t xml:space="preserve">                                        </w:t>
      </w:r>
    </w:p>
    <w:p w14:paraId="1618DD47">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509AEA8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p>
    <w:p w14:paraId="41C80814">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被授权人：</w:t>
      </w:r>
      <w:r>
        <w:rPr>
          <w:rFonts w:hint="eastAsia" w:ascii="宋体" w:hAnsi="宋体" w:eastAsia="宋体" w:cs="宋体"/>
          <w:color w:val="000000"/>
          <w:sz w:val="24"/>
          <w:szCs w:val="24"/>
          <w:highlight w:val="none"/>
          <w:u w:val="dotted"/>
        </w:rPr>
        <w:t xml:space="preserve">                                          </w:t>
      </w:r>
    </w:p>
    <w:p w14:paraId="69A71014">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 xml:space="preserve"> </w:t>
      </w:r>
    </w:p>
    <w:p w14:paraId="0B17D905">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地址： </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1EE5FE7E">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二、质疑项目基本情况</w:t>
      </w:r>
    </w:p>
    <w:p w14:paraId="61FFB749">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质疑项目的名称：</w:t>
      </w:r>
      <w:r>
        <w:rPr>
          <w:rFonts w:hint="eastAsia" w:ascii="宋体" w:hAnsi="宋体" w:eastAsia="宋体" w:cs="宋体"/>
          <w:color w:val="000000"/>
          <w:sz w:val="24"/>
          <w:szCs w:val="24"/>
          <w:highlight w:val="none"/>
          <w:u w:val="dotted"/>
        </w:rPr>
        <w:t xml:space="preserve">                                      </w:t>
      </w:r>
    </w:p>
    <w:p w14:paraId="30503C24">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质疑项目的编号：</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包号：</w:t>
      </w:r>
      <w:r>
        <w:rPr>
          <w:rFonts w:hint="eastAsia" w:ascii="宋体" w:hAnsi="宋体" w:eastAsia="宋体" w:cs="宋体"/>
          <w:color w:val="000000"/>
          <w:sz w:val="24"/>
          <w:szCs w:val="24"/>
          <w:highlight w:val="none"/>
          <w:u w:val="dotted"/>
        </w:rPr>
        <w:t xml:space="preserve">                 </w:t>
      </w:r>
    </w:p>
    <w:p w14:paraId="7D6551CB">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采购人名称：</w:t>
      </w:r>
      <w:r>
        <w:rPr>
          <w:rFonts w:hint="eastAsia" w:ascii="宋体" w:hAnsi="宋体" w:eastAsia="宋体" w:cs="宋体"/>
          <w:color w:val="000000"/>
          <w:sz w:val="24"/>
          <w:szCs w:val="24"/>
          <w:highlight w:val="none"/>
          <w:u w:val="dotted"/>
        </w:rPr>
        <w:t xml:space="preserve">                                         </w:t>
      </w:r>
    </w:p>
    <w:p w14:paraId="53725F93">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获取日期：</w:t>
      </w:r>
      <w:r>
        <w:rPr>
          <w:rFonts w:hint="eastAsia" w:ascii="宋体" w:hAnsi="宋体" w:eastAsia="宋体" w:cs="宋体"/>
          <w:color w:val="000000"/>
          <w:sz w:val="24"/>
          <w:szCs w:val="24"/>
          <w:highlight w:val="none"/>
          <w:u w:val="dotted"/>
        </w:rPr>
        <w:t xml:space="preserve">                                           </w:t>
      </w:r>
    </w:p>
    <w:p w14:paraId="337D794C">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三、质疑事项具体内容</w:t>
      </w:r>
    </w:p>
    <w:p w14:paraId="7AD0BCF9">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质疑事项1：</w:t>
      </w:r>
      <w:r>
        <w:rPr>
          <w:rFonts w:hint="eastAsia" w:ascii="宋体" w:hAnsi="宋体" w:eastAsia="宋体" w:cs="宋体"/>
          <w:color w:val="000000"/>
          <w:sz w:val="24"/>
          <w:szCs w:val="24"/>
          <w:highlight w:val="none"/>
          <w:u w:val="dotted"/>
        </w:rPr>
        <w:t xml:space="preserve">                                         </w:t>
      </w:r>
    </w:p>
    <w:p w14:paraId="2A2E1C0C">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事实依据：</w:t>
      </w:r>
      <w:r>
        <w:rPr>
          <w:rFonts w:hint="eastAsia" w:ascii="宋体" w:hAnsi="宋体" w:eastAsia="宋体" w:cs="宋体"/>
          <w:color w:val="000000"/>
          <w:sz w:val="24"/>
          <w:szCs w:val="24"/>
          <w:highlight w:val="none"/>
          <w:u w:val="dotted"/>
        </w:rPr>
        <w:t xml:space="preserve">                                          </w:t>
      </w:r>
    </w:p>
    <w:p w14:paraId="5DA85BBC">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dotted"/>
        </w:rPr>
        <w:t xml:space="preserve">                                                       </w:t>
      </w:r>
    </w:p>
    <w:p w14:paraId="48579413">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法律依据：</w:t>
      </w:r>
      <w:r>
        <w:rPr>
          <w:rFonts w:hint="eastAsia" w:ascii="宋体" w:hAnsi="宋体" w:eastAsia="宋体" w:cs="宋体"/>
          <w:color w:val="000000"/>
          <w:sz w:val="24"/>
          <w:szCs w:val="24"/>
          <w:highlight w:val="none"/>
          <w:u w:val="dotted"/>
        </w:rPr>
        <w:t xml:space="preserve">                                          </w:t>
      </w:r>
    </w:p>
    <w:p w14:paraId="20794502">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u w:val="dotted"/>
        </w:rPr>
        <w:t xml:space="preserve">                                                     </w:t>
      </w:r>
    </w:p>
    <w:p w14:paraId="2FB7AD9C">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质疑事项2</w:t>
      </w:r>
    </w:p>
    <w:p w14:paraId="51859C22">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00D115CE">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四、与质疑事项相关的质疑请求</w:t>
      </w:r>
    </w:p>
    <w:p w14:paraId="5A4FF277">
      <w:pPr>
        <w:adjustRightInd w:val="0"/>
        <w:snapToGrid w:val="0"/>
        <w:spacing w:line="360" w:lineRule="auto"/>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请求：</w:t>
      </w:r>
      <w:r>
        <w:rPr>
          <w:rFonts w:hint="eastAsia" w:ascii="宋体" w:hAnsi="宋体" w:eastAsia="宋体" w:cs="宋体"/>
          <w:color w:val="000000"/>
          <w:sz w:val="24"/>
          <w:szCs w:val="24"/>
          <w:highlight w:val="none"/>
          <w:u w:val="dotted"/>
        </w:rPr>
        <w:t xml:space="preserve">                                               </w:t>
      </w:r>
    </w:p>
    <w:p w14:paraId="4CDE4CE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签字(签章)：                   公章：                      </w:t>
      </w:r>
    </w:p>
    <w:p w14:paraId="02CD461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p>
    <w:p w14:paraId="2CEC6A6E">
      <w:pPr>
        <w:adjustRightInd w:val="0"/>
        <w:snapToGrid w:val="0"/>
        <w:spacing w:line="360" w:lineRule="auto"/>
        <w:ind w:firstLine="480" w:firstLineChars="200"/>
        <w:rPr>
          <w:rFonts w:hint="eastAsia" w:ascii="宋体" w:hAnsi="宋体" w:eastAsia="宋体" w:cs="宋体"/>
          <w:color w:val="000000"/>
          <w:sz w:val="24"/>
          <w:szCs w:val="24"/>
          <w:highlight w:val="none"/>
        </w:rPr>
      </w:pPr>
    </w:p>
    <w:p w14:paraId="4FA6AD37">
      <w:pPr>
        <w:spacing w:line="360" w:lineRule="auto"/>
        <w:ind w:firstLine="482" w:firstLineChars="200"/>
        <w:jc w:val="center"/>
        <w:rPr>
          <w:rFonts w:hint="eastAsia" w:ascii="宋体" w:hAnsi="宋体" w:eastAsia="宋体" w:cs="宋体"/>
          <w:b/>
          <w:bCs/>
          <w:color w:val="000000"/>
          <w:sz w:val="24"/>
          <w:szCs w:val="24"/>
          <w:highlight w:val="none"/>
        </w:rPr>
      </w:pPr>
    </w:p>
    <w:p w14:paraId="620FA1DC">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质疑函制作说明：</w:t>
      </w:r>
    </w:p>
    <w:p w14:paraId="632D2ACA">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提出质疑时，应提交质疑函和必要的证明材料。</w:t>
      </w:r>
    </w:p>
    <w:p w14:paraId="14AAC342">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若委托代理人进行质疑的，质疑函应按要求列明“被授权人”的有关内容，并在附件中提交由质疑</w:t>
      </w:r>
      <w:r>
        <w:rPr>
          <w:rFonts w:hint="eastAsia" w:ascii="宋体" w:hAnsi="宋体" w:eastAsia="宋体" w:cs="宋体"/>
          <w:color w:val="000000"/>
          <w:kern w:val="0"/>
          <w:sz w:val="24"/>
          <w:szCs w:val="24"/>
          <w:highlight w:val="none"/>
        </w:rPr>
        <w:t>投标人签署的授权委托书。授权委托书应载明代理人的姓名或者名称、代理事项、具体权限、期限和相关事项。</w:t>
      </w:r>
    </w:p>
    <w:p w14:paraId="085952AF">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若对项目的某一分包进行质疑，质疑函中应列明具体分包号。</w:t>
      </w:r>
    </w:p>
    <w:p w14:paraId="7B62E96F">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4.质疑函的质疑事项应具体、明确，并有必要的事实依据和法律依据。</w:t>
      </w:r>
    </w:p>
    <w:p w14:paraId="48770359">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5.质疑函的质疑请求应与质疑事项相关。</w:t>
      </w:r>
    </w:p>
    <w:p w14:paraId="10CDDC72">
      <w:pPr>
        <w:widowControl/>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为自然人的，质疑函应由本人签字；质疑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为法人或者其他组织的，质疑函应由法定代表人、主要负责人或者其被授权人签字或者盖章，并加盖公章。</w:t>
      </w:r>
    </w:p>
    <w:p w14:paraId="04ED3734">
      <w:pPr>
        <w:pStyle w:val="30"/>
        <w:spacing w:line="360" w:lineRule="auto"/>
        <w:rPr>
          <w:rFonts w:hint="eastAsia" w:ascii="宋体" w:hAnsi="宋体" w:eastAsia="宋体" w:cs="宋体"/>
          <w:sz w:val="24"/>
          <w:szCs w:val="24"/>
          <w:highlight w:val="none"/>
        </w:rPr>
      </w:pPr>
    </w:p>
    <w:p w14:paraId="3367FD7A">
      <w:pPr>
        <w:pStyle w:val="30"/>
        <w:rPr>
          <w:rFonts w:hint="eastAsia" w:ascii="宋体" w:hAnsi="宋体" w:eastAsia="宋体" w:cs="宋体"/>
          <w:sz w:val="24"/>
          <w:szCs w:val="24"/>
          <w:highlight w:val="none"/>
        </w:rPr>
      </w:pPr>
    </w:p>
    <w:p w14:paraId="7FEFA58F">
      <w:pPr>
        <w:pStyle w:val="6"/>
        <w:spacing w:line="500" w:lineRule="exact"/>
        <w:ind w:firstLine="480"/>
        <w:rPr>
          <w:rFonts w:hint="eastAsia" w:ascii="宋体" w:hAnsi="宋体" w:eastAsia="宋体" w:cs="宋体"/>
          <w:color w:val="000000"/>
          <w:sz w:val="24"/>
          <w:szCs w:val="24"/>
          <w:highlight w:val="none"/>
        </w:rPr>
      </w:pPr>
    </w:p>
    <w:p w14:paraId="701676DB">
      <w:pPr>
        <w:pStyle w:val="4"/>
        <w:bidi w:val="0"/>
        <w:jc w:val="center"/>
        <w:outlineLvl w:val="0"/>
        <w:rPr>
          <w:rFonts w:hint="eastAsia"/>
          <w:highlight w:val="none"/>
        </w:rPr>
      </w:pPr>
      <w:r>
        <w:rPr>
          <w:rFonts w:hint="eastAsia" w:ascii="宋体" w:hAnsi="宋体" w:eastAsia="宋体" w:cs="宋体"/>
          <w:color w:val="000000"/>
          <w:szCs w:val="24"/>
          <w:highlight w:val="none"/>
        </w:rPr>
        <w:br w:type="page"/>
      </w:r>
      <w:bookmarkStart w:id="138" w:name="_Toc12260"/>
      <w:bookmarkStart w:id="139" w:name="_Toc21780"/>
      <w:bookmarkStart w:id="140" w:name="_Toc5850_WPSOffice_Level1"/>
      <w:r>
        <w:rPr>
          <w:rFonts w:hint="eastAsia"/>
          <w:highlight w:val="none"/>
        </w:rPr>
        <w:t>第三章  投标文件格式</w:t>
      </w:r>
      <w:bookmarkEnd w:id="138"/>
      <w:bookmarkEnd w:id="139"/>
      <w:bookmarkEnd w:id="140"/>
    </w:p>
    <w:p w14:paraId="0A89863F">
      <w:pPr>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投标文件封面示例</w:t>
      </w:r>
    </w:p>
    <w:p w14:paraId="613A53DC">
      <w:pPr>
        <w:spacing w:line="360" w:lineRule="auto"/>
        <w:rPr>
          <w:rFonts w:hint="eastAsia" w:ascii="宋体" w:hAnsi="宋体" w:eastAsia="宋体" w:cs="宋体"/>
          <w:b/>
          <w:color w:val="000000"/>
          <w:sz w:val="24"/>
          <w:szCs w:val="24"/>
          <w:highlight w:val="none"/>
        </w:rPr>
      </w:pPr>
    </w:p>
    <w:p w14:paraId="1625D720">
      <w:pPr>
        <w:spacing w:line="360" w:lineRule="auto"/>
        <w:jc w:val="center"/>
        <w:rPr>
          <w:rFonts w:hint="eastAsia" w:ascii="宋体" w:hAnsi="宋体" w:eastAsia="宋体" w:cs="宋体"/>
          <w:b/>
          <w:color w:val="000000"/>
          <w:sz w:val="24"/>
          <w:szCs w:val="24"/>
          <w:highlight w:val="none"/>
        </w:rPr>
      </w:pPr>
    </w:p>
    <w:p w14:paraId="4F2A244A">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投标文件</w:t>
      </w:r>
    </w:p>
    <w:p w14:paraId="52A3106C">
      <w:pPr>
        <w:spacing w:line="360" w:lineRule="auto"/>
        <w:rPr>
          <w:rFonts w:hint="eastAsia" w:ascii="宋体" w:hAnsi="宋体" w:eastAsia="宋体" w:cs="宋体"/>
          <w:b/>
          <w:color w:val="000000"/>
          <w:sz w:val="24"/>
          <w:szCs w:val="24"/>
          <w:highlight w:val="none"/>
        </w:rPr>
      </w:pPr>
    </w:p>
    <w:p w14:paraId="2E2B4A7C">
      <w:pPr>
        <w:spacing w:line="360" w:lineRule="auto"/>
        <w:ind w:firstLine="504"/>
        <w:rPr>
          <w:rFonts w:hint="eastAsia" w:ascii="宋体" w:hAnsi="宋体" w:eastAsia="宋体" w:cs="宋体"/>
          <w:b/>
          <w:color w:val="000000"/>
          <w:sz w:val="24"/>
          <w:szCs w:val="24"/>
          <w:highlight w:val="none"/>
        </w:rPr>
      </w:pPr>
    </w:p>
    <w:p w14:paraId="78EF4F68">
      <w:pPr>
        <w:spacing w:line="360" w:lineRule="auto"/>
        <w:ind w:firstLine="504"/>
        <w:rPr>
          <w:rFonts w:hint="eastAsia" w:ascii="宋体" w:hAnsi="宋体" w:eastAsia="宋体" w:cs="宋体"/>
          <w:b/>
          <w:color w:val="000000"/>
          <w:sz w:val="24"/>
          <w:szCs w:val="24"/>
          <w:highlight w:val="none"/>
        </w:rPr>
      </w:pPr>
    </w:p>
    <w:p w14:paraId="6974C923">
      <w:pPr>
        <w:spacing w:line="360" w:lineRule="auto"/>
        <w:ind w:firstLine="504"/>
        <w:rPr>
          <w:rFonts w:hint="eastAsia" w:ascii="宋体" w:hAnsi="宋体" w:eastAsia="宋体" w:cs="宋体"/>
          <w:b/>
          <w:color w:val="000000"/>
          <w:sz w:val="24"/>
          <w:szCs w:val="24"/>
          <w:highlight w:val="none"/>
        </w:rPr>
      </w:pPr>
    </w:p>
    <w:p w14:paraId="0F3AF6CB">
      <w:pPr>
        <w:spacing w:line="360" w:lineRule="auto"/>
        <w:ind w:firstLine="504"/>
        <w:rPr>
          <w:rFonts w:hint="eastAsia" w:ascii="宋体" w:hAnsi="宋体" w:eastAsia="宋体" w:cs="宋体"/>
          <w:b/>
          <w:color w:val="000000"/>
          <w:sz w:val="24"/>
          <w:szCs w:val="24"/>
          <w:highlight w:val="none"/>
        </w:rPr>
      </w:pPr>
    </w:p>
    <w:p w14:paraId="70B79BB5">
      <w:pPr>
        <w:spacing w:line="360" w:lineRule="auto"/>
        <w:ind w:firstLine="504"/>
        <w:rPr>
          <w:rFonts w:hint="eastAsia" w:ascii="宋体" w:hAnsi="宋体" w:eastAsia="宋体" w:cs="宋体"/>
          <w:b/>
          <w:color w:val="000000"/>
          <w:sz w:val="24"/>
          <w:szCs w:val="24"/>
          <w:highlight w:val="none"/>
        </w:rPr>
      </w:pPr>
    </w:p>
    <w:p w14:paraId="2EDBEB50">
      <w:pPr>
        <w:spacing w:line="360" w:lineRule="auto"/>
        <w:rPr>
          <w:rFonts w:hint="eastAsia" w:ascii="宋体" w:hAnsi="宋体" w:eastAsia="宋体" w:cs="宋体"/>
          <w:b/>
          <w:color w:val="000000"/>
          <w:sz w:val="24"/>
          <w:szCs w:val="24"/>
          <w:highlight w:val="none"/>
        </w:rPr>
      </w:pPr>
    </w:p>
    <w:p w14:paraId="6F422C4E">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r>
        <w:rPr>
          <w:rFonts w:hint="eastAsia" w:ascii="宋体" w:hAnsi="宋体" w:eastAsia="宋体" w:cs="宋体"/>
          <w:b/>
          <w:color w:val="000000"/>
          <w:sz w:val="24"/>
          <w:szCs w:val="24"/>
          <w:highlight w:val="none"/>
          <w:lang w:val="en-US" w:eastAsia="zh-CN"/>
        </w:rPr>
        <w:t>+标项</w:t>
      </w:r>
      <w:r>
        <w:rPr>
          <w:rFonts w:hint="eastAsia" w:ascii="宋体" w:hAnsi="宋体" w:eastAsia="宋体" w:cs="宋体"/>
          <w:b/>
          <w:color w:val="000000"/>
          <w:sz w:val="24"/>
          <w:szCs w:val="24"/>
          <w:highlight w:val="none"/>
        </w:rPr>
        <w:t>：</w:t>
      </w:r>
    </w:p>
    <w:p w14:paraId="29F57664">
      <w:pPr>
        <w:pStyle w:val="30"/>
        <w:spacing w:line="360" w:lineRule="auto"/>
        <w:rPr>
          <w:rFonts w:hint="eastAsia" w:ascii="宋体" w:hAnsi="宋体" w:eastAsia="宋体" w:cs="宋体"/>
          <w:sz w:val="24"/>
          <w:szCs w:val="24"/>
          <w:highlight w:val="none"/>
        </w:rPr>
      </w:pPr>
    </w:p>
    <w:p w14:paraId="08821F56">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p w14:paraId="7AEE1463">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0837896">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投标人名称（盖章）：</w:t>
      </w:r>
    </w:p>
    <w:p w14:paraId="434699E2">
      <w:pPr>
        <w:spacing w:line="360" w:lineRule="auto"/>
        <w:ind w:firstLine="504"/>
        <w:rPr>
          <w:rFonts w:hint="eastAsia" w:ascii="宋体" w:hAnsi="宋体" w:eastAsia="宋体" w:cs="宋体"/>
          <w:b/>
          <w:color w:val="000000"/>
          <w:sz w:val="24"/>
          <w:szCs w:val="24"/>
          <w:highlight w:val="none"/>
        </w:rPr>
      </w:pPr>
    </w:p>
    <w:p w14:paraId="7ADF884F">
      <w:pPr>
        <w:spacing w:line="360" w:lineRule="auto"/>
        <w:ind w:firstLine="504"/>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授权人</w:t>
      </w:r>
      <w:r>
        <w:rPr>
          <w:rFonts w:hint="eastAsia" w:ascii="宋体" w:hAnsi="宋体" w:eastAsia="宋体" w:cs="宋体"/>
          <w:b/>
          <w:color w:val="000000"/>
          <w:sz w:val="24"/>
          <w:szCs w:val="24"/>
          <w:highlight w:val="none"/>
        </w:rPr>
        <w:t>被授权人（签字或盖章）：</w:t>
      </w:r>
    </w:p>
    <w:p w14:paraId="2560346F">
      <w:pPr>
        <w:spacing w:line="360" w:lineRule="auto"/>
        <w:ind w:firstLine="504"/>
        <w:rPr>
          <w:rFonts w:hint="eastAsia" w:ascii="宋体" w:hAnsi="宋体" w:eastAsia="宋体" w:cs="宋体"/>
          <w:b/>
          <w:color w:val="000000"/>
          <w:sz w:val="24"/>
          <w:szCs w:val="24"/>
          <w:highlight w:val="none"/>
        </w:rPr>
      </w:pPr>
    </w:p>
    <w:p w14:paraId="2F576ABE">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项目联系人： </w:t>
      </w:r>
    </w:p>
    <w:p w14:paraId="552BDD3D">
      <w:pPr>
        <w:spacing w:line="360" w:lineRule="auto"/>
        <w:ind w:firstLine="504"/>
        <w:rPr>
          <w:rFonts w:hint="eastAsia" w:ascii="宋体" w:hAnsi="宋体" w:eastAsia="宋体" w:cs="宋体"/>
          <w:b/>
          <w:color w:val="000000"/>
          <w:sz w:val="24"/>
          <w:szCs w:val="24"/>
          <w:highlight w:val="none"/>
        </w:rPr>
      </w:pPr>
    </w:p>
    <w:p w14:paraId="3BC795BB">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p w14:paraId="672F5551">
      <w:pPr>
        <w:spacing w:line="360" w:lineRule="auto"/>
        <w:ind w:firstLine="504"/>
        <w:rPr>
          <w:rFonts w:hint="eastAsia" w:ascii="宋体" w:hAnsi="宋体" w:eastAsia="宋体" w:cs="宋体"/>
          <w:b/>
          <w:color w:val="000000"/>
          <w:sz w:val="24"/>
          <w:szCs w:val="24"/>
          <w:highlight w:val="none"/>
        </w:rPr>
      </w:pPr>
    </w:p>
    <w:p w14:paraId="24B2B330">
      <w:pPr>
        <w:spacing w:line="360" w:lineRule="auto"/>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编制时间：</w:t>
      </w:r>
    </w:p>
    <w:p w14:paraId="7D96E2F7">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目录</w:t>
      </w:r>
    </w:p>
    <w:p w14:paraId="3AF9F057">
      <w:pPr>
        <w:tabs>
          <w:tab w:val="left" w:pos="3480"/>
        </w:tabs>
        <w:spacing w:line="360" w:lineRule="auto"/>
        <w:ind w:firstLine="480" w:firstLineChars="200"/>
        <w:rPr>
          <w:rFonts w:hint="eastAsia" w:ascii="宋体" w:hAnsi="宋体" w:eastAsia="宋体" w:cs="宋体"/>
          <w:color w:val="000000"/>
          <w:sz w:val="24"/>
          <w:szCs w:val="24"/>
          <w:highlight w:val="none"/>
        </w:rPr>
      </w:pPr>
      <w:bookmarkStart w:id="141" w:name="_Toc217446082"/>
    </w:p>
    <w:p w14:paraId="7C61B65D">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一、投标函</w:t>
      </w:r>
    </w:p>
    <w:p w14:paraId="4884E2EC">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2A49408B">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rPr>
        <w:t>投标报价明细表</w:t>
      </w:r>
    </w:p>
    <w:p w14:paraId="41D2B56D">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rPr>
        <w:t>、投标人基本情况表</w:t>
      </w:r>
    </w:p>
    <w:p w14:paraId="6F0EF17A">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、投标人</w:t>
      </w:r>
      <w:r>
        <w:rPr>
          <w:rFonts w:hint="eastAsia" w:ascii="宋体" w:hAnsi="宋体" w:cs="宋体"/>
          <w:color w:val="000000"/>
          <w:sz w:val="24"/>
          <w:szCs w:val="24"/>
          <w:highlight w:val="none"/>
          <w:lang w:eastAsia="zh-CN"/>
        </w:rPr>
        <w:t>类似项目</w:t>
      </w:r>
      <w:r>
        <w:rPr>
          <w:rFonts w:hint="eastAsia" w:ascii="宋体" w:hAnsi="宋体" w:eastAsia="宋体" w:cs="宋体"/>
          <w:color w:val="000000"/>
          <w:sz w:val="24"/>
          <w:szCs w:val="24"/>
          <w:highlight w:val="none"/>
        </w:rPr>
        <w:t>业绩一览表</w:t>
      </w:r>
    </w:p>
    <w:p w14:paraId="0C936B1D">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、商务、技术需求偏离表</w:t>
      </w:r>
    </w:p>
    <w:p w14:paraId="11B4D2DF">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、拟配备人员情况</w:t>
      </w:r>
    </w:p>
    <w:p w14:paraId="6F211E83">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、实施方案</w:t>
      </w:r>
    </w:p>
    <w:p w14:paraId="00900B8C">
      <w:pPr>
        <w:tabs>
          <w:tab w:val="left" w:pos="3480"/>
        </w:tabs>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九</w:t>
      </w:r>
      <w:r>
        <w:rPr>
          <w:rFonts w:hint="eastAsia" w:ascii="宋体" w:hAnsi="宋体" w:eastAsia="宋体" w:cs="宋体"/>
          <w:color w:val="000000"/>
          <w:sz w:val="24"/>
          <w:szCs w:val="24"/>
          <w:highlight w:val="none"/>
        </w:rPr>
        <w:t>、投标人认为需要提供的其他文件和资料</w:t>
      </w:r>
    </w:p>
    <w:p w14:paraId="71DD0C85">
      <w:pPr>
        <w:tabs>
          <w:tab w:val="left" w:pos="3480"/>
        </w:tabs>
        <w:spacing w:line="360" w:lineRule="auto"/>
        <w:ind w:firstLine="480" w:firstLineChars="200"/>
        <w:rPr>
          <w:rFonts w:hint="eastAsia" w:ascii="宋体" w:hAnsi="宋体" w:eastAsia="宋体" w:cs="宋体"/>
          <w:color w:val="000000"/>
          <w:sz w:val="24"/>
          <w:szCs w:val="24"/>
          <w:highlight w:val="none"/>
        </w:rPr>
      </w:pPr>
    </w:p>
    <w:p w14:paraId="5F1313E3">
      <w:pPr>
        <w:pStyle w:val="6"/>
        <w:spacing w:line="360" w:lineRule="auto"/>
        <w:ind w:firstLine="480"/>
        <w:rPr>
          <w:rFonts w:hint="eastAsia" w:ascii="宋体" w:hAnsi="宋体" w:eastAsia="宋体" w:cs="宋体"/>
          <w:color w:val="000000"/>
          <w:sz w:val="24"/>
          <w:szCs w:val="24"/>
          <w:highlight w:val="none"/>
        </w:rPr>
      </w:pPr>
    </w:p>
    <w:p w14:paraId="5CC3242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备注</w:t>
      </w:r>
      <w:r>
        <w:rPr>
          <w:rFonts w:hint="eastAsia" w:ascii="宋体" w:hAnsi="宋体" w:eastAsia="宋体" w:cs="宋体"/>
          <w:color w:val="000000"/>
          <w:sz w:val="24"/>
          <w:szCs w:val="24"/>
          <w:highlight w:val="none"/>
        </w:rPr>
        <w:t>：投标人应按以上目录顺序编排投标文件，并标注相应页码。）</w:t>
      </w:r>
    </w:p>
    <w:p w14:paraId="362A2039">
      <w:pPr>
        <w:spacing w:line="360" w:lineRule="auto"/>
        <w:rPr>
          <w:rFonts w:hint="eastAsia" w:ascii="宋体" w:hAnsi="宋体" w:eastAsia="宋体" w:cs="宋体"/>
          <w:color w:val="000000"/>
          <w:sz w:val="24"/>
          <w:szCs w:val="24"/>
          <w:highlight w:val="none"/>
        </w:rPr>
      </w:pPr>
    </w:p>
    <w:p w14:paraId="05D199F0">
      <w:pPr>
        <w:pStyle w:val="30"/>
        <w:spacing w:line="360" w:lineRule="auto"/>
        <w:rPr>
          <w:rFonts w:hint="eastAsia" w:ascii="宋体" w:hAnsi="宋体" w:eastAsia="宋体" w:cs="宋体"/>
          <w:color w:val="000000"/>
          <w:sz w:val="24"/>
          <w:szCs w:val="24"/>
          <w:highlight w:val="none"/>
        </w:rPr>
      </w:pPr>
    </w:p>
    <w:p w14:paraId="14DE5039">
      <w:pPr>
        <w:spacing w:line="360" w:lineRule="auto"/>
        <w:rPr>
          <w:rFonts w:hint="eastAsia" w:ascii="宋体" w:hAnsi="宋体" w:eastAsia="宋体" w:cs="宋体"/>
          <w:color w:val="000000"/>
          <w:sz w:val="24"/>
          <w:szCs w:val="24"/>
          <w:highlight w:val="none"/>
        </w:rPr>
      </w:pPr>
    </w:p>
    <w:p w14:paraId="3D30DD11">
      <w:pPr>
        <w:pStyle w:val="30"/>
        <w:spacing w:line="360" w:lineRule="auto"/>
        <w:rPr>
          <w:rFonts w:hint="eastAsia" w:ascii="宋体" w:hAnsi="宋体" w:eastAsia="宋体" w:cs="宋体"/>
          <w:color w:val="000000"/>
          <w:sz w:val="24"/>
          <w:szCs w:val="24"/>
          <w:highlight w:val="none"/>
        </w:rPr>
      </w:pPr>
    </w:p>
    <w:p w14:paraId="1C988A2A">
      <w:pPr>
        <w:spacing w:line="360" w:lineRule="auto"/>
        <w:rPr>
          <w:rFonts w:hint="eastAsia" w:ascii="宋体" w:hAnsi="宋体" w:eastAsia="宋体" w:cs="宋体"/>
          <w:sz w:val="24"/>
          <w:szCs w:val="24"/>
          <w:highlight w:val="none"/>
        </w:rPr>
      </w:pPr>
    </w:p>
    <w:p w14:paraId="30172F69">
      <w:pPr>
        <w:spacing w:line="360" w:lineRule="auto"/>
        <w:rPr>
          <w:rFonts w:hint="eastAsia" w:ascii="宋体" w:hAnsi="宋体" w:eastAsia="宋体" w:cs="宋体"/>
          <w:color w:val="000000"/>
          <w:sz w:val="24"/>
          <w:szCs w:val="24"/>
          <w:highlight w:val="none"/>
        </w:rPr>
      </w:pPr>
    </w:p>
    <w:p w14:paraId="541E9687">
      <w:pPr>
        <w:spacing w:line="360" w:lineRule="auto"/>
        <w:jc w:val="center"/>
        <w:rPr>
          <w:rFonts w:hint="eastAsia" w:ascii="宋体" w:hAnsi="宋体" w:eastAsia="宋体" w:cs="宋体"/>
          <w:color w:val="000000"/>
          <w:sz w:val="24"/>
          <w:szCs w:val="24"/>
          <w:highlight w:val="none"/>
        </w:rPr>
      </w:pPr>
    </w:p>
    <w:p w14:paraId="22A49DDE">
      <w:pPr>
        <w:spacing w:line="360" w:lineRule="auto"/>
        <w:rPr>
          <w:rFonts w:hint="eastAsia" w:ascii="宋体" w:hAnsi="宋体" w:eastAsia="宋体" w:cs="宋体"/>
          <w:color w:val="000000"/>
          <w:sz w:val="24"/>
          <w:szCs w:val="24"/>
          <w:highlight w:val="none"/>
        </w:rPr>
      </w:pPr>
    </w:p>
    <w:p w14:paraId="19061B94">
      <w:pPr>
        <w:pStyle w:val="30"/>
        <w:spacing w:line="360" w:lineRule="auto"/>
        <w:rPr>
          <w:rFonts w:hint="eastAsia" w:ascii="宋体" w:hAnsi="宋体" w:eastAsia="宋体" w:cs="宋体"/>
          <w:color w:val="000000"/>
          <w:sz w:val="24"/>
          <w:szCs w:val="24"/>
          <w:highlight w:val="none"/>
        </w:rPr>
      </w:pPr>
    </w:p>
    <w:p w14:paraId="55315646">
      <w:pPr>
        <w:spacing w:line="360" w:lineRule="auto"/>
        <w:rPr>
          <w:rFonts w:hint="eastAsia" w:ascii="宋体" w:hAnsi="宋体" w:eastAsia="宋体" w:cs="宋体"/>
          <w:color w:val="000000"/>
          <w:sz w:val="24"/>
          <w:szCs w:val="24"/>
          <w:highlight w:val="none"/>
        </w:rPr>
      </w:pPr>
    </w:p>
    <w:p w14:paraId="66418B57">
      <w:pPr>
        <w:pStyle w:val="30"/>
        <w:spacing w:line="360" w:lineRule="auto"/>
        <w:rPr>
          <w:rFonts w:hint="eastAsia" w:ascii="宋体" w:hAnsi="宋体" w:eastAsia="宋体" w:cs="宋体"/>
          <w:color w:val="000000"/>
          <w:sz w:val="24"/>
          <w:szCs w:val="24"/>
          <w:highlight w:val="none"/>
        </w:rPr>
      </w:pPr>
    </w:p>
    <w:p w14:paraId="25ACC3C4">
      <w:pPr>
        <w:spacing w:line="360" w:lineRule="auto"/>
        <w:rPr>
          <w:rFonts w:hint="eastAsia" w:ascii="宋体" w:hAnsi="宋体" w:eastAsia="宋体" w:cs="宋体"/>
          <w:color w:val="000000"/>
          <w:sz w:val="24"/>
          <w:szCs w:val="24"/>
          <w:highlight w:val="none"/>
        </w:rPr>
      </w:pPr>
    </w:p>
    <w:p w14:paraId="5487DC6A">
      <w:pPr>
        <w:pStyle w:val="30"/>
        <w:spacing w:line="360" w:lineRule="auto"/>
        <w:rPr>
          <w:rFonts w:hint="eastAsia" w:ascii="宋体" w:hAnsi="宋体" w:eastAsia="宋体" w:cs="宋体"/>
          <w:sz w:val="24"/>
          <w:szCs w:val="24"/>
          <w:highlight w:val="none"/>
        </w:rPr>
      </w:pPr>
    </w:p>
    <w:p w14:paraId="629865B9">
      <w:pPr>
        <w:spacing w:line="360" w:lineRule="auto"/>
        <w:jc w:val="center"/>
        <w:rPr>
          <w:rFonts w:hint="eastAsia" w:ascii="宋体" w:hAnsi="宋体" w:eastAsia="宋体" w:cs="宋体"/>
          <w:color w:val="000000"/>
          <w:sz w:val="24"/>
          <w:szCs w:val="24"/>
          <w:highlight w:val="none"/>
        </w:rPr>
      </w:pPr>
    </w:p>
    <w:p w14:paraId="320B6E26">
      <w:pPr>
        <w:spacing w:line="360" w:lineRule="auto"/>
        <w:jc w:val="center"/>
        <w:outlineLvl w:val="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r>
        <w:rPr>
          <w:rFonts w:hint="eastAsia" w:ascii="宋体" w:hAnsi="宋体" w:eastAsia="宋体" w:cs="宋体"/>
          <w:b/>
          <w:bCs/>
          <w:color w:val="000000"/>
          <w:sz w:val="24"/>
          <w:szCs w:val="24"/>
          <w:highlight w:val="none"/>
        </w:rPr>
        <w:t>一、</w:t>
      </w:r>
      <w:bookmarkEnd w:id="141"/>
      <w:r>
        <w:rPr>
          <w:rFonts w:hint="eastAsia" w:ascii="宋体" w:hAnsi="宋体" w:eastAsia="宋体" w:cs="宋体"/>
          <w:b/>
          <w:bCs/>
          <w:color w:val="000000"/>
          <w:sz w:val="24"/>
          <w:szCs w:val="24"/>
          <w:highlight w:val="none"/>
        </w:rPr>
        <w:t>投标函</w:t>
      </w:r>
    </w:p>
    <w:p w14:paraId="122709B4">
      <w:pPr>
        <w:pStyle w:val="16"/>
        <w:spacing w:after="0" w:line="360" w:lineRule="auto"/>
        <w:ind w:left="0" w:leftChars="0" w:firstLine="480" w:firstLineChars="200"/>
        <w:rPr>
          <w:rFonts w:hint="eastAsia" w:ascii="宋体" w:hAnsi="宋体" w:eastAsia="宋体" w:cs="宋体"/>
          <w:bCs/>
          <w:color w:val="000000"/>
          <w:sz w:val="24"/>
          <w:szCs w:val="24"/>
          <w:highlight w:val="none"/>
        </w:rPr>
      </w:pPr>
      <w:bookmarkStart w:id="142" w:name="_Toc217446083"/>
      <w:r>
        <w:rPr>
          <w:rFonts w:hint="eastAsia" w:ascii="宋体" w:hAnsi="宋体" w:eastAsia="宋体" w:cs="宋体"/>
          <w:bCs/>
          <w:color w:val="000000"/>
          <w:sz w:val="24"/>
          <w:szCs w:val="24"/>
          <w:highlight w:val="none"/>
        </w:rPr>
        <w:t>__________（采购人）：</w:t>
      </w:r>
    </w:p>
    <w:p w14:paraId="165E577D">
      <w:pPr>
        <w:pStyle w:val="16"/>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我方全面研究了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（项目名称、项目编号）”项目招标文件，决定参加贵单位组织的本项目投标。我方授权</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（姓名、职务）代表我方</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（投标人的名称）全权处理本项目投标的有关事宜。</w:t>
      </w:r>
    </w:p>
    <w:p w14:paraId="585F09ED">
      <w:pPr>
        <w:pStyle w:val="16"/>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1、我方自愿按照招标文件规定的各项要求向采购人提供所需</w:t>
      </w:r>
      <w:r>
        <w:rPr>
          <w:rFonts w:hint="eastAsia" w:ascii="宋体" w:hAnsi="宋体" w:eastAsia="宋体" w:cs="宋体"/>
          <w:bCs/>
          <w:color w:val="000000"/>
          <w:sz w:val="24"/>
          <w:szCs w:val="24"/>
          <w:highlight w:val="none"/>
          <w:lang w:val="en-US" w:eastAsia="zh-CN"/>
        </w:rPr>
        <w:t>货物</w:t>
      </w:r>
      <w:r>
        <w:rPr>
          <w:rFonts w:hint="eastAsia" w:ascii="宋体" w:hAnsi="宋体" w:eastAsia="宋体" w:cs="宋体"/>
          <w:bCs/>
          <w:color w:val="000000"/>
          <w:sz w:val="24"/>
          <w:szCs w:val="24"/>
          <w:highlight w:val="none"/>
        </w:rPr>
        <w:t>，总投标价为人民币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），投标有效期</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日历天。</w:t>
      </w:r>
    </w:p>
    <w:p w14:paraId="15D27CB8">
      <w:pPr>
        <w:pStyle w:val="16"/>
        <w:spacing w:after="0" w:line="360" w:lineRule="auto"/>
        <w:ind w:left="0" w:lef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2、一旦我方成交，我方将严格履行合同规定的责任和义务</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供货期：</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lang w:val="en-US" w:eastAsia="zh-CN"/>
        </w:rPr>
        <w:t>，质保期：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并达到采购人要求</w:t>
      </w:r>
      <w:r>
        <w:rPr>
          <w:rFonts w:hint="eastAsia" w:ascii="宋体" w:hAnsi="宋体" w:eastAsia="宋体" w:cs="宋体"/>
          <w:bCs/>
          <w:color w:val="000000"/>
          <w:sz w:val="24"/>
          <w:szCs w:val="24"/>
          <w:highlight w:val="none"/>
          <w:lang w:eastAsia="zh-CN"/>
        </w:rPr>
        <w:t>。</w:t>
      </w:r>
    </w:p>
    <w:p w14:paraId="1A0F63A0">
      <w:pPr>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3、我方同意按照招标文件的要求，向贵单位缴纳人民币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）的投标保证金，并承诺如发生符合“第二章投标人须知”第15.5条的任何情况时，我方将不要求退还投标保证金。</w:t>
      </w:r>
    </w:p>
    <w:p w14:paraId="6F4A6412">
      <w:pPr>
        <w:pStyle w:val="16"/>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bCs/>
          <w:color w:val="000000"/>
          <w:sz w:val="24"/>
          <w:szCs w:val="24"/>
          <w:highlight w:val="none"/>
        </w:rPr>
        <w:t>我方提交的投标文件满足招标文件实质性要求。</w:t>
      </w:r>
    </w:p>
    <w:p w14:paraId="445AEF0B">
      <w:pPr>
        <w:pStyle w:val="16"/>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、我方愿意提供采购人可能另外要求的，与投标有关的文件资料，并保证我方已提供和将要提供的文件资料是真实、准确的。</w:t>
      </w:r>
    </w:p>
    <w:p w14:paraId="3F2AF849">
      <w:pPr>
        <w:pStyle w:val="16"/>
        <w:spacing w:after="0" w:line="360" w:lineRule="auto"/>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、我方完全理解采购人不一定将合同授予最低报价的投标人。</w:t>
      </w:r>
    </w:p>
    <w:p w14:paraId="239FFF88">
      <w:pPr>
        <w:pStyle w:val="16"/>
        <w:spacing w:after="0" w:line="360" w:lineRule="auto"/>
        <w:ind w:left="0" w:leftChars="0" w:firstLine="480" w:firstLineChars="200"/>
        <w:jc w:val="center"/>
        <w:rPr>
          <w:rFonts w:hint="eastAsia" w:ascii="宋体" w:hAnsi="宋体" w:eastAsia="宋体" w:cs="宋体"/>
          <w:bCs/>
          <w:color w:val="000000"/>
          <w:sz w:val="24"/>
          <w:szCs w:val="24"/>
          <w:highlight w:val="none"/>
        </w:rPr>
      </w:pPr>
    </w:p>
    <w:p w14:paraId="184F101E">
      <w:pPr>
        <w:pStyle w:val="16"/>
        <w:spacing w:after="0" w:line="360" w:lineRule="auto"/>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投标人名称（盖章）：</w:t>
      </w:r>
    </w:p>
    <w:p w14:paraId="229C8485">
      <w:pPr>
        <w:pStyle w:val="16"/>
        <w:spacing w:after="0" w:line="360" w:lineRule="auto"/>
        <w:ind w:left="0" w:leftChars="0" w:firstLine="480" w:firstLineChars="20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color w:val="000000"/>
          <w:sz w:val="24"/>
          <w:szCs w:val="24"/>
          <w:highlight w:val="none"/>
        </w:rPr>
        <w:t>授权人或被授权人（签字或盖章）</w:t>
      </w:r>
      <w:r>
        <w:rPr>
          <w:rFonts w:hint="eastAsia" w:ascii="宋体" w:hAnsi="宋体" w:eastAsia="宋体" w:cs="宋体"/>
          <w:bCs/>
          <w:color w:val="000000"/>
          <w:sz w:val="24"/>
          <w:szCs w:val="24"/>
          <w:highlight w:val="none"/>
        </w:rPr>
        <w:t>：</w:t>
      </w:r>
    </w:p>
    <w:p w14:paraId="5EA98FB8">
      <w:pPr>
        <w:pStyle w:val="16"/>
        <w:spacing w:after="0" w:line="360" w:lineRule="auto"/>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通讯地址：</w:t>
      </w:r>
    </w:p>
    <w:p w14:paraId="6861596D">
      <w:pPr>
        <w:pStyle w:val="16"/>
        <w:spacing w:after="0" w:line="360" w:lineRule="auto"/>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联系电话：</w:t>
      </w:r>
    </w:p>
    <w:p w14:paraId="0E7C0740">
      <w:pPr>
        <w:pStyle w:val="16"/>
        <w:spacing w:after="0" w:line="360" w:lineRule="auto"/>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    期：</w:t>
      </w:r>
    </w:p>
    <w:p w14:paraId="26DDFA65">
      <w:pPr>
        <w:pStyle w:val="45"/>
        <w:spacing w:line="360" w:lineRule="auto"/>
        <w:ind w:firstLine="3360" w:firstLineChars="1400"/>
        <w:rPr>
          <w:rFonts w:hint="eastAsia" w:ascii="宋体" w:hAnsi="宋体" w:eastAsia="宋体" w:cs="宋体"/>
          <w:bCs/>
          <w:color w:val="000000"/>
          <w:sz w:val="24"/>
          <w:szCs w:val="24"/>
          <w:highlight w:val="none"/>
        </w:rPr>
      </w:pPr>
    </w:p>
    <w:p w14:paraId="5B81C989">
      <w:pPr>
        <w:pStyle w:val="45"/>
        <w:spacing w:line="360" w:lineRule="auto"/>
        <w:ind w:firstLine="3360" w:firstLineChars="1400"/>
        <w:rPr>
          <w:rFonts w:hint="eastAsia" w:ascii="宋体" w:hAnsi="宋体" w:eastAsia="宋体" w:cs="宋体"/>
          <w:bCs/>
          <w:color w:val="000000"/>
          <w:sz w:val="24"/>
          <w:szCs w:val="24"/>
          <w:highlight w:val="none"/>
        </w:rPr>
      </w:pPr>
    </w:p>
    <w:p w14:paraId="11094106">
      <w:pPr>
        <w:pStyle w:val="45"/>
        <w:spacing w:line="360" w:lineRule="auto"/>
        <w:ind w:firstLine="3360" w:firstLineChars="1400"/>
        <w:rPr>
          <w:rFonts w:hint="eastAsia" w:ascii="宋体" w:hAnsi="宋体" w:eastAsia="宋体" w:cs="宋体"/>
          <w:bCs/>
          <w:color w:val="000000"/>
          <w:sz w:val="24"/>
          <w:szCs w:val="24"/>
          <w:highlight w:val="none"/>
        </w:rPr>
      </w:pPr>
    </w:p>
    <w:p w14:paraId="6FB1A88E">
      <w:pPr>
        <w:pStyle w:val="45"/>
        <w:spacing w:line="360" w:lineRule="auto"/>
        <w:ind w:firstLine="3360" w:firstLineChars="1400"/>
        <w:rPr>
          <w:rFonts w:hint="eastAsia" w:ascii="宋体" w:hAnsi="宋体" w:eastAsia="宋体" w:cs="宋体"/>
          <w:bCs/>
          <w:color w:val="000000"/>
          <w:sz w:val="24"/>
          <w:szCs w:val="24"/>
          <w:highlight w:val="none"/>
        </w:rPr>
      </w:pPr>
    </w:p>
    <w:p w14:paraId="621E7469">
      <w:pPr>
        <w:pStyle w:val="45"/>
        <w:spacing w:line="360" w:lineRule="auto"/>
        <w:ind w:firstLine="3360" w:firstLineChars="1400"/>
        <w:rPr>
          <w:rFonts w:hint="eastAsia" w:ascii="宋体" w:hAnsi="宋体" w:eastAsia="宋体" w:cs="宋体"/>
          <w:bCs/>
          <w:color w:val="000000"/>
          <w:sz w:val="24"/>
          <w:szCs w:val="24"/>
          <w:highlight w:val="none"/>
        </w:rPr>
      </w:pPr>
    </w:p>
    <w:p w14:paraId="2B801511">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64C02B88">
      <w:pPr>
        <w:pStyle w:val="4"/>
        <w:numPr>
          <w:ilvl w:val="0"/>
          <w:numId w:val="4"/>
        </w:numPr>
        <w:spacing w:before="156" w:after="156"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身份证明书及授权委托书</w:t>
      </w:r>
    </w:p>
    <w:p w14:paraId="6F4F6C25">
      <w:pPr>
        <w:spacing w:line="360" w:lineRule="auto"/>
        <w:ind w:firstLine="482" w:firstLineChars="200"/>
        <w:jc w:val="center"/>
        <w:rPr>
          <w:rFonts w:hint="eastAsia" w:ascii="宋体" w:hAnsi="宋体" w:eastAsia="宋体" w:cs="宋体"/>
          <w:b/>
          <w:bCs/>
          <w:color w:val="000000"/>
          <w:sz w:val="24"/>
          <w:szCs w:val="24"/>
          <w:highlight w:val="none"/>
        </w:rPr>
      </w:pPr>
    </w:p>
    <w:p w14:paraId="59533E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2"/>
          <w:szCs w:val="32"/>
        </w:rPr>
      </w:pPr>
      <w:r>
        <w:rPr>
          <w:rFonts w:hint="eastAsia" w:ascii="宋体" w:hAnsi="宋体" w:eastAsia="宋体" w:cs="宋体"/>
          <w:b/>
          <w:bCs/>
          <w:color w:val="auto"/>
          <w:kern w:val="0"/>
          <w:sz w:val="32"/>
          <w:szCs w:val="32"/>
          <w:lang w:val="en-US" w:eastAsia="zh-CN" w:bidi="ar"/>
        </w:rPr>
        <w:t>法定代表人（单位负责人）身份证明</w:t>
      </w:r>
    </w:p>
    <w:p w14:paraId="13883D9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0E8DCE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致：</w:t>
      </w:r>
      <w:r>
        <w:rPr>
          <w:rFonts w:hint="eastAsia" w:ascii="宋体" w:hAnsi="宋体" w:eastAsia="宋体" w:cs="宋体"/>
          <w:color w:val="auto"/>
          <w:kern w:val="0"/>
          <w:sz w:val="24"/>
          <w:szCs w:val="24"/>
          <w:u w:val="single"/>
          <w:lang w:val="en-US" w:eastAsia="zh-CN" w:bidi="ar"/>
        </w:rPr>
        <w:t xml:space="preserve">（采购人或采购代理机构） </w:t>
      </w:r>
    </w:p>
    <w:p w14:paraId="0FF9A83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兹证明， </w:t>
      </w:r>
    </w:p>
    <w:p w14:paraId="3CE8112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u w:val="single"/>
          <w:lang w:val="en-US" w:eastAsia="zh-CN" w:bidi="ar"/>
        </w:rPr>
      </w:pPr>
      <w:r>
        <w:rPr>
          <w:rFonts w:hint="eastAsia" w:ascii="宋体" w:hAnsi="宋体" w:eastAsia="宋体" w:cs="宋体"/>
          <w:color w:val="auto"/>
          <w:kern w:val="0"/>
          <w:sz w:val="24"/>
          <w:szCs w:val="24"/>
          <w:lang w:val="en-US" w:eastAsia="zh-CN" w:bidi="ar"/>
        </w:rPr>
        <w:t>姓名：</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性别：</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年龄：</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职务：</w:t>
      </w:r>
      <w:r>
        <w:rPr>
          <w:rFonts w:hint="eastAsia" w:ascii="宋体" w:hAnsi="宋体" w:eastAsia="宋体" w:cs="宋体"/>
          <w:color w:val="auto"/>
          <w:kern w:val="0"/>
          <w:sz w:val="24"/>
          <w:szCs w:val="24"/>
          <w:u w:val="single"/>
          <w:lang w:val="en-US" w:eastAsia="zh-CN" w:bidi="ar"/>
        </w:rPr>
        <w:t xml:space="preserve">     </w:t>
      </w:r>
    </w:p>
    <w:p w14:paraId="4E3C63A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系</w:t>
      </w:r>
      <w:r>
        <w:rPr>
          <w:rFonts w:hint="eastAsia" w:ascii="宋体" w:hAnsi="宋体" w:eastAsia="宋体" w:cs="宋体"/>
          <w:color w:val="auto"/>
          <w:kern w:val="0"/>
          <w:sz w:val="24"/>
          <w:szCs w:val="24"/>
          <w:u w:val="single"/>
          <w:lang w:val="en-US" w:eastAsia="zh-CN" w:bidi="ar"/>
        </w:rPr>
        <w:t xml:space="preserve">       （供应商名称）</w:t>
      </w:r>
      <w:r>
        <w:rPr>
          <w:rFonts w:hint="eastAsia" w:ascii="宋体" w:hAnsi="宋体" w:eastAsia="宋体" w:cs="宋体"/>
          <w:color w:val="auto"/>
          <w:kern w:val="0"/>
          <w:sz w:val="24"/>
          <w:szCs w:val="24"/>
          <w:lang w:val="en-US" w:eastAsia="zh-CN" w:bidi="ar"/>
        </w:rPr>
        <w:t xml:space="preserve">的法定代表人（单位负责人）。 </w:t>
      </w:r>
    </w:p>
    <w:p w14:paraId="26E7BF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64E88E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4E733C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附：法定代表人（单位负责人）有效期内的身份证</w:t>
      </w:r>
      <w:r>
        <w:rPr>
          <w:rFonts w:hint="eastAsia" w:ascii="宋体" w:hAnsi="宋体" w:eastAsia="宋体" w:cs="宋体"/>
          <w:b/>
          <w:bCs/>
          <w:color w:val="auto"/>
          <w:kern w:val="0"/>
          <w:sz w:val="24"/>
          <w:szCs w:val="24"/>
          <w:lang w:val="en-US" w:eastAsia="zh-CN" w:bidi="ar"/>
        </w:rPr>
        <w:t>正反面</w:t>
      </w:r>
      <w:r>
        <w:rPr>
          <w:rFonts w:hint="eastAsia" w:ascii="宋体" w:hAnsi="宋体" w:eastAsia="宋体" w:cs="宋体"/>
          <w:color w:val="auto"/>
          <w:kern w:val="0"/>
          <w:sz w:val="24"/>
          <w:szCs w:val="24"/>
          <w:lang w:val="en-US" w:eastAsia="zh-CN" w:bidi="ar"/>
        </w:rPr>
        <w:t xml:space="preserve">扫描件。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01A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noWrap w:val="0"/>
            <w:vAlign w:val="top"/>
          </w:tcPr>
          <w:p w14:paraId="149DCF8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vertAlign w:val="baseline"/>
                <w:lang w:val="en-US" w:eastAsia="zh-CN" w:bidi="ar"/>
              </w:rPr>
            </w:pPr>
          </w:p>
        </w:tc>
        <w:tc>
          <w:tcPr>
            <w:tcW w:w="4261" w:type="dxa"/>
            <w:noWrap w:val="0"/>
            <w:vAlign w:val="top"/>
          </w:tcPr>
          <w:p w14:paraId="2DE53CF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vertAlign w:val="baseline"/>
                <w:lang w:val="en-US" w:eastAsia="zh-CN" w:bidi="ar"/>
              </w:rPr>
            </w:pPr>
          </w:p>
        </w:tc>
      </w:tr>
    </w:tbl>
    <w:p w14:paraId="34283B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lang w:val="en-US" w:eastAsia="zh-CN" w:bidi="ar"/>
        </w:rPr>
      </w:pPr>
    </w:p>
    <w:p w14:paraId="23B29E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lang w:val="en-US" w:eastAsia="zh-CN" w:bidi="ar"/>
        </w:rPr>
      </w:pPr>
    </w:p>
    <w:p w14:paraId="518FAF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供应商名称（加盖公章）：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362DC6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法定代表人（单位负责人）（签字或盖章）：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270AD5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日期：</w:t>
      </w:r>
      <w:r>
        <w:rPr>
          <w:rFonts w:hint="eastAsia" w:ascii="宋体" w:hAnsi="宋体" w:eastAsia="宋体" w:cs="宋体"/>
          <w:color w:val="auto"/>
          <w:kern w:val="0"/>
          <w:sz w:val="24"/>
          <w:szCs w:val="24"/>
          <w:u w:val="single"/>
          <w:lang w:val="en-US" w:eastAsia="zh-CN" w:bidi="ar"/>
        </w:rPr>
        <w:t xml:space="preserve">    年    月    日</w:t>
      </w:r>
    </w:p>
    <w:p w14:paraId="2FCFFA5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lang w:val="en-US" w:eastAsia="zh-CN" w:bidi="ar"/>
        </w:rPr>
      </w:pPr>
    </w:p>
    <w:p w14:paraId="4B7DC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32"/>
          <w:szCs w:val="32"/>
          <w:lang w:val="en-US" w:eastAsia="zh-CN" w:bidi="ar"/>
        </w:rPr>
      </w:pPr>
      <w:r>
        <w:rPr>
          <w:rFonts w:hint="eastAsia" w:ascii="宋体" w:hAnsi="宋体" w:eastAsia="宋体" w:cs="宋体"/>
          <w:b w:val="0"/>
          <w:bCs/>
          <w:color w:val="auto"/>
          <w:kern w:val="0"/>
          <w:sz w:val="24"/>
          <w:szCs w:val="24"/>
          <w:highlight w:val="none"/>
          <w:shd w:val="clear" w:color="auto" w:fill="auto"/>
          <w:lang w:val="en-US" w:eastAsia="zh-CN"/>
        </w:rPr>
        <w:br w:type="page"/>
      </w:r>
      <w:r>
        <w:rPr>
          <w:rFonts w:hint="eastAsia" w:ascii="宋体" w:hAnsi="宋体" w:eastAsia="宋体" w:cs="宋体"/>
          <w:b/>
          <w:bCs/>
          <w:color w:val="auto"/>
          <w:kern w:val="0"/>
          <w:sz w:val="32"/>
          <w:szCs w:val="32"/>
          <w:lang w:val="en-US" w:eastAsia="zh-CN" w:bidi="ar"/>
        </w:rPr>
        <w:t>授权委托书</w:t>
      </w:r>
    </w:p>
    <w:p w14:paraId="4D51E1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kern w:val="0"/>
          <w:sz w:val="32"/>
          <w:szCs w:val="32"/>
          <w:lang w:val="en-US" w:eastAsia="zh-CN" w:bidi="ar"/>
        </w:rPr>
      </w:pPr>
    </w:p>
    <w:p w14:paraId="70077EB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本人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（姓名）系</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（供应商名称）的法定代表人（单位负责人），现委托</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（姓名）为我方代理人。代理人根据授权，以我方名义签署、澄清确认、递交、撤回、修改</w:t>
      </w:r>
      <w:r>
        <w:rPr>
          <w:rFonts w:hint="eastAsia" w:ascii="宋体" w:hAnsi="宋体" w:eastAsia="宋体" w:cs="宋体"/>
          <w:color w:val="auto"/>
          <w:kern w:val="0"/>
          <w:sz w:val="24"/>
          <w:szCs w:val="24"/>
          <w:u w:val="single"/>
          <w:lang w:val="en-US" w:eastAsia="zh-CN" w:bidi="ar"/>
        </w:rPr>
        <w:t xml:space="preserve">           （项目名称）</w:t>
      </w:r>
      <w:r>
        <w:rPr>
          <w:rFonts w:hint="eastAsia" w:ascii="宋体" w:hAnsi="宋体" w:eastAsia="宋体" w:cs="宋体"/>
          <w:color w:val="auto"/>
          <w:kern w:val="0"/>
          <w:sz w:val="24"/>
          <w:szCs w:val="24"/>
          <w:lang w:val="en-US" w:eastAsia="zh-CN" w:bidi="ar"/>
        </w:rPr>
        <w:t xml:space="preserve">响应文件和处理有关事宜，其法律后果由我方承担。 </w:t>
      </w:r>
    </w:p>
    <w:p w14:paraId="4BB6424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委托期限：自本授权委托书签署之日起至响应有效期届满之日止。 </w:t>
      </w:r>
    </w:p>
    <w:p w14:paraId="60706CE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代理人无转委托权。 </w:t>
      </w:r>
    </w:p>
    <w:p w14:paraId="7DA7964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7CC998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供应商名称（加盖公章）：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78178C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法定代表人（单位负责人）（签字或盖章）：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2BE970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委托代理人（签字或盖章）：</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6AAE98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日期：</w:t>
      </w:r>
      <w:r>
        <w:rPr>
          <w:rFonts w:hint="eastAsia" w:ascii="宋体" w:hAnsi="宋体" w:eastAsia="宋体" w:cs="宋体"/>
          <w:color w:val="auto"/>
          <w:kern w:val="0"/>
          <w:sz w:val="24"/>
          <w:szCs w:val="24"/>
          <w:u w:val="single"/>
          <w:lang w:val="en-US" w:eastAsia="zh-CN" w:bidi="ar"/>
        </w:rPr>
        <w:t xml:space="preserve">   年    月    日</w:t>
      </w:r>
      <w:r>
        <w:rPr>
          <w:rFonts w:hint="eastAsia" w:ascii="宋体" w:hAnsi="宋体" w:eastAsia="宋体" w:cs="宋体"/>
          <w:color w:val="auto"/>
          <w:kern w:val="0"/>
          <w:sz w:val="24"/>
          <w:szCs w:val="24"/>
          <w:lang w:val="en-US" w:eastAsia="zh-CN" w:bidi="ar"/>
        </w:rPr>
        <w:t xml:space="preserve"> </w:t>
      </w:r>
    </w:p>
    <w:p w14:paraId="30AFA0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lang w:val="en-US" w:eastAsia="zh-CN" w:bidi="ar"/>
        </w:rPr>
      </w:pPr>
    </w:p>
    <w:p w14:paraId="0C1C93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法定代表人（单位负责人）有效期内的身份证</w:t>
      </w:r>
      <w:r>
        <w:rPr>
          <w:rFonts w:hint="eastAsia" w:ascii="宋体" w:hAnsi="宋体" w:eastAsia="宋体" w:cs="宋体"/>
          <w:b/>
          <w:bCs/>
          <w:color w:val="auto"/>
          <w:kern w:val="0"/>
          <w:sz w:val="24"/>
          <w:szCs w:val="24"/>
          <w:lang w:val="en-US" w:eastAsia="zh-CN" w:bidi="ar"/>
        </w:rPr>
        <w:t>正反面</w:t>
      </w:r>
      <w:r>
        <w:rPr>
          <w:rFonts w:hint="eastAsia" w:ascii="宋体" w:hAnsi="宋体" w:eastAsia="宋体" w:cs="宋体"/>
          <w:color w:val="auto"/>
          <w:kern w:val="0"/>
          <w:sz w:val="24"/>
          <w:szCs w:val="24"/>
          <w:lang w:val="en-US" w:eastAsia="zh-CN" w:bidi="ar"/>
        </w:rPr>
        <w:t xml:space="preserve">扫描件：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F7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noWrap w:val="0"/>
            <w:vAlign w:val="top"/>
          </w:tcPr>
          <w:p w14:paraId="5F1408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vertAlign w:val="baseline"/>
                <w:lang w:val="en-US" w:eastAsia="zh-CN" w:bidi="ar"/>
              </w:rPr>
            </w:pPr>
          </w:p>
        </w:tc>
        <w:tc>
          <w:tcPr>
            <w:tcW w:w="4261" w:type="dxa"/>
            <w:noWrap w:val="0"/>
            <w:vAlign w:val="top"/>
          </w:tcPr>
          <w:p w14:paraId="6E9FFE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vertAlign w:val="baseline"/>
                <w:lang w:val="en-US" w:eastAsia="zh-CN" w:bidi="ar"/>
              </w:rPr>
            </w:pPr>
          </w:p>
        </w:tc>
      </w:tr>
    </w:tbl>
    <w:p w14:paraId="36AB73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委托代理人有效期内的身份证</w:t>
      </w:r>
      <w:r>
        <w:rPr>
          <w:rFonts w:hint="eastAsia" w:ascii="宋体" w:hAnsi="宋体" w:eastAsia="宋体" w:cs="宋体"/>
          <w:b/>
          <w:bCs/>
          <w:color w:val="auto"/>
          <w:kern w:val="0"/>
          <w:sz w:val="24"/>
          <w:szCs w:val="24"/>
          <w:lang w:val="en-US" w:eastAsia="zh-CN" w:bidi="ar"/>
        </w:rPr>
        <w:t>正反面</w:t>
      </w:r>
      <w:r>
        <w:rPr>
          <w:rFonts w:hint="eastAsia" w:ascii="宋体" w:hAnsi="宋体" w:eastAsia="宋体" w:cs="宋体"/>
          <w:color w:val="auto"/>
          <w:kern w:val="0"/>
          <w:sz w:val="24"/>
          <w:szCs w:val="24"/>
          <w:lang w:val="en-US" w:eastAsia="zh-CN" w:bidi="ar"/>
        </w:rPr>
        <w:t xml:space="preserve">扫描件：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4E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noWrap w:val="0"/>
            <w:vAlign w:val="top"/>
          </w:tcPr>
          <w:p w14:paraId="1F3A58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vertAlign w:val="baseline"/>
                <w:lang w:val="en-US" w:eastAsia="zh-CN" w:bidi="ar"/>
              </w:rPr>
            </w:pPr>
          </w:p>
        </w:tc>
        <w:tc>
          <w:tcPr>
            <w:tcW w:w="4261" w:type="dxa"/>
            <w:noWrap w:val="0"/>
            <w:vAlign w:val="top"/>
          </w:tcPr>
          <w:p w14:paraId="464F39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szCs w:val="24"/>
                <w:vertAlign w:val="baseline"/>
                <w:lang w:val="en-US" w:eastAsia="zh-CN" w:bidi="ar"/>
              </w:rPr>
            </w:pPr>
          </w:p>
        </w:tc>
      </w:tr>
    </w:tbl>
    <w:p w14:paraId="251C256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说明：1.若供应商为事业单位或其他组织或分支机构（仅当招标文件注明允许分支机构投标的），则法定代表人（单位负责人）处的签署人可为单位负责人。 </w:t>
      </w:r>
    </w:p>
    <w:p w14:paraId="1BE4E1C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2.若投标文件中签字之处均为法定代表人（单位负责人）本人签署，则可不提供本《授权委托书》，但须提供《法定代表人（单位负责人）身份证明》。 </w:t>
      </w:r>
    </w:p>
    <w:p w14:paraId="3C383E7D">
      <w:pPr>
        <w:keepNext/>
        <w:keepLines/>
        <w:spacing w:line="360" w:lineRule="auto"/>
        <w:jc w:val="both"/>
        <w:rPr>
          <w:rFonts w:hint="eastAsia" w:ascii="宋体" w:hAnsi="宋体" w:eastAsia="宋体" w:cs="宋体"/>
          <w:color w:val="auto"/>
          <w:sz w:val="24"/>
          <w:szCs w:val="24"/>
          <w:highlight w:val="none"/>
          <w:lang w:eastAsia="zh-CN"/>
        </w:rPr>
      </w:pPr>
      <w:bookmarkStart w:id="143" w:name="_Toc24165"/>
      <w:bookmarkStart w:id="144" w:name="_Toc19808"/>
      <w:r>
        <w:rPr>
          <w:rFonts w:hint="eastAsia" w:ascii="宋体" w:hAnsi="宋体" w:eastAsia="宋体" w:cs="宋体"/>
          <w:b w:val="0"/>
          <w:bCs w:val="0"/>
          <w:color w:val="auto"/>
          <w:kern w:val="0"/>
          <w:sz w:val="24"/>
          <w:szCs w:val="24"/>
          <w:lang w:val="en-US" w:eastAsia="zh-CN" w:bidi="ar"/>
        </w:rPr>
        <w:t>3.供应商为自然人的情形，可不提供本《授权委托书》。</w:t>
      </w:r>
      <w:bookmarkEnd w:id="143"/>
      <w:bookmarkEnd w:id="144"/>
      <w:r>
        <w:rPr>
          <w:rFonts w:hint="eastAsia" w:ascii="宋体" w:hAnsi="宋体" w:eastAsia="宋体" w:cs="宋体"/>
          <w:b/>
          <w:bCs/>
          <w:color w:val="000000"/>
          <w:sz w:val="24"/>
          <w:szCs w:val="24"/>
          <w:highlight w:val="none"/>
        </w:rPr>
        <w:br w:type="page"/>
      </w:r>
      <w:bookmarkStart w:id="145" w:name="_Toc217446088"/>
      <w:r>
        <w:rPr>
          <w:rFonts w:hint="eastAsia" w:ascii="宋体" w:hAnsi="宋体" w:eastAsia="宋体" w:cs="宋体"/>
          <w:b/>
          <w:bCs/>
          <w:color w:val="auto"/>
          <w:sz w:val="24"/>
          <w:szCs w:val="24"/>
          <w:highlight w:val="none"/>
        </w:rPr>
        <w:t>三、投标报价明细表</w:t>
      </w:r>
    </w:p>
    <w:p w14:paraId="3DE6E1C9">
      <w:pPr>
        <w:snapToGrid w:val="0"/>
        <w:spacing w:line="360" w:lineRule="auto"/>
        <w:ind w:firstLine="357"/>
        <w:rPr>
          <w:rStyle w:val="41"/>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p w14:paraId="5EC9831F">
      <w:pPr>
        <w:snapToGrid w:val="0"/>
        <w:spacing w:line="360" w:lineRule="auto"/>
        <w:ind w:firstLine="3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货币单位：人民币元</w:t>
      </w:r>
    </w:p>
    <w:tbl>
      <w:tblPr>
        <w:tblStyle w:val="3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97"/>
        <w:gridCol w:w="915"/>
        <w:gridCol w:w="935"/>
        <w:gridCol w:w="935"/>
        <w:gridCol w:w="1042"/>
        <w:gridCol w:w="1042"/>
        <w:gridCol w:w="1029"/>
        <w:gridCol w:w="1029"/>
      </w:tblGrid>
      <w:tr w14:paraId="2E4F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exact"/>
          <w:jc w:val="center"/>
        </w:trPr>
        <w:tc>
          <w:tcPr>
            <w:tcW w:w="641" w:type="dxa"/>
            <w:vAlign w:val="center"/>
          </w:tcPr>
          <w:p w14:paraId="183513E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7" w:type="dxa"/>
            <w:vAlign w:val="center"/>
          </w:tcPr>
          <w:p w14:paraId="1A0905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915" w:type="dxa"/>
            <w:vAlign w:val="center"/>
          </w:tcPr>
          <w:p w14:paraId="540966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935" w:type="dxa"/>
            <w:vAlign w:val="center"/>
          </w:tcPr>
          <w:p w14:paraId="4103CF0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型号</w:t>
            </w:r>
          </w:p>
        </w:tc>
        <w:tc>
          <w:tcPr>
            <w:tcW w:w="935" w:type="dxa"/>
            <w:vAlign w:val="center"/>
          </w:tcPr>
          <w:p w14:paraId="7463295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p>
        </w:tc>
        <w:tc>
          <w:tcPr>
            <w:tcW w:w="1042" w:type="dxa"/>
            <w:vAlign w:val="center"/>
          </w:tcPr>
          <w:p w14:paraId="031BACD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单价（元）</w:t>
            </w:r>
          </w:p>
        </w:tc>
        <w:tc>
          <w:tcPr>
            <w:tcW w:w="1042" w:type="dxa"/>
            <w:vAlign w:val="center"/>
          </w:tcPr>
          <w:p w14:paraId="0802F3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总价（元）</w:t>
            </w:r>
          </w:p>
        </w:tc>
        <w:tc>
          <w:tcPr>
            <w:tcW w:w="1029" w:type="dxa"/>
            <w:vAlign w:val="center"/>
          </w:tcPr>
          <w:p w14:paraId="1E48C4E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是否进口</w:t>
            </w:r>
          </w:p>
        </w:tc>
        <w:tc>
          <w:tcPr>
            <w:tcW w:w="1029" w:type="dxa"/>
            <w:vAlign w:val="center"/>
          </w:tcPr>
          <w:p w14:paraId="077E5A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0D06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exact"/>
          <w:jc w:val="center"/>
        </w:trPr>
        <w:tc>
          <w:tcPr>
            <w:tcW w:w="641" w:type="dxa"/>
            <w:vAlign w:val="center"/>
          </w:tcPr>
          <w:p w14:paraId="45E9C2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7" w:type="dxa"/>
            <w:vAlign w:val="center"/>
          </w:tcPr>
          <w:p w14:paraId="4622AFB9">
            <w:pPr>
              <w:spacing w:line="360" w:lineRule="auto"/>
              <w:jc w:val="center"/>
              <w:rPr>
                <w:rFonts w:hint="eastAsia" w:ascii="宋体" w:hAnsi="宋体" w:eastAsia="宋体" w:cs="宋体"/>
                <w:color w:val="auto"/>
                <w:sz w:val="24"/>
                <w:szCs w:val="24"/>
                <w:highlight w:val="none"/>
                <w:lang w:val="en-US" w:eastAsia="zh-CN"/>
              </w:rPr>
            </w:pPr>
          </w:p>
        </w:tc>
        <w:tc>
          <w:tcPr>
            <w:tcW w:w="915" w:type="dxa"/>
            <w:vAlign w:val="center"/>
          </w:tcPr>
          <w:p w14:paraId="3FE8E11C">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07CC4724">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523EB350">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157A512B">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7F3975FE">
            <w:pPr>
              <w:spacing w:line="360" w:lineRule="auto"/>
              <w:jc w:val="center"/>
              <w:rPr>
                <w:rFonts w:hint="eastAsia" w:ascii="宋体" w:hAnsi="宋体" w:eastAsia="宋体" w:cs="宋体"/>
                <w:color w:val="auto"/>
                <w:sz w:val="24"/>
                <w:szCs w:val="24"/>
                <w:highlight w:val="none"/>
                <w:lang w:val="en-US" w:eastAsia="zh-CN"/>
              </w:rPr>
            </w:pPr>
          </w:p>
        </w:tc>
        <w:tc>
          <w:tcPr>
            <w:tcW w:w="1029" w:type="dxa"/>
            <w:vAlign w:val="center"/>
          </w:tcPr>
          <w:p w14:paraId="42CEF344">
            <w:pPr>
              <w:spacing w:line="360" w:lineRule="auto"/>
              <w:jc w:val="center"/>
              <w:rPr>
                <w:rFonts w:hint="eastAsia" w:ascii="宋体" w:hAnsi="宋体" w:eastAsia="宋体" w:cs="宋体"/>
                <w:color w:val="auto"/>
                <w:sz w:val="24"/>
                <w:szCs w:val="24"/>
                <w:highlight w:val="none"/>
              </w:rPr>
            </w:pPr>
          </w:p>
        </w:tc>
        <w:tc>
          <w:tcPr>
            <w:tcW w:w="1029" w:type="dxa"/>
            <w:vAlign w:val="center"/>
          </w:tcPr>
          <w:p w14:paraId="20574817">
            <w:pPr>
              <w:spacing w:line="360" w:lineRule="auto"/>
              <w:jc w:val="center"/>
              <w:rPr>
                <w:rFonts w:hint="eastAsia" w:ascii="宋体" w:hAnsi="宋体" w:eastAsia="宋体" w:cs="宋体"/>
                <w:color w:val="auto"/>
                <w:sz w:val="24"/>
                <w:szCs w:val="24"/>
                <w:highlight w:val="none"/>
              </w:rPr>
            </w:pPr>
          </w:p>
        </w:tc>
      </w:tr>
      <w:tr w14:paraId="23FC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exact"/>
          <w:jc w:val="center"/>
        </w:trPr>
        <w:tc>
          <w:tcPr>
            <w:tcW w:w="641" w:type="dxa"/>
            <w:vAlign w:val="center"/>
          </w:tcPr>
          <w:p w14:paraId="318FF93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97" w:type="dxa"/>
            <w:vAlign w:val="center"/>
          </w:tcPr>
          <w:p w14:paraId="79811208">
            <w:pPr>
              <w:spacing w:line="360" w:lineRule="auto"/>
              <w:jc w:val="center"/>
              <w:rPr>
                <w:rFonts w:hint="eastAsia" w:ascii="宋体" w:hAnsi="宋体" w:eastAsia="宋体" w:cs="宋体"/>
                <w:color w:val="auto"/>
                <w:sz w:val="24"/>
                <w:szCs w:val="24"/>
                <w:highlight w:val="none"/>
              </w:rPr>
            </w:pPr>
          </w:p>
        </w:tc>
        <w:tc>
          <w:tcPr>
            <w:tcW w:w="915" w:type="dxa"/>
            <w:vAlign w:val="center"/>
          </w:tcPr>
          <w:p w14:paraId="4AC2BD0D">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0565E2CA">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13846EE1">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483FAD41">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7B79C895">
            <w:pPr>
              <w:spacing w:line="360" w:lineRule="auto"/>
              <w:jc w:val="center"/>
              <w:rPr>
                <w:rFonts w:hint="eastAsia" w:ascii="宋体" w:hAnsi="宋体" w:eastAsia="宋体" w:cs="宋体"/>
                <w:color w:val="auto"/>
                <w:sz w:val="24"/>
                <w:szCs w:val="24"/>
                <w:highlight w:val="none"/>
                <w:lang w:val="en-US" w:eastAsia="zh-CN"/>
              </w:rPr>
            </w:pPr>
          </w:p>
        </w:tc>
        <w:tc>
          <w:tcPr>
            <w:tcW w:w="1029" w:type="dxa"/>
            <w:vAlign w:val="center"/>
          </w:tcPr>
          <w:p w14:paraId="1679EE46">
            <w:pPr>
              <w:spacing w:line="360" w:lineRule="auto"/>
              <w:jc w:val="center"/>
              <w:rPr>
                <w:rFonts w:hint="eastAsia" w:ascii="宋体" w:hAnsi="宋体" w:eastAsia="宋体" w:cs="宋体"/>
                <w:color w:val="auto"/>
                <w:sz w:val="24"/>
                <w:szCs w:val="24"/>
                <w:highlight w:val="none"/>
              </w:rPr>
            </w:pPr>
          </w:p>
        </w:tc>
        <w:tc>
          <w:tcPr>
            <w:tcW w:w="1029" w:type="dxa"/>
            <w:vAlign w:val="center"/>
          </w:tcPr>
          <w:p w14:paraId="28E21FFA">
            <w:pPr>
              <w:spacing w:line="360" w:lineRule="auto"/>
              <w:jc w:val="center"/>
              <w:rPr>
                <w:rFonts w:hint="eastAsia" w:ascii="宋体" w:hAnsi="宋体" w:eastAsia="宋体" w:cs="宋体"/>
                <w:color w:val="auto"/>
                <w:sz w:val="24"/>
                <w:szCs w:val="24"/>
                <w:highlight w:val="none"/>
              </w:rPr>
            </w:pPr>
          </w:p>
        </w:tc>
      </w:tr>
      <w:tr w14:paraId="4108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exact"/>
          <w:jc w:val="center"/>
        </w:trPr>
        <w:tc>
          <w:tcPr>
            <w:tcW w:w="641" w:type="dxa"/>
            <w:vAlign w:val="center"/>
          </w:tcPr>
          <w:p w14:paraId="739E4F3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7" w:type="dxa"/>
            <w:vAlign w:val="center"/>
          </w:tcPr>
          <w:p w14:paraId="4D67437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15" w:type="dxa"/>
            <w:vAlign w:val="center"/>
          </w:tcPr>
          <w:p w14:paraId="3363A715">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40292B04">
            <w:pPr>
              <w:spacing w:line="360" w:lineRule="auto"/>
              <w:jc w:val="center"/>
              <w:rPr>
                <w:rFonts w:hint="eastAsia" w:ascii="宋体" w:hAnsi="宋体" w:eastAsia="宋体" w:cs="宋体"/>
                <w:color w:val="auto"/>
                <w:sz w:val="24"/>
                <w:szCs w:val="24"/>
                <w:highlight w:val="none"/>
                <w:lang w:val="en-US" w:eastAsia="zh-CN"/>
              </w:rPr>
            </w:pPr>
          </w:p>
        </w:tc>
        <w:tc>
          <w:tcPr>
            <w:tcW w:w="935" w:type="dxa"/>
            <w:vAlign w:val="center"/>
          </w:tcPr>
          <w:p w14:paraId="29D3C1FE">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42D03C2C">
            <w:pPr>
              <w:spacing w:line="360" w:lineRule="auto"/>
              <w:jc w:val="center"/>
              <w:rPr>
                <w:rFonts w:hint="eastAsia" w:ascii="宋体" w:hAnsi="宋体" w:eastAsia="宋体" w:cs="宋体"/>
                <w:color w:val="auto"/>
                <w:sz w:val="24"/>
                <w:szCs w:val="24"/>
                <w:highlight w:val="none"/>
                <w:lang w:val="en-US" w:eastAsia="zh-CN"/>
              </w:rPr>
            </w:pPr>
          </w:p>
        </w:tc>
        <w:tc>
          <w:tcPr>
            <w:tcW w:w="1042" w:type="dxa"/>
            <w:vAlign w:val="center"/>
          </w:tcPr>
          <w:p w14:paraId="3E66E3CE">
            <w:pPr>
              <w:spacing w:line="360" w:lineRule="auto"/>
              <w:jc w:val="center"/>
              <w:rPr>
                <w:rFonts w:hint="eastAsia" w:ascii="宋体" w:hAnsi="宋体" w:eastAsia="宋体" w:cs="宋体"/>
                <w:color w:val="auto"/>
                <w:sz w:val="24"/>
                <w:szCs w:val="24"/>
                <w:highlight w:val="none"/>
                <w:lang w:val="en-US" w:eastAsia="zh-CN"/>
              </w:rPr>
            </w:pPr>
          </w:p>
        </w:tc>
        <w:tc>
          <w:tcPr>
            <w:tcW w:w="1029" w:type="dxa"/>
            <w:vAlign w:val="center"/>
          </w:tcPr>
          <w:p w14:paraId="0B7FF7F9">
            <w:pPr>
              <w:spacing w:line="360" w:lineRule="auto"/>
              <w:jc w:val="center"/>
              <w:rPr>
                <w:rFonts w:hint="eastAsia" w:ascii="宋体" w:hAnsi="宋体" w:eastAsia="宋体" w:cs="宋体"/>
                <w:color w:val="auto"/>
                <w:sz w:val="24"/>
                <w:szCs w:val="24"/>
                <w:highlight w:val="none"/>
              </w:rPr>
            </w:pPr>
          </w:p>
        </w:tc>
        <w:tc>
          <w:tcPr>
            <w:tcW w:w="1029" w:type="dxa"/>
            <w:vAlign w:val="center"/>
          </w:tcPr>
          <w:p w14:paraId="733718ED">
            <w:pPr>
              <w:spacing w:line="360" w:lineRule="auto"/>
              <w:jc w:val="center"/>
              <w:rPr>
                <w:rFonts w:hint="eastAsia" w:ascii="宋体" w:hAnsi="宋体" w:eastAsia="宋体" w:cs="宋体"/>
                <w:color w:val="auto"/>
                <w:sz w:val="24"/>
                <w:szCs w:val="24"/>
                <w:highlight w:val="none"/>
              </w:rPr>
            </w:pPr>
          </w:p>
        </w:tc>
      </w:tr>
      <w:tr w14:paraId="4816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exact"/>
          <w:jc w:val="center"/>
        </w:trPr>
        <w:tc>
          <w:tcPr>
            <w:tcW w:w="2038" w:type="dxa"/>
            <w:gridSpan w:val="2"/>
            <w:vAlign w:val="center"/>
          </w:tcPr>
          <w:p w14:paraId="5E03FF2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合计总价（元）：</w:t>
            </w:r>
          </w:p>
        </w:tc>
        <w:tc>
          <w:tcPr>
            <w:tcW w:w="6927" w:type="dxa"/>
            <w:gridSpan w:val="7"/>
            <w:vAlign w:val="center"/>
          </w:tcPr>
          <w:p w14:paraId="6CCF12BC">
            <w:pPr>
              <w:spacing w:line="360" w:lineRule="auto"/>
              <w:jc w:val="center"/>
              <w:rPr>
                <w:rFonts w:hint="eastAsia" w:ascii="宋体" w:hAnsi="宋体" w:eastAsia="宋体" w:cs="宋体"/>
                <w:color w:val="auto"/>
                <w:sz w:val="24"/>
                <w:szCs w:val="24"/>
                <w:highlight w:val="none"/>
              </w:rPr>
            </w:pPr>
          </w:p>
        </w:tc>
      </w:tr>
    </w:tbl>
    <w:p w14:paraId="375A401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19BE69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w:t>
      </w:r>
      <w:r>
        <w:rPr>
          <w:rFonts w:hint="eastAsia" w:ascii="宋体" w:hAnsi="宋体" w:eastAsia="宋体" w:cs="宋体"/>
          <w:color w:val="auto"/>
          <w:kern w:val="0"/>
          <w:sz w:val="24"/>
          <w:szCs w:val="24"/>
          <w:highlight w:val="none"/>
        </w:rPr>
        <w:t>项目</w:t>
      </w:r>
      <w:r>
        <w:rPr>
          <w:rFonts w:hint="eastAsia" w:ascii="宋体" w:hAnsi="宋体" w:eastAsia="宋体" w:cs="宋体"/>
          <w:color w:val="auto"/>
          <w:sz w:val="24"/>
          <w:szCs w:val="24"/>
          <w:highlight w:val="none"/>
        </w:rPr>
        <w:t>和数量满足本项目招标范围，内容由投标人结合自身情况填写。</w:t>
      </w:r>
    </w:p>
    <w:p w14:paraId="155363A9">
      <w:pPr>
        <w:spacing w:line="360" w:lineRule="auto"/>
        <w:jc w:val="left"/>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2、投标人填报价格总价应与投标函载明价格一致，若不一致，以投标函为准。</w:t>
      </w:r>
    </w:p>
    <w:p w14:paraId="7F07605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3、此次报价包括所投项目相关人工费、</w:t>
      </w:r>
      <w:r>
        <w:rPr>
          <w:rFonts w:hint="eastAsia" w:ascii="宋体" w:hAnsi="宋体" w:eastAsia="宋体" w:cs="宋体"/>
          <w:color w:val="auto"/>
          <w:sz w:val="24"/>
          <w:szCs w:val="24"/>
          <w:highlight w:val="none"/>
          <w:lang w:val="en-US" w:eastAsia="zh-CN"/>
        </w:rPr>
        <w:t>运输费、保险费、</w:t>
      </w:r>
      <w:r>
        <w:rPr>
          <w:rFonts w:hint="eastAsia" w:ascii="宋体" w:hAnsi="宋体" w:eastAsia="宋体" w:cs="宋体"/>
          <w:color w:val="auto"/>
          <w:sz w:val="24"/>
          <w:szCs w:val="24"/>
          <w:highlight w:val="none"/>
        </w:rPr>
        <w:t>专利费、税费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备件、交通</w:t>
      </w:r>
      <w:r>
        <w:rPr>
          <w:rFonts w:hint="eastAsia" w:ascii="宋体" w:hAnsi="宋体" w:eastAsia="宋体" w:cs="宋体"/>
          <w:color w:val="auto"/>
          <w:sz w:val="24"/>
          <w:szCs w:val="24"/>
          <w:highlight w:val="none"/>
        </w:rPr>
        <w:t>等所有技术和服务费用。</w:t>
      </w:r>
    </w:p>
    <w:p w14:paraId="2AE74026">
      <w:pPr>
        <w:spacing w:line="360" w:lineRule="auto"/>
        <w:rPr>
          <w:rFonts w:hint="eastAsia" w:ascii="宋体" w:hAnsi="宋体" w:eastAsia="宋体" w:cs="宋体"/>
          <w:color w:val="auto"/>
          <w:sz w:val="24"/>
          <w:szCs w:val="24"/>
          <w:highlight w:val="none"/>
        </w:rPr>
      </w:pPr>
    </w:p>
    <w:p w14:paraId="775D8095">
      <w:pPr>
        <w:adjustRightIn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投标人名称（盖章）：         </w:t>
      </w:r>
    </w:p>
    <w:p w14:paraId="6344B9C0">
      <w:pPr>
        <w:adjustRightIn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授权人或被授权人（签字或盖章）</w:t>
      </w:r>
      <w:r>
        <w:rPr>
          <w:rFonts w:hint="eastAsia" w:ascii="宋体" w:hAnsi="宋体" w:eastAsia="宋体" w:cs="宋体"/>
          <w:bCs/>
          <w:color w:val="auto"/>
          <w:sz w:val="24"/>
          <w:szCs w:val="24"/>
          <w:highlight w:val="none"/>
        </w:rPr>
        <w:t>：</w:t>
      </w:r>
    </w:p>
    <w:p w14:paraId="224F340C">
      <w:pPr>
        <w:adjustRightIn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14:paraId="5214FE8D">
      <w:pPr>
        <w:spacing w:line="360" w:lineRule="auto"/>
        <w:rPr>
          <w:rFonts w:hint="eastAsia" w:ascii="宋体" w:hAnsi="宋体" w:eastAsia="宋体" w:cs="宋体"/>
          <w:bCs w:val="0"/>
          <w:color w:val="000000"/>
          <w:kern w:val="0"/>
          <w:sz w:val="24"/>
          <w:szCs w:val="24"/>
          <w:highlight w:val="none"/>
          <w:lang w:val="en-US" w:eastAsia="zh-CN"/>
        </w:rPr>
      </w:pPr>
      <w:r>
        <w:rPr>
          <w:rFonts w:hint="eastAsia" w:ascii="宋体" w:hAnsi="宋体" w:eastAsia="宋体" w:cs="宋体"/>
          <w:bCs w:val="0"/>
          <w:color w:val="000000"/>
          <w:kern w:val="0"/>
          <w:sz w:val="24"/>
          <w:szCs w:val="24"/>
          <w:highlight w:val="none"/>
          <w:lang w:val="en-US" w:eastAsia="zh-CN"/>
        </w:rPr>
        <w:br w:type="page"/>
      </w:r>
    </w:p>
    <w:p w14:paraId="09086BCD">
      <w:pPr>
        <w:pStyle w:val="4"/>
        <w:spacing w:before="156" w:after="156" w:line="360" w:lineRule="auto"/>
        <w:ind w:firstLine="480" w:firstLineChars="200"/>
        <w:jc w:val="center"/>
        <w:rPr>
          <w:rFonts w:hint="eastAsia" w:ascii="宋体" w:hAnsi="宋体" w:eastAsia="宋体" w:cs="宋体"/>
          <w:bCs w:val="0"/>
          <w:color w:val="000000"/>
          <w:kern w:val="0"/>
          <w:sz w:val="24"/>
          <w:szCs w:val="24"/>
          <w:highlight w:val="none"/>
        </w:rPr>
      </w:pPr>
      <w:r>
        <w:rPr>
          <w:rFonts w:hint="eastAsia" w:ascii="宋体" w:hAnsi="宋体" w:eastAsia="宋体" w:cs="宋体"/>
          <w:bCs w:val="0"/>
          <w:color w:val="000000"/>
          <w:kern w:val="0"/>
          <w:sz w:val="24"/>
          <w:szCs w:val="24"/>
          <w:highlight w:val="none"/>
          <w:lang w:val="en-US" w:eastAsia="zh-CN"/>
        </w:rPr>
        <w:t>四</w:t>
      </w:r>
      <w:r>
        <w:rPr>
          <w:rFonts w:hint="eastAsia" w:ascii="宋体" w:hAnsi="宋体" w:eastAsia="宋体" w:cs="宋体"/>
          <w:bCs w:val="0"/>
          <w:color w:val="000000"/>
          <w:kern w:val="0"/>
          <w:sz w:val="24"/>
          <w:szCs w:val="24"/>
          <w:highlight w:val="none"/>
        </w:rPr>
        <w:t>、投标人基本情况表</w:t>
      </w:r>
      <w:bookmarkEnd w:id="145"/>
    </w:p>
    <w:tbl>
      <w:tblPr>
        <w:tblStyle w:val="31"/>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08C3E043">
        <w:tblPrEx>
          <w:tblCellMar>
            <w:top w:w="0" w:type="dxa"/>
            <w:left w:w="108" w:type="dxa"/>
            <w:bottom w:w="0" w:type="dxa"/>
            <w:right w:w="108" w:type="dxa"/>
          </w:tblCellMar>
        </w:tblPrEx>
        <w:trPr>
          <w:trHeight w:val="1080"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37C2EF8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2D4AC777">
            <w:pPr>
              <w:spacing w:line="360" w:lineRule="auto"/>
              <w:jc w:val="center"/>
              <w:rPr>
                <w:rFonts w:hint="eastAsia" w:ascii="宋体" w:hAnsi="宋体" w:eastAsia="宋体" w:cs="宋体"/>
                <w:strike/>
                <w:color w:val="000000"/>
                <w:sz w:val="24"/>
                <w:szCs w:val="24"/>
                <w:highlight w:val="none"/>
              </w:rPr>
            </w:pPr>
          </w:p>
        </w:tc>
      </w:tr>
      <w:tr w14:paraId="7F0D1C2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1F89900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383A70F8">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3612E1F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tc>
        <w:tc>
          <w:tcPr>
            <w:tcW w:w="2139" w:type="dxa"/>
            <w:tcBorders>
              <w:top w:val="nil"/>
              <w:left w:val="nil"/>
              <w:bottom w:val="single" w:color="auto" w:sz="4" w:space="0"/>
              <w:right w:val="single" w:color="auto" w:sz="4" w:space="0"/>
            </w:tcBorders>
            <w:vAlign w:val="center"/>
          </w:tcPr>
          <w:p w14:paraId="16E46F76">
            <w:pPr>
              <w:spacing w:line="360" w:lineRule="auto"/>
              <w:jc w:val="center"/>
              <w:rPr>
                <w:rFonts w:hint="eastAsia" w:ascii="宋体" w:hAnsi="宋体" w:eastAsia="宋体" w:cs="宋体"/>
                <w:color w:val="000000"/>
                <w:sz w:val="24"/>
                <w:szCs w:val="24"/>
                <w:highlight w:val="none"/>
              </w:rPr>
            </w:pPr>
          </w:p>
        </w:tc>
      </w:tr>
      <w:tr w14:paraId="4558466A">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7DEC4E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0E158456">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4222BE6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企业性质</w:t>
            </w:r>
          </w:p>
        </w:tc>
        <w:tc>
          <w:tcPr>
            <w:tcW w:w="2139" w:type="dxa"/>
            <w:tcBorders>
              <w:top w:val="nil"/>
              <w:left w:val="nil"/>
              <w:bottom w:val="single" w:color="auto" w:sz="4" w:space="0"/>
              <w:right w:val="single" w:color="auto" w:sz="4" w:space="0"/>
            </w:tcBorders>
            <w:vAlign w:val="center"/>
          </w:tcPr>
          <w:p w14:paraId="14F96A93">
            <w:pPr>
              <w:spacing w:line="360" w:lineRule="auto"/>
              <w:jc w:val="center"/>
              <w:rPr>
                <w:rFonts w:hint="eastAsia" w:ascii="宋体" w:hAnsi="宋体" w:eastAsia="宋体" w:cs="宋体"/>
                <w:color w:val="000000"/>
                <w:sz w:val="24"/>
                <w:szCs w:val="24"/>
                <w:highlight w:val="none"/>
              </w:rPr>
            </w:pPr>
          </w:p>
        </w:tc>
      </w:tr>
      <w:tr w14:paraId="6FFFAEA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28EBC73">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41F7A918">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916FF3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注册资金</w:t>
            </w:r>
          </w:p>
        </w:tc>
        <w:tc>
          <w:tcPr>
            <w:tcW w:w="2139" w:type="dxa"/>
            <w:tcBorders>
              <w:top w:val="nil"/>
              <w:left w:val="nil"/>
              <w:bottom w:val="single" w:color="auto" w:sz="4" w:space="0"/>
              <w:right w:val="single" w:color="auto" w:sz="4" w:space="0"/>
            </w:tcBorders>
            <w:vAlign w:val="center"/>
          </w:tcPr>
          <w:p w14:paraId="4AFBD217">
            <w:pPr>
              <w:spacing w:line="360" w:lineRule="auto"/>
              <w:jc w:val="center"/>
              <w:rPr>
                <w:rFonts w:hint="eastAsia" w:ascii="宋体" w:hAnsi="宋体" w:eastAsia="宋体" w:cs="宋体"/>
                <w:color w:val="000000"/>
                <w:sz w:val="24"/>
                <w:szCs w:val="24"/>
                <w:highlight w:val="none"/>
              </w:rPr>
            </w:pPr>
          </w:p>
        </w:tc>
      </w:tr>
      <w:tr w14:paraId="718FF27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7BE21D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tc>
        <w:tc>
          <w:tcPr>
            <w:tcW w:w="1050" w:type="dxa"/>
            <w:tcBorders>
              <w:top w:val="nil"/>
              <w:left w:val="nil"/>
              <w:bottom w:val="single" w:color="auto" w:sz="4" w:space="0"/>
              <w:right w:val="single" w:color="auto" w:sz="4" w:space="0"/>
            </w:tcBorders>
            <w:vAlign w:val="center"/>
          </w:tcPr>
          <w:p w14:paraId="29C3717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2525" w:type="dxa"/>
            <w:tcBorders>
              <w:top w:val="nil"/>
              <w:left w:val="nil"/>
              <w:bottom w:val="single" w:color="auto" w:sz="4" w:space="0"/>
              <w:right w:val="single" w:color="auto" w:sz="4" w:space="0"/>
            </w:tcBorders>
            <w:vAlign w:val="center"/>
          </w:tcPr>
          <w:p w14:paraId="3A519DA6">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5E21E1A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71C6CCEE">
            <w:pPr>
              <w:spacing w:line="360" w:lineRule="auto"/>
              <w:jc w:val="center"/>
              <w:rPr>
                <w:rFonts w:hint="eastAsia" w:ascii="宋体" w:hAnsi="宋体" w:eastAsia="宋体" w:cs="宋体"/>
                <w:color w:val="000000"/>
                <w:sz w:val="24"/>
                <w:szCs w:val="24"/>
                <w:highlight w:val="none"/>
              </w:rPr>
            </w:pPr>
          </w:p>
        </w:tc>
      </w:tr>
      <w:tr w14:paraId="15B9E9BE">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4E45747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p>
        </w:tc>
        <w:tc>
          <w:tcPr>
            <w:tcW w:w="1050" w:type="dxa"/>
            <w:tcBorders>
              <w:top w:val="nil"/>
              <w:left w:val="nil"/>
              <w:bottom w:val="single" w:color="auto" w:sz="4" w:space="0"/>
              <w:right w:val="single" w:color="auto" w:sz="4" w:space="0"/>
            </w:tcBorders>
            <w:vAlign w:val="center"/>
          </w:tcPr>
          <w:p w14:paraId="0017873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3D95A919">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214C9E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641C06A9">
            <w:pPr>
              <w:spacing w:line="360" w:lineRule="auto"/>
              <w:jc w:val="center"/>
              <w:rPr>
                <w:rFonts w:hint="eastAsia" w:ascii="宋体" w:hAnsi="宋体" w:eastAsia="宋体" w:cs="宋体"/>
                <w:color w:val="000000"/>
                <w:sz w:val="24"/>
                <w:szCs w:val="24"/>
                <w:highlight w:val="none"/>
              </w:rPr>
            </w:pPr>
          </w:p>
        </w:tc>
      </w:tr>
      <w:tr w14:paraId="12F38555">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49481333">
            <w:pPr>
              <w:spacing w:line="360" w:lineRule="auto"/>
              <w:jc w:val="center"/>
              <w:rPr>
                <w:rFonts w:hint="eastAsia" w:ascii="宋体" w:hAnsi="宋体" w:eastAsia="宋体" w:cs="宋体"/>
                <w:color w:val="000000"/>
                <w:sz w:val="24"/>
                <w:szCs w:val="24"/>
                <w:highlight w:val="none"/>
              </w:rPr>
            </w:pPr>
          </w:p>
        </w:tc>
        <w:tc>
          <w:tcPr>
            <w:tcW w:w="1050" w:type="dxa"/>
            <w:tcBorders>
              <w:top w:val="nil"/>
              <w:left w:val="nil"/>
              <w:bottom w:val="single" w:color="auto" w:sz="4" w:space="0"/>
              <w:right w:val="single" w:color="auto" w:sz="4" w:space="0"/>
            </w:tcBorders>
            <w:vAlign w:val="center"/>
          </w:tcPr>
          <w:p w14:paraId="5FF4096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351E4F5A">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3ECC341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网址</w:t>
            </w:r>
          </w:p>
        </w:tc>
        <w:tc>
          <w:tcPr>
            <w:tcW w:w="2139" w:type="dxa"/>
            <w:tcBorders>
              <w:top w:val="nil"/>
              <w:left w:val="nil"/>
              <w:bottom w:val="single" w:color="auto" w:sz="4" w:space="0"/>
              <w:right w:val="single" w:color="auto" w:sz="4" w:space="0"/>
            </w:tcBorders>
            <w:vAlign w:val="center"/>
          </w:tcPr>
          <w:p w14:paraId="596B1317">
            <w:pPr>
              <w:spacing w:line="360" w:lineRule="auto"/>
              <w:jc w:val="center"/>
              <w:rPr>
                <w:rFonts w:hint="eastAsia" w:ascii="宋体" w:hAnsi="宋体" w:eastAsia="宋体" w:cs="宋体"/>
                <w:color w:val="000000"/>
                <w:sz w:val="24"/>
                <w:szCs w:val="24"/>
                <w:highlight w:val="none"/>
              </w:rPr>
            </w:pPr>
          </w:p>
        </w:tc>
      </w:tr>
      <w:tr w14:paraId="6BD6607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A38FCB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23040FEF">
            <w:pPr>
              <w:spacing w:line="360" w:lineRule="auto"/>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1B36FF9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w:t>
            </w:r>
          </w:p>
        </w:tc>
        <w:tc>
          <w:tcPr>
            <w:tcW w:w="2139" w:type="dxa"/>
            <w:tcBorders>
              <w:top w:val="nil"/>
              <w:left w:val="nil"/>
              <w:bottom w:val="single" w:color="auto" w:sz="4" w:space="0"/>
              <w:right w:val="single" w:color="auto" w:sz="4" w:space="0"/>
            </w:tcBorders>
            <w:vAlign w:val="center"/>
          </w:tcPr>
          <w:p w14:paraId="572F79C2">
            <w:pPr>
              <w:spacing w:line="360" w:lineRule="auto"/>
              <w:jc w:val="center"/>
              <w:rPr>
                <w:rFonts w:hint="eastAsia" w:ascii="宋体" w:hAnsi="宋体" w:eastAsia="宋体" w:cs="宋体"/>
                <w:color w:val="000000"/>
                <w:sz w:val="24"/>
                <w:szCs w:val="24"/>
                <w:highlight w:val="none"/>
              </w:rPr>
            </w:pPr>
          </w:p>
        </w:tc>
      </w:tr>
      <w:tr w14:paraId="321C329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FE1303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6209EA63">
            <w:pPr>
              <w:spacing w:line="360" w:lineRule="auto"/>
              <w:jc w:val="center"/>
              <w:rPr>
                <w:rFonts w:hint="eastAsia" w:ascii="宋体" w:hAnsi="宋体" w:eastAsia="宋体" w:cs="宋体"/>
                <w:color w:val="000000"/>
                <w:sz w:val="24"/>
                <w:szCs w:val="24"/>
                <w:highlight w:val="none"/>
              </w:rPr>
            </w:pPr>
          </w:p>
        </w:tc>
      </w:tr>
      <w:tr w14:paraId="6F86529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D10E68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57EC17AA">
            <w:pPr>
              <w:spacing w:line="360" w:lineRule="auto"/>
              <w:jc w:val="center"/>
              <w:rPr>
                <w:rFonts w:hint="eastAsia" w:ascii="宋体" w:hAnsi="宋体" w:eastAsia="宋体" w:cs="宋体"/>
                <w:color w:val="000000"/>
                <w:sz w:val="24"/>
                <w:szCs w:val="24"/>
                <w:highlight w:val="none"/>
              </w:rPr>
            </w:pPr>
          </w:p>
        </w:tc>
      </w:tr>
    </w:tbl>
    <w:p w14:paraId="04867A5A">
      <w:pPr>
        <w:adjustRightInd w:val="0"/>
        <w:spacing w:line="360" w:lineRule="auto"/>
        <w:ind w:firstLine="480" w:firstLineChars="200"/>
        <w:jc w:val="left"/>
        <w:rPr>
          <w:rFonts w:hint="eastAsia" w:ascii="宋体" w:hAnsi="宋体" w:eastAsia="宋体" w:cs="宋体"/>
          <w:bCs/>
          <w:color w:val="000000"/>
          <w:sz w:val="24"/>
          <w:szCs w:val="24"/>
          <w:highlight w:val="none"/>
        </w:rPr>
      </w:pPr>
    </w:p>
    <w:p w14:paraId="770A0E6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A38B984">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1、投标人为法人时，后附营业执照等相关资料彩色扫描件；    </w:t>
      </w:r>
    </w:p>
    <w:p w14:paraId="59DA164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2、投标人为非法人时，格式自拟，后附相关资料彩色扫描件。</w:t>
      </w:r>
    </w:p>
    <w:p w14:paraId="62B69350">
      <w:pPr>
        <w:adjustRightInd w:val="0"/>
        <w:spacing w:line="360" w:lineRule="auto"/>
        <w:ind w:firstLine="480" w:firstLineChars="200"/>
        <w:jc w:val="center"/>
        <w:rPr>
          <w:rFonts w:hint="eastAsia" w:ascii="宋体" w:hAnsi="宋体" w:eastAsia="宋体" w:cs="宋体"/>
          <w:bCs/>
          <w:color w:val="000000"/>
          <w:sz w:val="24"/>
          <w:szCs w:val="24"/>
          <w:highlight w:val="none"/>
        </w:rPr>
      </w:pPr>
      <w:bookmarkStart w:id="146" w:name="_Toc217446089"/>
    </w:p>
    <w:p w14:paraId="0340F9D5">
      <w:pPr>
        <w:adjustRightInd w:val="0"/>
        <w:spacing w:line="360" w:lineRule="auto"/>
        <w:ind w:firstLine="480" w:firstLineChars="200"/>
        <w:jc w:val="center"/>
        <w:rPr>
          <w:rFonts w:hint="eastAsia" w:ascii="宋体" w:hAnsi="宋体" w:eastAsia="宋体" w:cs="宋体"/>
          <w:bCs/>
          <w:color w:val="000000"/>
          <w:sz w:val="24"/>
          <w:szCs w:val="24"/>
          <w:highlight w:val="none"/>
        </w:rPr>
      </w:pPr>
    </w:p>
    <w:p w14:paraId="25AD22BE">
      <w:pPr>
        <w:adjustRightInd w:val="0"/>
        <w:spacing w:line="360" w:lineRule="auto"/>
        <w:ind w:firstLine="480" w:firstLineChars="200"/>
        <w:jc w:val="center"/>
        <w:outlineLvl w:val="1"/>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br w:type="page"/>
      </w:r>
      <w:r>
        <w:rPr>
          <w:rFonts w:hint="eastAsia" w:ascii="宋体" w:hAnsi="宋体" w:eastAsia="宋体" w:cs="宋体"/>
          <w:b/>
          <w:color w:val="000000"/>
          <w:sz w:val="24"/>
          <w:szCs w:val="24"/>
          <w:highlight w:val="none"/>
          <w:lang w:val="en-US" w:eastAsia="zh-CN"/>
        </w:rPr>
        <w:t>五</w:t>
      </w:r>
      <w:r>
        <w:rPr>
          <w:rFonts w:hint="eastAsia" w:ascii="宋体" w:hAnsi="宋体" w:eastAsia="宋体" w:cs="宋体"/>
          <w:b/>
          <w:color w:val="000000"/>
          <w:sz w:val="24"/>
          <w:szCs w:val="24"/>
          <w:highlight w:val="none"/>
        </w:rPr>
        <w:t>、投标人</w:t>
      </w:r>
      <w:r>
        <w:rPr>
          <w:rFonts w:hint="eastAsia" w:ascii="宋体" w:hAnsi="宋体" w:cs="宋体"/>
          <w:b/>
          <w:color w:val="000000"/>
          <w:sz w:val="24"/>
          <w:szCs w:val="24"/>
          <w:highlight w:val="none"/>
          <w:lang w:eastAsia="zh-CN"/>
        </w:rPr>
        <w:t>类似项目</w:t>
      </w:r>
      <w:r>
        <w:rPr>
          <w:rFonts w:hint="eastAsia" w:ascii="宋体" w:hAnsi="宋体" w:eastAsia="宋体" w:cs="宋体"/>
          <w:b/>
          <w:color w:val="000000"/>
          <w:sz w:val="24"/>
          <w:szCs w:val="24"/>
          <w:highlight w:val="none"/>
        </w:rPr>
        <w:t>业绩一览表</w:t>
      </w:r>
      <w:bookmarkEnd w:id="146"/>
    </w:p>
    <w:p w14:paraId="0F6CD23D">
      <w:pPr>
        <w:spacing w:line="360" w:lineRule="auto"/>
        <w:rPr>
          <w:rFonts w:hint="eastAsia" w:ascii="宋体" w:hAnsi="宋体" w:eastAsia="宋体" w:cs="宋体"/>
          <w:color w:val="000000"/>
          <w:sz w:val="24"/>
          <w:szCs w:val="24"/>
          <w:highlight w:val="none"/>
        </w:rPr>
      </w:pPr>
    </w:p>
    <w:tbl>
      <w:tblPr>
        <w:tblStyle w:val="31"/>
        <w:tblW w:w="8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713B76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7038C866">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960" w:type="dxa"/>
            <w:vAlign w:val="center"/>
          </w:tcPr>
          <w:p w14:paraId="74C08DB1">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采购人</w:t>
            </w:r>
          </w:p>
        </w:tc>
        <w:tc>
          <w:tcPr>
            <w:tcW w:w="1113" w:type="dxa"/>
            <w:vAlign w:val="center"/>
          </w:tcPr>
          <w:p w14:paraId="29F9F80C">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联系人</w:t>
            </w:r>
          </w:p>
        </w:tc>
        <w:tc>
          <w:tcPr>
            <w:tcW w:w="1151" w:type="dxa"/>
            <w:vAlign w:val="center"/>
          </w:tcPr>
          <w:p w14:paraId="64785C24">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tc>
        <w:tc>
          <w:tcPr>
            <w:tcW w:w="1162" w:type="dxa"/>
            <w:vAlign w:val="center"/>
          </w:tcPr>
          <w:p w14:paraId="5511C2AD">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tc>
        <w:tc>
          <w:tcPr>
            <w:tcW w:w="1180" w:type="dxa"/>
            <w:vAlign w:val="center"/>
          </w:tcPr>
          <w:p w14:paraId="47F336D7">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完成时间</w:t>
            </w:r>
          </w:p>
        </w:tc>
        <w:tc>
          <w:tcPr>
            <w:tcW w:w="1158" w:type="dxa"/>
            <w:vAlign w:val="center"/>
          </w:tcPr>
          <w:p w14:paraId="4035EEBE">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合同金额</w:t>
            </w:r>
          </w:p>
        </w:tc>
        <w:tc>
          <w:tcPr>
            <w:tcW w:w="1079" w:type="dxa"/>
            <w:gridSpan w:val="2"/>
            <w:tcBorders>
              <w:right w:val="single" w:color="auto" w:sz="4" w:space="0"/>
            </w:tcBorders>
            <w:vAlign w:val="center"/>
          </w:tcPr>
          <w:p w14:paraId="5ECFC706">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项目描述</w:t>
            </w:r>
          </w:p>
        </w:tc>
      </w:tr>
      <w:tr w14:paraId="56E08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A76EFFD">
            <w:pPr>
              <w:spacing w:line="360" w:lineRule="auto"/>
              <w:jc w:val="center"/>
              <w:rPr>
                <w:rFonts w:hint="eastAsia" w:ascii="宋体" w:hAnsi="宋体" w:eastAsia="宋体" w:cs="宋体"/>
                <w:color w:val="000000"/>
                <w:sz w:val="24"/>
                <w:szCs w:val="24"/>
                <w:highlight w:val="none"/>
              </w:rPr>
            </w:pPr>
          </w:p>
        </w:tc>
        <w:tc>
          <w:tcPr>
            <w:tcW w:w="960" w:type="dxa"/>
            <w:vAlign w:val="center"/>
          </w:tcPr>
          <w:p w14:paraId="48CB3D95">
            <w:pPr>
              <w:spacing w:line="360" w:lineRule="auto"/>
              <w:jc w:val="center"/>
              <w:rPr>
                <w:rFonts w:hint="eastAsia" w:ascii="宋体" w:hAnsi="宋体" w:eastAsia="宋体" w:cs="宋体"/>
                <w:color w:val="000000"/>
                <w:sz w:val="24"/>
                <w:szCs w:val="24"/>
                <w:highlight w:val="none"/>
              </w:rPr>
            </w:pPr>
          </w:p>
        </w:tc>
        <w:tc>
          <w:tcPr>
            <w:tcW w:w="1113" w:type="dxa"/>
            <w:vAlign w:val="center"/>
          </w:tcPr>
          <w:p w14:paraId="6E307202">
            <w:pPr>
              <w:spacing w:line="360" w:lineRule="auto"/>
              <w:jc w:val="center"/>
              <w:rPr>
                <w:rFonts w:hint="eastAsia" w:ascii="宋体" w:hAnsi="宋体" w:eastAsia="宋体" w:cs="宋体"/>
                <w:color w:val="000000"/>
                <w:sz w:val="24"/>
                <w:szCs w:val="24"/>
                <w:highlight w:val="none"/>
              </w:rPr>
            </w:pPr>
          </w:p>
        </w:tc>
        <w:tc>
          <w:tcPr>
            <w:tcW w:w="1151" w:type="dxa"/>
            <w:vAlign w:val="center"/>
          </w:tcPr>
          <w:p w14:paraId="2DE41237">
            <w:pPr>
              <w:spacing w:line="360" w:lineRule="auto"/>
              <w:jc w:val="center"/>
              <w:rPr>
                <w:rFonts w:hint="eastAsia" w:ascii="宋体" w:hAnsi="宋体" w:eastAsia="宋体" w:cs="宋体"/>
                <w:color w:val="000000"/>
                <w:sz w:val="24"/>
                <w:szCs w:val="24"/>
                <w:highlight w:val="none"/>
              </w:rPr>
            </w:pPr>
          </w:p>
        </w:tc>
        <w:tc>
          <w:tcPr>
            <w:tcW w:w="1162" w:type="dxa"/>
            <w:vAlign w:val="center"/>
          </w:tcPr>
          <w:p w14:paraId="57F65BD2">
            <w:pPr>
              <w:spacing w:line="360" w:lineRule="auto"/>
              <w:jc w:val="center"/>
              <w:rPr>
                <w:rFonts w:hint="eastAsia" w:ascii="宋体" w:hAnsi="宋体" w:eastAsia="宋体" w:cs="宋体"/>
                <w:color w:val="000000"/>
                <w:sz w:val="24"/>
                <w:szCs w:val="24"/>
                <w:highlight w:val="none"/>
              </w:rPr>
            </w:pPr>
          </w:p>
        </w:tc>
        <w:tc>
          <w:tcPr>
            <w:tcW w:w="1180" w:type="dxa"/>
            <w:vAlign w:val="center"/>
          </w:tcPr>
          <w:p w14:paraId="2DB17FBC">
            <w:pPr>
              <w:spacing w:line="360" w:lineRule="auto"/>
              <w:jc w:val="center"/>
              <w:rPr>
                <w:rFonts w:hint="eastAsia" w:ascii="宋体" w:hAnsi="宋体" w:eastAsia="宋体" w:cs="宋体"/>
                <w:color w:val="000000"/>
                <w:sz w:val="24"/>
                <w:szCs w:val="24"/>
                <w:highlight w:val="none"/>
              </w:rPr>
            </w:pPr>
          </w:p>
        </w:tc>
        <w:tc>
          <w:tcPr>
            <w:tcW w:w="1158" w:type="dxa"/>
            <w:vAlign w:val="center"/>
          </w:tcPr>
          <w:p w14:paraId="4157F05A">
            <w:pPr>
              <w:spacing w:line="360" w:lineRule="auto"/>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1470F42D">
            <w:pPr>
              <w:spacing w:line="360" w:lineRule="auto"/>
              <w:jc w:val="center"/>
              <w:rPr>
                <w:rFonts w:hint="eastAsia" w:ascii="宋体" w:hAnsi="宋体" w:eastAsia="宋体" w:cs="宋体"/>
                <w:color w:val="000000"/>
                <w:sz w:val="24"/>
                <w:szCs w:val="24"/>
                <w:highlight w:val="none"/>
              </w:rPr>
            </w:pPr>
          </w:p>
        </w:tc>
      </w:tr>
      <w:tr w14:paraId="76D19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9F45199">
            <w:pPr>
              <w:spacing w:line="360" w:lineRule="auto"/>
              <w:jc w:val="center"/>
              <w:rPr>
                <w:rFonts w:hint="eastAsia" w:ascii="宋体" w:hAnsi="宋体" w:eastAsia="宋体" w:cs="宋体"/>
                <w:color w:val="000000"/>
                <w:sz w:val="24"/>
                <w:szCs w:val="24"/>
                <w:highlight w:val="none"/>
              </w:rPr>
            </w:pPr>
          </w:p>
        </w:tc>
        <w:tc>
          <w:tcPr>
            <w:tcW w:w="960" w:type="dxa"/>
            <w:vAlign w:val="center"/>
          </w:tcPr>
          <w:p w14:paraId="426A088D">
            <w:pPr>
              <w:spacing w:line="360" w:lineRule="auto"/>
              <w:jc w:val="center"/>
              <w:rPr>
                <w:rFonts w:hint="eastAsia" w:ascii="宋体" w:hAnsi="宋体" w:eastAsia="宋体" w:cs="宋体"/>
                <w:color w:val="000000"/>
                <w:sz w:val="24"/>
                <w:szCs w:val="24"/>
                <w:highlight w:val="none"/>
              </w:rPr>
            </w:pPr>
          </w:p>
        </w:tc>
        <w:tc>
          <w:tcPr>
            <w:tcW w:w="1113" w:type="dxa"/>
            <w:vAlign w:val="center"/>
          </w:tcPr>
          <w:p w14:paraId="1841D582">
            <w:pPr>
              <w:spacing w:line="360" w:lineRule="auto"/>
              <w:jc w:val="center"/>
              <w:rPr>
                <w:rFonts w:hint="eastAsia" w:ascii="宋体" w:hAnsi="宋体" w:eastAsia="宋体" w:cs="宋体"/>
                <w:color w:val="000000"/>
                <w:sz w:val="24"/>
                <w:szCs w:val="24"/>
                <w:highlight w:val="none"/>
              </w:rPr>
            </w:pPr>
          </w:p>
        </w:tc>
        <w:tc>
          <w:tcPr>
            <w:tcW w:w="1151" w:type="dxa"/>
            <w:vAlign w:val="center"/>
          </w:tcPr>
          <w:p w14:paraId="20505E6E">
            <w:pPr>
              <w:spacing w:line="360" w:lineRule="auto"/>
              <w:jc w:val="center"/>
              <w:rPr>
                <w:rFonts w:hint="eastAsia" w:ascii="宋体" w:hAnsi="宋体" w:eastAsia="宋体" w:cs="宋体"/>
                <w:color w:val="000000"/>
                <w:sz w:val="24"/>
                <w:szCs w:val="24"/>
                <w:highlight w:val="none"/>
              </w:rPr>
            </w:pPr>
          </w:p>
        </w:tc>
        <w:tc>
          <w:tcPr>
            <w:tcW w:w="1162" w:type="dxa"/>
            <w:vAlign w:val="center"/>
          </w:tcPr>
          <w:p w14:paraId="5BAEA67A">
            <w:pPr>
              <w:spacing w:line="360" w:lineRule="auto"/>
              <w:jc w:val="center"/>
              <w:rPr>
                <w:rFonts w:hint="eastAsia" w:ascii="宋体" w:hAnsi="宋体" w:eastAsia="宋体" w:cs="宋体"/>
                <w:color w:val="000000"/>
                <w:sz w:val="24"/>
                <w:szCs w:val="24"/>
                <w:highlight w:val="none"/>
              </w:rPr>
            </w:pPr>
          </w:p>
        </w:tc>
        <w:tc>
          <w:tcPr>
            <w:tcW w:w="1180" w:type="dxa"/>
            <w:vAlign w:val="center"/>
          </w:tcPr>
          <w:p w14:paraId="5579008B">
            <w:pPr>
              <w:spacing w:line="360" w:lineRule="auto"/>
              <w:jc w:val="center"/>
              <w:rPr>
                <w:rFonts w:hint="eastAsia" w:ascii="宋体" w:hAnsi="宋体" w:eastAsia="宋体" w:cs="宋体"/>
                <w:color w:val="000000"/>
                <w:sz w:val="24"/>
                <w:szCs w:val="24"/>
                <w:highlight w:val="none"/>
              </w:rPr>
            </w:pPr>
          </w:p>
        </w:tc>
        <w:tc>
          <w:tcPr>
            <w:tcW w:w="1158" w:type="dxa"/>
            <w:vAlign w:val="center"/>
          </w:tcPr>
          <w:p w14:paraId="443CD368">
            <w:pPr>
              <w:spacing w:line="360" w:lineRule="auto"/>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1F3E0E7B">
            <w:pPr>
              <w:spacing w:line="360" w:lineRule="auto"/>
              <w:jc w:val="center"/>
              <w:rPr>
                <w:rFonts w:hint="eastAsia" w:ascii="宋体" w:hAnsi="宋体" w:eastAsia="宋体" w:cs="宋体"/>
                <w:color w:val="000000"/>
                <w:sz w:val="24"/>
                <w:szCs w:val="24"/>
                <w:highlight w:val="none"/>
              </w:rPr>
            </w:pPr>
          </w:p>
        </w:tc>
      </w:tr>
      <w:tr w14:paraId="72514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EB653F5">
            <w:pPr>
              <w:spacing w:line="360" w:lineRule="auto"/>
              <w:jc w:val="center"/>
              <w:rPr>
                <w:rFonts w:hint="eastAsia" w:ascii="宋体" w:hAnsi="宋体" w:eastAsia="宋体" w:cs="宋体"/>
                <w:color w:val="000000"/>
                <w:sz w:val="24"/>
                <w:szCs w:val="24"/>
                <w:highlight w:val="none"/>
              </w:rPr>
            </w:pPr>
          </w:p>
        </w:tc>
        <w:tc>
          <w:tcPr>
            <w:tcW w:w="960" w:type="dxa"/>
            <w:vAlign w:val="center"/>
          </w:tcPr>
          <w:p w14:paraId="49C61827">
            <w:pPr>
              <w:spacing w:line="360" w:lineRule="auto"/>
              <w:jc w:val="center"/>
              <w:rPr>
                <w:rFonts w:hint="eastAsia" w:ascii="宋体" w:hAnsi="宋体" w:eastAsia="宋体" w:cs="宋体"/>
                <w:color w:val="000000"/>
                <w:sz w:val="24"/>
                <w:szCs w:val="24"/>
                <w:highlight w:val="none"/>
              </w:rPr>
            </w:pPr>
          </w:p>
        </w:tc>
        <w:tc>
          <w:tcPr>
            <w:tcW w:w="1113" w:type="dxa"/>
            <w:vAlign w:val="center"/>
          </w:tcPr>
          <w:p w14:paraId="6FBCC9C8">
            <w:pPr>
              <w:spacing w:line="360" w:lineRule="auto"/>
              <w:jc w:val="center"/>
              <w:rPr>
                <w:rFonts w:hint="eastAsia" w:ascii="宋体" w:hAnsi="宋体" w:eastAsia="宋体" w:cs="宋体"/>
                <w:color w:val="000000"/>
                <w:sz w:val="24"/>
                <w:szCs w:val="24"/>
                <w:highlight w:val="none"/>
              </w:rPr>
            </w:pPr>
          </w:p>
        </w:tc>
        <w:tc>
          <w:tcPr>
            <w:tcW w:w="1151" w:type="dxa"/>
            <w:vAlign w:val="center"/>
          </w:tcPr>
          <w:p w14:paraId="022DC5CA">
            <w:pPr>
              <w:spacing w:line="360" w:lineRule="auto"/>
              <w:jc w:val="center"/>
              <w:rPr>
                <w:rFonts w:hint="eastAsia" w:ascii="宋体" w:hAnsi="宋体" w:eastAsia="宋体" w:cs="宋体"/>
                <w:color w:val="000000"/>
                <w:sz w:val="24"/>
                <w:szCs w:val="24"/>
                <w:highlight w:val="none"/>
              </w:rPr>
            </w:pPr>
          </w:p>
        </w:tc>
        <w:tc>
          <w:tcPr>
            <w:tcW w:w="1162" w:type="dxa"/>
            <w:vAlign w:val="center"/>
          </w:tcPr>
          <w:p w14:paraId="79277933">
            <w:pPr>
              <w:spacing w:line="360" w:lineRule="auto"/>
              <w:jc w:val="center"/>
              <w:rPr>
                <w:rFonts w:hint="eastAsia" w:ascii="宋体" w:hAnsi="宋体" w:eastAsia="宋体" w:cs="宋体"/>
                <w:color w:val="000000"/>
                <w:sz w:val="24"/>
                <w:szCs w:val="24"/>
                <w:highlight w:val="none"/>
              </w:rPr>
            </w:pPr>
          </w:p>
        </w:tc>
        <w:tc>
          <w:tcPr>
            <w:tcW w:w="1180" w:type="dxa"/>
            <w:vAlign w:val="center"/>
          </w:tcPr>
          <w:p w14:paraId="1926A73F">
            <w:pPr>
              <w:spacing w:line="360" w:lineRule="auto"/>
              <w:jc w:val="center"/>
              <w:rPr>
                <w:rFonts w:hint="eastAsia" w:ascii="宋体" w:hAnsi="宋体" w:eastAsia="宋体" w:cs="宋体"/>
                <w:color w:val="000000"/>
                <w:sz w:val="24"/>
                <w:szCs w:val="24"/>
                <w:highlight w:val="none"/>
              </w:rPr>
            </w:pPr>
          </w:p>
        </w:tc>
        <w:tc>
          <w:tcPr>
            <w:tcW w:w="1158" w:type="dxa"/>
            <w:vAlign w:val="center"/>
          </w:tcPr>
          <w:p w14:paraId="03B39160">
            <w:pPr>
              <w:spacing w:line="360" w:lineRule="auto"/>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252DFE8B">
            <w:pPr>
              <w:spacing w:line="360" w:lineRule="auto"/>
              <w:jc w:val="center"/>
              <w:rPr>
                <w:rFonts w:hint="eastAsia" w:ascii="宋体" w:hAnsi="宋体" w:eastAsia="宋体" w:cs="宋体"/>
                <w:color w:val="000000"/>
                <w:sz w:val="24"/>
                <w:szCs w:val="24"/>
                <w:highlight w:val="none"/>
              </w:rPr>
            </w:pPr>
          </w:p>
        </w:tc>
      </w:tr>
      <w:tr w14:paraId="12D61D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4ADFAEDD">
            <w:pPr>
              <w:spacing w:line="360" w:lineRule="auto"/>
              <w:jc w:val="center"/>
              <w:rPr>
                <w:rFonts w:hint="eastAsia" w:ascii="宋体" w:hAnsi="宋体" w:eastAsia="宋体" w:cs="宋体"/>
                <w:color w:val="000000"/>
                <w:sz w:val="24"/>
                <w:szCs w:val="24"/>
                <w:highlight w:val="none"/>
              </w:rPr>
            </w:pPr>
          </w:p>
        </w:tc>
        <w:tc>
          <w:tcPr>
            <w:tcW w:w="960" w:type="dxa"/>
            <w:tcBorders>
              <w:right w:val="single" w:color="auto" w:sz="4" w:space="0"/>
            </w:tcBorders>
            <w:vAlign w:val="center"/>
          </w:tcPr>
          <w:p w14:paraId="1521F85D">
            <w:pPr>
              <w:spacing w:line="360" w:lineRule="auto"/>
              <w:jc w:val="center"/>
              <w:rPr>
                <w:rFonts w:hint="eastAsia" w:ascii="宋体" w:hAnsi="宋体" w:eastAsia="宋体" w:cs="宋体"/>
                <w:color w:val="000000"/>
                <w:sz w:val="24"/>
                <w:szCs w:val="24"/>
                <w:highlight w:val="none"/>
              </w:rPr>
            </w:pPr>
          </w:p>
        </w:tc>
        <w:tc>
          <w:tcPr>
            <w:tcW w:w="1113" w:type="dxa"/>
            <w:tcBorders>
              <w:left w:val="single" w:color="auto" w:sz="4" w:space="0"/>
            </w:tcBorders>
            <w:vAlign w:val="center"/>
          </w:tcPr>
          <w:p w14:paraId="40AACEA5">
            <w:pPr>
              <w:spacing w:line="360" w:lineRule="auto"/>
              <w:jc w:val="center"/>
              <w:rPr>
                <w:rFonts w:hint="eastAsia" w:ascii="宋体" w:hAnsi="宋体" w:eastAsia="宋体" w:cs="宋体"/>
                <w:color w:val="000000"/>
                <w:sz w:val="24"/>
                <w:szCs w:val="24"/>
                <w:highlight w:val="none"/>
              </w:rPr>
            </w:pPr>
          </w:p>
        </w:tc>
        <w:tc>
          <w:tcPr>
            <w:tcW w:w="1151" w:type="dxa"/>
            <w:tcBorders>
              <w:left w:val="single" w:color="auto" w:sz="4" w:space="0"/>
            </w:tcBorders>
            <w:vAlign w:val="center"/>
          </w:tcPr>
          <w:p w14:paraId="0CC04AEC">
            <w:pPr>
              <w:spacing w:line="360" w:lineRule="auto"/>
              <w:jc w:val="center"/>
              <w:rPr>
                <w:rFonts w:hint="eastAsia" w:ascii="宋体" w:hAnsi="宋体" w:eastAsia="宋体" w:cs="宋体"/>
                <w:color w:val="000000"/>
                <w:sz w:val="24"/>
                <w:szCs w:val="24"/>
                <w:highlight w:val="none"/>
              </w:rPr>
            </w:pPr>
          </w:p>
        </w:tc>
        <w:tc>
          <w:tcPr>
            <w:tcW w:w="1162" w:type="dxa"/>
            <w:tcBorders>
              <w:left w:val="single" w:color="auto" w:sz="4" w:space="0"/>
            </w:tcBorders>
            <w:vAlign w:val="center"/>
          </w:tcPr>
          <w:p w14:paraId="37493C85">
            <w:pPr>
              <w:spacing w:line="360" w:lineRule="auto"/>
              <w:jc w:val="center"/>
              <w:rPr>
                <w:rFonts w:hint="eastAsia" w:ascii="宋体" w:hAnsi="宋体" w:eastAsia="宋体" w:cs="宋体"/>
                <w:color w:val="000000"/>
                <w:sz w:val="24"/>
                <w:szCs w:val="24"/>
                <w:highlight w:val="none"/>
              </w:rPr>
            </w:pPr>
          </w:p>
        </w:tc>
        <w:tc>
          <w:tcPr>
            <w:tcW w:w="1180" w:type="dxa"/>
            <w:vAlign w:val="center"/>
          </w:tcPr>
          <w:p w14:paraId="11034493">
            <w:pPr>
              <w:spacing w:line="360" w:lineRule="auto"/>
              <w:jc w:val="center"/>
              <w:rPr>
                <w:rFonts w:hint="eastAsia" w:ascii="宋体" w:hAnsi="宋体" w:eastAsia="宋体" w:cs="宋体"/>
                <w:color w:val="000000"/>
                <w:sz w:val="24"/>
                <w:szCs w:val="24"/>
                <w:highlight w:val="none"/>
              </w:rPr>
            </w:pPr>
          </w:p>
        </w:tc>
        <w:tc>
          <w:tcPr>
            <w:tcW w:w="1158" w:type="dxa"/>
            <w:vAlign w:val="center"/>
          </w:tcPr>
          <w:p w14:paraId="2E5096E7">
            <w:pPr>
              <w:spacing w:line="360" w:lineRule="auto"/>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21A2DB77">
            <w:pPr>
              <w:spacing w:line="360" w:lineRule="auto"/>
              <w:jc w:val="center"/>
              <w:rPr>
                <w:rFonts w:hint="eastAsia" w:ascii="宋体" w:hAnsi="宋体" w:eastAsia="宋体" w:cs="宋体"/>
                <w:color w:val="000000"/>
                <w:sz w:val="24"/>
                <w:szCs w:val="24"/>
                <w:highlight w:val="none"/>
              </w:rPr>
            </w:pPr>
          </w:p>
        </w:tc>
      </w:tr>
      <w:tr w14:paraId="686A49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128AE307">
            <w:pPr>
              <w:spacing w:line="360" w:lineRule="auto"/>
              <w:rPr>
                <w:rFonts w:hint="eastAsia" w:ascii="宋体" w:hAnsi="宋体" w:eastAsia="宋体" w:cs="宋体"/>
                <w:color w:val="000000"/>
                <w:sz w:val="24"/>
                <w:szCs w:val="24"/>
                <w:highlight w:val="none"/>
              </w:rPr>
            </w:pPr>
          </w:p>
        </w:tc>
        <w:tc>
          <w:tcPr>
            <w:tcW w:w="960" w:type="dxa"/>
            <w:tcBorders>
              <w:left w:val="single" w:color="auto" w:sz="4" w:space="0"/>
              <w:right w:val="single" w:color="auto" w:sz="4" w:space="0"/>
            </w:tcBorders>
            <w:vAlign w:val="center"/>
          </w:tcPr>
          <w:p w14:paraId="48FE4F58">
            <w:pPr>
              <w:spacing w:line="360" w:lineRule="auto"/>
              <w:rPr>
                <w:rFonts w:hint="eastAsia" w:ascii="宋体" w:hAnsi="宋体" w:eastAsia="宋体" w:cs="宋体"/>
                <w:color w:val="000000"/>
                <w:sz w:val="24"/>
                <w:szCs w:val="24"/>
                <w:highlight w:val="none"/>
              </w:rPr>
            </w:pPr>
          </w:p>
        </w:tc>
        <w:tc>
          <w:tcPr>
            <w:tcW w:w="1113" w:type="dxa"/>
            <w:tcBorders>
              <w:left w:val="single" w:color="auto" w:sz="4" w:space="0"/>
              <w:right w:val="single" w:color="auto" w:sz="4" w:space="0"/>
            </w:tcBorders>
            <w:vAlign w:val="center"/>
          </w:tcPr>
          <w:p w14:paraId="412EAD23">
            <w:pPr>
              <w:spacing w:line="360" w:lineRule="auto"/>
              <w:rPr>
                <w:rFonts w:hint="eastAsia" w:ascii="宋体" w:hAnsi="宋体" w:eastAsia="宋体" w:cs="宋体"/>
                <w:color w:val="000000"/>
                <w:sz w:val="24"/>
                <w:szCs w:val="24"/>
                <w:highlight w:val="none"/>
              </w:rPr>
            </w:pPr>
          </w:p>
        </w:tc>
        <w:tc>
          <w:tcPr>
            <w:tcW w:w="1151" w:type="dxa"/>
            <w:tcBorders>
              <w:left w:val="single" w:color="auto" w:sz="4" w:space="0"/>
              <w:right w:val="single" w:color="auto" w:sz="4" w:space="0"/>
            </w:tcBorders>
            <w:vAlign w:val="center"/>
          </w:tcPr>
          <w:p w14:paraId="26D778EC">
            <w:pPr>
              <w:spacing w:line="360" w:lineRule="auto"/>
              <w:rPr>
                <w:rFonts w:hint="eastAsia" w:ascii="宋体" w:hAnsi="宋体" w:eastAsia="宋体" w:cs="宋体"/>
                <w:color w:val="000000"/>
                <w:sz w:val="24"/>
                <w:szCs w:val="24"/>
                <w:highlight w:val="none"/>
              </w:rPr>
            </w:pPr>
          </w:p>
        </w:tc>
        <w:tc>
          <w:tcPr>
            <w:tcW w:w="1162" w:type="dxa"/>
            <w:tcBorders>
              <w:left w:val="single" w:color="auto" w:sz="4" w:space="0"/>
              <w:right w:val="single" w:color="auto" w:sz="4" w:space="0"/>
            </w:tcBorders>
            <w:vAlign w:val="center"/>
          </w:tcPr>
          <w:p w14:paraId="511B8B1A">
            <w:pPr>
              <w:spacing w:line="360" w:lineRule="auto"/>
              <w:rPr>
                <w:rFonts w:hint="eastAsia" w:ascii="宋体" w:hAnsi="宋体" w:eastAsia="宋体" w:cs="宋体"/>
                <w:color w:val="000000"/>
                <w:sz w:val="24"/>
                <w:szCs w:val="24"/>
                <w:highlight w:val="none"/>
              </w:rPr>
            </w:pPr>
          </w:p>
        </w:tc>
        <w:tc>
          <w:tcPr>
            <w:tcW w:w="1180" w:type="dxa"/>
            <w:tcBorders>
              <w:left w:val="single" w:color="auto" w:sz="4" w:space="0"/>
              <w:right w:val="single" w:color="auto" w:sz="4" w:space="0"/>
            </w:tcBorders>
            <w:vAlign w:val="center"/>
          </w:tcPr>
          <w:p w14:paraId="2052E403">
            <w:pPr>
              <w:spacing w:line="360" w:lineRule="auto"/>
              <w:rPr>
                <w:rFonts w:hint="eastAsia" w:ascii="宋体" w:hAnsi="宋体" w:eastAsia="宋体" w:cs="宋体"/>
                <w:color w:val="000000"/>
                <w:sz w:val="24"/>
                <w:szCs w:val="24"/>
                <w:highlight w:val="none"/>
              </w:rPr>
            </w:pPr>
          </w:p>
        </w:tc>
        <w:tc>
          <w:tcPr>
            <w:tcW w:w="1158" w:type="dxa"/>
            <w:tcBorders>
              <w:left w:val="single" w:color="auto" w:sz="4" w:space="0"/>
              <w:right w:val="single" w:color="auto" w:sz="4" w:space="0"/>
            </w:tcBorders>
            <w:vAlign w:val="center"/>
          </w:tcPr>
          <w:p w14:paraId="4BBAC5C3">
            <w:pPr>
              <w:spacing w:line="360" w:lineRule="auto"/>
              <w:rPr>
                <w:rFonts w:hint="eastAsia" w:ascii="宋体" w:hAnsi="宋体" w:eastAsia="宋体" w:cs="宋体"/>
                <w:color w:val="000000"/>
                <w:sz w:val="24"/>
                <w:szCs w:val="24"/>
                <w:highlight w:val="none"/>
              </w:rPr>
            </w:pPr>
          </w:p>
        </w:tc>
        <w:tc>
          <w:tcPr>
            <w:tcW w:w="1079" w:type="dxa"/>
            <w:gridSpan w:val="2"/>
            <w:tcBorders>
              <w:left w:val="single" w:color="auto" w:sz="4" w:space="0"/>
              <w:right w:val="single" w:color="auto" w:sz="4" w:space="0"/>
            </w:tcBorders>
            <w:vAlign w:val="center"/>
          </w:tcPr>
          <w:p w14:paraId="5E32A193">
            <w:pPr>
              <w:spacing w:line="360" w:lineRule="auto"/>
              <w:rPr>
                <w:rFonts w:hint="eastAsia" w:ascii="宋体" w:hAnsi="宋体" w:eastAsia="宋体" w:cs="宋体"/>
                <w:color w:val="000000"/>
                <w:sz w:val="24"/>
                <w:szCs w:val="24"/>
                <w:highlight w:val="none"/>
              </w:rPr>
            </w:pPr>
          </w:p>
        </w:tc>
      </w:tr>
      <w:tr w14:paraId="33DB7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55D16D45">
            <w:pPr>
              <w:spacing w:line="360" w:lineRule="auto"/>
              <w:rPr>
                <w:rFonts w:hint="eastAsia" w:ascii="宋体" w:hAnsi="宋体" w:eastAsia="宋体" w:cs="宋体"/>
                <w:color w:val="000000"/>
                <w:sz w:val="24"/>
                <w:szCs w:val="24"/>
                <w:highlight w:val="none"/>
              </w:rPr>
            </w:pPr>
          </w:p>
        </w:tc>
        <w:tc>
          <w:tcPr>
            <w:tcW w:w="960" w:type="dxa"/>
            <w:vAlign w:val="center"/>
          </w:tcPr>
          <w:p w14:paraId="4D604C3E">
            <w:pPr>
              <w:spacing w:line="360" w:lineRule="auto"/>
              <w:rPr>
                <w:rFonts w:hint="eastAsia" w:ascii="宋体" w:hAnsi="宋体" w:eastAsia="宋体" w:cs="宋体"/>
                <w:color w:val="000000"/>
                <w:sz w:val="24"/>
                <w:szCs w:val="24"/>
                <w:highlight w:val="none"/>
              </w:rPr>
            </w:pPr>
          </w:p>
        </w:tc>
        <w:tc>
          <w:tcPr>
            <w:tcW w:w="1113" w:type="dxa"/>
            <w:vAlign w:val="center"/>
          </w:tcPr>
          <w:p w14:paraId="1ADFB5DD">
            <w:pPr>
              <w:spacing w:line="360" w:lineRule="auto"/>
              <w:rPr>
                <w:rFonts w:hint="eastAsia" w:ascii="宋体" w:hAnsi="宋体" w:eastAsia="宋体" w:cs="宋体"/>
                <w:color w:val="000000"/>
                <w:sz w:val="24"/>
                <w:szCs w:val="24"/>
                <w:highlight w:val="none"/>
              </w:rPr>
            </w:pPr>
          </w:p>
        </w:tc>
        <w:tc>
          <w:tcPr>
            <w:tcW w:w="1151" w:type="dxa"/>
            <w:vAlign w:val="center"/>
          </w:tcPr>
          <w:p w14:paraId="66968739">
            <w:pPr>
              <w:spacing w:line="360" w:lineRule="auto"/>
              <w:rPr>
                <w:rFonts w:hint="eastAsia" w:ascii="宋体" w:hAnsi="宋体" w:eastAsia="宋体" w:cs="宋体"/>
                <w:color w:val="000000"/>
                <w:sz w:val="24"/>
                <w:szCs w:val="24"/>
                <w:highlight w:val="none"/>
              </w:rPr>
            </w:pPr>
          </w:p>
        </w:tc>
        <w:tc>
          <w:tcPr>
            <w:tcW w:w="1162" w:type="dxa"/>
            <w:vAlign w:val="center"/>
          </w:tcPr>
          <w:p w14:paraId="4A5F8FBB">
            <w:pPr>
              <w:spacing w:line="360" w:lineRule="auto"/>
              <w:rPr>
                <w:rFonts w:hint="eastAsia" w:ascii="宋体" w:hAnsi="宋体" w:eastAsia="宋体" w:cs="宋体"/>
                <w:color w:val="000000"/>
                <w:sz w:val="24"/>
                <w:szCs w:val="24"/>
                <w:highlight w:val="none"/>
              </w:rPr>
            </w:pPr>
          </w:p>
        </w:tc>
        <w:tc>
          <w:tcPr>
            <w:tcW w:w="1180" w:type="dxa"/>
            <w:vAlign w:val="center"/>
          </w:tcPr>
          <w:p w14:paraId="4B243790">
            <w:pPr>
              <w:spacing w:line="360" w:lineRule="auto"/>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53BB9587">
            <w:pPr>
              <w:spacing w:line="360" w:lineRule="auto"/>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67652DE3">
            <w:pPr>
              <w:spacing w:line="360" w:lineRule="auto"/>
              <w:rPr>
                <w:rFonts w:hint="eastAsia" w:ascii="宋体" w:hAnsi="宋体" w:eastAsia="宋体" w:cs="宋体"/>
                <w:color w:val="000000"/>
                <w:sz w:val="24"/>
                <w:szCs w:val="24"/>
                <w:highlight w:val="none"/>
              </w:rPr>
            </w:pPr>
          </w:p>
        </w:tc>
      </w:tr>
      <w:tr w14:paraId="4F5D82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4521B871">
            <w:pPr>
              <w:spacing w:line="360" w:lineRule="auto"/>
              <w:jc w:val="center"/>
              <w:rPr>
                <w:rFonts w:hint="eastAsia" w:ascii="宋体" w:hAnsi="宋体" w:eastAsia="宋体" w:cs="宋体"/>
                <w:color w:val="000000"/>
                <w:sz w:val="24"/>
                <w:szCs w:val="24"/>
                <w:highlight w:val="none"/>
              </w:rPr>
            </w:pPr>
          </w:p>
        </w:tc>
        <w:tc>
          <w:tcPr>
            <w:tcW w:w="960" w:type="dxa"/>
            <w:vAlign w:val="center"/>
          </w:tcPr>
          <w:p w14:paraId="5C0EEE76">
            <w:pPr>
              <w:spacing w:line="360" w:lineRule="auto"/>
              <w:jc w:val="center"/>
              <w:rPr>
                <w:rFonts w:hint="eastAsia" w:ascii="宋体" w:hAnsi="宋体" w:eastAsia="宋体" w:cs="宋体"/>
                <w:color w:val="000000"/>
                <w:sz w:val="24"/>
                <w:szCs w:val="24"/>
                <w:highlight w:val="none"/>
              </w:rPr>
            </w:pPr>
          </w:p>
        </w:tc>
        <w:tc>
          <w:tcPr>
            <w:tcW w:w="1113" w:type="dxa"/>
            <w:vAlign w:val="center"/>
          </w:tcPr>
          <w:p w14:paraId="77965653">
            <w:pPr>
              <w:spacing w:line="360" w:lineRule="auto"/>
              <w:jc w:val="center"/>
              <w:rPr>
                <w:rFonts w:hint="eastAsia" w:ascii="宋体" w:hAnsi="宋体" w:eastAsia="宋体" w:cs="宋体"/>
                <w:color w:val="000000"/>
                <w:sz w:val="24"/>
                <w:szCs w:val="24"/>
                <w:highlight w:val="none"/>
              </w:rPr>
            </w:pPr>
          </w:p>
        </w:tc>
        <w:tc>
          <w:tcPr>
            <w:tcW w:w="1151" w:type="dxa"/>
            <w:vAlign w:val="center"/>
          </w:tcPr>
          <w:p w14:paraId="7432B9CC">
            <w:pPr>
              <w:spacing w:line="360" w:lineRule="auto"/>
              <w:jc w:val="center"/>
              <w:rPr>
                <w:rFonts w:hint="eastAsia" w:ascii="宋体" w:hAnsi="宋体" w:eastAsia="宋体" w:cs="宋体"/>
                <w:color w:val="000000"/>
                <w:sz w:val="24"/>
                <w:szCs w:val="24"/>
                <w:highlight w:val="none"/>
              </w:rPr>
            </w:pPr>
          </w:p>
        </w:tc>
        <w:tc>
          <w:tcPr>
            <w:tcW w:w="1162" w:type="dxa"/>
            <w:vAlign w:val="center"/>
          </w:tcPr>
          <w:p w14:paraId="49A45206">
            <w:pPr>
              <w:spacing w:line="360" w:lineRule="auto"/>
              <w:jc w:val="center"/>
              <w:rPr>
                <w:rFonts w:hint="eastAsia" w:ascii="宋体" w:hAnsi="宋体" w:eastAsia="宋体" w:cs="宋体"/>
                <w:color w:val="000000"/>
                <w:sz w:val="24"/>
                <w:szCs w:val="24"/>
                <w:highlight w:val="none"/>
              </w:rPr>
            </w:pPr>
          </w:p>
        </w:tc>
        <w:tc>
          <w:tcPr>
            <w:tcW w:w="1180" w:type="dxa"/>
            <w:vAlign w:val="center"/>
          </w:tcPr>
          <w:p w14:paraId="331EB5AA">
            <w:pPr>
              <w:spacing w:line="360" w:lineRule="auto"/>
              <w:jc w:val="center"/>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08B3041D">
            <w:pPr>
              <w:spacing w:line="360" w:lineRule="auto"/>
              <w:jc w:val="center"/>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3483A4B8">
            <w:pPr>
              <w:spacing w:line="360" w:lineRule="auto"/>
              <w:jc w:val="center"/>
              <w:rPr>
                <w:rFonts w:hint="eastAsia" w:ascii="宋体" w:hAnsi="宋体" w:eastAsia="宋体" w:cs="宋体"/>
                <w:color w:val="000000"/>
                <w:sz w:val="24"/>
                <w:szCs w:val="24"/>
                <w:highlight w:val="none"/>
              </w:rPr>
            </w:pPr>
          </w:p>
        </w:tc>
      </w:tr>
      <w:tr w14:paraId="3EFE68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77CC2EA1">
            <w:pPr>
              <w:spacing w:line="360" w:lineRule="auto"/>
              <w:jc w:val="center"/>
              <w:rPr>
                <w:rFonts w:hint="eastAsia" w:ascii="宋体" w:hAnsi="宋体" w:eastAsia="宋体" w:cs="宋体"/>
                <w:color w:val="000000"/>
                <w:sz w:val="24"/>
                <w:szCs w:val="24"/>
                <w:highlight w:val="none"/>
              </w:rPr>
            </w:pPr>
          </w:p>
        </w:tc>
        <w:tc>
          <w:tcPr>
            <w:tcW w:w="960" w:type="dxa"/>
            <w:vAlign w:val="center"/>
          </w:tcPr>
          <w:p w14:paraId="5F85593F">
            <w:pPr>
              <w:spacing w:line="360" w:lineRule="auto"/>
              <w:jc w:val="center"/>
              <w:rPr>
                <w:rFonts w:hint="eastAsia" w:ascii="宋体" w:hAnsi="宋体" w:eastAsia="宋体" w:cs="宋体"/>
                <w:color w:val="000000"/>
                <w:sz w:val="24"/>
                <w:szCs w:val="24"/>
                <w:highlight w:val="none"/>
              </w:rPr>
            </w:pPr>
          </w:p>
        </w:tc>
        <w:tc>
          <w:tcPr>
            <w:tcW w:w="1113" w:type="dxa"/>
            <w:vAlign w:val="center"/>
          </w:tcPr>
          <w:p w14:paraId="3CEFCD99">
            <w:pPr>
              <w:spacing w:line="360" w:lineRule="auto"/>
              <w:jc w:val="center"/>
              <w:rPr>
                <w:rFonts w:hint="eastAsia" w:ascii="宋体" w:hAnsi="宋体" w:eastAsia="宋体" w:cs="宋体"/>
                <w:color w:val="000000"/>
                <w:sz w:val="24"/>
                <w:szCs w:val="24"/>
                <w:highlight w:val="none"/>
              </w:rPr>
            </w:pPr>
          </w:p>
        </w:tc>
        <w:tc>
          <w:tcPr>
            <w:tcW w:w="1151" w:type="dxa"/>
            <w:vAlign w:val="center"/>
          </w:tcPr>
          <w:p w14:paraId="67920296">
            <w:pPr>
              <w:spacing w:line="360" w:lineRule="auto"/>
              <w:jc w:val="center"/>
              <w:rPr>
                <w:rFonts w:hint="eastAsia" w:ascii="宋体" w:hAnsi="宋体" w:eastAsia="宋体" w:cs="宋体"/>
                <w:color w:val="000000"/>
                <w:sz w:val="24"/>
                <w:szCs w:val="24"/>
                <w:highlight w:val="none"/>
              </w:rPr>
            </w:pPr>
          </w:p>
        </w:tc>
        <w:tc>
          <w:tcPr>
            <w:tcW w:w="1162" w:type="dxa"/>
            <w:vAlign w:val="center"/>
          </w:tcPr>
          <w:p w14:paraId="6290834D">
            <w:pPr>
              <w:spacing w:line="360" w:lineRule="auto"/>
              <w:jc w:val="center"/>
              <w:rPr>
                <w:rFonts w:hint="eastAsia" w:ascii="宋体" w:hAnsi="宋体" w:eastAsia="宋体" w:cs="宋体"/>
                <w:color w:val="000000"/>
                <w:sz w:val="24"/>
                <w:szCs w:val="24"/>
                <w:highlight w:val="none"/>
              </w:rPr>
            </w:pPr>
          </w:p>
        </w:tc>
        <w:tc>
          <w:tcPr>
            <w:tcW w:w="1180" w:type="dxa"/>
            <w:vAlign w:val="center"/>
          </w:tcPr>
          <w:p w14:paraId="69919008">
            <w:pPr>
              <w:spacing w:line="360" w:lineRule="auto"/>
              <w:jc w:val="center"/>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10B5FF0B">
            <w:pPr>
              <w:spacing w:line="360" w:lineRule="auto"/>
              <w:jc w:val="center"/>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4C85B198">
            <w:pPr>
              <w:spacing w:line="360" w:lineRule="auto"/>
              <w:jc w:val="center"/>
              <w:rPr>
                <w:rFonts w:hint="eastAsia" w:ascii="宋体" w:hAnsi="宋体" w:eastAsia="宋体" w:cs="宋体"/>
                <w:color w:val="000000"/>
                <w:sz w:val="24"/>
                <w:szCs w:val="24"/>
                <w:highlight w:val="none"/>
              </w:rPr>
            </w:pPr>
          </w:p>
        </w:tc>
      </w:tr>
      <w:tr w14:paraId="1098C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10" w:hRule="atLeast"/>
          <w:jc w:val="center"/>
        </w:trPr>
        <w:tc>
          <w:tcPr>
            <w:tcW w:w="606" w:type="dxa"/>
            <w:tcBorders>
              <w:bottom w:val="single" w:color="auto" w:sz="4" w:space="0"/>
            </w:tcBorders>
            <w:vAlign w:val="center"/>
          </w:tcPr>
          <w:p w14:paraId="04597929">
            <w:pPr>
              <w:spacing w:line="360" w:lineRule="auto"/>
              <w:jc w:val="center"/>
              <w:rPr>
                <w:rFonts w:hint="eastAsia" w:ascii="宋体" w:hAnsi="宋体" w:eastAsia="宋体" w:cs="宋体"/>
                <w:color w:val="000000"/>
                <w:sz w:val="24"/>
                <w:szCs w:val="24"/>
                <w:highlight w:val="none"/>
              </w:rPr>
            </w:pPr>
          </w:p>
        </w:tc>
        <w:tc>
          <w:tcPr>
            <w:tcW w:w="960" w:type="dxa"/>
            <w:tcBorders>
              <w:bottom w:val="single" w:color="auto" w:sz="4" w:space="0"/>
            </w:tcBorders>
            <w:vAlign w:val="center"/>
          </w:tcPr>
          <w:p w14:paraId="4EF0BB06">
            <w:pPr>
              <w:spacing w:line="360" w:lineRule="auto"/>
              <w:jc w:val="center"/>
              <w:rPr>
                <w:rFonts w:hint="eastAsia" w:ascii="宋体" w:hAnsi="宋体" w:eastAsia="宋体" w:cs="宋体"/>
                <w:color w:val="000000"/>
                <w:sz w:val="24"/>
                <w:szCs w:val="24"/>
                <w:highlight w:val="none"/>
              </w:rPr>
            </w:pPr>
          </w:p>
        </w:tc>
        <w:tc>
          <w:tcPr>
            <w:tcW w:w="1113" w:type="dxa"/>
            <w:tcBorders>
              <w:bottom w:val="single" w:color="auto" w:sz="4" w:space="0"/>
            </w:tcBorders>
            <w:vAlign w:val="center"/>
          </w:tcPr>
          <w:p w14:paraId="06BC132A">
            <w:pPr>
              <w:spacing w:line="360" w:lineRule="auto"/>
              <w:jc w:val="center"/>
              <w:rPr>
                <w:rFonts w:hint="eastAsia" w:ascii="宋体" w:hAnsi="宋体" w:eastAsia="宋体" w:cs="宋体"/>
                <w:color w:val="000000"/>
                <w:sz w:val="24"/>
                <w:szCs w:val="24"/>
                <w:highlight w:val="none"/>
              </w:rPr>
            </w:pPr>
          </w:p>
        </w:tc>
        <w:tc>
          <w:tcPr>
            <w:tcW w:w="1151" w:type="dxa"/>
            <w:tcBorders>
              <w:bottom w:val="single" w:color="auto" w:sz="4" w:space="0"/>
            </w:tcBorders>
            <w:vAlign w:val="center"/>
          </w:tcPr>
          <w:p w14:paraId="55FA56B2">
            <w:pPr>
              <w:spacing w:line="360" w:lineRule="auto"/>
              <w:jc w:val="center"/>
              <w:rPr>
                <w:rFonts w:hint="eastAsia" w:ascii="宋体" w:hAnsi="宋体" w:eastAsia="宋体" w:cs="宋体"/>
                <w:color w:val="000000"/>
                <w:sz w:val="24"/>
                <w:szCs w:val="24"/>
                <w:highlight w:val="none"/>
              </w:rPr>
            </w:pPr>
          </w:p>
        </w:tc>
        <w:tc>
          <w:tcPr>
            <w:tcW w:w="1162" w:type="dxa"/>
            <w:tcBorders>
              <w:bottom w:val="single" w:color="auto" w:sz="4" w:space="0"/>
            </w:tcBorders>
            <w:vAlign w:val="center"/>
          </w:tcPr>
          <w:p w14:paraId="514D75AB">
            <w:pPr>
              <w:spacing w:line="360" w:lineRule="auto"/>
              <w:jc w:val="center"/>
              <w:rPr>
                <w:rFonts w:hint="eastAsia" w:ascii="宋体" w:hAnsi="宋体" w:eastAsia="宋体" w:cs="宋体"/>
                <w:color w:val="000000"/>
                <w:sz w:val="24"/>
                <w:szCs w:val="24"/>
                <w:highlight w:val="none"/>
              </w:rPr>
            </w:pPr>
          </w:p>
        </w:tc>
        <w:tc>
          <w:tcPr>
            <w:tcW w:w="1180" w:type="dxa"/>
            <w:tcBorders>
              <w:bottom w:val="single" w:color="auto" w:sz="4" w:space="0"/>
            </w:tcBorders>
            <w:vAlign w:val="center"/>
          </w:tcPr>
          <w:p w14:paraId="792F87A2">
            <w:pPr>
              <w:spacing w:line="360" w:lineRule="auto"/>
              <w:jc w:val="center"/>
              <w:rPr>
                <w:rFonts w:hint="eastAsia" w:ascii="宋体" w:hAnsi="宋体" w:eastAsia="宋体" w:cs="宋体"/>
                <w:color w:val="000000"/>
                <w:sz w:val="24"/>
                <w:szCs w:val="24"/>
                <w:highlight w:val="none"/>
              </w:rPr>
            </w:pPr>
          </w:p>
        </w:tc>
        <w:tc>
          <w:tcPr>
            <w:tcW w:w="1158" w:type="dxa"/>
            <w:tcBorders>
              <w:bottom w:val="single" w:color="auto" w:sz="4" w:space="0"/>
              <w:right w:val="single" w:color="auto" w:sz="4" w:space="0"/>
            </w:tcBorders>
            <w:vAlign w:val="center"/>
          </w:tcPr>
          <w:p w14:paraId="1D780995">
            <w:pPr>
              <w:spacing w:line="360" w:lineRule="auto"/>
              <w:jc w:val="center"/>
              <w:rPr>
                <w:rFonts w:hint="eastAsia" w:ascii="宋体" w:hAnsi="宋体" w:eastAsia="宋体" w:cs="宋体"/>
                <w:color w:val="000000"/>
                <w:sz w:val="24"/>
                <w:szCs w:val="24"/>
                <w:highlight w:val="none"/>
              </w:rPr>
            </w:pPr>
          </w:p>
        </w:tc>
        <w:tc>
          <w:tcPr>
            <w:tcW w:w="1069" w:type="dxa"/>
            <w:tcBorders>
              <w:left w:val="single" w:color="auto" w:sz="4" w:space="0"/>
              <w:bottom w:val="single" w:color="auto" w:sz="4" w:space="0"/>
              <w:right w:val="single" w:color="auto" w:sz="4" w:space="0"/>
            </w:tcBorders>
            <w:vAlign w:val="center"/>
          </w:tcPr>
          <w:p w14:paraId="1444EA14">
            <w:pPr>
              <w:spacing w:line="360" w:lineRule="auto"/>
              <w:jc w:val="center"/>
              <w:rPr>
                <w:rFonts w:hint="eastAsia" w:ascii="宋体" w:hAnsi="宋体" w:eastAsia="宋体" w:cs="宋体"/>
                <w:color w:val="000000"/>
                <w:sz w:val="24"/>
                <w:szCs w:val="24"/>
                <w:highlight w:val="none"/>
              </w:rPr>
            </w:pPr>
          </w:p>
        </w:tc>
      </w:tr>
      <w:tr w14:paraId="3148E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60221358">
            <w:pPr>
              <w:spacing w:line="360" w:lineRule="auto"/>
              <w:jc w:val="center"/>
              <w:rPr>
                <w:rFonts w:hint="eastAsia" w:ascii="宋体" w:hAnsi="宋体" w:eastAsia="宋体" w:cs="宋体"/>
                <w:color w:val="000000"/>
                <w:sz w:val="24"/>
                <w:szCs w:val="24"/>
                <w:highlight w:val="none"/>
              </w:rPr>
            </w:pPr>
          </w:p>
        </w:tc>
        <w:tc>
          <w:tcPr>
            <w:tcW w:w="960" w:type="dxa"/>
            <w:tcBorders>
              <w:top w:val="single" w:color="auto" w:sz="4" w:space="0"/>
              <w:bottom w:val="single" w:color="auto" w:sz="4" w:space="0"/>
            </w:tcBorders>
            <w:vAlign w:val="center"/>
          </w:tcPr>
          <w:p w14:paraId="655842E2">
            <w:pPr>
              <w:spacing w:line="360" w:lineRule="auto"/>
              <w:jc w:val="center"/>
              <w:rPr>
                <w:rFonts w:hint="eastAsia" w:ascii="宋体" w:hAnsi="宋体" w:eastAsia="宋体" w:cs="宋体"/>
                <w:color w:val="000000"/>
                <w:sz w:val="24"/>
                <w:szCs w:val="24"/>
                <w:highlight w:val="none"/>
              </w:rPr>
            </w:pPr>
          </w:p>
        </w:tc>
        <w:tc>
          <w:tcPr>
            <w:tcW w:w="1113" w:type="dxa"/>
            <w:tcBorders>
              <w:top w:val="single" w:color="auto" w:sz="4" w:space="0"/>
              <w:bottom w:val="single" w:color="auto" w:sz="4" w:space="0"/>
            </w:tcBorders>
            <w:vAlign w:val="center"/>
          </w:tcPr>
          <w:p w14:paraId="693CEB61">
            <w:pPr>
              <w:spacing w:line="360" w:lineRule="auto"/>
              <w:jc w:val="center"/>
              <w:rPr>
                <w:rFonts w:hint="eastAsia" w:ascii="宋体" w:hAnsi="宋体" w:eastAsia="宋体" w:cs="宋体"/>
                <w:color w:val="000000"/>
                <w:sz w:val="24"/>
                <w:szCs w:val="24"/>
                <w:highlight w:val="none"/>
              </w:rPr>
            </w:pPr>
          </w:p>
        </w:tc>
        <w:tc>
          <w:tcPr>
            <w:tcW w:w="1151" w:type="dxa"/>
            <w:tcBorders>
              <w:top w:val="single" w:color="auto" w:sz="4" w:space="0"/>
              <w:bottom w:val="single" w:color="auto" w:sz="4" w:space="0"/>
            </w:tcBorders>
            <w:vAlign w:val="center"/>
          </w:tcPr>
          <w:p w14:paraId="2C31829D">
            <w:pPr>
              <w:spacing w:line="360" w:lineRule="auto"/>
              <w:jc w:val="center"/>
              <w:rPr>
                <w:rFonts w:hint="eastAsia" w:ascii="宋体" w:hAnsi="宋体" w:eastAsia="宋体" w:cs="宋体"/>
                <w:color w:val="000000"/>
                <w:sz w:val="24"/>
                <w:szCs w:val="24"/>
                <w:highlight w:val="none"/>
              </w:rPr>
            </w:pPr>
          </w:p>
        </w:tc>
        <w:tc>
          <w:tcPr>
            <w:tcW w:w="1162" w:type="dxa"/>
            <w:tcBorders>
              <w:top w:val="single" w:color="auto" w:sz="4" w:space="0"/>
              <w:bottom w:val="single" w:color="auto" w:sz="4" w:space="0"/>
            </w:tcBorders>
            <w:vAlign w:val="center"/>
          </w:tcPr>
          <w:p w14:paraId="028129D7">
            <w:pPr>
              <w:spacing w:line="360" w:lineRule="auto"/>
              <w:jc w:val="center"/>
              <w:rPr>
                <w:rFonts w:hint="eastAsia" w:ascii="宋体" w:hAnsi="宋体" w:eastAsia="宋体" w:cs="宋体"/>
                <w:color w:val="000000"/>
                <w:sz w:val="24"/>
                <w:szCs w:val="24"/>
                <w:highlight w:val="none"/>
              </w:rPr>
            </w:pPr>
          </w:p>
        </w:tc>
        <w:tc>
          <w:tcPr>
            <w:tcW w:w="1180" w:type="dxa"/>
            <w:tcBorders>
              <w:top w:val="single" w:color="auto" w:sz="4" w:space="0"/>
              <w:bottom w:val="single" w:color="auto" w:sz="4" w:space="0"/>
            </w:tcBorders>
            <w:vAlign w:val="center"/>
          </w:tcPr>
          <w:p w14:paraId="3829E7BA">
            <w:pPr>
              <w:spacing w:line="360" w:lineRule="auto"/>
              <w:jc w:val="center"/>
              <w:rPr>
                <w:rFonts w:hint="eastAsia" w:ascii="宋体" w:hAnsi="宋体" w:eastAsia="宋体" w:cs="宋体"/>
                <w:color w:val="000000"/>
                <w:sz w:val="24"/>
                <w:szCs w:val="24"/>
                <w:highlight w:val="none"/>
              </w:rPr>
            </w:pPr>
          </w:p>
        </w:tc>
        <w:tc>
          <w:tcPr>
            <w:tcW w:w="1158" w:type="dxa"/>
            <w:tcBorders>
              <w:top w:val="single" w:color="auto" w:sz="4" w:space="0"/>
              <w:bottom w:val="single" w:color="auto" w:sz="4" w:space="0"/>
              <w:right w:val="single" w:color="auto" w:sz="4" w:space="0"/>
            </w:tcBorders>
            <w:vAlign w:val="center"/>
          </w:tcPr>
          <w:p w14:paraId="6C1B8070">
            <w:pPr>
              <w:spacing w:line="360" w:lineRule="auto"/>
              <w:jc w:val="center"/>
              <w:rPr>
                <w:rFonts w:hint="eastAsia" w:ascii="宋体" w:hAnsi="宋体" w:eastAsia="宋体" w:cs="宋体"/>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67EA0789">
            <w:pPr>
              <w:spacing w:line="360" w:lineRule="auto"/>
              <w:jc w:val="center"/>
              <w:rPr>
                <w:rFonts w:hint="eastAsia" w:ascii="宋体" w:hAnsi="宋体" w:eastAsia="宋体" w:cs="宋体"/>
                <w:color w:val="000000"/>
                <w:sz w:val="24"/>
                <w:szCs w:val="24"/>
                <w:highlight w:val="none"/>
              </w:rPr>
            </w:pPr>
          </w:p>
        </w:tc>
      </w:tr>
      <w:tr w14:paraId="473E90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vAlign w:val="center"/>
          </w:tcPr>
          <w:p w14:paraId="1F6ADA3C">
            <w:pPr>
              <w:spacing w:line="360" w:lineRule="auto"/>
              <w:jc w:val="center"/>
              <w:rPr>
                <w:rFonts w:hint="eastAsia" w:ascii="宋体" w:hAnsi="宋体" w:eastAsia="宋体" w:cs="宋体"/>
                <w:color w:val="000000"/>
                <w:sz w:val="24"/>
                <w:szCs w:val="24"/>
                <w:highlight w:val="none"/>
              </w:rPr>
            </w:pPr>
          </w:p>
        </w:tc>
        <w:tc>
          <w:tcPr>
            <w:tcW w:w="960" w:type="dxa"/>
            <w:tcBorders>
              <w:top w:val="single" w:color="auto" w:sz="4" w:space="0"/>
              <w:bottom w:val="single" w:color="auto" w:sz="4" w:space="0"/>
            </w:tcBorders>
            <w:vAlign w:val="center"/>
          </w:tcPr>
          <w:p w14:paraId="06BCB7CC">
            <w:pPr>
              <w:spacing w:line="360" w:lineRule="auto"/>
              <w:jc w:val="center"/>
              <w:rPr>
                <w:rFonts w:hint="eastAsia" w:ascii="宋体" w:hAnsi="宋体" w:eastAsia="宋体" w:cs="宋体"/>
                <w:color w:val="000000"/>
                <w:sz w:val="24"/>
                <w:szCs w:val="24"/>
                <w:highlight w:val="none"/>
              </w:rPr>
            </w:pPr>
          </w:p>
        </w:tc>
        <w:tc>
          <w:tcPr>
            <w:tcW w:w="1113" w:type="dxa"/>
            <w:tcBorders>
              <w:top w:val="single" w:color="auto" w:sz="4" w:space="0"/>
              <w:bottom w:val="single" w:color="auto" w:sz="4" w:space="0"/>
            </w:tcBorders>
            <w:vAlign w:val="center"/>
          </w:tcPr>
          <w:p w14:paraId="65A599B1">
            <w:pPr>
              <w:spacing w:line="360" w:lineRule="auto"/>
              <w:jc w:val="center"/>
              <w:rPr>
                <w:rFonts w:hint="eastAsia" w:ascii="宋体" w:hAnsi="宋体" w:eastAsia="宋体" w:cs="宋体"/>
                <w:color w:val="000000"/>
                <w:sz w:val="24"/>
                <w:szCs w:val="24"/>
                <w:highlight w:val="none"/>
              </w:rPr>
            </w:pPr>
          </w:p>
        </w:tc>
        <w:tc>
          <w:tcPr>
            <w:tcW w:w="1151" w:type="dxa"/>
            <w:tcBorders>
              <w:top w:val="single" w:color="auto" w:sz="4" w:space="0"/>
              <w:bottom w:val="single" w:color="auto" w:sz="4" w:space="0"/>
            </w:tcBorders>
            <w:vAlign w:val="center"/>
          </w:tcPr>
          <w:p w14:paraId="4CA8F3DD">
            <w:pPr>
              <w:spacing w:line="360" w:lineRule="auto"/>
              <w:jc w:val="center"/>
              <w:rPr>
                <w:rFonts w:hint="eastAsia" w:ascii="宋体" w:hAnsi="宋体" w:eastAsia="宋体" w:cs="宋体"/>
                <w:color w:val="000000"/>
                <w:sz w:val="24"/>
                <w:szCs w:val="24"/>
                <w:highlight w:val="none"/>
              </w:rPr>
            </w:pPr>
          </w:p>
        </w:tc>
        <w:tc>
          <w:tcPr>
            <w:tcW w:w="1162" w:type="dxa"/>
            <w:tcBorders>
              <w:top w:val="single" w:color="auto" w:sz="4" w:space="0"/>
              <w:bottom w:val="single" w:color="auto" w:sz="4" w:space="0"/>
            </w:tcBorders>
            <w:vAlign w:val="center"/>
          </w:tcPr>
          <w:p w14:paraId="3ECF22DE">
            <w:pPr>
              <w:spacing w:line="360" w:lineRule="auto"/>
              <w:jc w:val="center"/>
              <w:rPr>
                <w:rFonts w:hint="eastAsia" w:ascii="宋体" w:hAnsi="宋体" w:eastAsia="宋体" w:cs="宋体"/>
                <w:color w:val="000000"/>
                <w:sz w:val="24"/>
                <w:szCs w:val="24"/>
                <w:highlight w:val="none"/>
              </w:rPr>
            </w:pPr>
          </w:p>
        </w:tc>
        <w:tc>
          <w:tcPr>
            <w:tcW w:w="1180" w:type="dxa"/>
            <w:tcBorders>
              <w:top w:val="single" w:color="auto" w:sz="4" w:space="0"/>
              <w:bottom w:val="single" w:color="auto" w:sz="4" w:space="0"/>
            </w:tcBorders>
            <w:vAlign w:val="center"/>
          </w:tcPr>
          <w:p w14:paraId="3C23B20B">
            <w:pPr>
              <w:spacing w:line="360" w:lineRule="auto"/>
              <w:jc w:val="center"/>
              <w:rPr>
                <w:rFonts w:hint="eastAsia" w:ascii="宋体" w:hAnsi="宋体" w:eastAsia="宋体" w:cs="宋体"/>
                <w:color w:val="000000"/>
                <w:sz w:val="24"/>
                <w:szCs w:val="24"/>
                <w:highlight w:val="none"/>
              </w:rPr>
            </w:pPr>
          </w:p>
        </w:tc>
        <w:tc>
          <w:tcPr>
            <w:tcW w:w="1158" w:type="dxa"/>
            <w:tcBorders>
              <w:top w:val="single" w:color="auto" w:sz="4" w:space="0"/>
              <w:bottom w:val="single" w:color="auto" w:sz="4" w:space="0"/>
              <w:right w:val="single" w:color="auto" w:sz="4" w:space="0"/>
            </w:tcBorders>
            <w:vAlign w:val="center"/>
          </w:tcPr>
          <w:p w14:paraId="799DD382">
            <w:pPr>
              <w:spacing w:line="360" w:lineRule="auto"/>
              <w:jc w:val="center"/>
              <w:rPr>
                <w:rFonts w:hint="eastAsia" w:ascii="宋体" w:hAnsi="宋体" w:eastAsia="宋体" w:cs="宋体"/>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07A3421B">
            <w:pPr>
              <w:spacing w:line="360" w:lineRule="auto"/>
              <w:jc w:val="center"/>
              <w:rPr>
                <w:rFonts w:hint="eastAsia" w:ascii="宋体" w:hAnsi="宋体" w:eastAsia="宋体" w:cs="宋体"/>
                <w:color w:val="000000"/>
                <w:sz w:val="24"/>
                <w:szCs w:val="24"/>
                <w:highlight w:val="none"/>
              </w:rPr>
            </w:pPr>
          </w:p>
        </w:tc>
      </w:tr>
      <w:tr w14:paraId="44BDA4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50" w:hRule="atLeast"/>
          <w:jc w:val="center"/>
        </w:trPr>
        <w:tc>
          <w:tcPr>
            <w:tcW w:w="606" w:type="dxa"/>
            <w:tcBorders>
              <w:top w:val="single" w:color="auto" w:sz="4" w:space="0"/>
              <w:bottom w:val="single" w:color="auto" w:sz="4" w:space="0"/>
            </w:tcBorders>
            <w:vAlign w:val="center"/>
          </w:tcPr>
          <w:p w14:paraId="42AFC9CF">
            <w:pPr>
              <w:spacing w:line="360" w:lineRule="auto"/>
              <w:jc w:val="center"/>
              <w:rPr>
                <w:rFonts w:hint="eastAsia" w:ascii="宋体" w:hAnsi="宋体" w:eastAsia="宋体" w:cs="宋体"/>
                <w:color w:val="000000"/>
                <w:sz w:val="24"/>
                <w:szCs w:val="24"/>
                <w:highlight w:val="none"/>
              </w:rPr>
            </w:pPr>
          </w:p>
        </w:tc>
        <w:tc>
          <w:tcPr>
            <w:tcW w:w="960" w:type="dxa"/>
            <w:tcBorders>
              <w:top w:val="single" w:color="auto" w:sz="4" w:space="0"/>
              <w:bottom w:val="single" w:color="auto" w:sz="4" w:space="0"/>
            </w:tcBorders>
            <w:vAlign w:val="center"/>
          </w:tcPr>
          <w:p w14:paraId="4A5C9071">
            <w:pPr>
              <w:spacing w:line="360" w:lineRule="auto"/>
              <w:jc w:val="center"/>
              <w:rPr>
                <w:rFonts w:hint="eastAsia" w:ascii="宋体" w:hAnsi="宋体" w:eastAsia="宋体" w:cs="宋体"/>
                <w:color w:val="000000"/>
                <w:sz w:val="24"/>
                <w:szCs w:val="24"/>
                <w:highlight w:val="none"/>
              </w:rPr>
            </w:pPr>
          </w:p>
        </w:tc>
        <w:tc>
          <w:tcPr>
            <w:tcW w:w="1113" w:type="dxa"/>
            <w:tcBorders>
              <w:top w:val="single" w:color="auto" w:sz="4" w:space="0"/>
              <w:bottom w:val="single" w:color="auto" w:sz="4" w:space="0"/>
            </w:tcBorders>
            <w:vAlign w:val="center"/>
          </w:tcPr>
          <w:p w14:paraId="3169A8FB">
            <w:pPr>
              <w:spacing w:line="360" w:lineRule="auto"/>
              <w:jc w:val="center"/>
              <w:rPr>
                <w:rFonts w:hint="eastAsia" w:ascii="宋体" w:hAnsi="宋体" w:eastAsia="宋体" w:cs="宋体"/>
                <w:color w:val="000000"/>
                <w:sz w:val="24"/>
                <w:szCs w:val="24"/>
                <w:highlight w:val="none"/>
              </w:rPr>
            </w:pPr>
          </w:p>
        </w:tc>
        <w:tc>
          <w:tcPr>
            <w:tcW w:w="1151" w:type="dxa"/>
            <w:tcBorders>
              <w:top w:val="single" w:color="auto" w:sz="4" w:space="0"/>
              <w:bottom w:val="single" w:color="auto" w:sz="4" w:space="0"/>
            </w:tcBorders>
            <w:vAlign w:val="center"/>
          </w:tcPr>
          <w:p w14:paraId="7DB7F2E1">
            <w:pPr>
              <w:spacing w:line="360" w:lineRule="auto"/>
              <w:jc w:val="center"/>
              <w:rPr>
                <w:rFonts w:hint="eastAsia" w:ascii="宋体" w:hAnsi="宋体" w:eastAsia="宋体" w:cs="宋体"/>
                <w:color w:val="000000"/>
                <w:sz w:val="24"/>
                <w:szCs w:val="24"/>
                <w:highlight w:val="none"/>
              </w:rPr>
            </w:pPr>
          </w:p>
        </w:tc>
        <w:tc>
          <w:tcPr>
            <w:tcW w:w="1162" w:type="dxa"/>
            <w:tcBorders>
              <w:top w:val="single" w:color="auto" w:sz="4" w:space="0"/>
              <w:bottom w:val="single" w:color="auto" w:sz="4" w:space="0"/>
            </w:tcBorders>
            <w:vAlign w:val="center"/>
          </w:tcPr>
          <w:p w14:paraId="69B1E0F8">
            <w:pPr>
              <w:spacing w:line="360" w:lineRule="auto"/>
              <w:jc w:val="center"/>
              <w:rPr>
                <w:rFonts w:hint="eastAsia" w:ascii="宋体" w:hAnsi="宋体" w:eastAsia="宋体" w:cs="宋体"/>
                <w:color w:val="000000"/>
                <w:sz w:val="24"/>
                <w:szCs w:val="24"/>
                <w:highlight w:val="none"/>
              </w:rPr>
            </w:pPr>
          </w:p>
        </w:tc>
        <w:tc>
          <w:tcPr>
            <w:tcW w:w="1180" w:type="dxa"/>
            <w:tcBorders>
              <w:top w:val="single" w:color="auto" w:sz="4" w:space="0"/>
              <w:bottom w:val="single" w:color="auto" w:sz="4" w:space="0"/>
            </w:tcBorders>
            <w:vAlign w:val="center"/>
          </w:tcPr>
          <w:p w14:paraId="787E6EA7">
            <w:pPr>
              <w:spacing w:line="360" w:lineRule="auto"/>
              <w:jc w:val="center"/>
              <w:rPr>
                <w:rFonts w:hint="eastAsia" w:ascii="宋体" w:hAnsi="宋体" w:eastAsia="宋体" w:cs="宋体"/>
                <w:color w:val="000000"/>
                <w:sz w:val="24"/>
                <w:szCs w:val="24"/>
                <w:highlight w:val="none"/>
              </w:rPr>
            </w:pPr>
          </w:p>
        </w:tc>
        <w:tc>
          <w:tcPr>
            <w:tcW w:w="1158" w:type="dxa"/>
            <w:tcBorders>
              <w:top w:val="single" w:color="auto" w:sz="4" w:space="0"/>
              <w:bottom w:val="single" w:color="auto" w:sz="4" w:space="0"/>
              <w:right w:val="single" w:color="auto" w:sz="4" w:space="0"/>
            </w:tcBorders>
            <w:vAlign w:val="center"/>
          </w:tcPr>
          <w:p w14:paraId="23396C15">
            <w:pPr>
              <w:spacing w:line="360" w:lineRule="auto"/>
              <w:jc w:val="center"/>
              <w:rPr>
                <w:rFonts w:hint="eastAsia" w:ascii="宋体" w:hAnsi="宋体" w:eastAsia="宋体" w:cs="宋体"/>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14:paraId="0BA03E74">
            <w:pPr>
              <w:spacing w:line="360" w:lineRule="auto"/>
              <w:jc w:val="center"/>
              <w:rPr>
                <w:rFonts w:hint="eastAsia" w:ascii="宋体" w:hAnsi="宋体" w:eastAsia="宋体" w:cs="宋体"/>
                <w:color w:val="000000"/>
                <w:sz w:val="24"/>
                <w:szCs w:val="24"/>
                <w:highlight w:val="none"/>
              </w:rPr>
            </w:pPr>
          </w:p>
        </w:tc>
      </w:tr>
      <w:tr w14:paraId="19D9C8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35" w:hRule="atLeast"/>
          <w:jc w:val="center"/>
        </w:trPr>
        <w:tc>
          <w:tcPr>
            <w:tcW w:w="606" w:type="dxa"/>
            <w:tcBorders>
              <w:top w:val="single" w:color="auto" w:sz="4" w:space="0"/>
            </w:tcBorders>
            <w:vAlign w:val="center"/>
          </w:tcPr>
          <w:p w14:paraId="0120142A">
            <w:pPr>
              <w:spacing w:line="360" w:lineRule="auto"/>
              <w:jc w:val="center"/>
              <w:rPr>
                <w:rFonts w:hint="eastAsia" w:ascii="宋体" w:hAnsi="宋体" w:eastAsia="宋体" w:cs="宋体"/>
                <w:color w:val="000000"/>
                <w:sz w:val="24"/>
                <w:szCs w:val="24"/>
                <w:highlight w:val="none"/>
              </w:rPr>
            </w:pPr>
          </w:p>
        </w:tc>
        <w:tc>
          <w:tcPr>
            <w:tcW w:w="960" w:type="dxa"/>
            <w:tcBorders>
              <w:top w:val="single" w:color="auto" w:sz="4" w:space="0"/>
            </w:tcBorders>
            <w:vAlign w:val="center"/>
          </w:tcPr>
          <w:p w14:paraId="0DBE5162">
            <w:pPr>
              <w:spacing w:line="360" w:lineRule="auto"/>
              <w:jc w:val="center"/>
              <w:rPr>
                <w:rFonts w:hint="eastAsia" w:ascii="宋体" w:hAnsi="宋体" w:eastAsia="宋体" w:cs="宋体"/>
                <w:color w:val="000000"/>
                <w:sz w:val="24"/>
                <w:szCs w:val="24"/>
                <w:highlight w:val="none"/>
              </w:rPr>
            </w:pPr>
          </w:p>
        </w:tc>
        <w:tc>
          <w:tcPr>
            <w:tcW w:w="1113" w:type="dxa"/>
            <w:tcBorders>
              <w:top w:val="single" w:color="auto" w:sz="4" w:space="0"/>
            </w:tcBorders>
            <w:vAlign w:val="center"/>
          </w:tcPr>
          <w:p w14:paraId="72CADD63">
            <w:pPr>
              <w:spacing w:line="360" w:lineRule="auto"/>
              <w:jc w:val="center"/>
              <w:rPr>
                <w:rFonts w:hint="eastAsia" w:ascii="宋体" w:hAnsi="宋体" w:eastAsia="宋体" w:cs="宋体"/>
                <w:color w:val="000000"/>
                <w:sz w:val="24"/>
                <w:szCs w:val="24"/>
                <w:highlight w:val="none"/>
              </w:rPr>
            </w:pPr>
          </w:p>
        </w:tc>
        <w:tc>
          <w:tcPr>
            <w:tcW w:w="1151" w:type="dxa"/>
            <w:tcBorders>
              <w:top w:val="single" w:color="auto" w:sz="4" w:space="0"/>
            </w:tcBorders>
            <w:vAlign w:val="center"/>
          </w:tcPr>
          <w:p w14:paraId="50B0238B">
            <w:pPr>
              <w:spacing w:line="360" w:lineRule="auto"/>
              <w:jc w:val="center"/>
              <w:rPr>
                <w:rFonts w:hint="eastAsia" w:ascii="宋体" w:hAnsi="宋体" w:eastAsia="宋体" w:cs="宋体"/>
                <w:color w:val="000000"/>
                <w:sz w:val="24"/>
                <w:szCs w:val="24"/>
                <w:highlight w:val="none"/>
              </w:rPr>
            </w:pPr>
          </w:p>
        </w:tc>
        <w:tc>
          <w:tcPr>
            <w:tcW w:w="1162" w:type="dxa"/>
            <w:tcBorders>
              <w:top w:val="single" w:color="auto" w:sz="4" w:space="0"/>
            </w:tcBorders>
            <w:vAlign w:val="center"/>
          </w:tcPr>
          <w:p w14:paraId="5F563A7E">
            <w:pPr>
              <w:spacing w:line="360" w:lineRule="auto"/>
              <w:jc w:val="center"/>
              <w:rPr>
                <w:rFonts w:hint="eastAsia" w:ascii="宋体" w:hAnsi="宋体" w:eastAsia="宋体" w:cs="宋体"/>
                <w:color w:val="000000"/>
                <w:sz w:val="24"/>
                <w:szCs w:val="24"/>
                <w:highlight w:val="none"/>
              </w:rPr>
            </w:pPr>
          </w:p>
        </w:tc>
        <w:tc>
          <w:tcPr>
            <w:tcW w:w="1180" w:type="dxa"/>
            <w:tcBorders>
              <w:top w:val="single" w:color="auto" w:sz="4" w:space="0"/>
            </w:tcBorders>
            <w:vAlign w:val="center"/>
          </w:tcPr>
          <w:p w14:paraId="56174ED2">
            <w:pPr>
              <w:spacing w:line="360" w:lineRule="auto"/>
              <w:jc w:val="center"/>
              <w:rPr>
                <w:rFonts w:hint="eastAsia" w:ascii="宋体" w:hAnsi="宋体" w:eastAsia="宋体" w:cs="宋体"/>
                <w:color w:val="000000"/>
                <w:sz w:val="24"/>
                <w:szCs w:val="24"/>
                <w:highlight w:val="none"/>
              </w:rPr>
            </w:pPr>
          </w:p>
        </w:tc>
        <w:tc>
          <w:tcPr>
            <w:tcW w:w="1158" w:type="dxa"/>
            <w:tcBorders>
              <w:top w:val="single" w:color="auto" w:sz="4" w:space="0"/>
              <w:right w:val="single" w:color="auto" w:sz="4" w:space="0"/>
            </w:tcBorders>
            <w:vAlign w:val="center"/>
          </w:tcPr>
          <w:p w14:paraId="672A2AAF">
            <w:pPr>
              <w:spacing w:line="360" w:lineRule="auto"/>
              <w:jc w:val="center"/>
              <w:rPr>
                <w:rFonts w:hint="eastAsia" w:ascii="宋体" w:hAnsi="宋体" w:eastAsia="宋体" w:cs="宋体"/>
                <w:color w:val="000000"/>
                <w:sz w:val="24"/>
                <w:szCs w:val="24"/>
                <w:highlight w:val="none"/>
              </w:rPr>
            </w:pPr>
          </w:p>
        </w:tc>
        <w:tc>
          <w:tcPr>
            <w:tcW w:w="1069" w:type="dxa"/>
            <w:tcBorders>
              <w:top w:val="single" w:color="auto" w:sz="4" w:space="0"/>
              <w:left w:val="single" w:color="auto" w:sz="4" w:space="0"/>
              <w:right w:val="single" w:color="auto" w:sz="4" w:space="0"/>
            </w:tcBorders>
            <w:vAlign w:val="center"/>
          </w:tcPr>
          <w:p w14:paraId="7DEFCCBF">
            <w:pPr>
              <w:spacing w:line="360" w:lineRule="auto"/>
              <w:jc w:val="center"/>
              <w:rPr>
                <w:rFonts w:hint="eastAsia" w:ascii="宋体" w:hAnsi="宋体" w:eastAsia="宋体" w:cs="宋体"/>
                <w:color w:val="000000"/>
                <w:sz w:val="24"/>
                <w:szCs w:val="24"/>
                <w:highlight w:val="none"/>
              </w:rPr>
            </w:pPr>
          </w:p>
        </w:tc>
      </w:tr>
    </w:tbl>
    <w:p w14:paraId="7E6A159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7491B18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1.本表后附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近三年完成的</w:t>
      </w:r>
      <w:r>
        <w:rPr>
          <w:rFonts w:hint="eastAsia" w:ascii="宋体" w:hAnsi="宋体" w:cs="宋体"/>
          <w:sz w:val="24"/>
          <w:szCs w:val="24"/>
          <w:highlight w:val="none"/>
          <w:lang w:val="en-US" w:eastAsia="zh-CN"/>
        </w:rPr>
        <w:t>类似项目</w:t>
      </w:r>
      <w:r>
        <w:rPr>
          <w:rFonts w:hint="eastAsia" w:ascii="宋体" w:hAnsi="宋体" w:eastAsia="宋体" w:cs="宋体"/>
          <w:sz w:val="24"/>
          <w:szCs w:val="24"/>
          <w:highlight w:val="none"/>
        </w:rPr>
        <w:t>业绩</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须提供</w:t>
      </w:r>
      <w:r>
        <w:rPr>
          <w:rFonts w:hint="eastAsia" w:ascii="宋体" w:hAnsi="宋体" w:eastAsia="宋体" w:cs="宋体"/>
          <w:sz w:val="24"/>
          <w:szCs w:val="24"/>
          <w:highlight w:val="none"/>
          <w:lang w:val="en-US" w:eastAsia="zh-CN"/>
        </w:rPr>
        <w:t>中标通知书及采购合同</w:t>
      </w:r>
      <w:r>
        <w:rPr>
          <w:rFonts w:hint="eastAsia" w:ascii="宋体" w:hAnsi="宋体" w:eastAsia="宋体" w:cs="宋体"/>
          <w:sz w:val="24"/>
          <w:szCs w:val="24"/>
          <w:highlight w:val="none"/>
        </w:rPr>
        <w:t>（至少包括合同首页、标的页、签字盖章页、</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内容页）彩色扫描件等证明材料</w:t>
      </w:r>
      <w:r>
        <w:rPr>
          <w:rFonts w:hint="eastAsia" w:ascii="宋体" w:hAnsi="宋体" w:cs="宋体"/>
          <w:sz w:val="24"/>
          <w:szCs w:val="24"/>
          <w:highlight w:val="none"/>
          <w:lang w:eastAsia="zh-CN"/>
        </w:rPr>
        <w:t>。</w:t>
      </w:r>
    </w:p>
    <w:p w14:paraId="13BBD7E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2.具体年份要求：</w:t>
      </w:r>
      <w:r>
        <w:rPr>
          <w:rFonts w:hint="eastAsia" w:ascii="宋体" w:hAnsi="宋体" w:eastAsia="宋体" w:cs="宋体"/>
          <w:sz w:val="24"/>
          <w:szCs w:val="24"/>
          <w:highlight w:val="none"/>
          <w:lang w:val="en-US" w:eastAsia="zh-CN"/>
        </w:rPr>
        <w:t>近三年，</w:t>
      </w:r>
      <w:r>
        <w:rPr>
          <w:rFonts w:hint="eastAsia" w:ascii="宋体" w:hAnsi="宋体" w:eastAsia="宋体" w:cs="宋体"/>
          <w:sz w:val="24"/>
          <w:szCs w:val="24"/>
          <w:highlight w:val="none"/>
          <w:lang w:eastAsia="zh-CN"/>
        </w:rPr>
        <w:t>自投标截止日往前推算</w:t>
      </w:r>
      <w:r>
        <w:rPr>
          <w:rFonts w:hint="eastAsia" w:ascii="宋体" w:hAnsi="宋体" w:eastAsia="宋体" w:cs="宋体"/>
          <w:sz w:val="24"/>
          <w:szCs w:val="24"/>
          <w:highlight w:val="none"/>
        </w:rPr>
        <w:t>，业绩认定日期以</w:t>
      </w:r>
      <w:r>
        <w:rPr>
          <w:rFonts w:hint="eastAsia" w:ascii="宋体" w:hAnsi="宋体" w:eastAsia="宋体" w:cs="宋体"/>
          <w:sz w:val="24"/>
          <w:szCs w:val="24"/>
          <w:highlight w:val="none"/>
          <w:lang w:val="en-US" w:eastAsia="zh-CN"/>
        </w:rPr>
        <w:t>合同签订日期</w:t>
      </w:r>
      <w:r>
        <w:rPr>
          <w:rFonts w:hint="eastAsia" w:ascii="宋体" w:hAnsi="宋体" w:eastAsia="宋体" w:cs="宋体"/>
          <w:sz w:val="24"/>
          <w:szCs w:val="24"/>
          <w:highlight w:val="none"/>
        </w:rPr>
        <w:t>为准。</w:t>
      </w:r>
    </w:p>
    <w:p w14:paraId="4FFA3CBA">
      <w:pPr>
        <w:spacing w:line="360" w:lineRule="auto"/>
        <w:ind w:left="360"/>
        <w:jc w:val="center"/>
        <w:rPr>
          <w:rFonts w:hint="eastAsia" w:ascii="宋体" w:hAnsi="宋体" w:eastAsia="宋体" w:cs="宋体"/>
          <w:color w:val="000000"/>
          <w:sz w:val="24"/>
          <w:szCs w:val="24"/>
          <w:highlight w:val="none"/>
        </w:rPr>
      </w:pPr>
    </w:p>
    <w:p w14:paraId="395A8D46">
      <w:pPr>
        <w:adjustRightInd w:val="0"/>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投标人名称（盖章）：         </w:t>
      </w:r>
    </w:p>
    <w:p w14:paraId="394628C0">
      <w:pPr>
        <w:adjustRightInd w:val="0"/>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授权人或被授权人（签字或盖章）</w:t>
      </w:r>
      <w:r>
        <w:rPr>
          <w:rFonts w:hint="eastAsia" w:ascii="宋体" w:hAnsi="宋体" w:eastAsia="宋体" w:cs="宋体"/>
          <w:bCs/>
          <w:color w:val="000000"/>
          <w:sz w:val="24"/>
          <w:szCs w:val="24"/>
          <w:highlight w:val="none"/>
        </w:rPr>
        <w:t>：</w:t>
      </w:r>
    </w:p>
    <w:p w14:paraId="6323D44F">
      <w:pPr>
        <w:adjustRightInd w:val="0"/>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20295F48">
      <w:pPr>
        <w:pStyle w:val="4"/>
        <w:numPr>
          <w:ilvl w:val="0"/>
          <w:numId w:val="0"/>
        </w:numPr>
        <w:spacing w:before="156" w:after="156" w:line="360" w:lineRule="auto"/>
        <w:jc w:val="center"/>
        <w:rPr>
          <w:rFonts w:hint="eastAsia" w:ascii="宋体" w:hAnsi="宋体" w:eastAsia="宋体" w:cs="宋体"/>
          <w:color w:val="000000"/>
          <w:sz w:val="24"/>
          <w:szCs w:val="24"/>
          <w:highlight w:val="none"/>
        </w:rPr>
      </w:pPr>
      <w:bookmarkStart w:id="147" w:name="_Toc217446091"/>
      <w:r>
        <w:rPr>
          <w:rFonts w:hint="eastAsia" w:ascii="宋体" w:hAnsi="宋体" w:eastAsia="宋体" w:cs="宋体"/>
          <w:bCs w:val="0"/>
          <w:color w:val="000000"/>
          <w:kern w:val="0"/>
          <w:sz w:val="24"/>
          <w:szCs w:val="24"/>
          <w:highlight w:val="none"/>
          <w:lang w:val="en-US" w:eastAsia="zh-CN"/>
        </w:rPr>
        <w:t>六、</w:t>
      </w:r>
      <w:r>
        <w:rPr>
          <w:rFonts w:hint="eastAsia" w:ascii="宋体" w:hAnsi="宋体" w:eastAsia="宋体" w:cs="宋体"/>
          <w:color w:val="000000"/>
          <w:sz w:val="24"/>
          <w:szCs w:val="24"/>
          <w:highlight w:val="none"/>
        </w:rPr>
        <w:t>商务、技术需求偏离表</w:t>
      </w:r>
    </w:p>
    <w:p w14:paraId="4E4D7CCE">
      <w:pPr>
        <w:numPr>
          <w:ilvl w:val="0"/>
          <w:numId w:val="0"/>
        </w:num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rPr>
        <w:t>商务</w:t>
      </w:r>
      <w:r>
        <w:rPr>
          <w:rFonts w:hint="eastAsia" w:ascii="宋体" w:hAnsi="宋体" w:eastAsia="宋体" w:cs="宋体"/>
          <w:b/>
          <w:bCs/>
          <w:color w:val="000000"/>
          <w:sz w:val="24"/>
          <w:szCs w:val="24"/>
          <w:highlight w:val="none"/>
          <w:lang w:val="en-US" w:eastAsia="zh-CN"/>
        </w:rPr>
        <w:t>条款偏离表</w:t>
      </w:r>
    </w:p>
    <w:tbl>
      <w:tblPr>
        <w:tblStyle w:val="31"/>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7D30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382E571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vAlign w:val="center"/>
          </w:tcPr>
          <w:p w14:paraId="3478C092">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vAlign w:val="center"/>
          </w:tcPr>
          <w:p w14:paraId="48988D1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1293F98C">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vAlign w:val="center"/>
          </w:tcPr>
          <w:p w14:paraId="00E16CE7">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37A1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E1B7723">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vAlign w:val="center"/>
          </w:tcPr>
          <w:p w14:paraId="51D48E4A">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质量和服务要求；</w:t>
            </w:r>
          </w:p>
        </w:tc>
        <w:tc>
          <w:tcPr>
            <w:tcW w:w="1008" w:type="dxa"/>
            <w:vAlign w:val="center"/>
          </w:tcPr>
          <w:p w14:paraId="193D179A">
            <w:pPr>
              <w:pStyle w:val="61"/>
              <w:keepNext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ascii="宋体" w:hAnsi="宋体" w:eastAsia="宋体" w:cs="宋体"/>
                <w:color w:val="auto"/>
                <w:spacing w:val="0"/>
                <w:kern w:val="2"/>
                <w:sz w:val="24"/>
                <w:szCs w:val="24"/>
                <w:highlight w:val="none"/>
              </w:rPr>
            </w:pPr>
          </w:p>
        </w:tc>
        <w:tc>
          <w:tcPr>
            <w:tcW w:w="1164" w:type="dxa"/>
            <w:vAlign w:val="center"/>
          </w:tcPr>
          <w:p w14:paraId="193DAA23">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75D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B1C70D2">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vAlign w:val="center"/>
          </w:tcPr>
          <w:p w14:paraId="7E90C13A">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完全理解并接受对投标人的各项须知、规约要求和责任义务；</w:t>
            </w:r>
          </w:p>
        </w:tc>
        <w:tc>
          <w:tcPr>
            <w:tcW w:w="1008" w:type="dxa"/>
            <w:vAlign w:val="center"/>
          </w:tcPr>
          <w:p w14:paraId="231487D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70AB9D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419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439B43D">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vAlign w:val="center"/>
          </w:tcPr>
          <w:p w14:paraId="71A9555E">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vAlign w:val="center"/>
          </w:tcPr>
          <w:p w14:paraId="02445F0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893DA50">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053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DE72D3D">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vAlign w:val="center"/>
          </w:tcPr>
          <w:p w14:paraId="0F5F3875">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vAlign w:val="center"/>
          </w:tcPr>
          <w:p w14:paraId="759AA11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45B68BF9">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74E2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7A0645E5">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vAlign w:val="center"/>
          </w:tcPr>
          <w:p w14:paraId="3B89D294">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来源证明或合法性证明；</w:t>
            </w:r>
          </w:p>
        </w:tc>
        <w:tc>
          <w:tcPr>
            <w:tcW w:w="1008" w:type="dxa"/>
            <w:vAlign w:val="center"/>
          </w:tcPr>
          <w:p w14:paraId="7285D10C">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720C8D8">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060E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6F2A3A0D">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vAlign w:val="center"/>
          </w:tcPr>
          <w:p w14:paraId="6D5F965B">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8" w:type="dxa"/>
            <w:vAlign w:val="center"/>
          </w:tcPr>
          <w:p w14:paraId="6E1DB59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BCC5291">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7DD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476A474">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vAlign w:val="center"/>
          </w:tcPr>
          <w:p w14:paraId="05C12F2C">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vAlign w:val="center"/>
          </w:tcPr>
          <w:p w14:paraId="1F18FD43">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F4FA6D4">
            <w:pPr>
              <w:pStyle w:val="61"/>
              <w:keepNext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ascii="宋体" w:hAnsi="宋体" w:eastAsia="宋体" w:cs="宋体"/>
                <w:color w:val="auto"/>
                <w:spacing w:val="0"/>
                <w:kern w:val="2"/>
                <w:sz w:val="24"/>
                <w:szCs w:val="24"/>
                <w:highlight w:val="none"/>
              </w:rPr>
            </w:pPr>
          </w:p>
        </w:tc>
      </w:tr>
      <w:tr w14:paraId="1A5B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8111703">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vAlign w:val="center"/>
          </w:tcPr>
          <w:p w14:paraId="10574818">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相关进度安排要求；</w:t>
            </w:r>
          </w:p>
        </w:tc>
        <w:tc>
          <w:tcPr>
            <w:tcW w:w="1008" w:type="dxa"/>
            <w:vAlign w:val="center"/>
          </w:tcPr>
          <w:p w14:paraId="5C59898D">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622B0B4">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4C3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132D7B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vAlign w:val="center"/>
          </w:tcPr>
          <w:p w14:paraId="29FC2C7A">
            <w:pPr>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vAlign w:val="center"/>
          </w:tcPr>
          <w:p w14:paraId="7D0E90A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7BB2387E">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p>
        </w:tc>
      </w:tr>
      <w:tr w14:paraId="561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5D007F68">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vAlign w:val="center"/>
          </w:tcPr>
          <w:p w14:paraId="2C087974">
            <w:pPr>
              <w:pStyle w:val="23"/>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0E8C17AD">
            <w:pPr>
              <w:pStyle w:val="62"/>
              <w:keepNext w:val="0"/>
              <w:pageBreakBefore w:val="0"/>
              <w:widowControl w:val="0"/>
              <w:numPr>
                <w:ilvl w:val="0"/>
                <w:numId w:val="0"/>
              </w:numPr>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p>
        </w:tc>
        <w:tc>
          <w:tcPr>
            <w:tcW w:w="1164" w:type="dxa"/>
            <w:vAlign w:val="center"/>
          </w:tcPr>
          <w:p w14:paraId="485D6C5A">
            <w:pPr>
              <w:pStyle w:val="61"/>
              <w:keepNext w:val="0"/>
              <w:pageBreakBefore w:val="0"/>
              <w:widowControl w:val="0"/>
              <w:kinsoku/>
              <w:wordWrap/>
              <w:overflowPunct/>
              <w:topLinePunct w:val="0"/>
              <w:autoSpaceDE/>
              <w:autoSpaceDN/>
              <w:bidi w:val="0"/>
              <w:adjustRightInd/>
              <w:snapToGrid/>
              <w:spacing w:before="0" w:after="0" w:line="360" w:lineRule="auto"/>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02B1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62AF5FDF">
            <w:pPr>
              <w:keepNext w:val="0"/>
              <w:pageBreakBefore w:val="0"/>
              <w:widowControl w:val="0"/>
              <w:kinsoku/>
              <w:wordWrap/>
              <w:overflowPunct/>
              <w:topLinePunct w:val="0"/>
              <w:autoSpaceDE/>
              <w:autoSpaceDN/>
              <w:bidi w:val="0"/>
              <w:snapToGrid/>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850" w:type="dxa"/>
            <w:vAlign w:val="center"/>
          </w:tcPr>
          <w:p w14:paraId="62A484F5">
            <w:pPr>
              <w:pStyle w:val="23"/>
              <w:keepNext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vAlign w:val="center"/>
          </w:tcPr>
          <w:p w14:paraId="0B866BE8">
            <w:pPr>
              <w:pStyle w:val="62"/>
              <w:keepNext w:val="0"/>
              <w:pageBreakBefore w:val="0"/>
              <w:widowControl w:val="0"/>
              <w:numPr>
                <w:ilvl w:val="0"/>
                <w:numId w:val="0"/>
              </w:numPr>
              <w:kinsoku/>
              <w:wordWrap/>
              <w:overflowPunct/>
              <w:topLinePunct w:val="0"/>
              <w:autoSpaceDE/>
              <w:autoSpaceDN/>
              <w:bidi w:val="0"/>
              <w:snapToGrid/>
              <w:spacing w:line="360" w:lineRule="auto"/>
              <w:ind w:left="0" w:leftChars="0" w:right="0" w:rightChars="0"/>
              <w:rPr>
                <w:rFonts w:hint="eastAsia" w:ascii="宋体" w:hAnsi="宋体" w:eastAsia="宋体" w:cs="宋体"/>
                <w:color w:val="auto"/>
                <w:sz w:val="24"/>
                <w:szCs w:val="24"/>
                <w:highlight w:val="none"/>
              </w:rPr>
            </w:pPr>
          </w:p>
        </w:tc>
        <w:tc>
          <w:tcPr>
            <w:tcW w:w="1164" w:type="dxa"/>
            <w:vAlign w:val="center"/>
          </w:tcPr>
          <w:p w14:paraId="5BC43601">
            <w:pPr>
              <w:pStyle w:val="61"/>
              <w:keepNext w:val="0"/>
              <w:pageBreakBefore w:val="0"/>
              <w:widowControl w:val="0"/>
              <w:kinsoku/>
              <w:wordWrap/>
              <w:overflowPunct/>
              <w:topLinePunct w:val="0"/>
              <w:autoSpaceDE/>
              <w:autoSpaceDN/>
              <w:bidi w:val="0"/>
              <w:adjustRightInd/>
              <w:snapToGrid/>
              <w:spacing w:before="0" w:after="0" w:line="360" w:lineRule="auto"/>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748B21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21AEB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GB" w:eastAsia="zh-CN" w:bidi="ar-SA"/>
        </w:rPr>
        <w:t>1</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于上述要求，如投标人完全响应，则请在“是否响应”栏内打“√”，对打“×”视为偏离，请在“偏离说明”栏内扼要说明偏离情况；</w:t>
      </w:r>
    </w:p>
    <w:p w14:paraId="62580B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GB"/>
        </w:rPr>
        <w:t>投标人应认真填写本响应表，若评标委员会在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GB"/>
        </w:rPr>
        <w:t>方案，评标委员会将按本招标文件相关规定执行；</w:t>
      </w:r>
    </w:p>
    <w:p w14:paraId="73BDFC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hanging="432" w:firstLine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GB"/>
        </w:rPr>
        <w:t>本表内容不得擅自修改。</w:t>
      </w:r>
    </w:p>
    <w:p w14:paraId="16E93BF0">
      <w:pPr>
        <w:pStyle w:val="16"/>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投标人名称（盖章）：</w:t>
      </w:r>
    </w:p>
    <w:p w14:paraId="03B3F3DC">
      <w:pPr>
        <w:pStyle w:val="16"/>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w:t>
      </w:r>
      <w:r>
        <w:rPr>
          <w:rFonts w:hint="eastAsia" w:ascii="宋体" w:hAnsi="宋体" w:cs="宋体"/>
          <w:bCs/>
          <w:color w:val="000000"/>
          <w:sz w:val="24"/>
          <w:szCs w:val="24"/>
          <w:highlight w:val="none"/>
          <w:lang w:val="en-US" w:eastAsia="zh-CN"/>
        </w:rPr>
        <w:t>或</w:t>
      </w:r>
      <w:r>
        <w:rPr>
          <w:rFonts w:hint="eastAsia" w:ascii="宋体" w:hAnsi="宋体" w:eastAsia="宋体" w:cs="宋体"/>
          <w:bCs/>
          <w:color w:val="000000"/>
          <w:sz w:val="24"/>
          <w:szCs w:val="24"/>
          <w:highlight w:val="none"/>
        </w:rPr>
        <w:t>被授权人（签字或盖章）：</w:t>
      </w:r>
    </w:p>
    <w:p w14:paraId="16C8782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0856CE73">
      <w:pPr>
        <w:pStyle w:val="30"/>
        <w:spacing w:line="360" w:lineRule="auto"/>
        <w:rPr>
          <w:rFonts w:hint="eastAsia" w:ascii="宋体" w:hAnsi="宋体" w:eastAsia="宋体" w:cs="宋体"/>
          <w:color w:val="000000"/>
          <w:sz w:val="24"/>
          <w:szCs w:val="24"/>
          <w:highlight w:val="none"/>
        </w:rPr>
      </w:pPr>
    </w:p>
    <w:p w14:paraId="61E0400E">
      <w:pPr>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技术需求偏离表</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7FBC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noWrap w:val="0"/>
            <w:vAlign w:val="center"/>
          </w:tcPr>
          <w:p w14:paraId="764F8002">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序号</w:t>
            </w:r>
          </w:p>
        </w:tc>
        <w:tc>
          <w:tcPr>
            <w:tcW w:w="1062" w:type="dxa"/>
            <w:noWrap w:val="0"/>
            <w:vAlign w:val="center"/>
          </w:tcPr>
          <w:p w14:paraId="1A7CB9A1">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货物</w:t>
            </w:r>
            <w:r>
              <w:rPr>
                <w:rFonts w:hint="eastAsia" w:ascii="宋体" w:hAnsi="宋体" w:eastAsia="宋体" w:cs="宋体"/>
                <w:b w:val="0"/>
                <w:bCs/>
                <w:color w:val="000000"/>
                <w:sz w:val="24"/>
                <w:szCs w:val="24"/>
                <w:highlight w:val="none"/>
              </w:rPr>
              <w:t>名称</w:t>
            </w:r>
          </w:p>
        </w:tc>
        <w:tc>
          <w:tcPr>
            <w:tcW w:w="1229" w:type="dxa"/>
            <w:noWrap w:val="0"/>
            <w:vAlign w:val="center"/>
          </w:tcPr>
          <w:p w14:paraId="5501B3C5">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招标文件</w:t>
            </w:r>
            <w:r>
              <w:rPr>
                <w:rFonts w:hint="eastAsia" w:ascii="宋体" w:hAnsi="宋体" w:eastAsia="宋体" w:cs="宋体"/>
                <w:b w:val="0"/>
                <w:bCs/>
                <w:color w:val="000000"/>
                <w:sz w:val="24"/>
                <w:szCs w:val="24"/>
                <w:highlight w:val="none"/>
              </w:rPr>
              <w:t>条款号</w:t>
            </w:r>
          </w:p>
        </w:tc>
        <w:tc>
          <w:tcPr>
            <w:tcW w:w="1575" w:type="dxa"/>
            <w:noWrap w:val="0"/>
            <w:vAlign w:val="center"/>
          </w:tcPr>
          <w:p w14:paraId="477A4BD1">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招标文件</w:t>
            </w:r>
            <w:r>
              <w:rPr>
                <w:rFonts w:hint="eastAsia" w:ascii="宋体" w:hAnsi="宋体" w:eastAsia="宋体" w:cs="宋体"/>
                <w:b w:val="0"/>
                <w:bCs/>
                <w:color w:val="000000"/>
                <w:sz w:val="24"/>
                <w:szCs w:val="24"/>
                <w:highlight w:val="none"/>
              </w:rPr>
              <w:t>的</w:t>
            </w:r>
            <w:r>
              <w:rPr>
                <w:rFonts w:hint="eastAsia" w:ascii="宋体" w:hAnsi="宋体" w:eastAsia="宋体" w:cs="宋体"/>
                <w:b w:val="0"/>
                <w:bCs/>
                <w:color w:val="000000"/>
                <w:sz w:val="24"/>
                <w:szCs w:val="24"/>
                <w:highlight w:val="none"/>
                <w:lang w:val="en-US" w:eastAsia="zh-CN"/>
              </w:rPr>
              <w:t>要求</w:t>
            </w:r>
          </w:p>
        </w:tc>
        <w:tc>
          <w:tcPr>
            <w:tcW w:w="1500" w:type="dxa"/>
            <w:noWrap w:val="0"/>
            <w:vAlign w:val="center"/>
          </w:tcPr>
          <w:p w14:paraId="26328FC6">
            <w:pPr>
              <w:spacing w:line="360" w:lineRule="auto"/>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响应文件</w:t>
            </w:r>
            <w:r>
              <w:rPr>
                <w:rFonts w:hint="eastAsia" w:ascii="宋体" w:hAnsi="宋体" w:eastAsia="宋体" w:cs="宋体"/>
                <w:b w:val="0"/>
                <w:bCs/>
                <w:color w:val="000000"/>
                <w:sz w:val="24"/>
                <w:szCs w:val="24"/>
                <w:highlight w:val="none"/>
              </w:rPr>
              <w:t>的</w:t>
            </w:r>
            <w:r>
              <w:rPr>
                <w:rFonts w:hint="eastAsia" w:ascii="宋体" w:hAnsi="宋体" w:eastAsia="宋体" w:cs="宋体"/>
                <w:b w:val="0"/>
                <w:bCs/>
                <w:color w:val="000000"/>
                <w:sz w:val="24"/>
                <w:szCs w:val="24"/>
                <w:highlight w:val="none"/>
                <w:lang w:val="en-US" w:eastAsia="zh-CN"/>
              </w:rPr>
              <w:t>响应</w:t>
            </w:r>
          </w:p>
        </w:tc>
        <w:tc>
          <w:tcPr>
            <w:tcW w:w="1055" w:type="dxa"/>
            <w:noWrap w:val="0"/>
            <w:vAlign w:val="center"/>
          </w:tcPr>
          <w:p w14:paraId="5396E328">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偏离</w:t>
            </w:r>
          </w:p>
        </w:tc>
        <w:tc>
          <w:tcPr>
            <w:tcW w:w="1036" w:type="dxa"/>
            <w:noWrap w:val="0"/>
            <w:vAlign w:val="center"/>
          </w:tcPr>
          <w:p w14:paraId="72B17C51">
            <w:pPr>
              <w:spacing w:line="360" w:lineRule="auto"/>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说明</w:t>
            </w:r>
          </w:p>
        </w:tc>
      </w:tr>
      <w:tr w14:paraId="1BA8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21D927AF">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7DF8B969">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154CE748">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49D8D9EF">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2DB1CB95">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25E5C113">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629D075E">
            <w:pPr>
              <w:spacing w:line="360" w:lineRule="auto"/>
              <w:rPr>
                <w:rFonts w:hint="eastAsia" w:ascii="宋体" w:hAnsi="宋体" w:eastAsia="宋体" w:cs="宋体"/>
                <w:b w:val="0"/>
                <w:bCs/>
                <w:color w:val="000000"/>
                <w:sz w:val="24"/>
                <w:szCs w:val="24"/>
                <w:highlight w:val="none"/>
              </w:rPr>
            </w:pPr>
          </w:p>
        </w:tc>
      </w:tr>
      <w:tr w14:paraId="54C2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564C24CC">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27E3EE87">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2B3541BD">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48D3EC2B">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5D284AB9">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01DE456E">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46D9D730">
            <w:pPr>
              <w:spacing w:line="360" w:lineRule="auto"/>
              <w:rPr>
                <w:rFonts w:hint="eastAsia" w:ascii="宋体" w:hAnsi="宋体" w:eastAsia="宋体" w:cs="宋体"/>
                <w:b w:val="0"/>
                <w:bCs/>
                <w:color w:val="000000"/>
                <w:sz w:val="24"/>
                <w:szCs w:val="24"/>
                <w:highlight w:val="none"/>
              </w:rPr>
            </w:pPr>
          </w:p>
        </w:tc>
      </w:tr>
      <w:tr w14:paraId="328D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78865808">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77ACF169">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13983A93">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489E1030">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1BCCB873">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49798356">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131AE486">
            <w:pPr>
              <w:spacing w:line="360" w:lineRule="auto"/>
              <w:rPr>
                <w:rFonts w:hint="eastAsia" w:ascii="宋体" w:hAnsi="宋体" w:eastAsia="宋体" w:cs="宋体"/>
                <w:b w:val="0"/>
                <w:bCs/>
                <w:color w:val="000000"/>
                <w:sz w:val="24"/>
                <w:szCs w:val="24"/>
                <w:highlight w:val="none"/>
              </w:rPr>
            </w:pPr>
          </w:p>
        </w:tc>
      </w:tr>
      <w:tr w14:paraId="3844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11E550FA">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73DFB33F">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03AD08E1">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037358F4">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274DA76C">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0853239C">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7B788610">
            <w:pPr>
              <w:spacing w:line="360" w:lineRule="auto"/>
              <w:rPr>
                <w:rFonts w:hint="eastAsia" w:ascii="宋体" w:hAnsi="宋体" w:eastAsia="宋体" w:cs="宋体"/>
                <w:b w:val="0"/>
                <w:bCs/>
                <w:color w:val="000000"/>
                <w:sz w:val="24"/>
                <w:szCs w:val="24"/>
                <w:highlight w:val="none"/>
              </w:rPr>
            </w:pPr>
          </w:p>
        </w:tc>
      </w:tr>
      <w:tr w14:paraId="3F4B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0934C169">
            <w:pPr>
              <w:spacing w:line="360" w:lineRule="auto"/>
              <w:rPr>
                <w:rFonts w:hint="eastAsia" w:ascii="宋体" w:hAnsi="宋体" w:eastAsia="宋体" w:cs="宋体"/>
                <w:b w:val="0"/>
                <w:bCs/>
                <w:color w:val="000000"/>
                <w:sz w:val="24"/>
                <w:szCs w:val="24"/>
                <w:highlight w:val="none"/>
              </w:rPr>
            </w:pPr>
          </w:p>
        </w:tc>
        <w:tc>
          <w:tcPr>
            <w:tcW w:w="1062" w:type="dxa"/>
            <w:noWrap w:val="0"/>
            <w:vAlign w:val="top"/>
          </w:tcPr>
          <w:p w14:paraId="04914985">
            <w:pPr>
              <w:spacing w:line="360" w:lineRule="auto"/>
              <w:rPr>
                <w:rFonts w:hint="eastAsia" w:ascii="宋体" w:hAnsi="宋体" w:eastAsia="宋体" w:cs="宋体"/>
                <w:b w:val="0"/>
                <w:bCs/>
                <w:color w:val="000000"/>
                <w:sz w:val="24"/>
                <w:szCs w:val="24"/>
                <w:highlight w:val="none"/>
              </w:rPr>
            </w:pPr>
          </w:p>
        </w:tc>
        <w:tc>
          <w:tcPr>
            <w:tcW w:w="1229" w:type="dxa"/>
            <w:noWrap w:val="0"/>
            <w:vAlign w:val="top"/>
          </w:tcPr>
          <w:p w14:paraId="7B63DFAA">
            <w:pPr>
              <w:spacing w:line="360" w:lineRule="auto"/>
              <w:rPr>
                <w:rFonts w:hint="eastAsia" w:ascii="宋体" w:hAnsi="宋体" w:eastAsia="宋体" w:cs="宋体"/>
                <w:b w:val="0"/>
                <w:bCs/>
                <w:color w:val="000000"/>
                <w:sz w:val="24"/>
                <w:szCs w:val="24"/>
                <w:highlight w:val="none"/>
              </w:rPr>
            </w:pPr>
          </w:p>
        </w:tc>
        <w:tc>
          <w:tcPr>
            <w:tcW w:w="1575" w:type="dxa"/>
            <w:noWrap w:val="0"/>
            <w:vAlign w:val="top"/>
          </w:tcPr>
          <w:p w14:paraId="62156708">
            <w:pPr>
              <w:spacing w:line="360" w:lineRule="auto"/>
              <w:rPr>
                <w:rFonts w:hint="eastAsia" w:ascii="宋体" w:hAnsi="宋体" w:eastAsia="宋体" w:cs="宋体"/>
                <w:b w:val="0"/>
                <w:bCs/>
                <w:color w:val="000000"/>
                <w:sz w:val="24"/>
                <w:szCs w:val="24"/>
                <w:highlight w:val="none"/>
              </w:rPr>
            </w:pPr>
          </w:p>
        </w:tc>
        <w:tc>
          <w:tcPr>
            <w:tcW w:w="1500" w:type="dxa"/>
            <w:noWrap w:val="0"/>
            <w:vAlign w:val="top"/>
          </w:tcPr>
          <w:p w14:paraId="5C7EC897">
            <w:pPr>
              <w:spacing w:line="360" w:lineRule="auto"/>
              <w:rPr>
                <w:rFonts w:hint="eastAsia" w:ascii="宋体" w:hAnsi="宋体" w:eastAsia="宋体" w:cs="宋体"/>
                <w:b w:val="0"/>
                <w:bCs/>
                <w:color w:val="000000"/>
                <w:sz w:val="24"/>
                <w:szCs w:val="24"/>
                <w:highlight w:val="none"/>
              </w:rPr>
            </w:pPr>
          </w:p>
        </w:tc>
        <w:tc>
          <w:tcPr>
            <w:tcW w:w="1055" w:type="dxa"/>
            <w:noWrap w:val="0"/>
            <w:vAlign w:val="top"/>
          </w:tcPr>
          <w:p w14:paraId="7D552527">
            <w:pPr>
              <w:spacing w:line="360" w:lineRule="auto"/>
              <w:rPr>
                <w:rFonts w:hint="eastAsia" w:ascii="宋体" w:hAnsi="宋体" w:eastAsia="宋体" w:cs="宋体"/>
                <w:b w:val="0"/>
                <w:bCs/>
                <w:color w:val="000000"/>
                <w:sz w:val="24"/>
                <w:szCs w:val="24"/>
                <w:highlight w:val="none"/>
              </w:rPr>
            </w:pPr>
          </w:p>
        </w:tc>
        <w:tc>
          <w:tcPr>
            <w:tcW w:w="1036" w:type="dxa"/>
            <w:noWrap w:val="0"/>
            <w:vAlign w:val="top"/>
          </w:tcPr>
          <w:p w14:paraId="339B290F">
            <w:pPr>
              <w:spacing w:line="360" w:lineRule="auto"/>
              <w:rPr>
                <w:rFonts w:hint="eastAsia" w:ascii="宋体" w:hAnsi="宋体" w:eastAsia="宋体" w:cs="宋体"/>
                <w:b w:val="0"/>
                <w:bCs/>
                <w:color w:val="000000"/>
                <w:sz w:val="24"/>
                <w:szCs w:val="24"/>
                <w:highlight w:val="none"/>
              </w:rPr>
            </w:pPr>
          </w:p>
        </w:tc>
      </w:tr>
    </w:tbl>
    <w:p w14:paraId="425FED59">
      <w:pPr>
        <w:spacing w:line="360" w:lineRule="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备注：</w:t>
      </w:r>
    </w:p>
    <w:p w14:paraId="1597E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应根据其提供的</w:t>
      </w:r>
      <w:r>
        <w:rPr>
          <w:rFonts w:hint="eastAsia" w:ascii="宋体" w:hAnsi="宋体" w:eastAsia="宋体" w:cs="宋体"/>
          <w:b w:val="0"/>
          <w:bCs/>
          <w:color w:val="auto"/>
          <w:sz w:val="24"/>
          <w:szCs w:val="24"/>
          <w:highlight w:val="none"/>
          <w:lang w:val="en-US" w:eastAsia="zh-CN"/>
        </w:rPr>
        <w:t>货物</w:t>
      </w:r>
      <w:r>
        <w:rPr>
          <w:rFonts w:hint="eastAsia" w:ascii="宋体" w:hAnsi="宋体" w:eastAsia="宋体" w:cs="宋体"/>
          <w:b w:val="0"/>
          <w:bCs/>
          <w:color w:val="auto"/>
          <w:sz w:val="24"/>
          <w:szCs w:val="24"/>
          <w:highlight w:val="none"/>
        </w:rPr>
        <w:t>，对照</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“第四章</w:t>
      </w:r>
      <w:r>
        <w:rPr>
          <w:rFonts w:hint="eastAsia" w:ascii="宋体" w:hAnsi="宋体" w:eastAsia="宋体" w:cs="宋体"/>
          <w:b w:val="0"/>
          <w:bCs/>
          <w:color w:val="auto"/>
          <w:sz w:val="24"/>
          <w:szCs w:val="24"/>
          <w:highlight w:val="none"/>
          <w:lang w:val="en-US" w:eastAsia="zh-CN"/>
        </w:rPr>
        <w:t>招标项目技术要求</w:t>
      </w:r>
      <w:r>
        <w:rPr>
          <w:rFonts w:hint="eastAsia" w:ascii="宋体" w:hAnsi="宋体" w:eastAsia="宋体" w:cs="宋体"/>
          <w:b w:val="0"/>
          <w:bCs/>
          <w:color w:val="auto"/>
          <w:sz w:val="24"/>
          <w:szCs w:val="24"/>
          <w:highlight w:val="none"/>
        </w:rPr>
        <w:t>”中的条款号逐项填写，“</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”一栏应如实反映响应</w:t>
      </w:r>
      <w:r>
        <w:rPr>
          <w:rFonts w:hint="eastAsia" w:ascii="宋体" w:hAnsi="宋体" w:eastAsia="宋体" w:cs="宋体"/>
          <w:b w:val="0"/>
          <w:bCs/>
          <w:color w:val="auto"/>
          <w:sz w:val="24"/>
          <w:szCs w:val="24"/>
          <w:highlight w:val="none"/>
          <w:lang w:val="en-US" w:eastAsia="zh-CN"/>
        </w:rPr>
        <w:t>情况</w:t>
      </w:r>
      <w:r>
        <w:rPr>
          <w:rFonts w:hint="eastAsia" w:ascii="宋体" w:hAnsi="宋体" w:eastAsia="宋体" w:cs="宋体"/>
          <w:b w:val="0"/>
          <w:bCs/>
          <w:color w:val="auto"/>
          <w:sz w:val="24"/>
          <w:szCs w:val="24"/>
          <w:highlight w:val="none"/>
        </w:rPr>
        <w:t>，不得</w:t>
      </w:r>
      <w:r>
        <w:rPr>
          <w:rFonts w:hint="eastAsia" w:ascii="宋体" w:hAnsi="宋体" w:eastAsia="宋体" w:cs="宋体"/>
          <w:b w:val="0"/>
          <w:bCs/>
          <w:color w:val="auto"/>
          <w:sz w:val="24"/>
          <w:szCs w:val="24"/>
          <w:highlight w:val="none"/>
          <w:lang w:val="en-US" w:eastAsia="zh-CN"/>
        </w:rPr>
        <w:t>完全</w:t>
      </w:r>
      <w:r>
        <w:rPr>
          <w:rFonts w:hint="eastAsia" w:ascii="宋体" w:hAnsi="宋体" w:eastAsia="宋体" w:cs="宋体"/>
          <w:b w:val="0"/>
          <w:bCs/>
          <w:color w:val="auto"/>
          <w:sz w:val="24"/>
          <w:szCs w:val="24"/>
          <w:highlight w:val="none"/>
        </w:rPr>
        <w:t>复制</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内容，不得虚假响应，否则将视为未实质性响应</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要求，</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无效</w:t>
      </w:r>
      <w:r>
        <w:rPr>
          <w:rFonts w:hint="eastAsia" w:ascii="宋体" w:hAnsi="宋体" w:eastAsia="宋体" w:cs="宋体"/>
          <w:b w:val="0"/>
          <w:bCs/>
          <w:color w:val="auto"/>
          <w:sz w:val="24"/>
          <w:szCs w:val="24"/>
          <w:highlight w:val="none"/>
          <w:lang w:eastAsia="zh-CN"/>
        </w:rPr>
        <w:t>。</w:t>
      </w:r>
    </w:p>
    <w:p w14:paraId="5E04D5B0">
      <w:pPr>
        <w:pStyle w:val="3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第四章</w:t>
      </w:r>
      <w:r>
        <w:rPr>
          <w:rFonts w:hint="eastAsia" w:ascii="宋体" w:hAnsi="宋体" w:eastAsia="宋体" w:cs="宋体"/>
          <w:b w:val="0"/>
          <w:bCs/>
          <w:color w:val="auto"/>
          <w:sz w:val="24"/>
          <w:szCs w:val="24"/>
          <w:highlight w:val="none"/>
          <w:lang w:val="en-US" w:eastAsia="zh-CN"/>
        </w:rPr>
        <w:t>招标项目技术要求</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SA"/>
        </w:rPr>
        <w:t>每项参数要求投标人须提供与采购需求相应的证明材料，例如产品检测报告、测试报告、产品合格证、鉴定证书、制造商产品彩页、制造商官网截图、制造商产品说明书或相应实物照片等。</w:t>
      </w:r>
    </w:p>
    <w:p w14:paraId="4EA5EB22">
      <w:pPr>
        <w:spacing w:line="360" w:lineRule="auto"/>
        <w:rPr>
          <w:rFonts w:hint="eastAsia" w:ascii="宋体" w:hAnsi="宋体" w:eastAsia="宋体" w:cs="宋体"/>
          <w:color w:val="000000"/>
          <w:sz w:val="24"/>
          <w:szCs w:val="24"/>
          <w:highlight w:val="none"/>
        </w:rPr>
      </w:pPr>
    </w:p>
    <w:p w14:paraId="040A7D7C">
      <w:pPr>
        <w:pStyle w:val="16"/>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投标人名称（盖章）：</w:t>
      </w:r>
    </w:p>
    <w:p w14:paraId="26B3A507">
      <w:pPr>
        <w:pStyle w:val="16"/>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w:t>
      </w:r>
      <w:r>
        <w:rPr>
          <w:rFonts w:hint="eastAsia" w:ascii="宋体" w:hAnsi="宋体" w:cs="宋体"/>
          <w:bCs/>
          <w:color w:val="000000"/>
          <w:sz w:val="24"/>
          <w:szCs w:val="24"/>
          <w:highlight w:val="none"/>
          <w:lang w:val="en-US" w:eastAsia="zh-CN"/>
        </w:rPr>
        <w:t>或</w:t>
      </w:r>
      <w:r>
        <w:rPr>
          <w:rFonts w:hint="eastAsia" w:ascii="宋体" w:hAnsi="宋体" w:eastAsia="宋体" w:cs="宋体"/>
          <w:bCs/>
          <w:color w:val="000000"/>
          <w:sz w:val="24"/>
          <w:szCs w:val="24"/>
          <w:highlight w:val="none"/>
        </w:rPr>
        <w:t>被授权人（签字或盖章）：</w:t>
      </w:r>
    </w:p>
    <w:p w14:paraId="2C303E7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5A74EB78">
      <w:pPr>
        <w:numPr>
          <w:ilvl w:val="0"/>
          <w:numId w:val="0"/>
        </w:numPr>
        <w:spacing w:line="360" w:lineRule="auto"/>
        <w:jc w:val="center"/>
        <w:outlineLvl w:val="1"/>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highlight w:val="none"/>
        </w:rPr>
        <w:br w:type="page"/>
      </w:r>
      <w:bookmarkEnd w:id="147"/>
      <w:r>
        <w:rPr>
          <w:rFonts w:hint="eastAsia" w:ascii="宋体" w:hAnsi="宋体" w:eastAsia="宋体" w:cs="宋体"/>
          <w:b/>
          <w:bCs/>
          <w:color w:val="000000"/>
          <w:sz w:val="24"/>
          <w:szCs w:val="24"/>
          <w:highlight w:val="none"/>
          <w:lang w:val="en-US" w:eastAsia="zh-CN"/>
        </w:rPr>
        <w:t>七、</w:t>
      </w:r>
      <w:r>
        <w:rPr>
          <w:rFonts w:hint="eastAsia" w:ascii="宋体" w:hAnsi="宋体" w:eastAsia="宋体" w:cs="宋体"/>
          <w:b/>
          <w:bCs/>
          <w:color w:val="000000"/>
          <w:kern w:val="0"/>
          <w:sz w:val="24"/>
          <w:szCs w:val="24"/>
          <w:highlight w:val="none"/>
        </w:rPr>
        <w:t>拟配备人员情况</w:t>
      </w:r>
    </w:p>
    <w:p w14:paraId="5021CEE0">
      <w:pPr>
        <w:pStyle w:val="6"/>
        <w:numPr>
          <w:ilvl w:val="0"/>
          <w:numId w:val="0"/>
        </w:numPr>
        <w:spacing w:line="360" w:lineRule="auto"/>
        <w:rPr>
          <w:rFonts w:hint="eastAsia" w:ascii="宋体" w:hAnsi="宋体" w:eastAsia="宋体" w:cs="宋体"/>
          <w:sz w:val="24"/>
          <w:szCs w:val="24"/>
          <w:highlight w:val="none"/>
        </w:rPr>
      </w:pPr>
    </w:p>
    <w:p w14:paraId="4CE186F3">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1、项目负责人介绍应包括：姓名、性别、年龄、学历、参加工作时间等。</w:t>
      </w:r>
    </w:p>
    <w:p w14:paraId="731F865B">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2、项目负责人近三年（</w:t>
      </w:r>
      <w:r>
        <w:rPr>
          <w:rFonts w:hint="eastAsia" w:ascii="宋体" w:hAnsi="宋体" w:eastAsia="宋体" w:cs="宋体"/>
          <w:color w:val="000000"/>
          <w:sz w:val="24"/>
          <w:szCs w:val="24"/>
          <w:highlight w:val="none"/>
          <w:lang w:eastAsia="zh-CN"/>
        </w:rPr>
        <w:t>自投标截止日往前推算</w:t>
      </w:r>
      <w:r>
        <w:rPr>
          <w:rFonts w:hint="eastAsia" w:ascii="宋体" w:hAnsi="宋体" w:eastAsia="宋体" w:cs="宋体"/>
          <w:color w:val="000000"/>
          <w:sz w:val="24"/>
          <w:szCs w:val="24"/>
          <w:highlight w:val="none"/>
        </w:rPr>
        <w:t>）的类似业绩（按下表填写）</w:t>
      </w:r>
    </w:p>
    <w:tbl>
      <w:tblPr>
        <w:tblStyle w:val="31"/>
        <w:tblW w:w="81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0"/>
        <w:gridCol w:w="1927"/>
        <w:gridCol w:w="2752"/>
        <w:gridCol w:w="1510"/>
      </w:tblGrid>
      <w:tr w14:paraId="289B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trPr>
        <w:tc>
          <w:tcPr>
            <w:tcW w:w="1930" w:type="dxa"/>
            <w:tcBorders>
              <w:top w:val="single" w:color="auto" w:sz="12" w:space="0"/>
              <w:left w:val="single" w:color="auto" w:sz="12" w:space="0"/>
              <w:bottom w:val="single" w:color="auto" w:sz="6" w:space="0"/>
              <w:right w:val="single" w:color="auto" w:sz="6" w:space="0"/>
            </w:tcBorders>
            <w:noWrap w:val="0"/>
            <w:vAlign w:val="center"/>
          </w:tcPr>
          <w:p w14:paraId="298E11A7">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927" w:type="dxa"/>
            <w:tcBorders>
              <w:top w:val="single" w:color="auto" w:sz="12" w:space="0"/>
              <w:left w:val="single" w:color="auto" w:sz="6" w:space="0"/>
              <w:bottom w:val="single" w:color="auto" w:sz="6" w:space="0"/>
              <w:right w:val="single" w:color="auto" w:sz="6" w:space="0"/>
            </w:tcBorders>
            <w:noWrap w:val="0"/>
            <w:vAlign w:val="center"/>
          </w:tcPr>
          <w:p w14:paraId="669C500F">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内容</w:t>
            </w:r>
          </w:p>
        </w:tc>
        <w:tc>
          <w:tcPr>
            <w:tcW w:w="2752" w:type="dxa"/>
            <w:tcBorders>
              <w:top w:val="single" w:color="auto" w:sz="12" w:space="0"/>
              <w:left w:val="single" w:color="auto" w:sz="6" w:space="0"/>
              <w:bottom w:val="single" w:color="auto" w:sz="6" w:space="0"/>
              <w:right w:val="single" w:color="auto" w:sz="6" w:space="0"/>
            </w:tcBorders>
            <w:noWrap w:val="0"/>
            <w:vAlign w:val="center"/>
          </w:tcPr>
          <w:p w14:paraId="184DAF0C">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服务时间</w:t>
            </w:r>
          </w:p>
        </w:tc>
        <w:tc>
          <w:tcPr>
            <w:tcW w:w="1510" w:type="dxa"/>
            <w:tcBorders>
              <w:top w:val="single" w:color="auto" w:sz="12" w:space="0"/>
              <w:left w:val="single" w:color="auto" w:sz="4" w:space="0"/>
              <w:bottom w:val="single" w:color="auto" w:sz="6" w:space="0"/>
              <w:right w:val="single" w:color="auto" w:sz="12" w:space="0"/>
            </w:tcBorders>
            <w:noWrap w:val="0"/>
            <w:vAlign w:val="center"/>
          </w:tcPr>
          <w:p w14:paraId="3BB93387">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4D24B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trPr>
        <w:tc>
          <w:tcPr>
            <w:tcW w:w="1930" w:type="dxa"/>
            <w:tcBorders>
              <w:top w:val="single" w:color="auto" w:sz="6" w:space="0"/>
              <w:left w:val="single" w:color="auto" w:sz="12" w:space="0"/>
              <w:bottom w:val="single" w:color="auto" w:sz="12" w:space="0"/>
              <w:right w:val="single" w:color="auto" w:sz="6" w:space="0"/>
            </w:tcBorders>
            <w:noWrap w:val="0"/>
            <w:vAlign w:val="center"/>
          </w:tcPr>
          <w:p w14:paraId="649D6291">
            <w:pPr>
              <w:spacing w:line="360" w:lineRule="auto"/>
              <w:jc w:val="left"/>
              <w:rPr>
                <w:rFonts w:hint="eastAsia" w:ascii="宋体" w:hAnsi="宋体" w:eastAsia="宋体" w:cs="宋体"/>
                <w:color w:val="000000"/>
                <w:sz w:val="24"/>
                <w:szCs w:val="24"/>
                <w:highlight w:val="none"/>
              </w:rPr>
            </w:pPr>
          </w:p>
        </w:tc>
        <w:tc>
          <w:tcPr>
            <w:tcW w:w="1927" w:type="dxa"/>
            <w:tcBorders>
              <w:top w:val="single" w:color="auto" w:sz="6" w:space="0"/>
              <w:left w:val="single" w:color="auto" w:sz="6" w:space="0"/>
              <w:bottom w:val="single" w:color="auto" w:sz="12" w:space="0"/>
              <w:right w:val="single" w:color="auto" w:sz="6" w:space="0"/>
            </w:tcBorders>
            <w:noWrap w:val="0"/>
            <w:vAlign w:val="center"/>
          </w:tcPr>
          <w:p w14:paraId="29E3E0A2">
            <w:pPr>
              <w:spacing w:line="360" w:lineRule="auto"/>
              <w:jc w:val="left"/>
              <w:rPr>
                <w:rFonts w:hint="eastAsia" w:ascii="宋体" w:hAnsi="宋体" w:eastAsia="宋体" w:cs="宋体"/>
                <w:color w:val="000000"/>
                <w:sz w:val="24"/>
                <w:szCs w:val="24"/>
                <w:highlight w:val="none"/>
              </w:rPr>
            </w:pPr>
          </w:p>
        </w:tc>
        <w:tc>
          <w:tcPr>
            <w:tcW w:w="2752" w:type="dxa"/>
            <w:tcBorders>
              <w:top w:val="single" w:color="auto" w:sz="6" w:space="0"/>
              <w:left w:val="single" w:color="auto" w:sz="6" w:space="0"/>
              <w:bottom w:val="single" w:color="auto" w:sz="12" w:space="0"/>
              <w:right w:val="single" w:color="auto" w:sz="6" w:space="0"/>
            </w:tcBorders>
            <w:noWrap w:val="0"/>
            <w:vAlign w:val="center"/>
          </w:tcPr>
          <w:p w14:paraId="5C0B9694">
            <w:pPr>
              <w:spacing w:line="360" w:lineRule="auto"/>
              <w:jc w:val="left"/>
              <w:rPr>
                <w:rFonts w:hint="eastAsia" w:ascii="宋体" w:hAnsi="宋体" w:eastAsia="宋体" w:cs="宋体"/>
                <w:color w:val="000000"/>
                <w:sz w:val="24"/>
                <w:szCs w:val="24"/>
                <w:highlight w:val="none"/>
              </w:rPr>
            </w:pPr>
          </w:p>
        </w:tc>
        <w:tc>
          <w:tcPr>
            <w:tcW w:w="1510" w:type="dxa"/>
            <w:tcBorders>
              <w:top w:val="single" w:color="auto" w:sz="6" w:space="0"/>
              <w:left w:val="single" w:color="auto" w:sz="4" w:space="0"/>
              <w:bottom w:val="single" w:color="auto" w:sz="12" w:space="0"/>
              <w:right w:val="single" w:color="auto" w:sz="12" w:space="0"/>
            </w:tcBorders>
            <w:noWrap w:val="0"/>
            <w:vAlign w:val="center"/>
          </w:tcPr>
          <w:p w14:paraId="4E6BAE5B">
            <w:pPr>
              <w:spacing w:line="360" w:lineRule="auto"/>
              <w:jc w:val="left"/>
              <w:rPr>
                <w:rFonts w:hint="eastAsia" w:ascii="宋体" w:hAnsi="宋体" w:eastAsia="宋体" w:cs="宋体"/>
                <w:color w:val="000000"/>
                <w:sz w:val="24"/>
                <w:szCs w:val="24"/>
                <w:highlight w:val="none"/>
              </w:rPr>
            </w:pPr>
          </w:p>
        </w:tc>
      </w:tr>
    </w:tbl>
    <w:p w14:paraId="65E430AE">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3、项目负责人简历格式自拟，后附身份证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资格证书</w:t>
      </w:r>
      <w:r>
        <w:rPr>
          <w:rFonts w:hint="eastAsia" w:ascii="宋体" w:hAnsi="宋体" w:eastAsia="宋体" w:cs="宋体"/>
          <w:color w:val="000000"/>
          <w:sz w:val="24"/>
          <w:szCs w:val="24"/>
          <w:highlight w:val="none"/>
        </w:rPr>
        <w:t>、学历证书等彩色扫描件。</w:t>
      </w:r>
    </w:p>
    <w:p w14:paraId="4E57DCAA">
      <w:pPr>
        <w:autoSpaceDE w:val="0"/>
        <w:autoSpaceDN w:val="0"/>
        <w:adjustRightInd w:val="0"/>
        <w:spacing w:line="360" w:lineRule="auto"/>
        <w:rPr>
          <w:rFonts w:hint="eastAsia" w:ascii="宋体" w:hAnsi="宋体" w:eastAsia="宋体" w:cs="宋体"/>
          <w:bCs/>
          <w:sz w:val="24"/>
          <w:szCs w:val="24"/>
          <w:highlight w:val="none"/>
        </w:rPr>
      </w:pPr>
    </w:p>
    <w:p w14:paraId="7E6F9F2B">
      <w:pPr>
        <w:pStyle w:val="30"/>
        <w:spacing w:line="360" w:lineRule="auto"/>
        <w:ind w:firstLine="0"/>
        <w:rPr>
          <w:rFonts w:hint="eastAsia" w:ascii="宋体" w:hAnsi="宋体" w:eastAsia="宋体" w:cs="宋体"/>
          <w:sz w:val="24"/>
          <w:szCs w:val="24"/>
          <w:highlight w:val="none"/>
        </w:rPr>
      </w:pPr>
    </w:p>
    <w:p w14:paraId="4891671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lang w:val="en-US" w:eastAsia="zh-CN"/>
        </w:rPr>
        <w:t>4</w:t>
      </w:r>
      <w:r>
        <w:rPr>
          <w:rFonts w:hint="eastAsia" w:ascii="宋体" w:hAnsi="宋体" w:eastAsia="宋体" w:cs="宋体"/>
          <w:color w:val="000000"/>
          <w:sz w:val="24"/>
          <w:szCs w:val="24"/>
          <w:highlight w:val="none"/>
        </w:rPr>
        <w:t>、项目配备人员</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4C68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center"/>
          </w:tcPr>
          <w:p w14:paraId="665074C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类别</w:t>
            </w:r>
          </w:p>
        </w:tc>
        <w:tc>
          <w:tcPr>
            <w:tcW w:w="910" w:type="dxa"/>
            <w:vMerge w:val="restart"/>
            <w:noWrap w:val="0"/>
            <w:vAlign w:val="center"/>
          </w:tcPr>
          <w:p w14:paraId="26D7354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912" w:type="dxa"/>
            <w:vMerge w:val="restart"/>
            <w:noWrap w:val="0"/>
            <w:vAlign w:val="center"/>
          </w:tcPr>
          <w:p w14:paraId="1654768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p>
        </w:tc>
        <w:tc>
          <w:tcPr>
            <w:tcW w:w="912" w:type="dxa"/>
            <w:vMerge w:val="restart"/>
            <w:noWrap w:val="0"/>
            <w:vAlign w:val="center"/>
          </w:tcPr>
          <w:p w14:paraId="04A5396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职称或职务</w:t>
            </w:r>
          </w:p>
        </w:tc>
        <w:tc>
          <w:tcPr>
            <w:tcW w:w="912" w:type="dxa"/>
            <w:vMerge w:val="restart"/>
            <w:noWrap w:val="0"/>
            <w:vAlign w:val="center"/>
          </w:tcPr>
          <w:p w14:paraId="1630990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常住地</w:t>
            </w:r>
          </w:p>
        </w:tc>
        <w:tc>
          <w:tcPr>
            <w:tcW w:w="3815" w:type="dxa"/>
            <w:gridSpan w:val="4"/>
            <w:noWrap w:val="0"/>
            <w:vAlign w:val="center"/>
          </w:tcPr>
          <w:p w14:paraId="777B394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资格证明</w:t>
            </w:r>
          </w:p>
        </w:tc>
      </w:tr>
      <w:tr w14:paraId="1A86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center"/>
          </w:tcPr>
          <w:p w14:paraId="6B1C50BF">
            <w:pPr>
              <w:spacing w:line="360" w:lineRule="auto"/>
              <w:jc w:val="center"/>
              <w:rPr>
                <w:rFonts w:hint="eastAsia" w:ascii="宋体" w:hAnsi="宋体" w:eastAsia="宋体" w:cs="宋体"/>
                <w:color w:val="000000"/>
                <w:sz w:val="24"/>
                <w:szCs w:val="24"/>
                <w:highlight w:val="none"/>
              </w:rPr>
            </w:pPr>
          </w:p>
        </w:tc>
        <w:tc>
          <w:tcPr>
            <w:tcW w:w="910" w:type="dxa"/>
            <w:vMerge w:val="continue"/>
            <w:noWrap w:val="0"/>
            <w:vAlign w:val="center"/>
          </w:tcPr>
          <w:p w14:paraId="5563E92D">
            <w:pPr>
              <w:spacing w:line="360" w:lineRule="auto"/>
              <w:jc w:val="center"/>
              <w:rPr>
                <w:rFonts w:hint="eastAsia" w:ascii="宋体" w:hAnsi="宋体" w:eastAsia="宋体" w:cs="宋体"/>
                <w:color w:val="000000"/>
                <w:sz w:val="24"/>
                <w:szCs w:val="24"/>
                <w:highlight w:val="none"/>
              </w:rPr>
            </w:pPr>
          </w:p>
        </w:tc>
        <w:tc>
          <w:tcPr>
            <w:tcW w:w="912" w:type="dxa"/>
            <w:vMerge w:val="continue"/>
            <w:noWrap w:val="0"/>
            <w:vAlign w:val="center"/>
          </w:tcPr>
          <w:p w14:paraId="307A3EB4">
            <w:pPr>
              <w:spacing w:line="360" w:lineRule="auto"/>
              <w:jc w:val="center"/>
              <w:rPr>
                <w:rFonts w:hint="eastAsia" w:ascii="宋体" w:hAnsi="宋体" w:eastAsia="宋体" w:cs="宋体"/>
                <w:color w:val="000000"/>
                <w:sz w:val="24"/>
                <w:szCs w:val="24"/>
                <w:highlight w:val="none"/>
              </w:rPr>
            </w:pPr>
          </w:p>
        </w:tc>
        <w:tc>
          <w:tcPr>
            <w:tcW w:w="912" w:type="dxa"/>
            <w:vMerge w:val="continue"/>
            <w:noWrap w:val="0"/>
            <w:vAlign w:val="center"/>
          </w:tcPr>
          <w:p w14:paraId="171A5F52">
            <w:pPr>
              <w:spacing w:line="360" w:lineRule="auto"/>
              <w:jc w:val="center"/>
              <w:rPr>
                <w:rFonts w:hint="eastAsia" w:ascii="宋体" w:hAnsi="宋体" w:eastAsia="宋体" w:cs="宋体"/>
                <w:color w:val="000000"/>
                <w:sz w:val="24"/>
                <w:szCs w:val="24"/>
                <w:highlight w:val="none"/>
              </w:rPr>
            </w:pPr>
          </w:p>
        </w:tc>
        <w:tc>
          <w:tcPr>
            <w:tcW w:w="912" w:type="dxa"/>
            <w:vMerge w:val="continue"/>
            <w:noWrap w:val="0"/>
            <w:vAlign w:val="center"/>
          </w:tcPr>
          <w:p w14:paraId="4CE205E9">
            <w:pPr>
              <w:spacing w:line="360" w:lineRule="auto"/>
              <w:jc w:val="center"/>
              <w:rPr>
                <w:rFonts w:hint="eastAsia" w:ascii="宋体" w:hAnsi="宋体" w:eastAsia="宋体" w:cs="宋体"/>
                <w:color w:val="000000"/>
                <w:sz w:val="24"/>
                <w:szCs w:val="24"/>
                <w:highlight w:val="none"/>
              </w:rPr>
            </w:pPr>
          </w:p>
        </w:tc>
        <w:tc>
          <w:tcPr>
            <w:tcW w:w="1188" w:type="dxa"/>
            <w:noWrap w:val="0"/>
            <w:vAlign w:val="center"/>
          </w:tcPr>
          <w:p w14:paraId="2080D55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证书名称</w:t>
            </w:r>
          </w:p>
        </w:tc>
        <w:tc>
          <w:tcPr>
            <w:tcW w:w="835" w:type="dxa"/>
            <w:noWrap w:val="0"/>
            <w:vAlign w:val="center"/>
          </w:tcPr>
          <w:p w14:paraId="200A958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级别</w:t>
            </w:r>
          </w:p>
        </w:tc>
        <w:tc>
          <w:tcPr>
            <w:tcW w:w="951" w:type="dxa"/>
            <w:noWrap w:val="0"/>
            <w:vAlign w:val="center"/>
          </w:tcPr>
          <w:p w14:paraId="3D1A6C4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证号</w:t>
            </w:r>
          </w:p>
        </w:tc>
        <w:tc>
          <w:tcPr>
            <w:tcW w:w="841" w:type="dxa"/>
            <w:noWrap w:val="0"/>
            <w:vAlign w:val="center"/>
          </w:tcPr>
          <w:p w14:paraId="7C46349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专业</w:t>
            </w:r>
          </w:p>
        </w:tc>
      </w:tr>
      <w:tr w14:paraId="3E5D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5CAE532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管</w:t>
            </w:r>
          </w:p>
          <w:p w14:paraId="33EC459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理</w:t>
            </w:r>
          </w:p>
          <w:p w14:paraId="040F91C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w:t>
            </w:r>
          </w:p>
          <w:p w14:paraId="2CFD265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w:t>
            </w:r>
          </w:p>
        </w:tc>
        <w:tc>
          <w:tcPr>
            <w:tcW w:w="910" w:type="dxa"/>
            <w:noWrap w:val="0"/>
            <w:vAlign w:val="top"/>
          </w:tcPr>
          <w:p w14:paraId="32D8B87F">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09E3F215">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917757C">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1886DFE3">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4ECF10FF">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29E4FD47">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339CD24B">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261729A9">
            <w:pPr>
              <w:spacing w:line="360" w:lineRule="auto"/>
              <w:jc w:val="center"/>
              <w:rPr>
                <w:rFonts w:hint="eastAsia" w:ascii="宋体" w:hAnsi="宋体" w:eastAsia="宋体" w:cs="宋体"/>
                <w:color w:val="000000"/>
                <w:sz w:val="24"/>
                <w:szCs w:val="24"/>
                <w:highlight w:val="none"/>
              </w:rPr>
            </w:pPr>
          </w:p>
        </w:tc>
      </w:tr>
      <w:tr w14:paraId="5A7E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42EB6857">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7BC75F5E">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A0F3637">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4D574710">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6DBDE51F">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0BBC630E">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7897E712">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6B8C1C1D">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095FA286">
            <w:pPr>
              <w:spacing w:line="360" w:lineRule="auto"/>
              <w:jc w:val="center"/>
              <w:rPr>
                <w:rFonts w:hint="eastAsia" w:ascii="宋体" w:hAnsi="宋体" w:eastAsia="宋体" w:cs="宋体"/>
                <w:color w:val="000000"/>
                <w:sz w:val="24"/>
                <w:szCs w:val="24"/>
                <w:highlight w:val="none"/>
              </w:rPr>
            </w:pPr>
          </w:p>
        </w:tc>
      </w:tr>
      <w:tr w14:paraId="6247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43D7F376">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6572CD7B">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616AA055">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82ECEE5">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6A3AD452">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63D95D87">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68D2E759">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4A47194E">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3C5EB1D6">
            <w:pPr>
              <w:spacing w:line="360" w:lineRule="auto"/>
              <w:jc w:val="center"/>
              <w:rPr>
                <w:rFonts w:hint="eastAsia" w:ascii="宋体" w:hAnsi="宋体" w:eastAsia="宋体" w:cs="宋体"/>
                <w:color w:val="000000"/>
                <w:sz w:val="24"/>
                <w:szCs w:val="24"/>
                <w:highlight w:val="none"/>
              </w:rPr>
            </w:pPr>
          </w:p>
        </w:tc>
      </w:tr>
      <w:tr w14:paraId="55A8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top"/>
          </w:tcPr>
          <w:p w14:paraId="57612DF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w:t>
            </w:r>
          </w:p>
          <w:p w14:paraId="0DB5692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务</w:t>
            </w:r>
          </w:p>
          <w:p w14:paraId="2C0A238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w:t>
            </w:r>
          </w:p>
          <w:p w14:paraId="1CFE2C8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w:t>
            </w:r>
          </w:p>
        </w:tc>
        <w:tc>
          <w:tcPr>
            <w:tcW w:w="910" w:type="dxa"/>
            <w:noWrap w:val="0"/>
            <w:vAlign w:val="top"/>
          </w:tcPr>
          <w:p w14:paraId="121E2086">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6DE7AF77">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095A4249">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0F733FF">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4E9518BC">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6C9BE1DB">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02CD8CC2">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5E554C4C">
            <w:pPr>
              <w:spacing w:line="360" w:lineRule="auto"/>
              <w:jc w:val="center"/>
              <w:rPr>
                <w:rFonts w:hint="eastAsia" w:ascii="宋体" w:hAnsi="宋体" w:eastAsia="宋体" w:cs="宋体"/>
                <w:color w:val="000000"/>
                <w:sz w:val="24"/>
                <w:szCs w:val="24"/>
                <w:highlight w:val="none"/>
              </w:rPr>
            </w:pPr>
          </w:p>
        </w:tc>
      </w:tr>
      <w:tr w14:paraId="00DD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5A0E7FBA">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4CE7F8D5">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0B8D93CA">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9D8E149">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E14BB99">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3EE1866D">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47E7D591">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5923A941">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609DFD4D">
            <w:pPr>
              <w:spacing w:line="360" w:lineRule="auto"/>
              <w:jc w:val="center"/>
              <w:rPr>
                <w:rFonts w:hint="eastAsia" w:ascii="宋体" w:hAnsi="宋体" w:eastAsia="宋体" w:cs="宋体"/>
                <w:color w:val="000000"/>
                <w:sz w:val="24"/>
                <w:szCs w:val="24"/>
                <w:highlight w:val="none"/>
              </w:rPr>
            </w:pPr>
          </w:p>
        </w:tc>
      </w:tr>
      <w:tr w14:paraId="3364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5360BCA7">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05F82741">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5CCFF2D6">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0D0AEC7A">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75AF20F">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330FD494">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2609780C">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1AE521DF">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3E4020E5">
            <w:pPr>
              <w:spacing w:line="360" w:lineRule="auto"/>
              <w:jc w:val="center"/>
              <w:rPr>
                <w:rFonts w:hint="eastAsia" w:ascii="宋体" w:hAnsi="宋体" w:eastAsia="宋体" w:cs="宋体"/>
                <w:color w:val="000000"/>
                <w:sz w:val="24"/>
                <w:szCs w:val="24"/>
                <w:highlight w:val="none"/>
              </w:rPr>
            </w:pPr>
          </w:p>
        </w:tc>
      </w:tr>
      <w:tr w14:paraId="564C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3CB5DB2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w:t>
            </w:r>
          </w:p>
          <w:p w14:paraId="224F999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他</w:t>
            </w:r>
          </w:p>
          <w:p w14:paraId="05238F82">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w:t>
            </w:r>
          </w:p>
          <w:p w14:paraId="27FE577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员</w:t>
            </w:r>
          </w:p>
        </w:tc>
        <w:tc>
          <w:tcPr>
            <w:tcW w:w="910" w:type="dxa"/>
            <w:noWrap w:val="0"/>
            <w:vAlign w:val="top"/>
          </w:tcPr>
          <w:p w14:paraId="55ED6D4F">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34210926">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BD750E4">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9F8E5EC">
            <w:pPr>
              <w:spacing w:line="360" w:lineRule="auto"/>
              <w:jc w:val="center"/>
              <w:rPr>
                <w:rFonts w:hint="eastAsia" w:ascii="宋体" w:hAnsi="宋体" w:eastAsia="宋体" w:cs="宋体"/>
                <w:color w:val="000000"/>
                <w:sz w:val="24"/>
                <w:szCs w:val="24"/>
                <w:highlight w:val="none"/>
              </w:rPr>
            </w:pPr>
          </w:p>
        </w:tc>
        <w:tc>
          <w:tcPr>
            <w:tcW w:w="1188" w:type="dxa"/>
            <w:noWrap w:val="0"/>
            <w:vAlign w:val="top"/>
          </w:tcPr>
          <w:p w14:paraId="1705E928">
            <w:pPr>
              <w:spacing w:line="360" w:lineRule="auto"/>
              <w:jc w:val="center"/>
              <w:rPr>
                <w:rFonts w:hint="eastAsia" w:ascii="宋体" w:hAnsi="宋体" w:eastAsia="宋体" w:cs="宋体"/>
                <w:color w:val="000000"/>
                <w:sz w:val="24"/>
                <w:szCs w:val="24"/>
                <w:highlight w:val="none"/>
              </w:rPr>
            </w:pPr>
          </w:p>
        </w:tc>
        <w:tc>
          <w:tcPr>
            <w:tcW w:w="835" w:type="dxa"/>
            <w:noWrap w:val="0"/>
            <w:vAlign w:val="top"/>
          </w:tcPr>
          <w:p w14:paraId="262F9453">
            <w:pPr>
              <w:spacing w:line="360" w:lineRule="auto"/>
              <w:jc w:val="center"/>
              <w:rPr>
                <w:rFonts w:hint="eastAsia" w:ascii="宋体" w:hAnsi="宋体" w:eastAsia="宋体" w:cs="宋体"/>
                <w:color w:val="000000"/>
                <w:sz w:val="24"/>
                <w:szCs w:val="24"/>
                <w:highlight w:val="none"/>
              </w:rPr>
            </w:pPr>
          </w:p>
        </w:tc>
        <w:tc>
          <w:tcPr>
            <w:tcW w:w="951" w:type="dxa"/>
            <w:noWrap w:val="0"/>
            <w:vAlign w:val="top"/>
          </w:tcPr>
          <w:p w14:paraId="192ECC85">
            <w:pPr>
              <w:spacing w:line="360" w:lineRule="auto"/>
              <w:jc w:val="center"/>
              <w:rPr>
                <w:rFonts w:hint="eastAsia" w:ascii="宋体" w:hAnsi="宋体" w:eastAsia="宋体" w:cs="宋体"/>
                <w:color w:val="000000"/>
                <w:sz w:val="24"/>
                <w:szCs w:val="24"/>
                <w:highlight w:val="none"/>
              </w:rPr>
            </w:pPr>
          </w:p>
        </w:tc>
        <w:tc>
          <w:tcPr>
            <w:tcW w:w="841" w:type="dxa"/>
            <w:noWrap w:val="0"/>
            <w:vAlign w:val="top"/>
          </w:tcPr>
          <w:p w14:paraId="364451DB">
            <w:pPr>
              <w:spacing w:line="360" w:lineRule="auto"/>
              <w:jc w:val="center"/>
              <w:rPr>
                <w:rFonts w:hint="eastAsia" w:ascii="宋体" w:hAnsi="宋体" w:eastAsia="宋体" w:cs="宋体"/>
                <w:color w:val="000000"/>
                <w:sz w:val="24"/>
                <w:szCs w:val="24"/>
                <w:highlight w:val="none"/>
              </w:rPr>
            </w:pPr>
          </w:p>
        </w:tc>
      </w:tr>
      <w:tr w14:paraId="29FC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4672193C">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477CB0F3">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7A51A6AE">
            <w:pPr>
              <w:spacing w:line="360" w:lineRule="auto"/>
              <w:jc w:val="center"/>
              <w:rPr>
                <w:rFonts w:hint="eastAsia" w:ascii="宋体" w:hAnsi="宋体" w:eastAsia="宋体" w:cs="宋体"/>
                <w:b/>
                <w:bCs/>
                <w:color w:val="000000"/>
                <w:sz w:val="24"/>
                <w:szCs w:val="24"/>
                <w:highlight w:val="none"/>
              </w:rPr>
            </w:pPr>
          </w:p>
        </w:tc>
        <w:tc>
          <w:tcPr>
            <w:tcW w:w="912" w:type="dxa"/>
            <w:noWrap w:val="0"/>
            <w:vAlign w:val="top"/>
          </w:tcPr>
          <w:p w14:paraId="2C19D789">
            <w:pPr>
              <w:spacing w:line="360" w:lineRule="auto"/>
              <w:jc w:val="center"/>
              <w:rPr>
                <w:rFonts w:hint="eastAsia" w:ascii="宋体" w:hAnsi="宋体" w:eastAsia="宋体" w:cs="宋体"/>
                <w:b/>
                <w:bCs/>
                <w:color w:val="000000"/>
                <w:sz w:val="24"/>
                <w:szCs w:val="24"/>
                <w:highlight w:val="none"/>
              </w:rPr>
            </w:pPr>
          </w:p>
        </w:tc>
        <w:tc>
          <w:tcPr>
            <w:tcW w:w="912" w:type="dxa"/>
            <w:noWrap w:val="0"/>
            <w:vAlign w:val="top"/>
          </w:tcPr>
          <w:p w14:paraId="1DB6BB3C">
            <w:pPr>
              <w:spacing w:line="360" w:lineRule="auto"/>
              <w:jc w:val="center"/>
              <w:rPr>
                <w:rFonts w:hint="eastAsia" w:ascii="宋体" w:hAnsi="宋体" w:eastAsia="宋体" w:cs="宋体"/>
                <w:b/>
                <w:bCs/>
                <w:color w:val="000000"/>
                <w:sz w:val="24"/>
                <w:szCs w:val="24"/>
                <w:highlight w:val="none"/>
              </w:rPr>
            </w:pPr>
          </w:p>
        </w:tc>
        <w:tc>
          <w:tcPr>
            <w:tcW w:w="1188" w:type="dxa"/>
            <w:noWrap w:val="0"/>
            <w:vAlign w:val="top"/>
          </w:tcPr>
          <w:p w14:paraId="2B5EE2D8">
            <w:pPr>
              <w:spacing w:line="360" w:lineRule="auto"/>
              <w:jc w:val="center"/>
              <w:rPr>
                <w:rFonts w:hint="eastAsia" w:ascii="宋体" w:hAnsi="宋体" w:eastAsia="宋体" w:cs="宋体"/>
                <w:b/>
                <w:bCs/>
                <w:color w:val="000000"/>
                <w:sz w:val="24"/>
                <w:szCs w:val="24"/>
                <w:highlight w:val="none"/>
              </w:rPr>
            </w:pPr>
          </w:p>
        </w:tc>
        <w:tc>
          <w:tcPr>
            <w:tcW w:w="835" w:type="dxa"/>
            <w:noWrap w:val="0"/>
            <w:vAlign w:val="top"/>
          </w:tcPr>
          <w:p w14:paraId="6FB1B3D1">
            <w:pPr>
              <w:spacing w:line="360" w:lineRule="auto"/>
              <w:jc w:val="center"/>
              <w:rPr>
                <w:rFonts w:hint="eastAsia" w:ascii="宋体" w:hAnsi="宋体" w:eastAsia="宋体" w:cs="宋体"/>
                <w:b/>
                <w:bCs/>
                <w:color w:val="000000"/>
                <w:sz w:val="24"/>
                <w:szCs w:val="24"/>
                <w:highlight w:val="none"/>
              </w:rPr>
            </w:pPr>
          </w:p>
        </w:tc>
        <w:tc>
          <w:tcPr>
            <w:tcW w:w="951" w:type="dxa"/>
            <w:noWrap w:val="0"/>
            <w:vAlign w:val="top"/>
          </w:tcPr>
          <w:p w14:paraId="62BA18EB">
            <w:pPr>
              <w:spacing w:line="360" w:lineRule="auto"/>
              <w:jc w:val="center"/>
              <w:rPr>
                <w:rFonts w:hint="eastAsia" w:ascii="宋体" w:hAnsi="宋体" w:eastAsia="宋体" w:cs="宋体"/>
                <w:b/>
                <w:bCs/>
                <w:color w:val="000000"/>
                <w:sz w:val="24"/>
                <w:szCs w:val="24"/>
                <w:highlight w:val="none"/>
              </w:rPr>
            </w:pPr>
          </w:p>
        </w:tc>
        <w:tc>
          <w:tcPr>
            <w:tcW w:w="841" w:type="dxa"/>
            <w:noWrap w:val="0"/>
            <w:vAlign w:val="top"/>
          </w:tcPr>
          <w:p w14:paraId="7D5248BA">
            <w:pPr>
              <w:spacing w:line="360" w:lineRule="auto"/>
              <w:jc w:val="center"/>
              <w:rPr>
                <w:rFonts w:hint="eastAsia" w:ascii="宋体" w:hAnsi="宋体" w:eastAsia="宋体" w:cs="宋体"/>
                <w:b/>
                <w:bCs/>
                <w:color w:val="000000"/>
                <w:sz w:val="24"/>
                <w:szCs w:val="24"/>
                <w:highlight w:val="none"/>
              </w:rPr>
            </w:pPr>
          </w:p>
        </w:tc>
      </w:tr>
      <w:tr w14:paraId="07C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5FE3555A">
            <w:pPr>
              <w:spacing w:line="360" w:lineRule="auto"/>
              <w:jc w:val="center"/>
              <w:rPr>
                <w:rFonts w:hint="eastAsia" w:ascii="宋体" w:hAnsi="宋体" w:eastAsia="宋体" w:cs="宋体"/>
                <w:color w:val="000000"/>
                <w:sz w:val="24"/>
                <w:szCs w:val="24"/>
                <w:highlight w:val="none"/>
              </w:rPr>
            </w:pPr>
          </w:p>
        </w:tc>
        <w:tc>
          <w:tcPr>
            <w:tcW w:w="910" w:type="dxa"/>
            <w:noWrap w:val="0"/>
            <w:vAlign w:val="top"/>
          </w:tcPr>
          <w:p w14:paraId="7B33F282">
            <w:pPr>
              <w:spacing w:line="360" w:lineRule="auto"/>
              <w:jc w:val="center"/>
              <w:rPr>
                <w:rFonts w:hint="eastAsia" w:ascii="宋体" w:hAnsi="宋体" w:eastAsia="宋体" w:cs="宋体"/>
                <w:color w:val="000000"/>
                <w:sz w:val="24"/>
                <w:szCs w:val="24"/>
                <w:highlight w:val="none"/>
              </w:rPr>
            </w:pPr>
          </w:p>
        </w:tc>
        <w:tc>
          <w:tcPr>
            <w:tcW w:w="912" w:type="dxa"/>
            <w:noWrap w:val="0"/>
            <w:vAlign w:val="top"/>
          </w:tcPr>
          <w:p w14:paraId="26EF5640">
            <w:pPr>
              <w:spacing w:line="360" w:lineRule="auto"/>
              <w:jc w:val="center"/>
              <w:rPr>
                <w:rFonts w:hint="eastAsia" w:ascii="宋体" w:hAnsi="宋体" w:eastAsia="宋体" w:cs="宋体"/>
                <w:b/>
                <w:bCs/>
                <w:color w:val="000000"/>
                <w:sz w:val="24"/>
                <w:szCs w:val="24"/>
                <w:highlight w:val="none"/>
              </w:rPr>
            </w:pPr>
          </w:p>
        </w:tc>
        <w:tc>
          <w:tcPr>
            <w:tcW w:w="912" w:type="dxa"/>
            <w:noWrap w:val="0"/>
            <w:vAlign w:val="top"/>
          </w:tcPr>
          <w:p w14:paraId="4FCE230C">
            <w:pPr>
              <w:spacing w:line="360" w:lineRule="auto"/>
              <w:jc w:val="center"/>
              <w:rPr>
                <w:rFonts w:hint="eastAsia" w:ascii="宋体" w:hAnsi="宋体" w:eastAsia="宋体" w:cs="宋体"/>
                <w:b/>
                <w:bCs/>
                <w:color w:val="000000"/>
                <w:sz w:val="24"/>
                <w:szCs w:val="24"/>
                <w:highlight w:val="none"/>
              </w:rPr>
            </w:pPr>
          </w:p>
        </w:tc>
        <w:tc>
          <w:tcPr>
            <w:tcW w:w="912" w:type="dxa"/>
            <w:noWrap w:val="0"/>
            <w:vAlign w:val="top"/>
          </w:tcPr>
          <w:p w14:paraId="42106A7E">
            <w:pPr>
              <w:spacing w:line="360" w:lineRule="auto"/>
              <w:jc w:val="center"/>
              <w:rPr>
                <w:rFonts w:hint="eastAsia" w:ascii="宋体" w:hAnsi="宋体" w:eastAsia="宋体" w:cs="宋体"/>
                <w:b/>
                <w:bCs/>
                <w:color w:val="000000"/>
                <w:sz w:val="24"/>
                <w:szCs w:val="24"/>
                <w:highlight w:val="none"/>
              </w:rPr>
            </w:pPr>
          </w:p>
        </w:tc>
        <w:tc>
          <w:tcPr>
            <w:tcW w:w="1188" w:type="dxa"/>
            <w:noWrap w:val="0"/>
            <w:vAlign w:val="top"/>
          </w:tcPr>
          <w:p w14:paraId="2B6DD364">
            <w:pPr>
              <w:spacing w:line="360" w:lineRule="auto"/>
              <w:jc w:val="center"/>
              <w:rPr>
                <w:rFonts w:hint="eastAsia" w:ascii="宋体" w:hAnsi="宋体" w:eastAsia="宋体" w:cs="宋体"/>
                <w:b/>
                <w:bCs/>
                <w:color w:val="000000"/>
                <w:sz w:val="24"/>
                <w:szCs w:val="24"/>
                <w:highlight w:val="none"/>
              </w:rPr>
            </w:pPr>
          </w:p>
        </w:tc>
        <w:tc>
          <w:tcPr>
            <w:tcW w:w="835" w:type="dxa"/>
            <w:noWrap w:val="0"/>
            <w:vAlign w:val="top"/>
          </w:tcPr>
          <w:p w14:paraId="2D13799F">
            <w:pPr>
              <w:spacing w:line="360" w:lineRule="auto"/>
              <w:jc w:val="center"/>
              <w:rPr>
                <w:rFonts w:hint="eastAsia" w:ascii="宋体" w:hAnsi="宋体" w:eastAsia="宋体" w:cs="宋体"/>
                <w:b/>
                <w:bCs/>
                <w:color w:val="000000"/>
                <w:sz w:val="24"/>
                <w:szCs w:val="24"/>
                <w:highlight w:val="none"/>
              </w:rPr>
            </w:pPr>
          </w:p>
        </w:tc>
        <w:tc>
          <w:tcPr>
            <w:tcW w:w="951" w:type="dxa"/>
            <w:noWrap w:val="0"/>
            <w:vAlign w:val="top"/>
          </w:tcPr>
          <w:p w14:paraId="569739C7">
            <w:pPr>
              <w:spacing w:line="360" w:lineRule="auto"/>
              <w:jc w:val="center"/>
              <w:rPr>
                <w:rFonts w:hint="eastAsia" w:ascii="宋体" w:hAnsi="宋体" w:eastAsia="宋体" w:cs="宋体"/>
                <w:b/>
                <w:bCs/>
                <w:color w:val="000000"/>
                <w:sz w:val="24"/>
                <w:szCs w:val="24"/>
                <w:highlight w:val="none"/>
              </w:rPr>
            </w:pPr>
          </w:p>
        </w:tc>
        <w:tc>
          <w:tcPr>
            <w:tcW w:w="841" w:type="dxa"/>
            <w:noWrap w:val="0"/>
            <w:vAlign w:val="top"/>
          </w:tcPr>
          <w:p w14:paraId="0538425A">
            <w:pPr>
              <w:spacing w:line="360" w:lineRule="auto"/>
              <w:jc w:val="center"/>
              <w:rPr>
                <w:rFonts w:hint="eastAsia" w:ascii="宋体" w:hAnsi="宋体" w:eastAsia="宋体" w:cs="宋体"/>
                <w:b/>
                <w:bCs/>
                <w:color w:val="000000"/>
                <w:sz w:val="24"/>
                <w:szCs w:val="24"/>
                <w:highlight w:val="none"/>
              </w:rPr>
            </w:pPr>
          </w:p>
        </w:tc>
      </w:tr>
    </w:tbl>
    <w:p w14:paraId="1699CD04">
      <w:pPr>
        <w:adjustRightInd w:val="0"/>
        <w:spacing w:line="360" w:lineRule="auto"/>
        <w:ind w:firstLine="900" w:firstLineChars="375"/>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注：后附人员相关证书彩色扫描件。</w:t>
      </w:r>
    </w:p>
    <w:p w14:paraId="137BE977">
      <w:pPr>
        <w:pStyle w:val="12"/>
        <w:spacing w:line="360" w:lineRule="auto"/>
        <w:rPr>
          <w:rFonts w:hint="eastAsia" w:ascii="宋体" w:hAnsi="宋体" w:eastAsia="宋体" w:cs="宋体"/>
          <w:color w:val="000000"/>
          <w:sz w:val="24"/>
          <w:szCs w:val="24"/>
          <w:highlight w:val="none"/>
        </w:rPr>
      </w:pPr>
    </w:p>
    <w:p w14:paraId="087240A7">
      <w:pPr>
        <w:adjustRightInd w:val="0"/>
        <w:spacing w:line="360" w:lineRule="auto"/>
        <w:ind w:firstLine="900" w:firstLineChars="375"/>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投标人名称（盖章）：        </w:t>
      </w:r>
    </w:p>
    <w:p w14:paraId="37DAB70A">
      <w:pPr>
        <w:adjustRightInd w:val="0"/>
        <w:spacing w:line="360" w:lineRule="auto"/>
        <w:ind w:firstLine="4020" w:firstLineChars="16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授权人或被授权人（签字或盖章）</w:t>
      </w:r>
      <w:r>
        <w:rPr>
          <w:rFonts w:hint="eastAsia" w:ascii="宋体" w:hAnsi="宋体" w:eastAsia="宋体" w:cs="宋体"/>
          <w:bCs/>
          <w:color w:val="000000"/>
          <w:sz w:val="24"/>
          <w:szCs w:val="24"/>
          <w:highlight w:val="none"/>
        </w:rPr>
        <w:t>：</w:t>
      </w:r>
    </w:p>
    <w:p w14:paraId="4B18AC41">
      <w:pPr>
        <w:adjustRightInd w:val="0"/>
        <w:spacing w:line="360" w:lineRule="auto"/>
        <w:ind w:firstLine="900" w:firstLineChars="375"/>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日期:</w:t>
      </w:r>
    </w:p>
    <w:p w14:paraId="1F802D9C">
      <w:pPr>
        <w:spacing w:line="360" w:lineRule="auto"/>
        <w:ind w:firstLine="4080" w:firstLineChars="1700"/>
        <w:jc w:val="left"/>
        <w:rPr>
          <w:rFonts w:hint="eastAsia" w:ascii="宋体" w:hAnsi="宋体" w:eastAsia="宋体" w:cs="宋体"/>
          <w:color w:val="000000"/>
          <w:sz w:val="24"/>
          <w:szCs w:val="24"/>
          <w:highlight w:val="none"/>
        </w:rPr>
      </w:pPr>
    </w:p>
    <w:p w14:paraId="36FDDB53">
      <w:pPr>
        <w:spacing w:line="360" w:lineRule="auto"/>
        <w:jc w:val="center"/>
        <w:rPr>
          <w:rFonts w:hint="eastAsia" w:ascii="宋体" w:hAnsi="宋体" w:eastAsia="宋体" w:cs="宋体"/>
          <w:color w:val="000000"/>
          <w:sz w:val="24"/>
          <w:szCs w:val="24"/>
          <w:highlight w:val="none"/>
        </w:rPr>
      </w:pPr>
    </w:p>
    <w:p w14:paraId="4D81FC42">
      <w:pPr>
        <w:spacing w:line="360" w:lineRule="auto"/>
        <w:rPr>
          <w:rFonts w:hint="eastAsia" w:ascii="宋体" w:hAnsi="宋体" w:eastAsia="宋体" w:cs="宋体"/>
          <w:color w:val="000000"/>
          <w:sz w:val="24"/>
          <w:szCs w:val="24"/>
          <w:highlight w:val="none"/>
        </w:rPr>
      </w:pPr>
    </w:p>
    <w:p w14:paraId="40D130CF">
      <w:pPr>
        <w:pStyle w:val="14"/>
        <w:spacing w:before="75" w:beforeAutospacing="0" w:after="75" w:afterAutospacing="0" w:line="360" w:lineRule="auto"/>
        <w:rPr>
          <w:rFonts w:hint="eastAsia" w:ascii="宋体" w:hAnsi="宋体" w:eastAsia="宋体" w:cs="宋体"/>
          <w:color w:val="000000"/>
          <w:sz w:val="24"/>
          <w:szCs w:val="24"/>
          <w:highlight w:val="none"/>
        </w:rPr>
      </w:pPr>
    </w:p>
    <w:p w14:paraId="6BAEA896">
      <w:pPr>
        <w:pStyle w:val="14"/>
        <w:spacing w:before="75" w:beforeAutospacing="0" w:after="75" w:afterAutospacing="0" w:line="360" w:lineRule="auto"/>
        <w:rPr>
          <w:rFonts w:hint="eastAsia" w:ascii="宋体" w:hAnsi="宋体" w:eastAsia="宋体" w:cs="宋体"/>
          <w:color w:val="000000"/>
          <w:sz w:val="24"/>
          <w:szCs w:val="24"/>
          <w:highlight w:val="none"/>
        </w:rPr>
      </w:pPr>
    </w:p>
    <w:p w14:paraId="3C7065A3">
      <w:pPr>
        <w:pStyle w:val="14"/>
        <w:spacing w:before="75" w:beforeAutospacing="0" w:after="75" w:afterAutospacing="0" w:line="360" w:lineRule="auto"/>
        <w:rPr>
          <w:rFonts w:hint="eastAsia" w:ascii="宋体" w:hAnsi="宋体" w:eastAsia="宋体" w:cs="宋体"/>
          <w:color w:val="000000"/>
          <w:sz w:val="24"/>
          <w:szCs w:val="24"/>
          <w:highlight w:val="none"/>
        </w:rPr>
      </w:pPr>
    </w:p>
    <w:p w14:paraId="7EA80445">
      <w:pPr>
        <w:pStyle w:val="30"/>
        <w:numPr>
          <w:ilvl w:val="0"/>
          <w:numId w:val="0"/>
        </w:numPr>
        <w:spacing w:line="360" w:lineRule="auto"/>
        <w:jc w:val="center"/>
        <w:outlineLvl w:val="1"/>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br w:type="page"/>
      </w:r>
      <w:r>
        <w:rPr>
          <w:rFonts w:hint="eastAsia" w:ascii="宋体" w:hAnsi="宋体" w:eastAsia="宋体" w:cs="宋体"/>
          <w:b/>
          <w:bCs/>
          <w:color w:val="000000"/>
          <w:kern w:val="0"/>
          <w:sz w:val="24"/>
          <w:szCs w:val="24"/>
          <w:highlight w:val="none"/>
          <w:lang w:val="en-US" w:eastAsia="zh-CN"/>
        </w:rPr>
        <w:t>八、</w:t>
      </w:r>
      <w:r>
        <w:rPr>
          <w:rFonts w:hint="eastAsia" w:ascii="宋体" w:hAnsi="宋体" w:eastAsia="宋体" w:cs="宋体"/>
          <w:b/>
          <w:bCs/>
          <w:color w:val="000000"/>
          <w:kern w:val="0"/>
          <w:sz w:val="24"/>
          <w:szCs w:val="24"/>
          <w:highlight w:val="none"/>
        </w:rPr>
        <w:t>实施方案</w:t>
      </w:r>
    </w:p>
    <w:p w14:paraId="0EABAF7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bookmarkEnd w:id="142"/>
    <w:p w14:paraId="559466FB">
      <w:pPr>
        <w:pStyle w:val="6"/>
        <w:spacing w:line="360" w:lineRule="auto"/>
        <w:ind w:firstLine="0" w:firstLineChars="0"/>
        <w:jc w:val="center"/>
        <w:outlineLvl w:val="1"/>
        <w:rPr>
          <w:rFonts w:hint="eastAsia" w:ascii="宋体" w:hAnsi="宋体" w:eastAsia="宋体" w:cs="宋体"/>
          <w:b/>
          <w:bCs/>
          <w:color w:val="000000"/>
          <w:kern w:val="0"/>
          <w:sz w:val="24"/>
          <w:szCs w:val="24"/>
          <w:highlight w:val="none"/>
          <w:lang w:val="en-US"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148" w:name="_Toc31271_WPSOffice_Level1"/>
      <w:r>
        <w:rPr>
          <w:rFonts w:hint="eastAsia" w:ascii="宋体" w:hAnsi="宋体" w:eastAsia="宋体" w:cs="宋体"/>
          <w:b/>
          <w:bCs/>
          <w:color w:val="000000"/>
          <w:kern w:val="0"/>
          <w:sz w:val="24"/>
          <w:szCs w:val="24"/>
          <w:highlight w:val="none"/>
          <w:lang w:val="en-US" w:eastAsia="zh-CN"/>
        </w:rPr>
        <w:t>根据第五章“评标办法”所需内容自拟格式</w:t>
      </w:r>
    </w:p>
    <w:p w14:paraId="09F6582D">
      <w:pPr>
        <w:pStyle w:val="6"/>
        <w:spacing w:line="360" w:lineRule="auto"/>
        <w:ind w:firstLine="0" w:firstLineChars="0"/>
        <w:jc w:val="center"/>
        <w:outlineLvl w:val="1"/>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九</w:t>
      </w:r>
      <w:r>
        <w:rPr>
          <w:rFonts w:hint="eastAsia" w:ascii="宋体" w:hAnsi="宋体" w:eastAsia="宋体" w:cs="宋体"/>
          <w:b/>
          <w:bCs/>
          <w:color w:val="000000"/>
          <w:kern w:val="0"/>
          <w:sz w:val="24"/>
          <w:szCs w:val="24"/>
          <w:highlight w:val="none"/>
        </w:rPr>
        <w:t>、投标人认为需要提供的其他文件和资料</w:t>
      </w:r>
    </w:p>
    <w:p w14:paraId="06B0F644">
      <w:pPr>
        <w:spacing w:line="360" w:lineRule="auto"/>
        <w:rPr>
          <w:rFonts w:hint="eastAsia" w:ascii="宋体" w:hAnsi="宋体" w:eastAsia="宋体" w:cs="宋体"/>
          <w:bCs/>
          <w:color w:val="000000"/>
          <w:sz w:val="24"/>
          <w:szCs w:val="24"/>
          <w:highlight w:val="none"/>
        </w:rPr>
      </w:pPr>
    </w:p>
    <w:p w14:paraId="01FBDDB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1、以下《中小微企业声明函》、《监狱企业的证明文件》及《残疾人福利性单位声明函》投标人根据自身的实际情况选用（如有）。</w:t>
      </w:r>
    </w:p>
    <w:p w14:paraId="168EE0B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2、投标人同时为小型（或微型）企业、监狱企业、残疾人福利性单位任两种或以上情况的，评审中只享受一次价格扣除（或评审得分优惠），不重复进行价格扣除。</w:t>
      </w:r>
    </w:p>
    <w:p w14:paraId="3909BCDE">
      <w:pPr>
        <w:pStyle w:val="15"/>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w:t>
      </w:r>
    </w:p>
    <w:p w14:paraId="191E895B">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p>
    <w:p w14:paraId="2159B902">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val="en-US"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1C3F8331">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w:t>
      </w:r>
      <w:r>
        <w:rPr>
          <w:rFonts w:hint="eastAsia" w:ascii="宋体" w:hAnsi="宋体" w:eastAsia="宋体" w:cs="宋体"/>
          <w:color w:val="auto"/>
          <w:sz w:val="24"/>
          <w:szCs w:val="24"/>
          <w:highlight w:val="none"/>
          <w:u w:val="single"/>
          <w:lang w:val="en-US" w:eastAsia="zh-CN"/>
        </w:rPr>
        <w:t>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，属于（中型企业、小型企业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微型企业</w:t>
      </w:r>
      <w:r>
        <w:rPr>
          <w:rFonts w:hint="eastAsia" w:ascii="宋体" w:hAnsi="宋体" w:eastAsia="宋体" w:cs="宋体"/>
          <w:color w:val="auto"/>
          <w:sz w:val="24"/>
          <w:szCs w:val="24"/>
          <w:highlight w:val="none"/>
        </w:rPr>
        <w:t>）；</w:t>
      </w:r>
    </w:p>
    <w:p w14:paraId="3E899F27">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461D8877">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77924F3">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10556C6">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4B0EE8E">
      <w:pPr>
        <w:pStyle w:val="15"/>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35587182">
      <w:pPr>
        <w:pStyle w:val="15"/>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558F4278">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2D347556">
      <w:pPr>
        <w:spacing w:line="360" w:lineRule="auto"/>
        <w:jc w:val="center"/>
        <w:rPr>
          <w:rFonts w:hint="eastAsia" w:ascii="宋体" w:hAnsi="宋体" w:eastAsia="宋体" w:cs="宋体"/>
          <w:b/>
          <w:bCs/>
          <w:color w:val="auto"/>
          <w:sz w:val="24"/>
          <w:szCs w:val="24"/>
          <w:highlight w:val="none"/>
        </w:rPr>
      </w:pPr>
    </w:p>
    <w:p w14:paraId="0F4AE03B">
      <w:pPr>
        <w:pStyle w:val="27"/>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14:paraId="7669E1AE">
      <w:pPr>
        <w:spacing w:line="360" w:lineRule="auto"/>
        <w:rPr>
          <w:rFonts w:hint="eastAsia" w:ascii="宋体" w:hAnsi="宋体" w:eastAsia="宋体" w:cs="宋体"/>
          <w:color w:val="auto"/>
          <w:sz w:val="24"/>
          <w:szCs w:val="24"/>
          <w:highlight w:val="none"/>
        </w:rPr>
      </w:pPr>
    </w:p>
    <w:p w14:paraId="023EF894">
      <w:pPr>
        <w:spacing w:line="360" w:lineRule="auto"/>
        <w:jc w:val="center"/>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rPr>
        <w:t xml:space="preserve">（二） </w:t>
      </w:r>
      <w:bookmarkStart w:id="149" w:name="OLE_LINK13"/>
      <w:bookmarkStart w:id="150" w:name="OLE_LINK14"/>
      <w:r>
        <w:rPr>
          <w:rFonts w:hint="eastAsia" w:ascii="宋体" w:hAnsi="宋体" w:eastAsia="宋体" w:cs="宋体"/>
          <w:b/>
          <w:color w:val="auto"/>
          <w:spacing w:val="6"/>
          <w:sz w:val="24"/>
          <w:szCs w:val="24"/>
          <w:highlight w:val="none"/>
        </w:rPr>
        <w:t>残疾人福利性单位声明函</w:t>
      </w:r>
    </w:p>
    <w:bookmarkEnd w:id="149"/>
    <w:bookmarkEnd w:id="150"/>
    <w:p w14:paraId="197CA129">
      <w:pPr>
        <w:spacing w:line="360" w:lineRule="auto"/>
        <w:rPr>
          <w:rFonts w:hint="eastAsia" w:ascii="宋体" w:hAnsi="宋体" w:eastAsia="宋体" w:cs="宋体"/>
          <w:b/>
          <w:color w:val="auto"/>
          <w:spacing w:val="6"/>
          <w:sz w:val="24"/>
          <w:szCs w:val="24"/>
          <w:highlight w:val="none"/>
        </w:rPr>
      </w:pPr>
    </w:p>
    <w:p w14:paraId="40BE996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项目采购活动提供本单位制造的服务（由本单位承担工程/提供服务），或者提供其他残疾人福利性单位制造的货物（不包括使用非残疾人福利性单位注册商标的货物）。</w:t>
      </w:r>
    </w:p>
    <w:p w14:paraId="2FFA49F7">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875460D">
      <w:pPr>
        <w:spacing w:line="360" w:lineRule="auto"/>
        <w:ind w:firstLine="504" w:firstLineChars="200"/>
        <w:rPr>
          <w:rFonts w:hint="eastAsia" w:ascii="宋体" w:hAnsi="宋体" w:eastAsia="宋体" w:cs="宋体"/>
          <w:color w:val="auto"/>
          <w:spacing w:val="6"/>
          <w:sz w:val="24"/>
          <w:szCs w:val="24"/>
          <w:highlight w:val="none"/>
        </w:rPr>
      </w:pPr>
    </w:p>
    <w:p w14:paraId="652710B3">
      <w:pPr>
        <w:spacing w:line="360" w:lineRule="auto"/>
        <w:ind w:firstLine="504" w:firstLineChars="200"/>
        <w:rPr>
          <w:rFonts w:hint="eastAsia" w:ascii="宋体" w:hAnsi="宋体" w:eastAsia="宋体" w:cs="宋体"/>
          <w:color w:val="auto"/>
          <w:spacing w:val="6"/>
          <w:sz w:val="24"/>
          <w:szCs w:val="24"/>
          <w:highlight w:val="none"/>
        </w:rPr>
      </w:pPr>
    </w:p>
    <w:p w14:paraId="08B26763">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376FFAFD">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6B98C2EB">
      <w:pPr>
        <w:widowControl/>
        <w:adjustRightInd w:val="0"/>
        <w:snapToGrid w:val="0"/>
        <w:spacing w:line="360" w:lineRule="auto"/>
        <w:rPr>
          <w:rFonts w:hint="eastAsia" w:ascii="宋体" w:hAnsi="宋体" w:eastAsia="宋体" w:cs="宋体"/>
          <w:color w:val="auto"/>
          <w:sz w:val="24"/>
          <w:szCs w:val="24"/>
          <w:highlight w:val="none"/>
        </w:rPr>
      </w:pPr>
    </w:p>
    <w:p w14:paraId="2800250E">
      <w:pPr>
        <w:spacing w:line="360" w:lineRule="auto"/>
        <w:jc w:val="left"/>
        <w:rPr>
          <w:rFonts w:hint="eastAsia" w:ascii="宋体" w:hAnsi="宋体" w:eastAsia="宋体" w:cs="宋体"/>
          <w:bCs/>
          <w:color w:val="auto"/>
          <w:sz w:val="24"/>
          <w:szCs w:val="24"/>
          <w:highlight w:val="none"/>
        </w:rPr>
      </w:pPr>
    </w:p>
    <w:p w14:paraId="326D124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：须提供证明材料（能反映出企业残疾人的占比等情况的材料及残疾人证等）。</w:t>
      </w:r>
    </w:p>
    <w:p w14:paraId="276C100B">
      <w:pPr>
        <w:spacing w:line="360" w:lineRule="auto"/>
        <w:jc w:val="center"/>
        <w:rPr>
          <w:rFonts w:hint="eastAsia" w:ascii="宋体" w:hAnsi="宋体" w:eastAsia="宋体" w:cs="宋体"/>
          <w:b/>
          <w:bCs/>
          <w:color w:val="auto"/>
          <w:sz w:val="24"/>
          <w:szCs w:val="24"/>
          <w:highlight w:val="none"/>
        </w:rPr>
      </w:pPr>
    </w:p>
    <w:p w14:paraId="71691678">
      <w:pPr>
        <w:spacing w:line="360" w:lineRule="auto"/>
        <w:jc w:val="center"/>
        <w:rPr>
          <w:rFonts w:hint="eastAsia" w:ascii="宋体" w:hAnsi="宋体" w:eastAsia="宋体" w:cs="宋体"/>
          <w:b/>
          <w:bCs/>
          <w:color w:val="auto"/>
          <w:sz w:val="24"/>
          <w:szCs w:val="24"/>
          <w:highlight w:val="none"/>
        </w:rPr>
      </w:pPr>
    </w:p>
    <w:p w14:paraId="3643A06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03985305">
      <w:pPr>
        <w:spacing w:line="360" w:lineRule="auto"/>
        <w:ind w:firstLine="480" w:firstLineChars="200"/>
        <w:jc w:val="left"/>
        <w:rPr>
          <w:rFonts w:hint="eastAsia" w:ascii="宋体" w:hAnsi="宋体" w:eastAsia="宋体" w:cs="宋体"/>
          <w:color w:val="auto"/>
          <w:sz w:val="24"/>
          <w:szCs w:val="24"/>
          <w:highlight w:val="none"/>
        </w:rPr>
      </w:pPr>
    </w:p>
    <w:p w14:paraId="70ECD8B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7DD8627">
      <w:pPr>
        <w:pStyle w:val="1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2.证明材料加盖投标人公章。</w:t>
      </w:r>
    </w:p>
    <w:p w14:paraId="0CD698A8">
      <w:pPr>
        <w:pStyle w:val="15"/>
        <w:spacing w:line="360" w:lineRule="auto"/>
        <w:jc w:val="both"/>
        <w:rPr>
          <w:rFonts w:hint="eastAsia" w:ascii="宋体" w:hAnsi="宋体" w:eastAsia="宋体" w:cs="宋体"/>
          <w:b/>
          <w:bCs/>
          <w:color w:val="auto"/>
          <w:sz w:val="24"/>
          <w:szCs w:val="24"/>
          <w:highlight w:val="none"/>
        </w:rPr>
      </w:pPr>
    </w:p>
    <w:p w14:paraId="32FCE1AD">
      <w:pPr>
        <w:pStyle w:val="15"/>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（四）投标保证金</w:t>
      </w:r>
      <w:r>
        <w:rPr>
          <w:rFonts w:hint="eastAsia" w:ascii="宋体" w:hAnsi="宋体" w:eastAsia="宋体" w:cs="宋体"/>
          <w:b/>
          <w:bCs/>
          <w:color w:val="auto"/>
          <w:sz w:val="24"/>
          <w:szCs w:val="24"/>
          <w:highlight w:val="none"/>
          <w:lang w:eastAsia="zh-CN"/>
        </w:rPr>
        <w:t>缴纳凭证</w:t>
      </w:r>
    </w:p>
    <w:p w14:paraId="121374DF">
      <w:pPr>
        <w:pStyle w:val="15"/>
        <w:spacing w:line="360" w:lineRule="auto"/>
        <w:jc w:val="center"/>
        <w:rPr>
          <w:rFonts w:hint="eastAsia" w:ascii="宋体" w:hAnsi="宋体" w:eastAsia="宋体" w:cs="宋体"/>
          <w:color w:val="auto"/>
          <w:sz w:val="24"/>
          <w:szCs w:val="24"/>
          <w:highlight w:val="none"/>
        </w:rPr>
      </w:pPr>
    </w:p>
    <w:tbl>
      <w:tblPr>
        <w:tblStyle w:val="31"/>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4D7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225D7D4C">
            <w:pPr>
              <w:pStyle w:val="15"/>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缴纳凭证</w:t>
            </w:r>
          </w:p>
        </w:tc>
      </w:tr>
    </w:tbl>
    <w:p w14:paraId="4344A34F">
      <w:pPr>
        <w:adjustRightInd w:val="0"/>
        <w:snapToGrid w:val="0"/>
        <w:spacing w:line="360" w:lineRule="auto"/>
        <w:ind w:firstLine="480" w:firstLineChars="200"/>
        <w:rPr>
          <w:rFonts w:hint="eastAsia" w:ascii="宋体" w:hAnsi="宋体" w:eastAsia="宋体" w:cs="宋体"/>
          <w:color w:val="000000"/>
          <w:sz w:val="24"/>
          <w:szCs w:val="24"/>
          <w:highlight w:val="none"/>
        </w:rPr>
      </w:pPr>
    </w:p>
    <w:p w14:paraId="64B70979">
      <w:pPr>
        <w:widowControl/>
        <w:shd w:val="clear" w:color="auto" w:fill="FFFFFF"/>
        <w:spacing w:line="360" w:lineRule="auto"/>
        <w:jc w:val="left"/>
        <w:rPr>
          <w:rFonts w:hint="eastAsia" w:ascii="宋体" w:hAnsi="宋体" w:eastAsia="宋体" w:cs="宋体"/>
          <w:color w:val="000000"/>
          <w:kern w:val="0"/>
          <w:sz w:val="24"/>
          <w:szCs w:val="24"/>
          <w:highlight w:val="none"/>
        </w:rPr>
      </w:pPr>
    </w:p>
    <w:p w14:paraId="42B06B3F">
      <w:pPr>
        <w:spacing w:line="360" w:lineRule="auto"/>
        <w:rPr>
          <w:rFonts w:hint="eastAsia" w:ascii="宋体" w:hAnsi="宋体" w:eastAsia="宋体" w:cs="宋体"/>
          <w:color w:val="000000"/>
          <w:sz w:val="24"/>
          <w:szCs w:val="24"/>
          <w:highlight w:val="none"/>
        </w:rPr>
      </w:pPr>
    </w:p>
    <w:bookmarkEnd w:id="148"/>
    <w:p w14:paraId="66EF5A39">
      <w:pPr>
        <w:pStyle w:val="15"/>
        <w:spacing w:line="360" w:lineRule="auto"/>
        <w:jc w:val="center"/>
        <w:rPr>
          <w:rFonts w:hint="eastAsia" w:ascii="宋体" w:hAnsi="宋体" w:eastAsia="宋体" w:cs="宋体"/>
          <w:b/>
          <w:bCs/>
          <w:color w:val="000000"/>
          <w:sz w:val="24"/>
          <w:szCs w:val="24"/>
          <w:highlight w:val="none"/>
          <w:lang w:eastAsia="zh-CN"/>
        </w:rPr>
      </w:pPr>
      <w:bookmarkStart w:id="151" w:name="_Toc2964"/>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lang w:eastAsia="zh-CN"/>
        </w:rPr>
        <w:t>）其他</w:t>
      </w:r>
    </w:p>
    <w:bookmarkEnd w:id="151"/>
    <w:p w14:paraId="5821C65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 w:val="0"/>
          <w:bCs/>
          <w:color w:val="auto"/>
          <w:sz w:val="24"/>
          <w:szCs w:val="24"/>
          <w:highlight w:val="none"/>
          <w:shd w:val="clear" w:color="auto" w:fill="auto"/>
          <w:lang w:val="en-US" w:eastAsia="zh-CN"/>
        </w:rPr>
        <w:t>投标人认为需提供的</w:t>
      </w:r>
      <w:r>
        <w:rPr>
          <w:rFonts w:hint="eastAsia" w:ascii="宋体" w:hAnsi="宋体" w:eastAsia="宋体" w:cs="宋体"/>
          <w:b/>
          <w:bCs w:val="0"/>
          <w:color w:val="auto"/>
          <w:sz w:val="24"/>
          <w:szCs w:val="24"/>
          <w:highlight w:val="none"/>
          <w:shd w:val="clear" w:color="auto" w:fill="auto"/>
          <w:lang w:val="en-US" w:eastAsia="zh-CN"/>
        </w:rPr>
        <w:t>资格审查</w:t>
      </w:r>
      <w:r>
        <w:rPr>
          <w:rFonts w:hint="eastAsia" w:ascii="宋体" w:hAnsi="宋体" w:eastAsia="宋体" w:cs="宋体"/>
          <w:b w:val="0"/>
          <w:bCs/>
          <w:color w:val="auto"/>
          <w:sz w:val="24"/>
          <w:szCs w:val="24"/>
          <w:highlight w:val="none"/>
          <w:shd w:val="clear" w:color="auto" w:fill="auto"/>
          <w:lang w:val="en-US" w:eastAsia="zh-CN"/>
        </w:rPr>
        <w:t>及其他补充资料。</w:t>
      </w:r>
    </w:p>
    <w:p w14:paraId="7B726A9E">
      <w:pP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br w:type="page"/>
      </w:r>
    </w:p>
    <w:p w14:paraId="4FC5D1E9">
      <w:pPr>
        <w:pStyle w:val="14"/>
        <w:widowControl/>
        <w:shd w:val="clear" w:color="auto" w:fill="FFFFFF"/>
        <w:spacing w:before="30" w:beforeAutospacing="0" w:after="30" w:afterAutospacing="0"/>
        <w:outlineLvl w:val="0"/>
        <w:rPr>
          <w:rFonts w:hint="eastAsia" w:hAnsi="宋体" w:cs="宋体"/>
          <w:color w:val="000000" w:themeColor="text1"/>
          <w:sz w:val="24"/>
          <w:szCs w:val="24"/>
          <w:highlight w:val="none"/>
          <w14:textFill>
            <w14:solidFill>
              <w14:schemeClr w14:val="tx1"/>
            </w14:solidFill>
          </w14:textFill>
        </w:rPr>
      </w:pPr>
      <w:bookmarkStart w:id="152" w:name="_Toc14439"/>
      <w:bookmarkStart w:id="153" w:name="_Toc1771423221"/>
      <w:r>
        <w:rPr>
          <w:rFonts w:hint="eastAsia" w:hAnsi="宋体" w:cs="宋体"/>
          <w:color w:val="000000" w:themeColor="text1"/>
          <w:sz w:val="24"/>
          <w:szCs w:val="24"/>
          <w:highlight w:val="none"/>
          <w14:textFill>
            <w14:solidFill>
              <w14:schemeClr w14:val="tx1"/>
            </w14:solidFill>
          </w14:textFill>
        </w:rPr>
        <w:t>附件</w:t>
      </w:r>
      <w:r>
        <w:rPr>
          <w:rFonts w:hint="eastAsia" w:hAnsi="宋体" w:cs="宋体"/>
          <w:color w:val="000000" w:themeColor="text1"/>
          <w:sz w:val="24"/>
          <w:szCs w:val="24"/>
          <w:highlight w:val="none"/>
          <w:lang w:eastAsia="zh-CN"/>
          <w14:textFill>
            <w14:solidFill>
              <w14:schemeClr w14:val="tx1"/>
            </w14:solidFill>
          </w14:textFill>
        </w:rPr>
        <w:t>：</w:t>
      </w:r>
      <w:r>
        <w:rPr>
          <w:rStyle w:val="34"/>
          <w:rFonts w:hint="eastAsia" w:hAnsi="宋体" w:cs="宋体"/>
          <w:color w:val="000000" w:themeColor="text1"/>
          <w:sz w:val="24"/>
          <w:szCs w:val="24"/>
          <w:highlight w:val="none"/>
          <w:shd w:val="clear" w:color="auto" w:fill="FFFFFF"/>
          <w14:textFill>
            <w14:solidFill>
              <w14:schemeClr w14:val="tx1"/>
            </w14:solidFill>
          </w14:textFill>
        </w:rPr>
        <w:t>国务院办公厅关于在政府采购中实施本国产品标准及相关政策的通知</w:t>
      </w:r>
      <w:bookmarkEnd w:id="152"/>
      <w:bookmarkEnd w:id="153"/>
    </w:p>
    <w:p w14:paraId="7312BCB8">
      <w:pPr>
        <w:pStyle w:val="12"/>
        <w:spacing w:after="0" w:line="500" w:lineRule="exact"/>
        <w:jc w:val="center"/>
        <w:rPr>
          <w:rStyle w:val="34"/>
          <w:rFonts w:hint="eastAsia" w:ascii="宋体" w:hAnsi="宋体" w:cs="宋体"/>
          <w:color w:val="000000" w:themeColor="text1"/>
          <w:sz w:val="24"/>
          <w:szCs w:val="24"/>
          <w:highlight w:val="none"/>
          <w:shd w:val="clear" w:color="auto" w:fill="FFFFFF"/>
          <w14:textFill>
            <w14:solidFill>
              <w14:schemeClr w14:val="tx1"/>
            </w14:solidFill>
          </w14:textFill>
        </w:rPr>
      </w:pPr>
      <w:r>
        <w:rPr>
          <w:rStyle w:val="34"/>
          <w:rFonts w:hint="eastAsia" w:ascii="宋体" w:hAnsi="宋体" w:cs="宋体"/>
          <w:color w:val="000000" w:themeColor="text1"/>
          <w:sz w:val="24"/>
          <w:szCs w:val="24"/>
          <w:highlight w:val="none"/>
          <w:shd w:val="clear" w:color="auto" w:fill="FFFFFF"/>
          <w14:textFill>
            <w14:solidFill>
              <w14:schemeClr w14:val="tx1"/>
            </w14:solidFill>
          </w14:textFill>
        </w:rPr>
        <w:t>国务院办公厅关于在政府采购中</w:t>
      </w:r>
    </w:p>
    <w:p w14:paraId="30DEE052">
      <w:pPr>
        <w:pStyle w:val="12"/>
        <w:spacing w:after="0" w:line="500" w:lineRule="exact"/>
        <w:jc w:val="center"/>
        <w:rPr>
          <w:rFonts w:hint="eastAsia" w:ascii="宋体" w:hAnsi="宋体" w:cs="宋体"/>
          <w:color w:val="000000" w:themeColor="text1"/>
          <w:sz w:val="24"/>
          <w:szCs w:val="24"/>
          <w:highlight w:val="none"/>
          <w14:textFill>
            <w14:solidFill>
              <w14:schemeClr w14:val="tx1"/>
            </w14:solidFill>
          </w14:textFill>
        </w:rPr>
      </w:pPr>
      <w:r>
        <w:rPr>
          <w:rStyle w:val="34"/>
          <w:rFonts w:hint="eastAsia" w:ascii="宋体" w:hAnsi="宋体" w:cs="宋体"/>
          <w:color w:val="000000" w:themeColor="text1"/>
          <w:sz w:val="24"/>
          <w:szCs w:val="24"/>
          <w:highlight w:val="none"/>
          <w:shd w:val="clear" w:color="auto" w:fill="FFFFFF"/>
          <w14:textFill>
            <w14:solidFill>
              <w14:schemeClr w14:val="tx1"/>
            </w14:solidFill>
          </w14:textFill>
        </w:rPr>
        <w:t>实施本国产品标准及相关政策的通知</w:t>
      </w:r>
    </w:p>
    <w:p w14:paraId="71507ED4">
      <w:pPr>
        <w:pStyle w:val="14"/>
        <w:widowControl/>
        <w:shd w:val="clear" w:color="auto" w:fill="FFFFFF"/>
        <w:spacing w:before="30" w:beforeAutospacing="0" w:after="30" w:afterAutospacing="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国办发〔2025〕34号  </w:t>
      </w:r>
    </w:p>
    <w:p w14:paraId="381E9170">
      <w:pPr>
        <w:pStyle w:val="14"/>
        <w:widowControl/>
        <w:shd w:val="clear" w:color="auto" w:fill="FFFFFF"/>
        <w:spacing w:before="30" w:beforeAutospacing="0" w:after="30" w:afterAutospacing="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各省、自治区、直辖市人民政府，国务院各部委、各直属机构：</w:t>
      </w:r>
    </w:p>
    <w:p w14:paraId="07BE4A6F">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A3A4883">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一、本国产品标准</w:t>
      </w:r>
    </w:p>
    <w:p w14:paraId="18FC884F">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本国产品应当符合以下条件：</w:t>
      </w:r>
    </w:p>
    <w:p w14:paraId="2B05F373">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（一）在中国境内生产</w:t>
      </w:r>
    </w:p>
    <w:p w14:paraId="1E5957D3">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产品应当在中国境内生产，即在中华人民共和国关境内实现从原材料、组件到产品的属性改变。</w:t>
      </w:r>
    </w:p>
    <w:p w14:paraId="648AF358">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41A671ED">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1.为确保产品在运输或者储存期间保持某种状态而进行的操作；</w:t>
      </w:r>
    </w:p>
    <w:p w14:paraId="296D6DB6">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2.为产品运输或者销售进行的包装或者展示；</w:t>
      </w:r>
    </w:p>
    <w:p w14:paraId="6616A613">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3.在产品或者其包装上粘贴或者印刷品牌、标志、标识以及其他用于区别的标记；</w:t>
      </w:r>
    </w:p>
    <w:p w14:paraId="0DEE0145">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4.简单的上漆、磨光和分装；</w:t>
      </w:r>
    </w:p>
    <w:p w14:paraId="7EB369C9">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5.其他不属于属性改变的情形。</w:t>
      </w:r>
    </w:p>
    <w:p w14:paraId="43EE4D4A">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（二）在中国境内生产的组件成本占比达到规定比例</w:t>
      </w:r>
    </w:p>
    <w:p w14:paraId="2817E0BB">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产品在中国境内生产的组件成本占比应当达到规定比例，计算公式为：</w:t>
      </w:r>
    </w:p>
    <w:p w14:paraId="37153F66">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drawing>
          <wp:inline distT="0" distB="0" distL="0" distR="0">
            <wp:extent cx="2733675" cy="390525"/>
            <wp:effectExtent l="0" t="0" r="0" b="0"/>
            <wp:docPr id="1027" name="图片 1" descr="IMG_256"/>
            <wp:cNvGraphicFramePr/>
            <a:graphic xmlns:a="http://schemas.openxmlformats.org/drawingml/2006/main">
              <a:graphicData uri="http://schemas.openxmlformats.org/drawingml/2006/picture">
                <pic:pic xmlns:pic="http://schemas.openxmlformats.org/drawingml/2006/picture">
                  <pic:nvPicPr>
                    <pic:cNvPr id="1027" name="图片 1" descr="IMG_256"/>
                    <pic:cNvPicPr/>
                  </pic:nvPicPr>
                  <pic:blipFill>
                    <a:blip r:embed="rId11" cstate="print"/>
                    <a:srcRect/>
                    <a:stretch>
                      <a:fillRect/>
                    </a:stretch>
                  </pic:blipFill>
                  <pic:spPr>
                    <a:xfrm>
                      <a:off x="0" y="0"/>
                      <a:ext cx="2733675" cy="390525"/>
                    </a:xfrm>
                    <a:prstGeom prst="rect">
                      <a:avLst/>
                    </a:prstGeom>
                    <a:ln>
                      <a:noFill/>
                    </a:ln>
                  </pic:spPr>
                </pic:pic>
              </a:graphicData>
            </a:graphic>
          </wp:inline>
        </w:drawing>
      </w:r>
    </w:p>
    <w:p w14:paraId="452E0140">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F2BBE2">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（三）特定产品的关键组件、关键工序符合相关要求</w:t>
      </w:r>
    </w:p>
    <w:p w14:paraId="4B1E9974">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6FF1D480">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B7218C7">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二、本国产品标准的适用范围</w:t>
      </w:r>
    </w:p>
    <w:p w14:paraId="532D61E2">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F1101E8">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三、对本国产品的支持政策</w:t>
      </w:r>
    </w:p>
    <w:p w14:paraId="1A82DCDA">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295F5A2F">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当采购项目或者采购包中含有多种产品，</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为该采购项目或者采购包提供的符合本国产品标准的产品成本之和占该</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提供的全部产品成本之和的比例达到80%以上时，依法对该</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提供的全部产品给予价格评审优惠，即对该</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提供的全部产品的总报价给予20%的价格扣除，用扣除后的价格参与评审。</w:t>
      </w:r>
    </w:p>
    <w:p w14:paraId="4A137F63">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四、政策执行要求</w:t>
      </w:r>
    </w:p>
    <w:p w14:paraId="690AC949">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（一）产品在中国境内生产的组件成本核算规则。产品在中国境内生产的组件成本，按照《中国境内生产的组件成本核算基本规则》（见附件1）计算。</w:t>
      </w:r>
    </w:p>
    <w:p w14:paraId="5DD8EAEE">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（二）有关证明文件。采购人、采购代理机构应当在</w:t>
      </w:r>
      <w:r>
        <w:rPr>
          <w:rFonts w:hint="eastAsia" w:hAnsi="宋体" w:cs="宋体"/>
          <w:color w:val="000000" w:themeColor="text1"/>
          <w:sz w:val="24"/>
          <w:szCs w:val="24"/>
          <w:highlight w:val="none"/>
          <w:shd w:val="clear" w:color="auto" w:fill="FFFFFF"/>
          <w:lang w:eastAsia="zh-CN"/>
          <w14:textFill>
            <w14:solidFill>
              <w14:schemeClr w14:val="tx1"/>
            </w14:solidFill>
          </w14:textFill>
        </w:rPr>
        <w:t>招标文件</w:t>
      </w:r>
      <w:r>
        <w:rPr>
          <w:rFonts w:hint="eastAsia" w:hAnsi="宋体" w:cs="宋体"/>
          <w:color w:val="000000" w:themeColor="text1"/>
          <w:sz w:val="24"/>
          <w:szCs w:val="24"/>
          <w:highlight w:val="none"/>
          <w:shd w:val="clear" w:color="auto" w:fill="FFFFFF"/>
          <w14:textFill>
            <w14:solidFill>
              <w14:schemeClr w14:val="tx1"/>
            </w14:solidFill>
          </w14:textFill>
        </w:rPr>
        <w:t>中明确要求</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提供其他证明材料。</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提供虚假《声明函》、虚假证明文件谋取中标、成交的，依照《中华人民共和国政府采购法》等法律法规规定追究相应责任。</w:t>
      </w:r>
    </w:p>
    <w:p w14:paraId="65B99E80">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采购人、采购代理机构应当随中标、成交结果同时公告中标、成交</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提供的《声明函》或有关证明文件。</w:t>
      </w:r>
    </w:p>
    <w:p w14:paraId="1D027FE0">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（三）平等对待各类经营主体。国有企业、民营企业、外资企业等各类经营主体平等享受对本国产品的政府采购支持政策。采购人、采购代理机构在政府采购信息发布、</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实行差别待遇或者歧视待遇。</w:t>
      </w:r>
    </w:p>
    <w:p w14:paraId="03F07305">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（四）中华人民共和国缔结或者共同参加的国际条约、协定对政府采购中本国产品政策另有规定的，按照有关条约、协定执行。</w:t>
      </w:r>
    </w:p>
    <w:p w14:paraId="3A793499">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五、争议处理</w:t>
      </w:r>
    </w:p>
    <w:p w14:paraId="56E3AABF">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771A4111">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（一）政府采购投诉处理、监督检查中，对产品或组件是否在中国境内生产存在争议的，按照以下原则处理：</w:t>
      </w:r>
    </w:p>
    <w:p w14:paraId="453F27A8">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1.对于组装类产品或组件，相关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及制造商应当提供产品或组件的采购合同，进货记录，制造、加工、组装记录以及其他证明材料。上述证明材料能够证明产品或组件在中国境内生产的，相关产品或组件即可视为在中国境内生产。</w:t>
      </w:r>
    </w:p>
    <w:p w14:paraId="22E122E3">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2.对于由原材料直接制造、加工形成的产品或组件，如钢材、陶瓷制品、玻璃等，相关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及制造商应当提供产品或组件包装上依法标注的生产厂址等信息。生产厂址位于中华人民共和国关境内的，相关产品或组件即可视为在中国境内生产。</w:t>
      </w:r>
    </w:p>
    <w:p w14:paraId="3204238D">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（二）政府采购投诉处理、监督检查中，对产品在中国境内生产的组件成本占比、采购项目或采购包中本国产品成本占比是否达到规定比例存在争议的，相关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及制造商应当提供组件或产品的会计核算数据、采购合同、进货记录等，财政部门按照中国境内生产的组件成本核算相关规则予以认定。</w:t>
      </w:r>
    </w:p>
    <w:p w14:paraId="63D49DD4">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（三）政府采购投诉处理、监督检查中，对特定产品的关键组件是否在中国境内生产存在争议的，按照本通知第五条第（一）项规定的原则处理；对特定产品的关键工序是否在中国境内完成存在争议的，相关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及制造商应当提供关键工序在中国境内完成的记录等材料予以证明。</w:t>
      </w:r>
    </w:p>
    <w:p w14:paraId="6EB7C466">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政府采购投诉处理、监督检查中，相关</w:t>
      </w:r>
      <w:r>
        <w:rPr>
          <w:rFonts w:hint="eastAsia" w:hAnsi="宋体" w:cs="宋体"/>
          <w:color w:val="000000" w:themeColor="text1"/>
          <w:sz w:val="24"/>
          <w:szCs w:val="24"/>
          <w:highlight w:val="none"/>
          <w:shd w:val="clear" w:color="auto" w:fill="FFFFFF"/>
          <w:lang w:eastAsia="zh-CN"/>
          <w14:textFill>
            <w14:solidFill>
              <w14:schemeClr w14:val="tx1"/>
            </w14:solidFill>
          </w14:textFill>
        </w:rPr>
        <w:t>投标人</w:t>
      </w:r>
      <w:r>
        <w:rPr>
          <w:rFonts w:hint="eastAsia" w:hAnsi="宋体" w:cs="宋体"/>
          <w:color w:val="000000" w:themeColor="text1"/>
          <w:sz w:val="24"/>
          <w:szCs w:val="24"/>
          <w:highlight w:val="none"/>
          <w:shd w:val="clear" w:color="auto" w:fill="FFFFFF"/>
          <w14:textFill>
            <w14:solidFill>
              <w14:schemeClr w14:val="tx1"/>
            </w14:solidFill>
          </w14:textFill>
        </w:rPr>
        <w:t>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F67CF6">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本通知自2026年1月1日起施行。</w:t>
      </w:r>
    </w:p>
    <w:p w14:paraId="7D249F3D">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附件：（1）中国境内生产的组件成本核算基本规则</w:t>
      </w:r>
    </w:p>
    <w:p w14:paraId="00FDD802">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　　　2.关于符合本国产品标准的声明函</w:t>
      </w:r>
    </w:p>
    <w:p w14:paraId="2554671F">
      <w:pPr>
        <w:pStyle w:val="14"/>
        <w:widowControl/>
        <w:shd w:val="clear" w:color="auto" w:fill="FFFFFF"/>
        <w:spacing w:before="30" w:beforeAutospacing="0" w:after="30" w:afterAutospacing="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国务院办公厅         </w:t>
      </w:r>
    </w:p>
    <w:p w14:paraId="3204D20D">
      <w:pPr>
        <w:pStyle w:val="14"/>
        <w:widowControl/>
        <w:shd w:val="clear" w:color="auto" w:fill="FFFFFF"/>
        <w:spacing w:before="30" w:beforeAutospacing="0" w:after="30" w:afterAutospacing="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2025年9月28日    </w:t>
      </w:r>
    </w:p>
    <w:p w14:paraId="7DFB0E21">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235A0289">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4F200B46">
      <w:pPr>
        <w:rPr>
          <w:rStyle w:val="34"/>
          <w:rFonts w:hint="eastAsia" w:hAnsi="宋体" w:cs="宋体"/>
          <w:color w:val="000000" w:themeColor="text1"/>
          <w:sz w:val="24"/>
          <w:szCs w:val="24"/>
          <w:highlight w:val="none"/>
          <w:shd w:val="clear" w:color="auto" w:fill="FFFFFF"/>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br w:type="page"/>
      </w:r>
    </w:p>
    <w:p w14:paraId="1B5D5D8A">
      <w:pPr>
        <w:pStyle w:val="14"/>
        <w:widowControl/>
        <w:shd w:val="clear" w:color="auto" w:fill="FFFFFF"/>
        <w:spacing w:before="30" w:beforeAutospacing="0" w:after="30" w:afterAutospacing="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附件（1）</w:t>
      </w:r>
    </w:p>
    <w:p w14:paraId="67DA3A31">
      <w:pPr>
        <w:pStyle w:val="14"/>
        <w:widowControl/>
        <w:shd w:val="clear" w:color="auto" w:fill="FFFFFF"/>
        <w:spacing w:before="30" w:beforeAutospacing="0" w:after="30" w:afterAutospacing="0"/>
        <w:jc w:val="center"/>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中国境内生产的组件成本核算基本规则</w:t>
      </w:r>
    </w:p>
    <w:p w14:paraId="39F75972">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12F369D">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一、产品的一级组件是指直接组成产品的组件。产品的二级组件是指直接组成产品一级组件的组件。一级组件不可分解的，视同二级组件。</w:t>
      </w:r>
    </w:p>
    <w:p w14:paraId="6B4F1AD2">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二、二级组件在中国境内生产的，其全部成本计入中国境内生产的组件成本；二级组件不在中国境内生产的，其成本不计入中国境内生产的组件成本。</w:t>
      </w:r>
    </w:p>
    <w:p w14:paraId="54C4D8CF">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三、产品总成本和组件成本以相关会计核算数据、采购合同、进货记录等为基础进行计算。</w:t>
      </w:r>
    </w:p>
    <w:p w14:paraId="1EBE540B">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四、需要对成本核算规则予以进一步明确的其他有关事项，由财政部会同有关部门另行规定。</w:t>
      </w:r>
    </w:p>
    <w:p w14:paraId="06AAF17B">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66FEBA19">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553636AF">
      <w:pPr>
        <w:rPr>
          <w:rStyle w:val="34"/>
          <w:rFonts w:hint="eastAsia" w:hAnsi="宋体" w:cs="宋体"/>
          <w:color w:val="000000" w:themeColor="text1"/>
          <w:sz w:val="24"/>
          <w:szCs w:val="24"/>
          <w:highlight w:val="none"/>
          <w:shd w:val="clear" w:color="auto" w:fill="FFFFFF"/>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br w:type="page"/>
      </w:r>
    </w:p>
    <w:p w14:paraId="1BDCBD1B">
      <w:pPr>
        <w:pStyle w:val="14"/>
        <w:widowControl/>
        <w:shd w:val="clear" w:color="auto" w:fill="FFFFFF"/>
        <w:spacing w:before="30" w:beforeAutospacing="0" w:after="30" w:afterAutospacing="0"/>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附件（2）</w:t>
      </w:r>
    </w:p>
    <w:p w14:paraId="7E4F6D00">
      <w:pPr>
        <w:pStyle w:val="14"/>
        <w:widowControl/>
        <w:shd w:val="clear" w:color="auto" w:fill="FFFFFF"/>
        <w:spacing w:before="30" w:beforeAutospacing="0" w:after="30" w:afterAutospacing="0"/>
        <w:jc w:val="center"/>
        <w:rPr>
          <w:rFonts w:hint="eastAsia" w:hAnsi="宋体" w:cs="宋体"/>
          <w:color w:val="000000" w:themeColor="text1"/>
          <w:sz w:val="24"/>
          <w:szCs w:val="24"/>
          <w:highlight w:val="none"/>
          <w14:textFill>
            <w14:solidFill>
              <w14:schemeClr w14:val="tx1"/>
            </w14:solidFill>
          </w14:textFill>
        </w:rPr>
      </w:pPr>
      <w:r>
        <w:rPr>
          <w:rStyle w:val="34"/>
          <w:rFonts w:hint="eastAsia" w:hAnsi="宋体" w:cs="宋体"/>
          <w:color w:val="000000" w:themeColor="text1"/>
          <w:sz w:val="24"/>
          <w:szCs w:val="24"/>
          <w:highlight w:val="none"/>
          <w:shd w:val="clear" w:color="auto" w:fill="FFFFFF"/>
          <w14:textFill>
            <w14:solidFill>
              <w14:schemeClr w14:val="tx1"/>
            </w14:solidFill>
          </w14:textFill>
        </w:rPr>
        <w:t>关于符合本国产品标准的声明函</w:t>
      </w:r>
    </w:p>
    <w:p w14:paraId="4815A20B">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0F66262">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1.</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（产品名称1）</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1</w:t>
      </w:r>
      <w:r>
        <w:rPr>
          <w:rFonts w:hint="eastAsia" w:hAnsi="宋体" w:cs="宋体"/>
          <w:color w:val="000000" w:themeColor="text1"/>
          <w:sz w:val="24"/>
          <w:szCs w:val="24"/>
          <w:highlight w:val="none"/>
          <w:shd w:val="clear" w:color="auto" w:fill="FFFFFF"/>
          <w14:textFill>
            <w14:solidFill>
              <w14:schemeClr w14:val="tx1"/>
            </w14:solidFill>
          </w14:textFill>
        </w:rPr>
        <w:t>，生产厂为</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（厂名）</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2</w:t>
      </w:r>
      <w:r>
        <w:rPr>
          <w:rFonts w:hint="eastAsia" w:hAnsi="宋体" w:cs="宋体"/>
          <w:color w:val="000000" w:themeColor="text1"/>
          <w:sz w:val="24"/>
          <w:szCs w:val="24"/>
          <w:highlight w:val="none"/>
          <w:shd w:val="clear" w:color="auto" w:fill="FFFFFF"/>
          <w14:textFill>
            <w14:solidFill>
              <w14:schemeClr w14:val="tx1"/>
            </w14:solidFill>
          </w14:textFill>
        </w:rPr>
        <w:t>，厂址为</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（生产厂址）</w:t>
      </w:r>
      <w:r>
        <w:rPr>
          <w:rFonts w:hint="eastAsia" w:hAnsi="宋体" w:cs="宋体"/>
          <w:color w:val="000000" w:themeColor="text1"/>
          <w:sz w:val="24"/>
          <w:szCs w:val="24"/>
          <w:highlight w:val="none"/>
          <w:shd w:val="clear" w:color="auto" w:fill="FFFFFF"/>
          <w14:textFill>
            <w14:solidFill>
              <w14:schemeClr w14:val="tx1"/>
            </w14:solidFill>
          </w14:textFill>
        </w:rPr>
        <w:t>。</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（产品名称1）</w:t>
      </w:r>
      <w:r>
        <w:rPr>
          <w:rFonts w:hint="eastAsia" w:hAnsi="宋体" w:cs="宋体"/>
          <w:color w:val="000000" w:themeColor="text1"/>
          <w:sz w:val="24"/>
          <w:szCs w:val="24"/>
          <w:highlight w:val="none"/>
          <w:shd w:val="clear" w:color="auto" w:fill="FFFFFF"/>
          <w14:textFill>
            <w14:solidFill>
              <w14:schemeClr w14:val="tx1"/>
            </w14:solidFill>
          </w14:textFill>
        </w:rPr>
        <w:t>的中国境内生产的组件成本占比≥</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（规定比例）</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3</w:t>
      </w:r>
      <w:r>
        <w:rPr>
          <w:rFonts w:hint="eastAsia" w:hAnsi="宋体" w:cs="宋体"/>
          <w:color w:val="000000" w:themeColor="text1"/>
          <w:sz w:val="24"/>
          <w:szCs w:val="24"/>
          <w:highlight w:val="none"/>
          <w:shd w:val="clear" w:color="auto" w:fill="FFFFFF"/>
          <w14:textFill>
            <w14:solidFill>
              <w14:schemeClr w14:val="tx1"/>
            </w14:solidFill>
          </w14:textFill>
        </w:rPr>
        <w:t>。</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（产品名称1）</w:t>
      </w:r>
      <w:r>
        <w:rPr>
          <w:rFonts w:hint="eastAsia" w:hAnsi="宋体" w:cs="宋体"/>
          <w:color w:val="000000" w:themeColor="text1"/>
          <w:sz w:val="24"/>
          <w:szCs w:val="24"/>
          <w:highlight w:val="none"/>
          <w:shd w:val="clear" w:color="auto" w:fill="FFFFFF"/>
          <w14:textFill>
            <w14:solidFill>
              <w14:schemeClr w14:val="tx1"/>
            </w14:solidFill>
          </w14:textFill>
        </w:rPr>
        <w:t>的</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（关键组件）</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4</w:t>
      </w:r>
      <w:r>
        <w:rPr>
          <w:rFonts w:hint="eastAsia" w:hAnsi="宋体" w:cs="宋体"/>
          <w:color w:val="000000" w:themeColor="text1"/>
          <w:sz w:val="24"/>
          <w:szCs w:val="24"/>
          <w:highlight w:val="none"/>
          <w:shd w:val="clear" w:color="auto" w:fill="FFFFFF"/>
          <w14:textFill>
            <w14:solidFill>
              <w14:schemeClr w14:val="tx1"/>
            </w14:solidFill>
          </w14:textFill>
        </w:rPr>
        <w:t>在中国境内生产。</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（产品名称1）</w:t>
      </w:r>
      <w:r>
        <w:rPr>
          <w:rFonts w:hint="eastAsia" w:hAnsi="宋体" w:cs="宋体"/>
          <w:color w:val="000000" w:themeColor="text1"/>
          <w:sz w:val="24"/>
          <w:szCs w:val="24"/>
          <w:highlight w:val="none"/>
          <w:shd w:val="clear" w:color="auto" w:fill="FFFFFF"/>
          <w14:textFill>
            <w14:solidFill>
              <w14:schemeClr w14:val="tx1"/>
            </w14:solidFill>
          </w14:textFill>
        </w:rPr>
        <w:t>的</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（关键工序）</w:t>
      </w:r>
      <w:r>
        <w:rPr>
          <w:rStyle w:val="35"/>
          <w:rFonts w:hint="eastAsia" w:hAnsi="宋体" w:cs="宋体"/>
          <w:i w:val="0"/>
          <w:color w:val="000000" w:themeColor="text1"/>
          <w:sz w:val="24"/>
          <w:szCs w:val="24"/>
          <w:highlight w:val="none"/>
          <w:shd w:val="clear" w:color="auto" w:fill="FFFFFF"/>
          <w:vertAlign w:val="superscript"/>
          <w14:textFill>
            <w14:solidFill>
              <w14:schemeClr w14:val="tx1"/>
            </w14:solidFill>
          </w14:textFill>
        </w:rPr>
        <w:t>5</w:t>
      </w:r>
      <w:r>
        <w:rPr>
          <w:rFonts w:hint="eastAsia" w:hAnsi="宋体" w:cs="宋体"/>
          <w:color w:val="000000" w:themeColor="text1"/>
          <w:sz w:val="24"/>
          <w:szCs w:val="24"/>
          <w:highlight w:val="none"/>
          <w:shd w:val="clear" w:color="auto" w:fill="FFFFFF"/>
          <w14:textFill>
            <w14:solidFill>
              <w14:schemeClr w14:val="tx1"/>
            </w14:solidFill>
          </w14:textFill>
        </w:rPr>
        <w:t>在中国境内完成。</w:t>
      </w:r>
    </w:p>
    <w:p w14:paraId="0728E9AD">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（产品名称2）</w:t>
      </w:r>
      <w:r>
        <w:rPr>
          <w:rFonts w:hint="eastAsia" w:hAnsi="宋体" w:cs="宋体"/>
          <w:color w:val="000000" w:themeColor="text1"/>
          <w:sz w:val="24"/>
          <w:szCs w:val="24"/>
          <w:highlight w:val="none"/>
          <w:shd w:val="clear" w:color="auto" w:fill="FFFFFF"/>
          <w14:textFill>
            <w14:solidFill>
              <w14:schemeClr w14:val="tx1"/>
            </w14:solidFill>
          </w14:textFill>
        </w:rPr>
        <w:t>，生产厂为</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（厂名）</w:t>
      </w:r>
      <w:r>
        <w:rPr>
          <w:rFonts w:hint="eastAsia" w:hAnsi="宋体" w:cs="宋体"/>
          <w:color w:val="000000" w:themeColor="text1"/>
          <w:sz w:val="24"/>
          <w:szCs w:val="24"/>
          <w:highlight w:val="none"/>
          <w:shd w:val="clear" w:color="auto" w:fill="FFFFFF"/>
          <w14:textFill>
            <w14:solidFill>
              <w14:schemeClr w14:val="tx1"/>
            </w14:solidFill>
          </w14:textFill>
        </w:rPr>
        <w:t>，厂址为</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（生产厂址）</w:t>
      </w:r>
      <w:r>
        <w:rPr>
          <w:rFonts w:hint="eastAsia" w:hAnsi="宋体" w:cs="宋体"/>
          <w:color w:val="000000" w:themeColor="text1"/>
          <w:sz w:val="24"/>
          <w:szCs w:val="24"/>
          <w:highlight w:val="none"/>
          <w:shd w:val="clear" w:color="auto" w:fill="FFFFFF"/>
          <w14:textFill>
            <w14:solidFill>
              <w14:schemeClr w14:val="tx1"/>
            </w14:solidFill>
          </w14:textFill>
        </w:rPr>
        <w:t>。</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（产品名称2）</w:t>
      </w:r>
      <w:r>
        <w:rPr>
          <w:rFonts w:hint="eastAsia" w:hAnsi="宋体" w:cs="宋体"/>
          <w:color w:val="000000" w:themeColor="text1"/>
          <w:sz w:val="24"/>
          <w:szCs w:val="24"/>
          <w:highlight w:val="none"/>
          <w:shd w:val="clear" w:color="auto" w:fill="FFFFFF"/>
          <w14:textFill>
            <w14:solidFill>
              <w14:schemeClr w14:val="tx1"/>
            </w14:solidFill>
          </w14:textFill>
        </w:rPr>
        <w:t>的中国境内生产的组件成本占比≥</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（规定比例）</w:t>
      </w:r>
      <w:r>
        <w:rPr>
          <w:rFonts w:hint="eastAsia" w:hAnsi="宋体" w:cs="宋体"/>
          <w:color w:val="000000" w:themeColor="text1"/>
          <w:sz w:val="24"/>
          <w:szCs w:val="24"/>
          <w:highlight w:val="none"/>
          <w:shd w:val="clear" w:color="auto" w:fill="FFFFFF"/>
          <w14:textFill>
            <w14:solidFill>
              <w14:schemeClr w14:val="tx1"/>
            </w14:solidFill>
          </w14:textFill>
        </w:rPr>
        <w:t>。</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（产品名称2）</w:t>
      </w:r>
      <w:r>
        <w:rPr>
          <w:rFonts w:hint="eastAsia" w:hAnsi="宋体" w:cs="宋体"/>
          <w:color w:val="000000" w:themeColor="text1"/>
          <w:sz w:val="24"/>
          <w:szCs w:val="24"/>
          <w:highlight w:val="none"/>
          <w:shd w:val="clear" w:color="auto" w:fill="FFFFFF"/>
          <w14:textFill>
            <w14:solidFill>
              <w14:schemeClr w14:val="tx1"/>
            </w14:solidFill>
          </w14:textFill>
        </w:rPr>
        <w:t>的</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（关键组件）</w:t>
      </w:r>
      <w:r>
        <w:rPr>
          <w:rFonts w:hint="eastAsia" w:hAnsi="宋体" w:cs="宋体"/>
          <w:color w:val="000000" w:themeColor="text1"/>
          <w:sz w:val="24"/>
          <w:szCs w:val="24"/>
          <w:highlight w:val="none"/>
          <w:shd w:val="clear" w:color="auto" w:fill="FFFFFF"/>
          <w14:textFill>
            <w14:solidFill>
              <w14:schemeClr w14:val="tx1"/>
            </w14:solidFill>
          </w14:textFill>
        </w:rPr>
        <w:t>在中国境内生产。</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（产品名称2）</w:t>
      </w:r>
      <w:r>
        <w:rPr>
          <w:rFonts w:hint="eastAsia" w:hAnsi="宋体" w:cs="宋体"/>
          <w:color w:val="000000" w:themeColor="text1"/>
          <w:sz w:val="24"/>
          <w:szCs w:val="24"/>
          <w:highlight w:val="none"/>
          <w:shd w:val="clear" w:color="auto" w:fill="FFFFFF"/>
          <w14:textFill>
            <w14:solidFill>
              <w14:schemeClr w14:val="tx1"/>
            </w14:solidFill>
          </w14:textFill>
        </w:rPr>
        <w:t>的</w:t>
      </w:r>
      <w:r>
        <w:rPr>
          <w:rStyle w:val="35"/>
          <w:rFonts w:hint="eastAsia" w:hAnsi="宋体" w:cs="宋体"/>
          <w:i w:val="0"/>
          <w:color w:val="000000" w:themeColor="text1"/>
          <w:sz w:val="24"/>
          <w:szCs w:val="24"/>
          <w:highlight w:val="none"/>
          <w:shd w:val="clear" w:color="auto" w:fill="FFFFFF"/>
          <w14:textFill>
            <w14:solidFill>
              <w14:schemeClr w14:val="tx1"/>
            </w14:solidFill>
          </w14:textFill>
        </w:rPr>
        <w:t>（关键工序）</w:t>
      </w:r>
      <w:r>
        <w:rPr>
          <w:rFonts w:hint="eastAsia" w:hAnsi="宋体" w:cs="宋体"/>
          <w:color w:val="000000" w:themeColor="text1"/>
          <w:sz w:val="24"/>
          <w:szCs w:val="24"/>
          <w:highlight w:val="none"/>
          <w:shd w:val="clear" w:color="auto" w:fill="FFFFFF"/>
          <w14:textFill>
            <w14:solidFill>
              <w14:schemeClr w14:val="tx1"/>
            </w14:solidFill>
          </w14:textFill>
        </w:rPr>
        <w:t>在中国境内完成。</w:t>
      </w:r>
    </w:p>
    <w:p w14:paraId="47993B6F">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w:t>
      </w:r>
    </w:p>
    <w:p w14:paraId="5C89EF65">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本公司（单位）对上述声明内容的真实性负责。如有虚假，愿承担相应法律责任。</w:t>
      </w:r>
    </w:p>
    <w:p w14:paraId="32B1E496">
      <w:pPr>
        <w:pStyle w:val="14"/>
        <w:widowControl/>
        <w:shd w:val="clear" w:color="auto" w:fill="FFFFFF"/>
        <w:spacing w:before="30" w:beforeAutospacing="0" w:after="30" w:afterAutospacing="0"/>
        <w:ind w:firstLine="42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公司（单位）名称（盖章）：      </w:t>
      </w:r>
    </w:p>
    <w:p w14:paraId="6D9B21BC">
      <w:pPr>
        <w:pStyle w:val="14"/>
        <w:widowControl/>
        <w:shd w:val="clear" w:color="auto" w:fill="FFFFFF"/>
        <w:spacing w:before="30" w:beforeAutospacing="0" w:after="30" w:afterAutospacing="0"/>
        <w:ind w:firstLine="420"/>
        <w:jc w:val="right"/>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日期：　　　　　年　　月　日    </w:t>
      </w:r>
    </w:p>
    <w:p w14:paraId="736A21EE">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49A49262">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p>
    <w:p w14:paraId="49909B3C">
      <w:pPr>
        <w:pStyle w:val="14"/>
        <w:widowControl/>
        <w:shd w:val="clear" w:color="auto" w:fill="FFFFFF"/>
        <w:spacing w:before="30" w:beforeAutospacing="0" w:after="30" w:afterAutospacing="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_____________________________</w:t>
      </w:r>
    </w:p>
    <w:p w14:paraId="4BA01A46">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1.产品如有型号，请在“产品名称”栏一并填写。</w:t>
      </w:r>
    </w:p>
    <w:p w14:paraId="581CC239">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2.生产厂名与厂址应与生产厂营业执照载明的相关信息保持一致。</w:t>
      </w:r>
    </w:p>
    <w:p w14:paraId="6253F9E5">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3.该产品的中国境内生产的组件成本占比相关要求实施前，“规定比例”栏可不填，下同。</w:t>
      </w:r>
    </w:p>
    <w:p w14:paraId="4AA6A354">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4.该产品的关键组件要求实施前，“关键组件”栏可不填，下同。</w:t>
      </w:r>
    </w:p>
    <w:p w14:paraId="75D49EE3">
      <w:pPr>
        <w:pStyle w:val="14"/>
        <w:widowControl/>
        <w:shd w:val="clear" w:color="auto" w:fill="FFFFFF"/>
        <w:spacing w:before="30" w:beforeAutospacing="0" w:after="30" w:afterAutospacing="0"/>
        <w:ind w:firstLine="42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shd w:val="clear" w:color="auto" w:fill="FFFFFF"/>
          <w14:textFill>
            <w14:solidFill>
              <w14:schemeClr w14:val="tx1"/>
            </w14:solidFill>
          </w14:textFill>
        </w:rPr>
        <w:t>5.该产品的关键工序要求实施前，“关键工序”栏可不填，下同。</w:t>
      </w:r>
    </w:p>
    <w:p w14:paraId="78E04E57">
      <w:pPr>
        <w:spacing w:line="500" w:lineRule="exact"/>
        <w:rPr>
          <w:rFonts w:hint="eastAsia" w:hAnsi="宋体" w:cs="宋体"/>
          <w:color w:val="000000" w:themeColor="text1"/>
          <w:sz w:val="24"/>
          <w:szCs w:val="24"/>
          <w:highlight w:val="none"/>
          <w14:textFill>
            <w14:solidFill>
              <w14:schemeClr w14:val="tx1"/>
            </w14:solidFill>
          </w14:textFill>
        </w:rPr>
      </w:pPr>
    </w:p>
    <w:p w14:paraId="2BE8AD6F">
      <w:pPr>
        <w:rPr>
          <w:rFonts w:hint="default"/>
          <w:color w:val="000000" w:themeColor="text1"/>
          <w:sz w:val="20"/>
          <w:szCs w:val="22"/>
          <w:highlight w:val="none"/>
          <w:lang w:val="en-US" w:eastAsia="zh-CN"/>
          <w14:textFill>
            <w14:solidFill>
              <w14:schemeClr w14:val="tx1"/>
            </w14:solidFill>
          </w14:textFill>
        </w:rPr>
      </w:pPr>
    </w:p>
    <w:p w14:paraId="52B15B0B">
      <w:pPr>
        <w:pStyle w:val="4"/>
        <w:keepNext/>
        <w:bidi w:val="0"/>
        <w:spacing w:line="360" w:lineRule="auto"/>
        <w:jc w:val="center"/>
        <w:outlineLvl w:val="0"/>
        <w:rPr>
          <w:rFonts w:hint="eastAsia"/>
          <w:highlight w:val="none"/>
          <w:lang w:eastAsia="zh-CN"/>
        </w:rPr>
      </w:pPr>
      <w:r>
        <w:rPr>
          <w:rFonts w:hint="eastAsia" w:ascii="宋体" w:hAnsi="宋体" w:eastAsia="宋体" w:cs="宋体"/>
          <w:b/>
          <w:color w:val="000000"/>
          <w:sz w:val="24"/>
          <w:szCs w:val="24"/>
          <w:highlight w:val="none"/>
          <w:lang w:eastAsia="zh-CN"/>
        </w:rPr>
        <w:br w:type="page"/>
      </w:r>
      <w:bookmarkStart w:id="154" w:name="_Toc20068"/>
      <w:bookmarkStart w:id="155" w:name="_Toc21616"/>
      <w:r>
        <w:rPr>
          <w:rFonts w:hint="eastAsia"/>
          <w:highlight w:val="none"/>
          <w:lang w:eastAsia="zh-CN"/>
        </w:rPr>
        <w:t>第四章  招标项目技术要求</w:t>
      </w:r>
      <w:bookmarkEnd w:id="154"/>
      <w:bookmarkEnd w:id="155"/>
    </w:p>
    <w:p w14:paraId="1A97DD21">
      <w:pPr>
        <w:pStyle w:val="4"/>
        <w:keepNext/>
        <w:bidi w:val="0"/>
        <w:spacing w:line="360" w:lineRule="auto"/>
        <w:jc w:val="center"/>
        <w:outlineLvl w:val="0"/>
        <w:rPr>
          <w:rFonts w:hint="eastAsia"/>
          <w:highlight w:val="none"/>
          <w:lang w:eastAsia="zh-CN"/>
        </w:rPr>
      </w:pPr>
    </w:p>
    <w:tbl>
      <w:tblPr>
        <w:tblStyle w:val="3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982"/>
        <w:gridCol w:w="698"/>
        <w:gridCol w:w="698"/>
        <w:gridCol w:w="3273"/>
        <w:gridCol w:w="1173"/>
      </w:tblGrid>
      <w:tr w14:paraId="6841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633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sz w:val="24"/>
                <w:szCs w:val="24"/>
                <w:u w:val="none"/>
                <w:lang w:val="en-US" w:eastAsia="zh-CN"/>
              </w:rPr>
            </w:pPr>
            <w:bookmarkStart w:id="156" w:name="_Toc15082"/>
            <w:bookmarkStart w:id="157" w:name="_Toc17884_WPSOffice_Level1"/>
            <w:r>
              <w:rPr>
                <w:rFonts w:hint="eastAsia" w:ascii="宋体" w:hAnsi="宋体" w:eastAsia="宋体" w:cs="宋体"/>
                <w:b/>
                <w:i w:val="0"/>
                <w:iCs w:val="0"/>
                <w:color w:val="000000"/>
                <w:sz w:val="24"/>
                <w:szCs w:val="24"/>
                <w:u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72C7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98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EF5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数量</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19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用途</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0A6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是否支持进口</w:t>
            </w:r>
          </w:p>
        </w:tc>
      </w:tr>
      <w:tr w14:paraId="05DD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A78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17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森林气象观测系统</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AF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2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BD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用于胡杨林灌木木空气温湿度、风速、风向以及辐射等常规气象数据</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01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532E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E6A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F7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冻土</w:t>
            </w:r>
            <w:r>
              <w:rPr>
                <w:rFonts w:hint="eastAsia" w:ascii="宋体" w:hAnsi="宋体" w:cs="宋体"/>
                <w:i w:val="0"/>
                <w:iCs w:val="0"/>
                <w:color w:val="000000"/>
                <w:kern w:val="0"/>
                <w:sz w:val="24"/>
                <w:szCs w:val="24"/>
                <w:u w:val="none"/>
                <w:lang w:val="en-US" w:eastAsia="zh-CN" w:bidi="ar"/>
              </w:rPr>
              <w:t>层监</w:t>
            </w:r>
            <w:r>
              <w:rPr>
                <w:rFonts w:hint="eastAsia" w:ascii="宋体" w:hAnsi="宋体" w:eastAsia="宋体" w:cs="宋体"/>
                <w:i w:val="0"/>
                <w:iCs w:val="0"/>
                <w:color w:val="000000"/>
                <w:kern w:val="0"/>
                <w:sz w:val="24"/>
                <w:szCs w:val="24"/>
                <w:u w:val="none"/>
                <w:lang w:val="en-US" w:eastAsia="zh-CN" w:bidi="ar"/>
              </w:rPr>
              <w:t>测系统</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DD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B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2B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用于胡杨林生态定位站长期监测冻土层变化情况</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00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0012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A81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69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w:t>
            </w:r>
            <w:r>
              <w:rPr>
                <w:rFonts w:hint="eastAsia" w:ascii="宋体" w:hAnsi="宋体" w:cs="宋体"/>
                <w:i w:val="0"/>
                <w:iCs w:val="0"/>
                <w:color w:val="000000"/>
                <w:kern w:val="0"/>
                <w:sz w:val="24"/>
                <w:szCs w:val="24"/>
                <w:u w:val="none"/>
                <w:lang w:val="en-US" w:eastAsia="zh-CN" w:bidi="ar"/>
              </w:rPr>
              <w:t>自动</w:t>
            </w:r>
            <w:r>
              <w:rPr>
                <w:rFonts w:hint="eastAsia" w:ascii="宋体" w:hAnsi="宋体" w:eastAsia="宋体" w:cs="宋体"/>
                <w:i w:val="0"/>
                <w:iCs w:val="0"/>
                <w:color w:val="000000"/>
                <w:kern w:val="0"/>
                <w:sz w:val="24"/>
                <w:szCs w:val="24"/>
                <w:u w:val="none"/>
                <w:lang w:val="en-US" w:eastAsia="zh-CN" w:bidi="ar"/>
              </w:rPr>
              <w:t>空气质量监测</w:t>
            </w:r>
            <w:r>
              <w:rPr>
                <w:rFonts w:hint="eastAsia" w:ascii="宋体" w:hAnsi="宋体" w:cs="宋体"/>
                <w:i w:val="0"/>
                <w:iCs w:val="0"/>
                <w:color w:val="000000"/>
                <w:kern w:val="0"/>
                <w:sz w:val="24"/>
                <w:szCs w:val="24"/>
                <w:u w:val="none"/>
                <w:lang w:val="en-US" w:eastAsia="zh-CN" w:bidi="ar"/>
              </w:rPr>
              <w:t>系统</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5D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70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B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用于胡杨林森林空气质量动态变化</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3B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1579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C18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3B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开路式</w:t>
            </w:r>
            <w:r>
              <w:rPr>
                <w:rFonts w:hint="eastAsia" w:ascii="宋体" w:hAnsi="宋体" w:cs="宋体"/>
                <w:i w:val="0"/>
                <w:iCs w:val="0"/>
                <w:color w:val="000000"/>
                <w:kern w:val="0"/>
                <w:sz w:val="24"/>
                <w:szCs w:val="24"/>
                <w:u w:val="none"/>
                <w:lang w:val="en-US" w:eastAsia="zh-CN" w:bidi="ar"/>
              </w:rPr>
              <w:t>协方差涡度</w:t>
            </w:r>
            <w:r>
              <w:rPr>
                <w:rFonts w:hint="eastAsia" w:ascii="宋体" w:hAnsi="宋体" w:eastAsia="宋体" w:cs="宋体"/>
                <w:i w:val="0"/>
                <w:iCs w:val="0"/>
                <w:color w:val="000000"/>
                <w:kern w:val="0"/>
                <w:sz w:val="24"/>
                <w:szCs w:val="24"/>
                <w:u w:val="none"/>
                <w:lang w:val="en-US" w:eastAsia="zh-CN" w:bidi="ar"/>
              </w:rPr>
              <w:t>系统</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E5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65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F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用于胡杨林生态定位站长期监测不同灌木林二氧化碳动态变化情况</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D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771C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DFA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54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便携式土壤碳通量系统</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0F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84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0D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用于胡杨林生态定位站长期监测土壤碳循环</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8D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6E5F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3F9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0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地下水位记录仪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4F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47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用于胡杨林生态定位站</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79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14:paraId="0997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771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40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便携式光合仪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24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F4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D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用于胡杨林荒漠植被光合能力</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01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bl>
    <w:p w14:paraId="70651A79">
      <w:pPr>
        <w:keepNext/>
        <w:widowControl/>
        <w:snapToGrid w:val="0"/>
        <w:ind w:left="0" w:leftChars="0" w:right="0" w:rightChars="0" w:firstLine="0" w:firstLineChars="0"/>
        <w:jc w:val="center"/>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br w:type="page"/>
      </w:r>
    </w:p>
    <w:tbl>
      <w:tblPr>
        <w:tblStyle w:val="31"/>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221"/>
        <w:gridCol w:w="5871"/>
        <w:gridCol w:w="643"/>
        <w:gridCol w:w="1178"/>
      </w:tblGrid>
      <w:tr w14:paraId="0440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263" w:type="dxa"/>
            <w:gridSpan w:val="5"/>
            <w:tcBorders>
              <w:top w:val="nil"/>
              <w:left w:val="nil"/>
              <w:bottom w:val="single" w:color="auto" w:sz="4" w:space="0"/>
              <w:right w:val="nil"/>
            </w:tcBorders>
            <w:noWrap/>
            <w:vAlign w:val="center"/>
          </w:tcPr>
          <w:p w14:paraId="05FF9F09">
            <w:pPr>
              <w:keepNext/>
              <w:widowControl/>
              <w:snapToGrid w:val="0"/>
              <w:ind w:left="0" w:leftChars="0" w:right="0" w:rightChars="0" w:firstLine="0" w:firstLineChars="0"/>
              <w:jc w:val="both"/>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技术</w:t>
            </w:r>
            <w:r>
              <w:rPr>
                <w:rFonts w:hint="default" w:ascii="Times New Roman" w:hAnsi="Times New Roman" w:cs="Times New Roman"/>
                <w:b/>
                <w:bCs/>
                <w:kern w:val="0"/>
                <w:sz w:val="24"/>
                <w:szCs w:val="24"/>
              </w:rPr>
              <w:t>参数详表</w:t>
            </w:r>
          </w:p>
        </w:tc>
      </w:tr>
      <w:tr w14:paraId="0433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571" w:type="dxa"/>
            <w:gridSpan w:val="2"/>
            <w:vMerge w:val="restart"/>
            <w:tcBorders>
              <w:top w:val="single" w:color="auto" w:sz="4" w:space="0"/>
              <w:bottom w:val="single" w:color="auto" w:sz="4" w:space="0"/>
            </w:tcBorders>
            <w:noWrap/>
            <w:vAlign w:val="center"/>
          </w:tcPr>
          <w:p w14:paraId="0756C7D5">
            <w:pPr>
              <w:keepNext/>
              <w:widowControl/>
              <w:snapToGrid w:val="0"/>
              <w:ind w:left="0" w:leftChars="0" w:right="0" w:rightChars="0" w:firstLine="0" w:firstLineChars="0"/>
              <w:jc w:val="both"/>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品目名称</w:t>
            </w:r>
          </w:p>
        </w:tc>
        <w:tc>
          <w:tcPr>
            <w:tcW w:w="5871" w:type="dxa"/>
            <w:vMerge w:val="restart"/>
            <w:tcBorders>
              <w:top w:val="single" w:color="auto" w:sz="4" w:space="0"/>
              <w:bottom w:val="single" w:color="auto" w:sz="4" w:space="0"/>
            </w:tcBorders>
            <w:noWrap/>
            <w:vAlign w:val="center"/>
          </w:tcPr>
          <w:p w14:paraId="259847E4">
            <w:pPr>
              <w:keepNext/>
              <w:widowControl/>
              <w:snapToGrid w:val="0"/>
              <w:ind w:left="0" w:leftChars="0" w:right="0" w:rightChars="0" w:firstLine="0" w:firstLineChars="0"/>
              <w:jc w:val="both"/>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主要技术参数</w:t>
            </w:r>
          </w:p>
        </w:tc>
        <w:tc>
          <w:tcPr>
            <w:tcW w:w="643" w:type="dxa"/>
            <w:vMerge w:val="restart"/>
            <w:tcBorders>
              <w:top w:val="single" w:color="auto" w:sz="4" w:space="0"/>
              <w:bottom w:val="single" w:color="auto" w:sz="4" w:space="0"/>
            </w:tcBorders>
            <w:noWrap/>
            <w:vAlign w:val="center"/>
          </w:tcPr>
          <w:p w14:paraId="6FDFAB10">
            <w:pPr>
              <w:keepNext/>
              <w:widowControl/>
              <w:snapToGrid w:val="0"/>
              <w:ind w:left="0" w:leftChars="0" w:right="0" w:rightChars="0" w:firstLine="0" w:firstLineChars="0"/>
              <w:jc w:val="both"/>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数量</w:t>
            </w:r>
          </w:p>
        </w:tc>
        <w:tc>
          <w:tcPr>
            <w:tcW w:w="1178" w:type="dxa"/>
            <w:vMerge w:val="restart"/>
            <w:tcBorders>
              <w:top w:val="single" w:color="auto" w:sz="4" w:space="0"/>
              <w:bottom w:val="single" w:color="auto" w:sz="4" w:space="0"/>
            </w:tcBorders>
            <w:noWrap w:val="0"/>
            <w:vAlign w:val="center"/>
          </w:tcPr>
          <w:p w14:paraId="11B4FBA7">
            <w:pPr>
              <w:keepNext/>
              <w:widowControl/>
              <w:snapToGrid w:val="0"/>
              <w:ind w:left="0" w:leftChars="0" w:right="0" w:rightChars="0" w:firstLine="0" w:firstLineChars="0"/>
              <w:jc w:val="both"/>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备注</w:t>
            </w:r>
          </w:p>
        </w:tc>
      </w:tr>
      <w:tr w14:paraId="7D17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571" w:type="dxa"/>
            <w:gridSpan w:val="2"/>
            <w:vMerge w:val="continue"/>
            <w:tcBorders>
              <w:top w:val="single" w:color="auto" w:sz="4" w:space="0"/>
              <w:bottom w:val="single" w:color="auto" w:sz="4" w:space="0"/>
            </w:tcBorders>
            <w:noWrap w:val="0"/>
            <w:vAlign w:val="center"/>
          </w:tcPr>
          <w:p w14:paraId="5EBD17FE">
            <w:pPr>
              <w:keepNext/>
              <w:widowControl/>
              <w:snapToGrid w:val="0"/>
              <w:ind w:left="0" w:leftChars="0" w:right="0" w:rightChars="0" w:firstLine="0" w:firstLineChars="0"/>
              <w:jc w:val="both"/>
              <w:rPr>
                <w:rFonts w:hint="default" w:ascii="Times New Roman" w:hAnsi="Times New Roman" w:cs="Times New Roman"/>
                <w:b/>
                <w:bCs/>
                <w:kern w:val="0"/>
                <w:sz w:val="24"/>
                <w:szCs w:val="24"/>
              </w:rPr>
            </w:pPr>
          </w:p>
        </w:tc>
        <w:tc>
          <w:tcPr>
            <w:tcW w:w="5871" w:type="dxa"/>
            <w:vMerge w:val="continue"/>
            <w:tcBorders>
              <w:top w:val="single" w:color="auto" w:sz="4" w:space="0"/>
              <w:bottom w:val="single" w:color="auto" w:sz="4" w:space="0"/>
            </w:tcBorders>
            <w:noWrap w:val="0"/>
            <w:vAlign w:val="center"/>
          </w:tcPr>
          <w:p w14:paraId="4E14413C">
            <w:pPr>
              <w:keepNext/>
              <w:widowControl/>
              <w:snapToGrid w:val="0"/>
              <w:ind w:left="0" w:leftChars="0" w:right="0" w:rightChars="0" w:firstLine="0" w:firstLineChars="0"/>
              <w:jc w:val="both"/>
              <w:rPr>
                <w:rFonts w:hint="default" w:ascii="Times New Roman" w:hAnsi="Times New Roman" w:cs="Times New Roman"/>
                <w:b/>
                <w:bCs/>
                <w:kern w:val="0"/>
                <w:sz w:val="24"/>
                <w:szCs w:val="24"/>
              </w:rPr>
            </w:pPr>
          </w:p>
        </w:tc>
        <w:tc>
          <w:tcPr>
            <w:tcW w:w="643" w:type="dxa"/>
            <w:vMerge w:val="continue"/>
            <w:tcBorders>
              <w:top w:val="single" w:color="auto" w:sz="4" w:space="0"/>
              <w:bottom w:val="single" w:color="auto" w:sz="4" w:space="0"/>
            </w:tcBorders>
            <w:noWrap w:val="0"/>
            <w:vAlign w:val="center"/>
          </w:tcPr>
          <w:p w14:paraId="5C904BCB">
            <w:pPr>
              <w:keepNext/>
              <w:widowControl/>
              <w:snapToGrid w:val="0"/>
              <w:ind w:left="0" w:leftChars="0" w:right="0" w:rightChars="0" w:firstLine="0" w:firstLineChars="0"/>
              <w:jc w:val="both"/>
              <w:rPr>
                <w:rFonts w:hint="default" w:ascii="Times New Roman" w:hAnsi="Times New Roman" w:cs="Times New Roman"/>
                <w:b/>
                <w:bCs/>
                <w:kern w:val="0"/>
                <w:sz w:val="24"/>
                <w:szCs w:val="24"/>
              </w:rPr>
            </w:pPr>
          </w:p>
        </w:tc>
        <w:tc>
          <w:tcPr>
            <w:tcW w:w="1178" w:type="dxa"/>
            <w:vMerge w:val="continue"/>
            <w:tcBorders>
              <w:top w:val="single" w:color="auto" w:sz="4" w:space="0"/>
              <w:bottom w:val="single" w:color="auto" w:sz="4" w:space="0"/>
            </w:tcBorders>
            <w:noWrap w:val="0"/>
            <w:vAlign w:val="center"/>
          </w:tcPr>
          <w:p w14:paraId="629B03B4">
            <w:pPr>
              <w:keepNext/>
              <w:widowControl/>
              <w:snapToGrid w:val="0"/>
              <w:ind w:left="0" w:leftChars="0" w:right="0" w:rightChars="0" w:firstLine="0" w:firstLineChars="0"/>
              <w:jc w:val="both"/>
              <w:rPr>
                <w:rFonts w:hint="default" w:ascii="Times New Roman" w:hAnsi="Times New Roman" w:cs="Times New Roman"/>
                <w:b/>
                <w:bCs/>
                <w:kern w:val="0"/>
                <w:sz w:val="24"/>
                <w:szCs w:val="24"/>
              </w:rPr>
            </w:pPr>
          </w:p>
        </w:tc>
      </w:tr>
      <w:tr w14:paraId="09A6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blHeader/>
          <w:jc w:val="center"/>
        </w:trPr>
        <w:tc>
          <w:tcPr>
            <w:tcW w:w="1350" w:type="dxa"/>
            <w:vMerge w:val="restart"/>
            <w:tcBorders>
              <w:top w:val="single" w:color="auto" w:sz="4" w:space="0"/>
            </w:tcBorders>
            <w:noWrap w:val="0"/>
            <w:vAlign w:val="center"/>
          </w:tcPr>
          <w:p w14:paraId="1411664A">
            <w:pPr>
              <w:keepNext/>
              <w:widowControl/>
              <w:snapToGrid w:val="0"/>
              <w:ind w:left="0" w:leftChars="0" w:right="0" w:rightChars="0" w:firstLine="0" w:firstLineChars="0"/>
              <w:jc w:val="both"/>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1、森林气象观测系统</w:t>
            </w:r>
          </w:p>
          <w:p w14:paraId="701374AD">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tcBorders>
              <w:top w:val="single" w:color="auto" w:sz="4" w:space="0"/>
              <w:bottom w:val="single" w:color="auto" w:sz="4" w:space="0"/>
            </w:tcBorders>
            <w:noWrap w:val="0"/>
            <w:vAlign w:val="center"/>
          </w:tcPr>
          <w:p w14:paraId="3154BF14">
            <w:pPr>
              <w:keepNext/>
              <w:widowControl/>
              <w:snapToGrid w:val="0"/>
              <w:ind w:left="0" w:leftChars="0" w:right="0" w:rightChars="0" w:firstLine="0" w:firstLineChars="0"/>
              <w:jc w:val="both"/>
              <w:rPr>
                <w:rFonts w:hint="eastAsia" w:ascii="Times New Roman" w:hAnsi="Times New Roman" w:eastAsia="宋体"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数据采集器</w:t>
            </w:r>
          </w:p>
        </w:tc>
        <w:tc>
          <w:tcPr>
            <w:tcW w:w="5871" w:type="dxa"/>
            <w:tcBorders>
              <w:top w:val="single" w:color="auto" w:sz="4" w:space="0"/>
              <w:bottom w:val="single" w:color="auto" w:sz="4" w:space="0"/>
            </w:tcBorders>
            <w:noWrap w:val="0"/>
            <w:vAlign w:val="top"/>
          </w:tcPr>
          <w:p w14:paraId="660342C5">
            <w:pPr>
              <w:jc w:val="both"/>
              <w:rPr>
                <w:rFonts w:hint="eastAsia" w:ascii="宋体" w:hAnsi="宋体" w:eastAsia="宋体"/>
                <w:sz w:val="24"/>
                <w:szCs w:val="24"/>
              </w:rPr>
            </w:pPr>
            <w:r>
              <w:rPr>
                <w:rFonts w:hint="eastAsia" w:ascii="宋体" w:hAnsi="宋体" w:eastAsia="宋体"/>
                <w:sz w:val="24"/>
                <w:szCs w:val="24"/>
              </w:rPr>
              <w:t>最大扫描速率：</w:t>
            </w:r>
            <w:bookmarkStart w:id="158" w:name="OLE_LINK10"/>
            <w:r>
              <w:rPr>
                <w:rFonts w:hint="eastAsia" w:ascii="宋体" w:hAnsi="宋体" w:eastAsia="宋体"/>
                <w:sz w:val="24"/>
                <w:szCs w:val="24"/>
              </w:rPr>
              <w:t>≥</w:t>
            </w:r>
            <w:bookmarkEnd w:id="158"/>
            <w:r>
              <w:rPr>
                <w:rFonts w:hint="eastAsia" w:ascii="宋体" w:hAnsi="宋体" w:eastAsia="宋体"/>
                <w:sz w:val="24"/>
                <w:szCs w:val="24"/>
              </w:rPr>
              <w:t>1000Hz</w:t>
            </w:r>
          </w:p>
          <w:p w14:paraId="26255CA1">
            <w:pPr>
              <w:jc w:val="both"/>
              <w:rPr>
                <w:rFonts w:hint="eastAsia" w:ascii="宋体" w:hAnsi="宋体" w:eastAsia="宋体"/>
                <w:sz w:val="24"/>
                <w:szCs w:val="24"/>
              </w:rPr>
            </w:pPr>
            <w:r>
              <w:rPr>
                <w:rFonts w:hint="eastAsia" w:ascii="宋体" w:hAnsi="宋体" w:eastAsia="宋体"/>
                <w:sz w:val="24"/>
                <w:szCs w:val="24"/>
              </w:rPr>
              <w:t>模拟量输入：不低于16个单端</w:t>
            </w:r>
          </w:p>
          <w:p w14:paraId="025F56E5">
            <w:pPr>
              <w:jc w:val="both"/>
              <w:rPr>
                <w:rFonts w:hint="eastAsia" w:ascii="宋体" w:hAnsi="宋体" w:eastAsia="宋体"/>
                <w:sz w:val="24"/>
                <w:szCs w:val="24"/>
              </w:rPr>
            </w:pPr>
            <w:r>
              <w:rPr>
                <w:rFonts w:hint="eastAsia" w:ascii="宋体" w:hAnsi="宋体" w:eastAsia="宋体"/>
                <w:sz w:val="24"/>
                <w:szCs w:val="24"/>
              </w:rPr>
              <w:t>脉冲通道数量：≥10个</w:t>
            </w:r>
          </w:p>
          <w:p w14:paraId="1E9550D5">
            <w:pPr>
              <w:jc w:val="both"/>
              <w:rPr>
                <w:rFonts w:hint="eastAsia" w:ascii="宋体" w:hAnsi="宋体" w:eastAsia="宋体"/>
                <w:sz w:val="24"/>
                <w:szCs w:val="24"/>
              </w:rPr>
            </w:pPr>
            <w:r>
              <w:rPr>
                <w:rFonts w:hint="eastAsia" w:ascii="宋体" w:hAnsi="宋体" w:eastAsia="宋体"/>
                <w:sz w:val="24"/>
                <w:szCs w:val="24"/>
              </w:rPr>
              <w:t>电压激发端口：≥4个</w:t>
            </w:r>
          </w:p>
          <w:p w14:paraId="6002A4B0">
            <w:pPr>
              <w:ind w:left="0" w:leftChars="0"/>
              <w:jc w:val="both"/>
              <w:rPr>
                <w:rFonts w:hint="eastAsia" w:ascii="宋体" w:hAnsi="宋体" w:eastAsia="宋体"/>
                <w:sz w:val="24"/>
                <w:szCs w:val="24"/>
              </w:rPr>
            </w:pPr>
            <w:r>
              <w:rPr>
                <w:rFonts w:hint="eastAsia" w:ascii="宋体" w:hAnsi="宋体" w:eastAsia="宋体"/>
                <w:sz w:val="24"/>
                <w:szCs w:val="24"/>
              </w:rPr>
              <w:t>支持的通信端口：</w:t>
            </w:r>
          </w:p>
          <w:p w14:paraId="614AB35A">
            <w:pPr>
              <w:ind w:left="0" w:leftChars="0"/>
              <w:jc w:val="both"/>
              <w:rPr>
                <w:rFonts w:hint="eastAsia" w:ascii="宋体" w:hAnsi="宋体" w:eastAsia="宋体"/>
                <w:sz w:val="24"/>
                <w:szCs w:val="24"/>
              </w:rPr>
            </w:pPr>
            <w:r>
              <w:rPr>
                <w:rFonts w:hint="eastAsia" w:ascii="宋体" w:hAnsi="宋体" w:eastAsia="宋体"/>
                <w:sz w:val="24"/>
                <w:szCs w:val="24"/>
              </w:rPr>
              <w:t>Ethernet,RS-232,RS-485,RS-422,,CPI,USB-C</w:t>
            </w:r>
          </w:p>
          <w:p w14:paraId="09CF687A">
            <w:pPr>
              <w:jc w:val="both"/>
              <w:rPr>
                <w:rFonts w:hint="eastAsia" w:ascii="宋体" w:hAnsi="宋体" w:eastAsia="宋体"/>
                <w:sz w:val="24"/>
                <w:szCs w:val="24"/>
              </w:rPr>
            </w:pPr>
            <w:r>
              <w:rPr>
                <w:rFonts w:hint="eastAsia" w:ascii="宋体" w:hAnsi="宋体" w:eastAsia="宋体"/>
                <w:sz w:val="24"/>
                <w:szCs w:val="24"/>
              </w:rPr>
              <w:t>ADC：≥24位</w:t>
            </w:r>
          </w:p>
          <w:p w14:paraId="74E7CF8F">
            <w:pPr>
              <w:jc w:val="both"/>
              <w:rPr>
                <w:rFonts w:hint="eastAsia" w:ascii="宋体" w:hAnsi="宋体" w:eastAsia="宋体"/>
                <w:sz w:val="24"/>
                <w:szCs w:val="24"/>
              </w:rPr>
            </w:pPr>
            <w:r>
              <w:rPr>
                <w:rFonts w:hint="eastAsia" w:ascii="宋体" w:hAnsi="宋体" w:eastAsia="宋体"/>
                <w:sz w:val="24"/>
                <w:szCs w:val="24"/>
              </w:rPr>
              <w:t>模拟输入限制：±5V</w:t>
            </w:r>
          </w:p>
          <w:p w14:paraId="1167CAA1">
            <w:pPr>
              <w:jc w:val="both"/>
              <w:rPr>
                <w:rFonts w:hint="eastAsia" w:ascii="宋体" w:hAnsi="宋体" w:eastAsia="宋体"/>
                <w:sz w:val="24"/>
                <w:szCs w:val="24"/>
                <w:lang w:eastAsia="zh-CN"/>
              </w:rPr>
            </w:pPr>
            <w:r>
              <w:rPr>
                <w:rFonts w:hint="eastAsia" w:ascii="宋体" w:hAnsi="宋体" w:eastAsia="宋体"/>
                <w:sz w:val="24"/>
                <w:szCs w:val="24"/>
              </w:rPr>
              <w:t>模拟电压精度：不超过±(0.04%*测量值+偏移)在0～+40℃温度时</w:t>
            </w:r>
          </w:p>
          <w:p w14:paraId="6DBDD4F4">
            <w:pPr>
              <w:jc w:val="both"/>
              <w:rPr>
                <w:rFonts w:hint="eastAsia" w:ascii="宋体" w:hAnsi="宋体" w:eastAsia="宋体"/>
                <w:sz w:val="24"/>
                <w:szCs w:val="24"/>
              </w:rPr>
            </w:pPr>
            <w:r>
              <w:rPr>
                <w:rFonts w:hint="eastAsia" w:ascii="宋体" w:hAnsi="宋体" w:eastAsia="宋体"/>
                <w:sz w:val="24"/>
                <w:szCs w:val="24"/>
              </w:rPr>
              <w:t>输入电压：10～36Vdc</w:t>
            </w:r>
          </w:p>
          <w:p w14:paraId="30057F38">
            <w:pPr>
              <w:jc w:val="both"/>
              <w:rPr>
                <w:rFonts w:hint="eastAsia" w:ascii="宋体" w:hAnsi="宋体" w:eastAsia="宋体"/>
                <w:sz w:val="24"/>
                <w:szCs w:val="24"/>
              </w:rPr>
            </w:pPr>
            <w:r>
              <w:rPr>
                <w:rFonts w:hint="eastAsia" w:ascii="宋体" w:hAnsi="宋体" w:eastAsia="宋体"/>
                <w:sz w:val="24"/>
                <w:szCs w:val="24"/>
              </w:rPr>
              <w:t>支持的通信协议：</w:t>
            </w:r>
          </w:p>
          <w:p w14:paraId="269F7E5E">
            <w:pPr>
              <w:jc w:val="both"/>
              <w:rPr>
                <w:rFonts w:hint="eastAsia" w:ascii="宋体" w:hAnsi="宋体" w:eastAsia="宋体"/>
                <w:sz w:val="24"/>
                <w:szCs w:val="24"/>
              </w:rPr>
            </w:pPr>
            <w:r>
              <w:rPr>
                <w:rFonts w:hint="eastAsia" w:ascii="宋体" w:hAnsi="宋体" w:eastAsia="宋体"/>
                <w:sz w:val="24"/>
                <w:szCs w:val="24"/>
              </w:rPr>
              <w:t>CPI,PakBus,SDM,SDI-12,Modbus,TCP,SPI等</w:t>
            </w:r>
          </w:p>
          <w:p w14:paraId="4FBF9B03">
            <w:pPr>
              <w:jc w:val="both"/>
              <w:rPr>
                <w:rFonts w:hint="eastAsia" w:ascii="宋体" w:hAnsi="宋体" w:eastAsia="宋体"/>
                <w:sz w:val="24"/>
                <w:szCs w:val="24"/>
              </w:rPr>
            </w:pPr>
            <w:r>
              <w:rPr>
                <w:rFonts w:hint="eastAsia" w:ascii="宋体" w:hAnsi="宋体" w:eastAsia="宋体"/>
                <w:sz w:val="24"/>
                <w:szCs w:val="24"/>
              </w:rPr>
              <w:t>内部数据存储：≥4MB</w:t>
            </w:r>
          </w:p>
          <w:p w14:paraId="04AAAB25">
            <w:pPr>
              <w:jc w:val="both"/>
              <w:rPr>
                <w:rFonts w:hint="eastAsia" w:ascii="宋体" w:hAnsi="宋体" w:eastAsia="宋体"/>
                <w:sz w:val="24"/>
                <w:szCs w:val="24"/>
              </w:rPr>
            </w:pPr>
            <w:r>
              <w:rPr>
                <w:rFonts w:hint="eastAsia" w:ascii="宋体" w:hAnsi="宋体" w:eastAsia="宋体"/>
                <w:sz w:val="24"/>
                <w:szCs w:val="24"/>
              </w:rPr>
              <w:t>工作电流（平均值）：≤57mA(20Hz扫描@12Vdc)</w:t>
            </w:r>
          </w:p>
          <w:p w14:paraId="424F988E">
            <w:pPr>
              <w:jc w:val="both"/>
              <w:rPr>
                <w:rFonts w:hint="eastAsia" w:ascii="宋体" w:hAnsi="宋体" w:eastAsia="宋体"/>
                <w:sz w:val="24"/>
                <w:szCs w:val="24"/>
              </w:rPr>
            </w:pPr>
            <w:r>
              <w:rPr>
                <w:rFonts w:hint="eastAsia" w:ascii="宋体" w:hAnsi="宋体" w:eastAsia="宋体"/>
                <w:sz w:val="24"/>
                <w:szCs w:val="24"/>
              </w:rPr>
              <w:t>工作温度：-40℃～+70℃</w:t>
            </w:r>
          </w:p>
          <w:p w14:paraId="413C3BBA">
            <w:pPr>
              <w:jc w:val="both"/>
              <w:rPr>
                <w:rFonts w:hint="default" w:ascii="宋体" w:hAnsi="宋体" w:eastAsia="宋体"/>
                <w:sz w:val="24"/>
                <w:szCs w:val="24"/>
                <w:lang w:val="en-US" w:eastAsia="zh-CN"/>
              </w:rPr>
            </w:pPr>
            <w:r>
              <w:rPr>
                <w:rFonts w:hint="eastAsia" w:ascii="宋体" w:hAnsi="宋体" w:eastAsia="宋体"/>
                <w:sz w:val="24"/>
                <w:szCs w:val="24"/>
                <w:lang w:val="en-US" w:eastAsia="zh-CN"/>
              </w:rPr>
              <w:t>存卡：2G内存卡</w:t>
            </w:r>
          </w:p>
          <w:p w14:paraId="7341A754">
            <w:pPr>
              <w:jc w:val="both"/>
              <w:rPr>
                <w:rFonts w:hint="default" w:ascii="Times New Roman" w:hAnsi="Times New Roman" w:eastAsia="宋体" w:cs="Times New Roman"/>
                <w:kern w:val="0"/>
                <w:sz w:val="24"/>
                <w:szCs w:val="24"/>
              </w:rPr>
            </w:pPr>
            <w:r>
              <w:rPr>
                <w:rFonts w:hint="eastAsia" w:ascii="宋体" w:hAnsi="宋体" w:eastAsia="宋体"/>
                <w:sz w:val="24"/>
                <w:szCs w:val="24"/>
              </w:rPr>
              <w:t>为保证产品质量，需要生产制造厂家针对本项目提供专项授权函；</w:t>
            </w:r>
          </w:p>
        </w:tc>
        <w:tc>
          <w:tcPr>
            <w:tcW w:w="643" w:type="dxa"/>
            <w:tcBorders>
              <w:top w:val="single" w:color="auto" w:sz="4" w:space="0"/>
              <w:bottom w:val="single" w:color="auto" w:sz="4" w:space="0"/>
            </w:tcBorders>
            <w:noWrap w:val="0"/>
            <w:vAlign w:val="center"/>
          </w:tcPr>
          <w:p w14:paraId="429D2848">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2台</w:t>
            </w:r>
          </w:p>
        </w:tc>
        <w:tc>
          <w:tcPr>
            <w:tcW w:w="1178" w:type="dxa"/>
            <w:tcBorders>
              <w:top w:val="single" w:color="auto" w:sz="4" w:space="0"/>
              <w:bottom w:val="single" w:color="auto" w:sz="4" w:space="0"/>
            </w:tcBorders>
            <w:noWrap w:val="0"/>
            <w:vAlign w:val="center"/>
          </w:tcPr>
          <w:p w14:paraId="6B09F76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p>
        </w:tc>
      </w:tr>
      <w:tr w14:paraId="57FA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blHeader/>
          <w:jc w:val="center"/>
        </w:trPr>
        <w:tc>
          <w:tcPr>
            <w:tcW w:w="1350" w:type="dxa"/>
            <w:vMerge w:val="continue"/>
            <w:noWrap w:val="0"/>
            <w:vAlign w:val="center"/>
          </w:tcPr>
          <w:p w14:paraId="7F3BCCA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pPr>
          </w:p>
        </w:tc>
        <w:tc>
          <w:tcPr>
            <w:tcW w:w="1221" w:type="dxa"/>
            <w:tcBorders>
              <w:top w:val="single" w:color="auto" w:sz="4" w:space="0"/>
              <w:bottom w:val="single" w:color="auto" w:sz="4" w:space="0"/>
            </w:tcBorders>
            <w:noWrap w:val="0"/>
            <w:vAlign w:val="center"/>
          </w:tcPr>
          <w:p w14:paraId="083789F4">
            <w:pPr>
              <w:keepNext/>
              <w:widowControl/>
              <w:snapToGrid w:val="0"/>
              <w:ind w:left="0" w:leftChars="0" w:right="0" w:rightChars="0" w:firstLine="0" w:firstLineChars="0"/>
              <w:jc w:val="both"/>
              <w:rPr>
                <w:rFonts w:hint="eastAsia" w:ascii="Times New Roman" w:hAnsi="Times New Roman"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rPr>
              <w:t>通道扩展板</w:t>
            </w:r>
          </w:p>
        </w:tc>
        <w:tc>
          <w:tcPr>
            <w:tcW w:w="5871" w:type="dxa"/>
            <w:tcBorders>
              <w:top w:val="single" w:color="auto" w:sz="4" w:space="0"/>
              <w:bottom w:val="single" w:color="auto" w:sz="4" w:space="0"/>
            </w:tcBorders>
            <w:noWrap w:val="0"/>
            <w:vAlign w:val="center"/>
          </w:tcPr>
          <w:p w14:paraId="0789B3B2">
            <w:pPr>
              <w:rPr>
                <w:rFonts w:hint="eastAsia" w:ascii="宋体" w:hAnsi="宋体" w:eastAsia="宋体"/>
                <w:sz w:val="24"/>
                <w:szCs w:val="24"/>
              </w:rPr>
            </w:pPr>
            <w:r>
              <w:rPr>
                <w:rFonts w:hint="eastAsia" w:ascii="宋体" w:hAnsi="宋体" w:eastAsia="宋体"/>
                <w:sz w:val="24"/>
                <w:szCs w:val="24"/>
              </w:rPr>
              <w:t>供电：</w:t>
            </w:r>
            <w:r>
              <w:rPr>
                <w:rFonts w:ascii="宋体" w:hAnsi="宋体" w:eastAsia="宋体"/>
                <w:sz w:val="24"/>
                <w:szCs w:val="24"/>
              </w:rPr>
              <w:t>11.3~16Vdc（-25~50℃）；11.8~16Vdc（-55~85℃）</w:t>
            </w:r>
          </w:p>
          <w:p w14:paraId="48BF63EB">
            <w:pPr>
              <w:rPr>
                <w:rFonts w:hint="eastAsia" w:ascii="宋体" w:hAnsi="宋体" w:eastAsia="宋体"/>
                <w:sz w:val="24"/>
                <w:szCs w:val="24"/>
              </w:rPr>
            </w:pPr>
            <w:r>
              <w:rPr>
                <w:rFonts w:hint="eastAsia" w:ascii="宋体" w:hAnsi="宋体" w:eastAsia="宋体"/>
                <w:sz w:val="24"/>
                <w:szCs w:val="24"/>
              </w:rPr>
              <w:t>功耗：</w:t>
            </w:r>
            <w:r>
              <w:rPr>
                <w:rFonts w:ascii="宋体" w:hAnsi="宋体" w:eastAsia="宋体"/>
                <w:sz w:val="24"/>
                <w:szCs w:val="24"/>
              </w:rPr>
              <w:t>&lt;210微安（静止状态），6毫安（工作状态）</w:t>
            </w:r>
          </w:p>
          <w:p w14:paraId="7169074F">
            <w:pPr>
              <w:rPr>
                <w:rFonts w:hint="eastAsia" w:ascii="宋体" w:hAnsi="宋体" w:eastAsia="宋体"/>
                <w:sz w:val="24"/>
                <w:szCs w:val="24"/>
              </w:rPr>
            </w:pPr>
            <w:r>
              <w:rPr>
                <w:rFonts w:hint="eastAsia" w:ascii="宋体" w:hAnsi="宋体" w:eastAsia="宋体"/>
                <w:sz w:val="24"/>
                <w:szCs w:val="24"/>
              </w:rPr>
              <w:t>反应时间：</w:t>
            </w:r>
            <w:r>
              <w:rPr>
                <w:rFonts w:ascii="宋体" w:hAnsi="宋体" w:eastAsia="宋体"/>
                <w:sz w:val="24"/>
                <w:szCs w:val="24"/>
              </w:rPr>
              <w:t>20毫秒</w:t>
            </w:r>
          </w:p>
          <w:p w14:paraId="654A52D7">
            <w:pPr>
              <w:rPr>
                <w:rFonts w:hint="eastAsia" w:ascii="宋体" w:hAnsi="宋体" w:eastAsia="宋体"/>
                <w:sz w:val="24"/>
                <w:szCs w:val="24"/>
              </w:rPr>
            </w:pPr>
            <w:r>
              <w:rPr>
                <w:rFonts w:hint="eastAsia" w:ascii="宋体" w:hAnsi="宋体" w:eastAsia="宋体"/>
                <w:sz w:val="24"/>
                <w:szCs w:val="24"/>
              </w:rPr>
              <w:t>工作环境：</w:t>
            </w:r>
            <w:r>
              <w:rPr>
                <w:rFonts w:ascii="宋体" w:hAnsi="宋体" w:eastAsia="宋体"/>
                <w:sz w:val="24"/>
                <w:szCs w:val="24"/>
              </w:rPr>
              <w:t>-25~50℃（标准），-55~85℃（低温扩展）；0~95%RH</w:t>
            </w:r>
          </w:p>
          <w:p w14:paraId="08965399">
            <w:pPr>
              <w:rPr>
                <w:rFonts w:hint="eastAsia" w:ascii="Times New Roman" w:hAnsi="Times New Roman" w:cs="Times New Roman"/>
                <w:kern w:val="0"/>
                <w:sz w:val="24"/>
                <w:szCs w:val="24"/>
                <w:highlight w:val="none"/>
                <w:lang w:val="en-US" w:eastAsia="zh-CN"/>
              </w:rPr>
            </w:pPr>
            <w:r>
              <w:rPr>
                <w:rFonts w:hint="eastAsia" w:ascii="宋体" w:hAnsi="宋体" w:eastAsia="宋体"/>
                <w:sz w:val="24"/>
                <w:szCs w:val="24"/>
              </w:rPr>
              <w:t>扩展通道：不少于</w:t>
            </w:r>
            <w:r>
              <w:rPr>
                <w:rFonts w:ascii="宋体" w:hAnsi="宋体" w:eastAsia="宋体"/>
                <w:sz w:val="24"/>
                <w:szCs w:val="24"/>
              </w:rPr>
              <w:t>32个单端通道（16个差分）</w:t>
            </w:r>
          </w:p>
        </w:tc>
        <w:tc>
          <w:tcPr>
            <w:tcW w:w="643" w:type="dxa"/>
            <w:tcBorders>
              <w:top w:val="single" w:color="auto" w:sz="4" w:space="0"/>
              <w:bottom w:val="single" w:color="auto" w:sz="4" w:space="0"/>
            </w:tcBorders>
            <w:noWrap w:val="0"/>
            <w:vAlign w:val="center"/>
          </w:tcPr>
          <w:p w14:paraId="6A26E6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2台</w:t>
            </w:r>
          </w:p>
        </w:tc>
        <w:tc>
          <w:tcPr>
            <w:tcW w:w="1178" w:type="dxa"/>
            <w:tcBorders>
              <w:top w:val="single" w:color="auto" w:sz="4" w:space="0"/>
              <w:bottom w:val="single" w:color="auto" w:sz="4" w:space="0"/>
            </w:tcBorders>
            <w:noWrap w:val="0"/>
            <w:vAlign w:val="center"/>
          </w:tcPr>
          <w:p w14:paraId="0D027CA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highlight w:val="none"/>
                <w:lang w:val="en-US" w:eastAsia="zh-CN"/>
              </w:rPr>
            </w:pPr>
          </w:p>
        </w:tc>
      </w:tr>
      <w:tr w14:paraId="7FEF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63CFBE1B">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tcBorders>
              <w:top w:val="single" w:color="auto" w:sz="4" w:space="0"/>
            </w:tcBorders>
            <w:noWrap w:val="0"/>
            <w:vAlign w:val="center"/>
          </w:tcPr>
          <w:p w14:paraId="208D176A">
            <w:pPr>
              <w:keepNext/>
              <w:widowControl/>
              <w:snapToGrid w:val="0"/>
              <w:ind w:left="0" w:leftChars="0" w:right="0" w:rightChars="0" w:firstLine="0" w:firstLineChars="0"/>
              <w:jc w:val="both"/>
              <w:rPr>
                <w:rFonts w:hint="eastAsia"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二维超声风速风向</w:t>
            </w:r>
            <w:r>
              <w:rPr>
                <w:rFonts w:hint="eastAsia" w:ascii="Times New Roman" w:hAnsi="Times New Roman" w:cs="Times New Roman"/>
                <w:kern w:val="0"/>
                <w:sz w:val="24"/>
                <w:szCs w:val="24"/>
                <w:highlight w:val="none"/>
                <w:lang w:val="en-US" w:eastAsia="zh-CN"/>
              </w:rPr>
              <w:t>传感器</w:t>
            </w:r>
          </w:p>
        </w:tc>
        <w:tc>
          <w:tcPr>
            <w:tcW w:w="5871" w:type="dxa"/>
            <w:tcBorders>
              <w:top w:val="single" w:color="auto" w:sz="4" w:space="0"/>
            </w:tcBorders>
            <w:noWrap w:val="0"/>
            <w:vAlign w:val="center"/>
          </w:tcPr>
          <w:p w14:paraId="1B657019">
            <w:pPr>
              <w:rPr>
                <w:rFonts w:hint="eastAsia" w:ascii="宋体" w:hAnsi="宋体" w:eastAsia="宋体"/>
                <w:sz w:val="24"/>
                <w:szCs w:val="24"/>
              </w:rPr>
            </w:pPr>
            <w:r>
              <w:rPr>
                <w:rFonts w:hint="eastAsia" w:ascii="宋体" w:hAnsi="宋体" w:eastAsia="宋体"/>
                <w:sz w:val="24"/>
                <w:szCs w:val="24"/>
              </w:rPr>
              <w:t>量程：0~60m/s，0~359º（无死角）</w:t>
            </w:r>
          </w:p>
          <w:p w14:paraId="1D8A42B4">
            <w:pPr>
              <w:rPr>
                <w:rFonts w:hint="eastAsia" w:ascii="宋体" w:hAnsi="宋体" w:eastAsia="宋体"/>
                <w:sz w:val="24"/>
                <w:szCs w:val="24"/>
              </w:rPr>
            </w:pPr>
            <w:r>
              <w:rPr>
                <w:rFonts w:hint="eastAsia" w:ascii="宋体" w:hAnsi="宋体" w:eastAsia="宋体"/>
                <w:sz w:val="24"/>
                <w:szCs w:val="24"/>
              </w:rPr>
              <w:t>精度（12m/s时）：风速±2%，风向±3º</w:t>
            </w:r>
          </w:p>
          <w:p w14:paraId="5C2DC224">
            <w:pPr>
              <w:rPr>
                <w:rFonts w:hint="eastAsia" w:ascii="宋体" w:hAnsi="宋体" w:eastAsia="宋体"/>
                <w:sz w:val="24"/>
                <w:szCs w:val="24"/>
              </w:rPr>
            </w:pPr>
            <w:r>
              <w:rPr>
                <w:rFonts w:hint="eastAsia" w:ascii="宋体" w:hAnsi="宋体" w:eastAsia="宋体"/>
                <w:sz w:val="24"/>
                <w:szCs w:val="24"/>
              </w:rPr>
              <w:t>分辨率：≤0.01m/s，1º</w:t>
            </w:r>
          </w:p>
          <w:p w14:paraId="627DB53E">
            <w:pPr>
              <w:rPr>
                <w:rFonts w:hint="eastAsia" w:ascii="宋体" w:hAnsi="宋体" w:eastAsia="宋体"/>
                <w:sz w:val="24"/>
                <w:szCs w:val="24"/>
              </w:rPr>
            </w:pPr>
            <w:r>
              <w:rPr>
                <w:rFonts w:hint="eastAsia" w:ascii="宋体" w:hAnsi="宋体" w:eastAsia="宋体"/>
                <w:sz w:val="24"/>
                <w:szCs w:val="24"/>
              </w:rPr>
              <w:t>启动风速：≤0.01m/s</w:t>
            </w:r>
          </w:p>
          <w:p w14:paraId="0B9F0762">
            <w:pPr>
              <w:rPr>
                <w:rFonts w:hint="eastAsia" w:ascii="宋体" w:hAnsi="宋体" w:eastAsia="宋体"/>
                <w:sz w:val="24"/>
                <w:szCs w:val="24"/>
              </w:rPr>
            </w:pPr>
            <w:r>
              <w:rPr>
                <w:rFonts w:hint="eastAsia" w:ascii="宋体" w:hAnsi="宋体" w:eastAsia="宋体"/>
                <w:sz w:val="24"/>
                <w:szCs w:val="24"/>
              </w:rPr>
              <w:t>响应时间：≤0.25秒</w:t>
            </w:r>
          </w:p>
          <w:p w14:paraId="6EEAF7BE">
            <w:pPr>
              <w:rPr>
                <w:rFonts w:hint="eastAsia" w:ascii="宋体" w:hAnsi="宋体" w:eastAsia="宋体"/>
                <w:sz w:val="24"/>
                <w:szCs w:val="24"/>
              </w:rPr>
            </w:pPr>
            <w:r>
              <w:rPr>
                <w:rFonts w:hint="eastAsia" w:ascii="宋体" w:hAnsi="宋体" w:eastAsia="宋体"/>
                <w:sz w:val="24"/>
                <w:szCs w:val="24"/>
              </w:rPr>
              <w:t>输出信号：RS-232，RS-422，RS-485</w:t>
            </w:r>
          </w:p>
          <w:p w14:paraId="472F1641">
            <w:pPr>
              <w:rPr>
                <w:rFonts w:hint="eastAsia" w:ascii="宋体" w:hAnsi="宋体" w:eastAsia="宋体"/>
                <w:sz w:val="24"/>
                <w:szCs w:val="24"/>
              </w:rPr>
            </w:pPr>
            <w:r>
              <w:rPr>
                <w:rFonts w:hint="eastAsia" w:ascii="宋体" w:hAnsi="宋体" w:eastAsia="宋体"/>
                <w:sz w:val="24"/>
                <w:szCs w:val="24"/>
              </w:rPr>
              <w:t>输出频率：0.25Hz，0.5Hz，1Hz，2Hz</w:t>
            </w:r>
          </w:p>
          <w:p w14:paraId="74759A8B">
            <w:pPr>
              <w:rPr>
                <w:rFonts w:hint="eastAsia" w:ascii="宋体" w:hAnsi="宋体" w:eastAsia="宋体"/>
                <w:sz w:val="24"/>
                <w:szCs w:val="24"/>
              </w:rPr>
            </w:pPr>
            <w:r>
              <w:rPr>
                <w:rFonts w:hint="eastAsia" w:ascii="宋体" w:hAnsi="宋体" w:eastAsia="宋体"/>
                <w:sz w:val="24"/>
                <w:szCs w:val="24"/>
              </w:rPr>
              <w:t>输出参数：风速风向或U、V（矢量）</w:t>
            </w:r>
          </w:p>
          <w:p w14:paraId="5EB6CC04">
            <w:pPr>
              <w:rPr>
                <w:rFonts w:hint="eastAsia" w:ascii="宋体" w:hAnsi="宋体" w:eastAsia="宋体"/>
                <w:sz w:val="24"/>
                <w:szCs w:val="24"/>
              </w:rPr>
            </w:pPr>
            <w:r>
              <w:rPr>
                <w:rFonts w:hint="eastAsia" w:ascii="宋体" w:hAnsi="宋体" w:eastAsia="宋体"/>
                <w:sz w:val="24"/>
                <w:szCs w:val="24"/>
              </w:rPr>
              <w:t>启动时间：&lt;5秒</w:t>
            </w:r>
          </w:p>
          <w:p w14:paraId="25BDA9AB">
            <w:pPr>
              <w:rPr>
                <w:rFonts w:hint="eastAsia" w:ascii="宋体" w:hAnsi="宋体" w:eastAsia="宋体"/>
                <w:sz w:val="24"/>
                <w:szCs w:val="24"/>
              </w:rPr>
            </w:pPr>
            <w:r>
              <w:rPr>
                <w:rFonts w:hint="eastAsia" w:ascii="宋体" w:hAnsi="宋体" w:eastAsia="宋体"/>
                <w:sz w:val="24"/>
                <w:szCs w:val="24"/>
              </w:rPr>
              <w:t>工作环境：-35℃~70℃，0~100%RH</w:t>
            </w:r>
          </w:p>
          <w:p w14:paraId="7822D464">
            <w:pPr>
              <w:rPr>
                <w:rFonts w:hint="eastAsia" w:ascii="宋体" w:hAnsi="宋体" w:eastAsia="宋体"/>
                <w:sz w:val="24"/>
                <w:szCs w:val="24"/>
              </w:rPr>
            </w:pPr>
            <w:r>
              <w:rPr>
                <w:rFonts w:hint="eastAsia" w:ascii="宋体" w:hAnsi="宋体" w:eastAsia="宋体"/>
                <w:sz w:val="24"/>
                <w:szCs w:val="24"/>
              </w:rPr>
              <w:t>供电：9~30VDC</w:t>
            </w:r>
          </w:p>
          <w:p w14:paraId="5BF4D7D4">
            <w:pPr>
              <w:rPr>
                <w:rFonts w:hint="default" w:ascii="Times New Roman" w:hAnsi="Times New Roman" w:eastAsia="宋体" w:cs="Times New Roman"/>
                <w:kern w:val="0"/>
                <w:sz w:val="24"/>
                <w:szCs w:val="24"/>
              </w:rPr>
            </w:pPr>
            <w:r>
              <w:rPr>
                <w:rFonts w:hint="eastAsia" w:ascii="宋体" w:hAnsi="宋体" w:eastAsia="宋体"/>
                <w:sz w:val="24"/>
                <w:szCs w:val="24"/>
              </w:rPr>
              <w:t>防护等级：IP65</w:t>
            </w:r>
          </w:p>
        </w:tc>
        <w:tc>
          <w:tcPr>
            <w:tcW w:w="643" w:type="dxa"/>
            <w:tcBorders>
              <w:top w:val="single" w:color="auto" w:sz="4" w:space="0"/>
            </w:tcBorders>
            <w:noWrap w:val="0"/>
            <w:vAlign w:val="center"/>
          </w:tcPr>
          <w:p w14:paraId="659E25BD">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8套</w:t>
            </w:r>
          </w:p>
        </w:tc>
        <w:tc>
          <w:tcPr>
            <w:tcW w:w="1178" w:type="dxa"/>
            <w:tcBorders>
              <w:top w:val="single" w:color="auto" w:sz="4" w:space="0"/>
            </w:tcBorders>
            <w:noWrap w:val="0"/>
            <w:vAlign w:val="center"/>
          </w:tcPr>
          <w:p w14:paraId="7ACC1D3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p>
        </w:tc>
      </w:tr>
      <w:tr w14:paraId="6FBD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73584A10">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29158685">
            <w:pPr>
              <w:keepNext/>
              <w:widowControl/>
              <w:snapToGrid w:val="0"/>
              <w:ind w:left="0" w:leftChars="0" w:right="0" w:rightChars="0" w:firstLine="0" w:firstLineChars="0"/>
              <w:jc w:val="both"/>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空气温湿度传感器</w:t>
            </w:r>
          </w:p>
        </w:tc>
        <w:tc>
          <w:tcPr>
            <w:tcW w:w="5871" w:type="dxa"/>
            <w:noWrap w:val="0"/>
            <w:vAlign w:val="center"/>
          </w:tcPr>
          <w:p w14:paraId="7015CE63">
            <w:pPr>
              <w:rPr>
                <w:rFonts w:hint="eastAsia" w:ascii="宋体" w:hAnsi="宋体" w:eastAsia="宋体"/>
                <w:sz w:val="24"/>
                <w:szCs w:val="24"/>
              </w:rPr>
            </w:pPr>
            <w:r>
              <w:rPr>
                <w:rFonts w:hint="eastAsia" w:ascii="宋体" w:hAnsi="宋体" w:eastAsia="宋体"/>
                <w:sz w:val="24"/>
                <w:szCs w:val="24"/>
              </w:rPr>
              <w:t>工作环境：</w:t>
            </w:r>
            <w:r>
              <w:rPr>
                <w:rFonts w:ascii="宋体" w:hAnsi="宋体" w:eastAsia="宋体"/>
                <w:sz w:val="24"/>
                <w:szCs w:val="24"/>
              </w:rPr>
              <w:t>-80℃~60℃，0~100%RH；</w:t>
            </w:r>
          </w:p>
          <w:p w14:paraId="0F9B9804">
            <w:pPr>
              <w:rPr>
                <w:rFonts w:hint="eastAsia" w:ascii="宋体" w:hAnsi="宋体" w:eastAsia="宋体"/>
                <w:sz w:val="24"/>
                <w:szCs w:val="24"/>
              </w:rPr>
            </w:pPr>
            <w:r>
              <w:rPr>
                <w:rFonts w:hint="eastAsia" w:ascii="宋体" w:hAnsi="宋体" w:eastAsia="宋体"/>
                <w:sz w:val="24"/>
                <w:szCs w:val="24"/>
              </w:rPr>
              <w:t>外壳防护等级：</w:t>
            </w:r>
            <w:r>
              <w:rPr>
                <w:rFonts w:ascii="宋体" w:hAnsi="宋体" w:eastAsia="宋体"/>
                <w:sz w:val="24"/>
                <w:szCs w:val="24"/>
              </w:rPr>
              <w:t>IP66；</w:t>
            </w:r>
          </w:p>
          <w:p w14:paraId="5F23823B">
            <w:pPr>
              <w:rPr>
                <w:rFonts w:hint="eastAsia" w:ascii="宋体" w:hAnsi="宋体" w:eastAsia="宋体"/>
                <w:sz w:val="24"/>
                <w:szCs w:val="24"/>
              </w:rPr>
            </w:pPr>
            <w:r>
              <w:rPr>
                <w:rFonts w:hint="eastAsia" w:ascii="宋体" w:hAnsi="宋体" w:eastAsia="宋体"/>
                <w:sz w:val="24"/>
                <w:szCs w:val="24"/>
              </w:rPr>
              <w:t>温度传感器</w:t>
            </w:r>
          </w:p>
          <w:p w14:paraId="7047F4C9">
            <w:pPr>
              <w:rPr>
                <w:rFonts w:hint="eastAsia" w:ascii="宋体" w:hAnsi="宋体" w:eastAsia="宋体"/>
                <w:sz w:val="24"/>
                <w:szCs w:val="24"/>
              </w:rPr>
            </w:pPr>
            <w:r>
              <w:rPr>
                <w:rFonts w:hint="eastAsia" w:ascii="宋体" w:hAnsi="宋体" w:eastAsia="宋体"/>
                <w:sz w:val="24"/>
                <w:szCs w:val="24"/>
              </w:rPr>
              <w:t>量程：</w:t>
            </w:r>
            <w:r>
              <w:rPr>
                <w:rFonts w:ascii="宋体" w:hAnsi="宋体" w:eastAsia="宋体"/>
                <w:sz w:val="24"/>
                <w:szCs w:val="24"/>
              </w:rPr>
              <w:t>-80℃~60℃；</w:t>
            </w:r>
          </w:p>
          <w:p w14:paraId="1386BDAE">
            <w:pPr>
              <w:rPr>
                <w:rFonts w:hint="eastAsia" w:ascii="宋体" w:hAnsi="宋体" w:eastAsia="宋体"/>
                <w:sz w:val="24"/>
                <w:szCs w:val="24"/>
              </w:rPr>
            </w:pPr>
            <w:r>
              <w:rPr>
                <w:rFonts w:hint="eastAsia" w:ascii="宋体" w:hAnsi="宋体" w:eastAsia="宋体"/>
                <w:sz w:val="24"/>
                <w:szCs w:val="24"/>
              </w:rPr>
              <w:t>精度（模拟电压输出）：±</w:t>
            </w:r>
            <w:r>
              <w:rPr>
                <w:rFonts w:ascii="宋体" w:hAnsi="宋体" w:eastAsia="宋体"/>
                <w:sz w:val="24"/>
                <w:szCs w:val="24"/>
              </w:rPr>
              <w:t>(0.226-0.0028×温度范围)℃（-80℃~20℃）；±(0.055+0.0057×温度范围)℃（20℃~60℃）（采用RS-485信号输出时，精度优于模拟电压）；</w:t>
            </w:r>
          </w:p>
          <w:p w14:paraId="33277D06">
            <w:pPr>
              <w:rPr>
                <w:rFonts w:hint="eastAsia" w:ascii="宋体" w:hAnsi="宋体" w:eastAsia="宋体"/>
                <w:sz w:val="24"/>
                <w:szCs w:val="24"/>
              </w:rPr>
            </w:pPr>
            <w:r>
              <w:rPr>
                <w:rFonts w:hint="eastAsia" w:ascii="宋体" w:hAnsi="宋体" w:eastAsia="宋体"/>
                <w:sz w:val="24"/>
                <w:szCs w:val="24"/>
              </w:rPr>
              <w:t>相对湿度传感器</w:t>
            </w:r>
          </w:p>
          <w:p w14:paraId="0CF42D98">
            <w:pPr>
              <w:rPr>
                <w:rFonts w:hint="eastAsia" w:ascii="宋体" w:hAnsi="宋体" w:eastAsia="宋体"/>
                <w:sz w:val="24"/>
                <w:szCs w:val="24"/>
              </w:rPr>
            </w:pPr>
            <w:r>
              <w:rPr>
                <w:rFonts w:hint="eastAsia" w:ascii="宋体" w:hAnsi="宋体" w:eastAsia="宋体"/>
                <w:sz w:val="24"/>
                <w:szCs w:val="24"/>
              </w:rPr>
              <w:t>量程：</w:t>
            </w:r>
            <w:r>
              <w:rPr>
                <w:rFonts w:ascii="宋体" w:hAnsi="宋体" w:eastAsia="宋体"/>
                <w:sz w:val="24"/>
                <w:szCs w:val="24"/>
              </w:rPr>
              <w:t>0.8~100%RH；</w:t>
            </w:r>
          </w:p>
          <w:p w14:paraId="0E85CE9A">
            <w:pPr>
              <w:rPr>
                <w:rFonts w:hint="eastAsia" w:ascii="宋体" w:hAnsi="宋体" w:eastAsia="宋体"/>
                <w:sz w:val="24"/>
                <w:szCs w:val="24"/>
              </w:rPr>
            </w:pPr>
            <w:r>
              <w:rPr>
                <w:rFonts w:hint="eastAsia" w:ascii="宋体" w:hAnsi="宋体" w:eastAsia="宋体"/>
                <w:sz w:val="24"/>
                <w:szCs w:val="24"/>
              </w:rPr>
              <w:t>精度：±（</w:t>
            </w:r>
            <w:r>
              <w:rPr>
                <w:rFonts w:ascii="宋体" w:hAnsi="宋体" w:eastAsia="宋体"/>
                <w:sz w:val="24"/>
                <w:szCs w:val="24"/>
              </w:rPr>
              <w:t>1.2%+0.012×读数）%RH（-40~-20℃，40℃~60℃），±（1.0+0.008×读数）%RH（-20℃~40℃）；</w:t>
            </w:r>
          </w:p>
          <w:p w14:paraId="1D301C8E">
            <w:pPr>
              <w:rPr>
                <w:rFonts w:hint="default" w:ascii="Times New Roman" w:hAnsi="Times New Roman" w:eastAsia="宋体" w:cs="Times New Roman"/>
                <w:kern w:val="0"/>
                <w:sz w:val="24"/>
                <w:szCs w:val="24"/>
              </w:rPr>
            </w:pPr>
            <w:r>
              <w:rPr>
                <w:rFonts w:hint="eastAsia" w:ascii="宋体" w:hAnsi="宋体" w:eastAsia="宋体"/>
                <w:sz w:val="24"/>
                <w:szCs w:val="24"/>
              </w:rPr>
              <w:t>配备防辐射罩；</w:t>
            </w:r>
          </w:p>
        </w:tc>
        <w:tc>
          <w:tcPr>
            <w:tcW w:w="643" w:type="dxa"/>
            <w:noWrap w:val="0"/>
            <w:vAlign w:val="center"/>
          </w:tcPr>
          <w:p w14:paraId="387382B6">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8套</w:t>
            </w:r>
          </w:p>
        </w:tc>
        <w:tc>
          <w:tcPr>
            <w:tcW w:w="1178" w:type="dxa"/>
            <w:noWrap w:val="0"/>
            <w:vAlign w:val="center"/>
          </w:tcPr>
          <w:p w14:paraId="103DA18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p>
        </w:tc>
      </w:tr>
      <w:tr w14:paraId="5CEF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46E61362">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62B03576">
            <w:pPr>
              <w:keepNext/>
              <w:widowControl/>
              <w:snapToGrid w:val="0"/>
              <w:ind w:left="0" w:leftChars="0" w:right="0" w:rightChars="0" w:firstLine="0" w:firstLineChars="0"/>
              <w:jc w:val="both"/>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大气压传感器</w:t>
            </w:r>
          </w:p>
        </w:tc>
        <w:tc>
          <w:tcPr>
            <w:tcW w:w="5871" w:type="dxa"/>
            <w:noWrap w:val="0"/>
            <w:vAlign w:val="center"/>
          </w:tcPr>
          <w:p w14:paraId="7C913ECC">
            <w:pPr>
              <w:rPr>
                <w:rFonts w:hint="eastAsia" w:ascii="宋体" w:hAnsi="宋体" w:eastAsia="宋体"/>
                <w:sz w:val="24"/>
                <w:szCs w:val="24"/>
              </w:rPr>
            </w:pPr>
            <w:r>
              <w:rPr>
                <w:rFonts w:hint="eastAsia" w:ascii="宋体" w:hAnsi="宋体" w:eastAsia="宋体"/>
                <w:sz w:val="24"/>
                <w:szCs w:val="24"/>
              </w:rPr>
              <w:t>量程：500~1100hPa</w:t>
            </w:r>
          </w:p>
          <w:p w14:paraId="6B231ADB">
            <w:pPr>
              <w:rPr>
                <w:rFonts w:hint="eastAsia" w:ascii="宋体" w:hAnsi="宋体" w:eastAsia="宋体"/>
                <w:sz w:val="24"/>
                <w:szCs w:val="24"/>
              </w:rPr>
            </w:pPr>
            <w:r>
              <w:rPr>
                <w:rFonts w:hint="eastAsia" w:ascii="宋体" w:hAnsi="宋体" w:eastAsia="宋体"/>
                <w:sz w:val="24"/>
                <w:szCs w:val="24"/>
              </w:rPr>
              <w:t>总精度：±0.3hPa@20℃；±0.6hPa@0℃~40℃；±1.0hPa@-20℃~45℃；±1.5hPa@-40℃~60℃</w:t>
            </w:r>
          </w:p>
          <w:p w14:paraId="3CCA426A">
            <w:pPr>
              <w:rPr>
                <w:rFonts w:hint="eastAsia" w:ascii="宋体" w:hAnsi="宋体" w:eastAsia="宋体"/>
                <w:sz w:val="24"/>
                <w:szCs w:val="24"/>
              </w:rPr>
            </w:pPr>
            <w:r>
              <w:rPr>
                <w:rFonts w:hint="eastAsia" w:ascii="宋体" w:hAnsi="宋体" w:eastAsia="宋体"/>
                <w:sz w:val="24"/>
                <w:szCs w:val="24"/>
              </w:rPr>
              <w:t>线性：±0.25mb</w:t>
            </w:r>
          </w:p>
          <w:p w14:paraId="3662A3EA">
            <w:pPr>
              <w:rPr>
                <w:rFonts w:hint="eastAsia" w:ascii="宋体" w:hAnsi="宋体" w:eastAsia="宋体"/>
                <w:sz w:val="24"/>
                <w:szCs w:val="24"/>
              </w:rPr>
            </w:pPr>
            <w:r>
              <w:rPr>
                <w:rFonts w:hint="eastAsia" w:ascii="宋体" w:hAnsi="宋体" w:eastAsia="宋体"/>
                <w:sz w:val="24"/>
                <w:szCs w:val="24"/>
              </w:rPr>
              <w:t>分辨率：±0.01mb</w:t>
            </w:r>
          </w:p>
          <w:p w14:paraId="013725D2">
            <w:pPr>
              <w:rPr>
                <w:rFonts w:hint="eastAsia" w:ascii="宋体" w:hAnsi="宋体" w:eastAsia="宋体"/>
                <w:sz w:val="24"/>
                <w:szCs w:val="24"/>
              </w:rPr>
            </w:pPr>
            <w:r>
              <w:rPr>
                <w:rFonts w:hint="eastAsia" w:ascii="宋体" w:hAnsi="宋体" w:eastAsia="宋体"/>
                <w:sz w:val="24"/>
                <w:szCs w:val="24"/>
              </w:rPr>
              <w:t>响应时间：500毫秒</w:t>
            </w:r>
          </w:p>
          <w:p w14:paraId="2847990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r>
              <w:rPr>
                <w:rFonts w:hint="eastAsia" w:ascii="宋体" w:hAnsi="宋体" w:eastAsia="宋体"/>
                <w:sz w:val="24"/>
                <w:szCs w:val="24"/>
              </w:rPr>
              <w:t>工作温度：-40℃~60℃</w:t>
            </w:r>
          </w:p>
        </w:tc>
        <w:tc>
          <w:tcPr>
            <w:tcW w:w="643" w:type="dxa"/>
            <w:noWrap w:val="0"/>
            <w:vAlign w:val="center"/>
          </w:tcPr>
          <w:p w14:paraId="5AC8BBAF">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2套</w:t>
            </w:r>
          </w:p>
        </w:tc>
        <w:tc>
          <w:tcPr>
            <w:tcW w:w="1178" w:type="dxa"/>
            <w:noWrap w:val="0"/>
            <w:vAlign w:val="center"/>
          </w:tcPr>
          <w:p w14:paraId="536F385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p>
        </w:tc>
      </w:tr>
      <w:tr w14:paraId="0C19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3C11C9B4">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1FA4CA56">
            <w:pPr>
              <w:keepNext/>
              <w:widowControl/>
              <w:snapToGrid w:val="0"/>
              <w:ind w:left="0" w:leftChars="0" w:right="0" w:rightChars="0" w:firstLine="0" w:firstLineChars="0"/>
              <w:jc w:val="both"/>
              <w:rPr>
                <w:rFonts w:hint="eastAsia"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rPr>
              <w:t>雨量</w:t>
            </w:r>
            <w:r>
              <w:rPr>
                <w:rFonts w:hint="eastAsia" w:ascii="Times New Roman" w:hAnsi="Times New Roman" w:cs="Times New Roman"/>
                <w:kern w:val="0"/>
                <w:sz w:val="24"/>
                <w:szCs w:val="24"/>
                <w:highlight w:val="none"/>
                <w:lang w:val="en-US" w:eastAsia="zh-CN"/>
              </w:rPr>
              <w:t>传感器</w:t>
            </w:r>
          </w:p>
        </w:tc>
        <w:tc>
          <w:tcPr>
            <w:tcW w:w="5871" w:type="dxa"/>
            <w:noWrap w:val="0"/>
            <w:vAlign w:val="center"/>
          </w:tcPr>
          <w:p w14:paraId="4080CC63">
            <w:pPr>
              <w:rPr>
                <w:rFonts w:hint="eastAsia" w:ascii="宋体" w:hAnsi="宋体" w:eastAsia="宋体"/>
                <w:sz w:val="24"/>
                <w:szCs w:val="24"/>
              </w:rPr>
            </w:pPr>
            <w:r>
              <w:rPr>
                <w:rFonts w:hint="eastAsia" w:ascii="宋体" w:hAnsi="宋体" w:eastAsia="宋体"/>
                <w:sz w:val="24"/>
                <w:szCs w:val="24"/>
              </w:rPr>
              <w:t>温度范围:0~50℃；</w:t>
            </w:r>
          </w:p>
          <w:p w14:paraId="282DC07E">
            <w:pPr>
              <w:rPr>
                <w:rFonts w:hint="eastAsia" w:ascii="宋体" w:hAnsi="宋体" w:eastAsia="宋体"/>
                <w:sz w:val="24"/>
                <w:szCs w:val="24"/>
              </w:rPr>
            </w:pPr>
            <w:r>
              <w:rPr>
                <w:rFonts w:hint="eastAsia" w:ascii="宋体" w:hAnsi="宋体" w:eastAsia="宋体"/>
                <w:sz w:val="24"/>
                <w:szCs w:val="24"/>
              </w:rPr>
              <w:t>精度：±1%（≤10mm/hr），±3%（10~20mm/hr），±5%（20~30mm/hr）；</w:t>
            </w:r>
          </w:p>
          <w:p w14:paraId="0C8848C2">
            <w:pPr>
              <w:rPr>
                <w:rFonts w:hint="default" w:ascii="Times New Roman" w:hAnsi="Times New Roman" w:eastAsia="宋体" w:cs="Times New Roman"/>
                <w:kern w:val="0"/>
                <w:sz w:val="24"/>
                <w:szCs w:val="24"/>
              </w:rPr>
            </w:pPr>
            <w:r>
              <w:rPr>
                <w:rFonts w:hint="eastAsia" w:ascii="宋体" w:hAnsi="宋体" w:eastAsia="宋体"/>
                <w:sz w:val="24"/>
                <w:szCs w:val="24"/>
              </w:rPr>
              <w:t>每斗雨量:≤0.1mm</w:t>
            </w:r>
          </w:p>
        </w:tc>
        <w:tc>
          <w:tcPr>
            <w:tcW w:w="643" w:type="dxa"/>
            <w:noWrap w:val="0"/>
            <w:vAlign w:val="center"/>
          </w:tcPr>
          <w:p w14:paraId="04B8DE71">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2套</w:t>
            </w:r>
          </w:p>
        </w:tc>
        <w:tc>
          <w:tcPr>
            <w:tcW w:w="1178" w:type="dxa"/>
            <w:noWrap w:val="0"/>
            <w:vAlign w:val="center"/>
          </w:tcPr>
          <w:p w14:paraId="6A328E1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p>
        </w:tc>
      </w:tr>
      <w:tr w14:paraId="5566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71489F27">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61CB8F8B">
            <w:pPr>
              <w:keepNext/>
              <w:widowControl/>
              <w:snapToGrid w:val="0"/>
              <w:ind w:left="0" w:leftChars="0" w:right="0" w:rightChars="0" w:firstLine="0" w:firstLineChars="0"/>
              <w:jc w:val="both"/>
              <w:rPr>
                <w:rFonts w:hint="default" w:ascii="Times New Roman" w:hAnsi="Times New Roman" w:eastAsia="宋体" w:cs="Times New Roman"/>
                <w:kern w:val="0"/>
                <w:sz w:val="24"/>
                <w:szCs w:val="24"/>
                <w:highlight w:val="none"/>
                <w:lang w:val="en-US"/>
              </w:rPr>
            </w:pPr>
            <w:r>
              <w:rPr>
                <w:rFonts w:hint="default" w:ascii="Times New Roman" w:hAnsi="Times New Roman" w:eastAsia="宋体" w:cs="Times New Roman"/>
                <w:kern w:val="2"/>
                <w:sz w:val="24"/>
                <w:szCs w:val="24"/>
                <w:highlight w:val="none"/>
                <w:lang w:val="en-US" w:eastAsia="zh-CN"/>
              </w:rPr>
              <w:t>土壤水分</w:t>
            </w:r>
            <w:r>
              <w:rPr>
                <w:rFonts w:hint="eastAsia" w:ascii="Times New Roman" w:hAnsi="Times New Roman" w:cs="Times New Roman"/>
                <w:kern w:val="2"/>
                <w:sz w:val="24"/>
                <w:szCs w:val="24"/>
                <w:highlight w:val="none"/>
                <w:lang w:val="en-US" w:eastAsia="zh-CN"/>
              </w:rPr>
              <w:t>温度盐分传感器</w:t>
            </w:r>
          </w:p>
        </w:tc>
        <w:tc>
          <w:tcPr>
            <w:tcW w:w="5871" w:type="dxa"/>
            <w:noWrap w:val="0"/>
            <w:vAlign w:val="center"/>
          </w:tcPr>
          <w:p w14:paraId="4B0D5B18">
            <w:pPr>
              <w:rPr>
                <w:rFonts w:ascii="宋体" w:hAnsi="宋体" w:eastAsia="宋体"/>
                <w:sz w:val="24"/>
                <w:szCs w:val="24"/>
              </w:rPr>
            </w:pPr>
            <w:r>
              <w:rPr>
                <w:rFonts w:hint="eastAsia" w:ascii="宋体" w:hAnsi="宋体" w:eastAsia="宋体"/>
                <w:sz w:val="24"/>
                <w:szCs w:val="24"/>
              </w:rPr>
              <w:t>信号输出类型：SDI-12</w:t>
            </w:r>
          </w:p>
          <w:p w14:paraId="599A147C">
            <w:pPr>
              <w:rPr>
                <w:rFonts w:hint="eastAsia" w:ascii="宋体" w:hAnsi="宋体" w:eastAsia="宋体"/>
                <w:sz w:val="24"/>
                <w:szCs w:val="24"/>
              </w:rPr>
            </w:pPr>
            <w:r>
              <w:rPr>
                <w:rFonts w:hint="eastAsia" w:ascii="宋体" w:hAnsi="宋体" w:eastAsia="宋体"/>
                <w:sz w:val="24"/>
                <w:szCs w:val="24"/>
              </w:rPr>
              <w:t>供电电压：9~20VDC；</w:t>
            </w:r>
          </w:p>
          <w:p w14:paraId="0710AEB2">
            <w:pPr>
              <w:rPr>
                <w:rFonts w:hint="eastAsia" w:ascii="宋体" w:hAnsi="宋体" w:eastAsia="宋体"/>
                <w:sz w:val="24"/>
                <w:szCs w:val="24"/>
              </w:rPr>
            </w:pPr>
            <w:r>
              <w:rPr>
                <w:rFonts w:hint="eastAsia" w:ascii="宋体" w:hAnsi="宋体" w:eastAsia="宋体"/>
                <w:sz w:val="24"/>
                <w:szCs w:val="24"/>
              </w:rPr>
              <w:t>土壤电导率：测量范围0.01~1.5S/m，精度2%或0.02S/m取较大者，分辨率0.001</w:t>
            </w:r>
          </w:p>
          <w:p w14:paraId="260A8761">
            <w:pPr>
              <w:rPr>
                <w:rFonts w:hint="eastAsia" w:ascii="宋体" w:hAnsi="宋体" w:eastAsia="宋体"/>
                <w:sz w:val="24"/>
                <w:szCs w:val="24"/>
              </w:rPr>
            </w:pPr>
            <w:r>
              <w:rPr>
                <w:rFonts w:hint="eastAsia" w:ascii="宋体" w:hAnsi="宋体" w:eastAsia="宋体"/>
                <w:sz w:val="24"/>
                <w:szCs w:val="24"/>
              </w:rPr>
              <w:t>土壤温度：常温版范围-10℃~60℃，全量程精度0.3℃，分辨率0.1℃</w:t>
            </w:r>
          </w:p>
          <w:p w14:paraId="7CF86E39">
            <w:pPr>
              <w:rPr>
                <w:rFonts w:hint="eastAsia" w:ascii="宋体" w:hAnsi="宋体" w:eastAsia="宋体"/>
                <w:sz w:val="24"/>
                <w:szCs w:val="24"/>
              </w:rPr>
            </w:pPr>
            <w:r>
              <w:rPr>
                <w:rFonts w:hint="eastAsia" w:ascii="宋体" w:hAnsi="宋体" w:eastAsia="宋体"/>
                <w:sz w:val="24"/>
                <w:szCs w:val="24"/>
              </w:rPr>
              <w:t>土壤水分：测量范围完全干燥~完全饱和,大部分土质的土壤湿度：±0.01WFV，细黏土的土壤湿度：±≤0.03，分辨率0.001；</w:t>
            </w:r>
          </w:p>
          <w:p w14:paraId="61A986AD">
            <w:pPr>
              <w:rPr>
                <w:rFonts w:hint="eastAsia" w:ascii="宋体" w:hAnsi="宋体" w:eastAsia="宋体"/>
                <w:sz w:val="24"/>
                <w:szCs w:val="24"/>
              </w:rPr>
            </w:pPr>
            <w:r>
              <w:rPr>
                <w:rFonts w:hint="eastAsia" w:ascii="宋体" w:hAnsi="宋体" w:eastAsia="宋体"/>
                <w:sz w:val="24"/>
                <w:szCs w:val="24"/>
              </w:rPr>
              <w:t>电导率补偿：内置温度补偿传感器，补偿范围0-50℃；</w:t>
            </w:r>
          </w:p>
          <w:p w14:paraId="3FA0925C">
            <w:pPr>
              <w:rPr>
                <w:rFonts w:hint="eastAsia" w:ascii="宋体" w:hAnsi="宋体" w:eastAsia="宋体"/>
                <w:sz w:val="24"/>
                <w:szCs w:val="24"/>
              </w:rPr>
            </w:pPr>
            <w:r>
              <w:rPr>
                <w:rFonts w:hint="eastAsia" w:ascii="宋体" w:hAnsi="宋体" w:eastAsia="宋体"/>
                <w:sz w:val="24"/>
                <w:szCs w:val="24"/>
              </w:rPr>
              <w:t>测量方法：土壤水分FDR方法，土壤电导率交流电桥法；</w:t>
            </w:r>
          </w:p>
          <w:p w14:paraId="060B0A8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eastAsia="宋体" w:cs="Times New Roman"/>
                <w:kern w:val="0"/>
                <w:sz w:val="24"/>
                <w:szCs w:val="24"/>
                <w:lang w:eastAsia="zh-CN"/>
              </w:rPr>
            </w:pPr>
            <w:r>
              <w:rPr>
                <w:rFonts w:hint="eastAsia" w:ascii="宋体" w:hAnsi="宋体" w:eastAsia="宋体"/>
                <w:sz w:val="24"/>
                <w:szCs w:val="24"/>
              </w:rPr>
              <w:t>防护等级：IP68浸没水中可长期使用</w:t>
            </w:r>
            <w:r>
              <w:rPr>
                <w:rFonts w:hint="eastAsia" w:ascii="宋体" w:hAnsi="宋体" w:eastAsia="宋体"/>
                <w:sz w:val="24"/>
                <w:szCs w:val="24"/>
                <w:lang w:eastAsia="zh-CN"/>
              </w:rPr>
              <w:t>；</w:t>
            </w:r>
          </w:p>
        </w:tc>
        <w:tc>
          <w:tcPr>
            <w:tcW w:w="643" w:type="dxa"/>
            <w:noWrap w:val="0"/>
            <w:vAlign w:val="center"/>
          </w:tcPr>
          <w:p w14:paraId="65494B43">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14套</w:t>
            </w:r>
          </w:p>
        </w:tc>
        <w:tc>
          <w:tcPr>
            <w:tcW w:w="1178" w:type="dxa"/>
            <w:noWrap w:val="0"/>
            <w:vAlign w:val="center"/>
          </w:tcPr>
          <w:p w14:paraId="5654B53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p>
        </w:tc>
      </w:tr>
      <w:tr w14:paraId="117D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6DA6696E">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bidi="ar-SA"/>
              </w:rPr>
            </w:pPr>
          </w:p>
        </w:tc>
        <w:tc>
          <w:tcPr>
            <w:tcW w:w="1221" w:type="dxa"/>
            <w:noWrap w:val="0"/>
            <w:vAlign w:val="center"/>
          </w:tcPr>
          <w:p w14:paraId="097BC56E">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四分量净辐射传感器</w:t>
            </w:r>
          </w:p>
        </w:tc>
        <w:tc>
          <w:tcPr>
            <w:tcW w:w="5871" w:type="dxa"/>
            <w:noWrap w:val="0"/>
            <w:vAlign w:val="center"/>
          </w:tcPr>
          <w:p w14:paraId="27713DE2">
            <w:pPr>
              <w:rPr>
                <w:rFonts w:hint="eastAsia" w:ascii="宋体" w:hAnsi="宋体" w:eastAsia="宋体"/>
                <w:sz w:val="24"/>
                <w:szCs w:val="24"/>
              </w:rPr>
            </w:pPr>
            <w:r>
              <w:rPr>
                <w:rFonts w:hint="eastAsia" w:ascii="宋体" w:hAnsi="宋体" w:eastAsia="宋体"/>
                <w:sz w:val="24"/>
                <w:szCs w:val="24"/>
              </w:rPr>
              <w:t>输出：</w:t>
            </w:r>
            <w:r>
              <w:rPr>
                <w:rFonts w:ascii="宋体" w:hAnsi="宋体" w:eastAsia="宋体"/>
                <w:sz w:val="24"/>
                <w:szCs w:val="24"/>
              </w:rPr>
              <w:t>4个输出，分别是向上的短波、向下的短波以及向上的长波和向下的长波</w:t>
            </w:r>
          </w:p>
          <w:p w14:paraId="282A3865">
            <w:pPr>
              <w:rPr>
                <w:rFonts w:hint="eastAsia" w:ascii="宋体" w:hAnsi="宋体" w:eastAsia="宋体"/>
                <w:sz w:val="24"/>
                <w:szCs w:val="24"/>
              </w:rPr>
            </w:pPr>
            <w:r>
              <w:rPr>
                <w:rFonts w:hint="eastAsia" w:ascii="宋体" w:hAnsi="宋体" w:eastAsia="宋体"/>
                <w:sz w:val="24"/>
                <w:szCs w:val="24"/>
              </w:rPr>
              <w:t>光谱范围：短波</w:t>
            </w:r>
            <w:r>
              <w:rPr>
                <w:rFonts w:ascii="宋体" w:hAnsi="宋体" w:eastAsia="宋体"/>
                <w:sz w:val="24"/>
                <w:szCs w:val="24"/>
              </w:rPr>
              <w:t>300~2800nm，长波4.5~42μm</w:t>
            </w:r>
          </w:p>
          <w:p w14:paraId="2856523F">
            <w:pPr>
              <w:rPr>
                <w:rFonts w:hint="eastAsia" w:ascii="宋体" w:hAnsi="宋体" w:eastAsia="宋体"/>
                <w:sz w:val="24"/>
                <w:szCs w:val="24"/>
              </w:rPr>
            </w:pPr>
            <w:r>
              <w:rPr>
                <w:rFonts w:hint="eastAsia" w:ascii="宋体" w:hAnsi="宋体" w:eastAsia="宋体"/>
                <w:sz w:val="24"/>
                <w:szCs w:val="24"/>
              </w:rPr>
              <w:t>灵敏度：</w:t>
            </w:r>
            <w:r>
              <w:rPr>
                <w:rFonts w:ascii="宋体" w:hAnsi="宋体" w:eastAsia="宋体"/>
                <w:sz w:val="24"/>
                <w:szCs w:val="24"/>
              </w:rPr>
              <w:t>5~20μV/W/m2（短波）；5~15μV/W/m2（长波）</w:t>
            </w:r>
          </w:p>
          <w:p w14:paraId="4B88ADF4">
            <w:pPr>
              <w:rPr>
                <w:rFonts w:hint="eastAsia" w:ascii="宋体" w:hAnsi="宋体" w:eastAsia="宋体"/>
                <w:sz w:val="24"/>
                <w:szCs w:val="24"/>
              </w:rPr>
            </w:pPr>
            <w:r>
              <w:rPr>
                <w:rFonts w:hint="eastAsia" w:ascii="宋体" w:hAnsi="宋体" w:eastAsia="宋体"/>
                <w:sz w:val="24"/>
                <w:szCs w:val="24"/>
              </w:rPr>
              <w:t>响应时间：</w:t>
            </w:r>
            <w:r>
              <w:rPr>
                <w:rFonts w:ascii="宋体" w:hAnsi="宋体" w:eastAsia="宋体"/>
                <w:sz w:val="24"/>
                <w:szCs w:val="24"/>
              </w:rPr>
              <w:t>&lt;6s（63%）；&lt;18s（95%）</w:t>
            </w:r>
          </w:p>
          <w:p w14:paraId="6769130F">
            <w:pPr>
              <w:rPr>
                <w:rFonts w:hint="eastAsia" w:ascii="宋体" w:hAnsi="宋体" w:eastAsia="宋体"/>
                <w:sz w:val="24"/>
                <w:szCs w:val="24"/>
              </w:rPr>
            </w:pPr>
            <w:r>
              <w:rPr>
                <w:rFonts w:hint="eastAsia" w:ascii="宋体" w:hAnsi="宋体" w:eastAsia="宋体"/>
                <w:sz w:val="24"/>
                <w:szCs w:val="24"/>
              </w:rPr>
              <w:t>工作环境：</w:t>
            </w:r>
            <w:r>
              <w:rPr>
                <w:rFonts w:ascii="宋体" w:hAnsi="宋体" w:eastAsia="宋体"/>
                <w:sz w:val="24"/>
                <w:szCs w:val="24"/>
              </w:rPr>
              <w:t>-40℃~80℃，0~100%RH</w:t>
            </w:r>
          </w:p>
          <w:p w14:paraId="51AB9A2E">
            <w:pPr>
              <w:rPr>
                <w:rFonts w:hint="eastAsia" w:ascii="宋体" w:hAnsi="宋体" w:eastAsia="宋体"/>
                <w:sz w:val="24"/>
                <w:szCs w:val="24"/>
              </w:rPr>
            </w:pPr>
            <w:r>
              <w:rPr>
                <w:rFonts w:hint="eastAsia" w:ascii="宋体" w:hAnsi="宋体" w:eastAsia="宋体"/>
                <w:sz w:val="24"/>
                <w:szCs w:val="24"/>
              </w:rPr>
              <w:t>视角：短波辐射传感器</w:t>
            </w:r>
            <w:r>
              <w:rPr>
                <w:rFonts w:ascii="宋体" w:hAnsi="宋体" w:eastAsia="宋体"/>
                <w:sz w:val="24"/>
                <w:szCs w:val="24"/>
              </w:rPr>
              <w:t>180º，长波辐射传感器向下150º，长波辐射传感器向上180º</w:t>
            </w:r>
          </w:p>
          <w:p w14:paraId="16FE08A0">
            <w:pPr>
              <w:rPr>
                <w:rFonts w:hint="eastAsia" w:ascii="宋体" w:hAnsi="宋体" w:eastAsia="宋体"/>
                <w:sz w:val="24"/>
                <w:szCs w:val="24"/>
              </w:rPr>
            </w:pPr>
            <w:r>
              <w:rPr>
                <w:rFonts w:hint="eastAsia" w:ascii="宋体" w:hAnsi="宋体" w:eastAsia="宋体"/>
                <w:sz w:val="24"/>
                <w:szCs w:val="24"/>
              </w:rPr>
              <w:t>防护等级：</w:t>
            </w:r>
            <w:r>
              <w:rPr>
                <w:rFonts w:ascii="宋体" w:hAnsi="宋体" w:eastAsia="宋体"/>
                <w:sz w:val="24"/>
                <w:szCs w:val="24"/>
              </w:rPr>
              <w:t>IP67</w:t>
            </w:r>
          </w:p>
          <w:p w14:paraId="382C08B5">
            <w:pPr>
              <w:rPr>
                <w:rFonts w:hint="eastAsia" w:ascii="宋体" w:hAnsi="宋体" w:eastAsia="宋体"/>
                <w:sz w:val="24"/>
                <w:szCs w:val="24"/>
              </w:rPr>
            </w:pPr>
            <w:r>
              <w:rPr>
                <w:rFonts w:hint="eastAsia" w:ascii="宋体" w:hAnsi="宋体" w:eastAsia="宋体"/>
                <w:sz w:val="24"/>
                <w:szCs w:val="24"/>
              </w:rPr>
              <w:t>具有</w:t>
            </w:r>
            <w:r>
              <w:rPr>
                <w:rFonts w:ascii="宋体" w:hAnsi="宋体" w:eastAsia="宋体"/>
                <w:sz w:val="24"/>
                <w:szCs w:val="24"/>
              </w:rPr>
              <w:t>ISO9060认证标准及IEC61724-1:2021《检测和校准实验室能力的通用要求》标准证书</w:t>
            </w:r>
          </w:p>
          <w:p w14:paraId="0344E3F4">
            <w:pPr>
              <w:rPr>
                <w:rFonts w:hint="default" w:ascii="Times New Roman" w:hAnsi="Times New Roman" w:eastAsia="宋体" w:cs="Times New Roman"/>
                <w:kern w:val="0"/>
                <w:sz w:val="24"/>
                <w:szCs w:val="24"/>
                <w:lang w:val="en-US" w:eastAsia="zh-CN" w:bidi="ar-SA"/>
              </w:rPr>
            </w:pPr>
          </w:p>
        </w:tc>
        <w:tc>
          <w:tcPr>
            <w:tcW w:w="643" w:type="dxa"/>
            <w:noWrap w:val="0"/>
            <w:vAlign w:val="center"/>
          </w:tcPr>
          <w:p w14:paraId="56F6E50D">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2</w:t>
            </w:r>
            <w:r>
              <w:rPr>
                <w:rFonts w:hint="eastAsia" w:ascii="Times New Roman" w:hAnsi="Times New Roman" w:cs="Times New Roman"/>
                <w:kern w:val="0"/>
                <w:sz w:val="24"/>
                <w:szCs w:val="24"/>
                <w:lang w:val="en-US" w:eastAsia="zh-CN"/>
              </w:rPr>
              <w:t>套</w:t>
            </w:r>
          </w:p>
        </w:tc>
        <w:tc>
          <w:tcPr>
            <w:tcW w:w="1178" w:type="dxa"/>
            <w:noWrap w:val="0"/>
            <w:vAlign w:val="center"/>
          </w:tcPr>
          <w:p w14:paraId="26F2AAF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eastAsia="宋体" w:cs="Times New Roman"/>
                <w:kern w:val="0"/>
                <w:sz w:val="24"/>
                <w:szCs w:val="24"/>
                <w:lang w:val="en-US" w:eastAsia="zh-CN" w:bidi="ar-SA"/>
              </w:rPr>
            </w:pPr>
          </w:p>
        </w:tc>
      </w:tr>
      <w:tr w14:paraId="0912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1483B1D7">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5B0D3FA2">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光合有效辐射</w:t>
            </w:r>
            <w:r>
              <w:rPr>
                <w:rFonts w:hint="eastAsia" w:ascii="Times New Roman" w:hAnsi="Times New Roman" w:cs="Times New Roman"/>
                <w:kern w:val="0"/>
                <w:sz w:val="24"/>
                <w:szCs w:val="24"/>
                <w:lang w:val="en-US" w:eastAsia="zh-CN"/>
              </w:rPr>
              <w:t>传感器</w:t>
            </w:r>
          </w:p>
        </w:tc>
        <w:tc>
          <w:tcPr>
            <w:tcW w:w="5871" w:type="dxa"/>
            <w:noWrap w:val="0"/>
            <w:vAlign w:val="center"/>
          </w:tcPr>
          <w:p w14:paraId="353A12AC">
            <w:pPr>
              <w:rPr>
                <w:rFonts w:hint="eastAsia" w:ascii="宋体" w:hAnsi="宋体" w:eastAsia="宋体"/>
                <w:sz w:val="24"/>
                <w:szCs w:val="24"/>
              </w:rPr>
            </w:pPr>
            <w:r>
              <w:rPr>
                <w:rFonts w:hint="eastAsia" w:ascii="宋体" w:hAnsi="宋体" w:eastAsia="宋体"/>
                <w:sz w:val="24"/>
                <w:szCs w:val="24"/>
              </w:rPr>
              <w:t>光谱范围</w:t>
            </w:r>
            <w:r>
              <w:rPr>
                <w:rFonts w:ascii="宋体" w:hAnsi="宋体" w:eastAsia="宋体"/>
                <w:sz w:val="24"/>
                <w:szCs w:val="24"/>
              </w:rPr>
              <w:t>:(50%点）400~700nm±4nm</w:t>
            </w:r>
          </w:p>
          <w:p w14:paraId="0FEB1F03">
            <w:pPr>
              <w:rPr>
                <w:rFonts w:hint="eastAsia" w:ascii="宋体" w:hAnsi="宋体" w:eastAsia="宋体"/>
                <w:sz w:val="24"/>
                <w:szCs w:val="24"/>
              </w:rPr>
            </w:pPr>
            <w:r>
              <w:rPr>
                <w:rFonts w:hint="eastAsia" w:ascii="宋体" w:hAnsi="宋体" w:eastAsia="宋体"/>
                <w:sz w:val="24"/>
                <w:szCs w:val="24"/>
              </w:rPr>
              <w:t>灵敏度</w:t>
            </w:r>
            <w:r>
              <w:rPr>
                <w:rFonts w:ascii="宋体" w:hAnsi="宋体" w:eastAsia="宋体"/>
                <w:sz w:val="24"/>
                <w:szCs w:val="24"/>
              </w:rPr>
              <w:t>:4~10μV/mol/m²·s</w:t>
            </w:r>
          </w:p>
          <w:p w14:paraId="4A11775A">
            <w:pPr>
              <w:rPr>
                <w:rFonts w:hint="eastAsia" w:ascii="宋体" w:hAnsi="宋体" w:eastAsia="宋体"/>
                <w:sz w:val="24"/>
                <w:szCs w:val="24"/>
              </w:rPr>
            </w:pPr>
            <w:r>
              <w:rPr>
                <w:rFonts w:hint="eastAsia" w:ascii="宋体" w:hAnsi="宋体" w:eastAsia="宋体"/>
                <w:sz w:val="24"/>
                <w:szCs w:val="24"/>
              </w:rPr>
              <w:t>阻抗</w:t>
            </w:r>
            <w:r>
              <w:rPr>
                <w:rFonts w:ascii="宋体" w:hAnsi="宋体" w:eastAsia="宋体"/>
                <w:sz w:val="24"/>
                <w:szCs w:val="24"/>
              </w:rPr>
              <w:t>:240</w:t>
            </w:r>
            <w:r>
              <w:rPr>
                <w:rFonts w:ascii="Cambria Math" w:hAnsi="Cambria Math" w:eastAsia="宋体" w:cs="Cambria Math"/>
                <w:sz w:val="24"/>
                <w:szCs w:val="24"/>
              </w:rPr>
              <w:t>Ω</w:t>
            </w:r>
            <w:r>
              <w:rPr>
                <w:rFonts w:ascii="宋体" w:hAnsi="宋体" w:eastAsia="宋体"/>
                <w:sz w:val="24"/>
                <w:szCs w:val="24"/>
              </w:rPr>
              <w:t>欧（典型）</w:t>
            </w:r>
          </w:p>
          <w:p w14:paraId="1B1C998E">
            <w:pPr>
              <w:rPr>
                <w:rFonts w:hint="eastAsia" w:ascii="宋体" w:hAnsi="宋体" w:eastAsia="宋体"/>
                <w:sz w:val="24"/>
                <w:szCs w:val="24"/>
              </w:rPr>
            </w:pPr>
            <w:r>
              <w:rPr>
                <w:rFonts w:hint="eastAsia" w:ascii="宋体" w:hAnsi="宋体" w:eastAsia="宋体"/>
                <w:sz w:val="24"/>
                <w:szCs w:val="24"/>
              </w:rPr>
              <w:t>预期输出范围</w:t>
            </w:r>
            <w:r>
              <w:rPr>
                <w:rFonts w:ascii="宋体" w:hAnsi="宋体" w:eastAsia="宋体"/>
                <w:sz w:val="24"/>
                <w:szCs w:val="24"/>
              </w:rPr>
              <w:t>:(0~3000μmol/m²·s)0~30mV</w:t>
            </w:r>
          </w:p>
          <w:p w14:paraId="333B989B">
            <w:pPr>
              <w:rPr>
                <w:rFonts w:hint="eastAsia" w:ascii="宋体" w:hAnsi="宋体" w:eastAsia="宋体"/>
                <w:sz w:val="24"/>
                <w:szCs w:val="24"/>
              </w:rPr>
            </w:pPr>
            <w:r>
              <w:rPr>
                <w:rFonts w:hint="eastAsia" w:ascii="宋体" w:hAnsi="宋体" w:eastAsia="宋体"/>
                <w:sz w:val="24"/>
                <w:szCs w:val="24"/>
              </w:rPr>
              <w:t>最大可测量辐照度</w:t>
            </w:r>
            <w:r>
              <w:rPr>
                <w:rFonts w:ascii="宋体" w:hAnsi="宋体" w:eastAsia="宋体"/>
                <w:sz w:val="24"/>
                <w:szCs w:val="24"/>
              </w:rPr>
              <w:t>:10,000μmol/m²·s</w:t>
            </w:r>
          </w:p>
          <w:p w14:paraId="105A38BF">
            <w:pPr>
              <w:rPr>
                <w:rFonts w:hint="eastAsia" w:ascii="宋体" w:hAnsi="宋体" w:eastAsia="宋体"/>
                <w:sz w:val="24"/>
                <w:szCs w:val="24"/>
              </w:rPr>
            </w:pPr>
            <w:r>
              <w:rPr>
                <w:rFonts w:hint="eastAsia" w:ascii="宋体" w:hAnsi="宋体" w:eastAsia="宋体"/>
                <w:sz w:val="24"/>
                <w:szCs w:val="24"/>
              </w:rPr>
              <w:t>响应时间</w:t>
            </w:r>
            <w:r>
              <w:rPr>
                <w:rFonts w:ascii="宋体" w:hAnsi="宋体" w:eastAsia="宋体"/>
                <w:sz w:val="24"/>
                <w:szCs w:val="24"/>
              </w:rPr>
              <w:t>:(95%)&lt;1s</w:t>
            </w:r>
          </w:p>
          <w:p w14:paraId="703FA0F8">
            <w:pPr>
              <w:adjustRightInd w:val="0"/>
              <w:snapToGrid w:val="0"/>
              <w:rPr>
                <w:rFonts w:hint="eastAsia" w:ascii="宋体" w:hAnsi="宋体" w:eastAsia="宋体"/>
                <w:sz w:val="24"/>
                <w:szCs w:val="24"/>
              </w:rPr>
            </w:pPr>
            <w:r>
              <w:rPr>
                <w:rFonts w:hint="eastAsia" w:ascii="宋体" w:hAnsi="宋体" w:eastAsia="宋体"/>
                <w:sz w:val="24"/>
                <w:szCs w:val="24"/>
              </w:rPr>
              <w:t>不稳定</w:t>
            </w:r>
            <w:r>
              <w:rPr>
                <w:rFonts w:ascii="宋体" w:hAnsi="宋体" w:eastAsia="宋体"/>
                <w:sz w:val="24"/>
                <w:szCs w:val="24"/>
              </w:rPr>
              <w:t>:(变化/年)&lt;2%</w:t>
            </w:r>
          </w:p>
          <w:p w14:paraId="540F4307">
            <w:pPr>
              <w:adjustRightInd w:val="0"/>
              <w:snapToGrid w:val="0"/>
              <w:rPr>
                <w:rFonts w:hint="eastAsia" w:ascii="宋体" w:hAnsi="宋体" w:eastAsia="宋体"/>
                <w:sz w:val="24"/>
                <w:szCs w:val="24"/>
              </w:rPr>
            </w:pPr>
            <w:r>
              <w:rPr>
                <w:rFonts w:hint="eastAsia" w:ascii="宋体" w:hAnsi="宋体" w:eastAsia="宋体"/>
                <w:sz w:val="24"/>
                <w:szCs w:val="24"/>
              </w:rPr>
              <w:t>非线性度</w:t>
            </w:r>
            <w:r>
              <w:rPr>
                <w:rFonts w:ascii="宋体" w:hAnsi="宋体" w:eastAsia="宋体"/>
                <w:sz w:val="24"/>
                <w:szCs w:val="24"/>
              </w:rPr>
              <w:t>:(0</w:t>
            </w:r>
            <w:r>
              <w:rPr>
                <w:rFonts w:hint="eastAsia" w:ascii="微软雅黑" w:hAnsi="微软雅黑" w:eastAsia="微软雅黑" w:cs="微软雅黑"/>
                <w:sz w:val="24"/>
                <w:szCs w:val="24"/>
              </w:rPr>
              <w:t>〜</w:t>
            </w:r>
            <w:r>
              <w:rPr>
                <w:rFonts w:ascii="宋体" w:hAnsi="宋体" w:eastAsia="宋体"/>
                <w:sz w:val="24"/>
                <w:szCs w:val="24"/>
              </w:rPr>
              <w:t>10,000μV/μmol/m²·s)&lt;1%</w:t>
            </w:r>
          </w:p>
          <w:p w14:paraId="688B43F9">
            <w:pPr>
              <w:rPr>
                <w:rFonts w:hint="eastAsia" w:ascii="宋体" w:hAnsi="宋体" w:eastAsia="宋体"/>
                <w:sz w:val="24"/>
                <w:szCs w:val="24"/>
              </w:rPr>
            </w:pPr>
            <w:r>
              <w:rPr>
                <w:rFonts w:hint="eastAsia" w:ascii="宋体" w:hAnsi="宋体" w:eastAsia="宋体"/>
                <w:sz w:val="24"/>
                <w:szCs w:val="24"/>
              </w:rPr>
              <w:t>方向响应</w:t>
            </w:r>
            <w:r>
              <w:rPr>
                <w:rFonts w:ascii="宋体" w:hAnsi="宋体" w:eastAsia="宋体"/>
                <w:sz w:val="24"/>
                <w:szCs w:val="24"/>
              </w:rPr>
              <w:t>:(在1000μmol/m²·s光束下可达80°）&lt;30μmol/m²·s</w:t>
            </w:r>
          </w:p>
          <w:p w14:paraId="41BB9EE5">
            <w:pPr>
              <w:rPr>
                <w:rFonts w:hint="eastAsia" w:ascii="宋体" w:hAnsi="宋体" w:eastAsia="宋体"/>
                <w:sz w:val="24"/>
                <w:szCs w:val="24"/>
              </w:rPr>
            </w:pPr>
            <w:r>
              <w:rPr>
                <w:rFonts w:hint="eastAsia" w:ascii="宋体" w:hAnsi="宋体" w:eastAsia="宋体"/>
                <w:sz w:val="24"/>
                <w:szCs w:val="24"/>
              </w:rPr>
              <w:t>温度响应</w:t>
            </w:r>
            <w:r>
              <w:rPr>
                <w:rFonts w:ascii="宋体" w:hAnsi="宋体" w:eastAsia="宋体"/>
                <w:sz w:val="24"/>
                <w:szCs w:val="24"/>
              </w:rPr>
              <w:t>:&lt;-0.12%/℃</w:t>
            </w:r>
          </w:p>
          <w:p w14:paraId="55CB7F32">
            <w:pPr>
              <w:rPr>
                <w:rFonts w:hint="eastAsia" w:ascii="宋体" w:hAnsi="宋体" w:eastAsia="宋体"/>
                <w:sz w:val="24"/>
                <w:szCs w:val="24"/>
              </w:rPr>
            </w:pPr>
            <w:r>
              <w:rPr>
                <w:rFonts w:hint="eastAsia" w:ascii="宋体" w:hAnsi="宋体" w:eastAsia="宋体"/>
                <w:sz w:val="24"/>
                <w:szCs w:val="24"/>
              </w:rPr>
              <w:t>视角</w:t>
            </w:r>
            <w:r>
              <w:rPr>
                <w:rFonts w:ascii="宋体" w:hAnsi="宋体" w:eastAsia="宋体"/>
                <w:sz w:val="24"/>
                <w:szCs w:val="24"/>
              </w:rPr>
              <w:t>:180°</w:t>
            </w:r>
          </w:p>
          <w:p w14:paraId="7ADB905B">
            <w:pPr>
              <w:rPr>
                <w:rFonts w:hint="eastAsia" w:ascii="宋体" w:hAnsi="宋体" w:eastAsia="宋体"/>
                <w:sz w:val="24"/>
                <w:szCs w:val="24"/>
              </w:rPr>
            </w:pPr>
            <w:r>
              <w:rPr>
                <w:rFonts w:hint="eastAsia" w:ascii="宋体" w:hAnsi="宋体" w:eastAsia="宋体"/>
                <w:sz w:val="24"/>
                <w:szCs w:val="24"/>
              </w:rPr>
              <w:t>气泡水准仪精度</w:t>
            </w:r>
            <w:r>
              <w:rPr>
                <w:rFonts w:ascii="宋体" w:hAnsi="宋体" w:eastAsia="宋体"/>
                <w:sz w:val="24"/>
                <w:szCs w:val="24"/>
              </w:rPr>
              <w:t>:&lt;0.2°</w:t>
            </w:r>
          </w:p>
          <w:p w14:paraId="543DE22D">
            <w:pPr>
              <w:rPr>
                <w:rFonts w:hint="eastAsia" w:ascii="宋体" w:hAnsi="宋体" w:eastAsia="宋体"/>
                <w:sz w:val="24"/>
                <w:szCs w:val="24"/>
              </w:rPr>
            </w:pPr>
            <w:r>
              <w:rPr>
                <w:rFonts w:hint="eastAsia" w:ascii="宋体" w:hAnsi="宋体" w:eastAsia="宋体"/>
                <w:sz w:val="24"/>
                <w:szCs w:val="24"/>
              </w:rPr>
              <w:t>探测器类型</w:t>
            </w:r>
            <w:r>
              <w:rPr>
                <w:rFonts w:ascii="宋体" w:hAnsi="宋体" w:eastAsia="宋体"/>
                <w:sz w:val="24"/>
                <w:szCs w:val="24"/>
              </w:rPr>
              <w:t>:光电二极管</w:t>
            </w:r>
          </w:p>
          <w:p w14:paraId="651AC092">
            <w:pPr>
              <w:rPr>
                <w:rFonts w:hint="eastAsia" w:ascii="宋体" w:hAnsi="宋体" w:eastAsia="宋体"/>
                <w:sz w:val="24"/>
                <w:szCs w:val="24"/>
              </w:rPr>
            </w:pPr>
            <w:r>
              <w:rPr>
                <w:rFonts w:hint="eastAsia" w:ascii="宋体" w:hAnsi="宋体" w:eastAsia="宋体"/>
                <w:sz w:val="24"/>
                <w:szCs w:val="24"/>
              </w:rPr>
              <w:t>工作温度范围</w:t>
            </w:r>
            <w:r>
              <w:rPr>
                <w:rFonts w:ascii="宋体" w:hAnsi="宋体" w:eastAsia="宋体"/>
                <w:sz w:val="24"/>
                <w:szCs w:val="24"/>
              </w:rPr>
              <w:t>:-30℃~+70℃</w:t>
            </w:r>
          </w:p>
          <w:p w14:paraId="4E5A9447">
            <w:pPr>
              <w:rPr>
                <w:rFonts w:hint="eastAsia" w:ascii="宋体" w:hAnsi="宋体" w:eastAsia="宋体"/>
                <w:sz w:val="24"/>
                <w:szCs w:val="24"/>
              </w:rPr>
            </w:pPr>
            <w:r>
              <w:rPr>
                <w:rFonts w:hint="eastAsia" w:ascii="宋体" w:hAnsi="宋体" w:eastAsia="宋体"/>
                <w:sz w:val="24"/>
                <w:szCs w:val="24"/>
              </w:rPr>
              <w:t>储存温度范围</w:t>
            </w:r>
            <w:r>
              <w:rPr>
                <w:rFonts w:ascii="宋体" w:hAnsi="宋体" w:eastAsia="宋体"/>
                <w:sz w:val="24"/>
                <w:szCs w:val="24"/>
              </w:rPr>
              <w:t>:-30℃~+70℃</w:t>
            </w:r>
          </w:p>
          <w:p w14:paraId="03F74F93">
            <w:pPr>
              <w:rPr>
                <w:rFonts w:hint="eastAsia" w:ascii="宋体" w:hAnsi="宋体" w:eastAsia="宋体"/>
                <w:sz w:val="24"/>
                <w:szCs w:val="24"/>
              </w:rPr>
            </w:pPr>
            <w:r>
              <w:rPr>
                <w:rFonts w:hint="eastAsia" w:ascii="宋体" w:hAnsi="宋体" w:eastAsia="宋体"/>
                <w:sz w:val="24"/>
                <w:szCs w:val="24"/>
              </w:rPr>
              <w:t>湿度范围</w:t>
            </w:r>
            <w:r>
              <w:rPr>
                <w:rFonts w:ascii="宋体" w:hAnsi="宋体" w:eastAsia="宋体"/>
                <w:sz w:val="24"/>
                <w:szCs w:val="24"/>
              </w:rPr>
              <w:t>:0~100%非凝结</w:t>
            </w:r>
          </w:p>
          <w:p w14:paraId="10ED6A16">
            <w:pPr>
              <w:rPr>
                <w:rFonts w:hint="default" w:ascii="Times New Roman" w:hAnsi="Times New Roman" w:eastAsia="宋体" w:cs="Times New Roman"/>
                <w:kern w:val="0"/>
                <w:sz w:val="24"/>
                <w:szCs w:val="24"/>
              </w:rPr>
            </w:pPr>
            <w:r>
              <w:rPr>
                <w:rFonts w:ascii="宋体" w:hAnsi="宋体" w:eastAsia="宋体"/>
                <w:sz w:val="24"/>
                <w:szCs w:val="24"/>
              </w:rPr>
              <w:t>IP防护等级:67</w:t>
            </w:r>
          </w:p>
        </w:tc>
        <w:tc>
          <w:tcPr>
            <w:tcW w:w="643" w:type="dxa"/>
            <w:noWrap w:val="0"/>
            <w:vAlign w:val="center"/>
          </w:tcPr>
          <w:p w14:paraId="1DAD6D4F">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2套</w:t>
            </w:r>
          </w:p>
        </w:tc>
        <w:tc>
          <w:tcPr>
            <w:tcW w:w="1178" w:type="dxa"/>
            <w:noWrap w:val="0"/>
            <w:vAlign w:val="center"/>
          </w:tcPr>
          <w:p w14:paraId="1FBC7FC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p>
        </w:tc>
      </w:tr>
      <w:tr w14:paraId="2642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3E7240E4">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0272075F">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土壤热通量</w:t>
            </w:r>
            <w:r>
              <w:rPr>
                <w:rFonts w:hint="eastAsia" w:ascii="Times New Roman" w:hAnsi="Times New Roman" w:cs="Times New Roman"/>
                <w:kern w:val="0"/>
                <w:sz w:val="24"/>
                <w:szCs w:val="24"/>
                <w:lang w:val="en-US" w:eastAsia="zh-CN"/>
              </w:rPr>
              <w:t>传感器</w:t>
            </w:r>
          </w:p>
        </w:tc>
        <w:tc>
          <w:tcPr>
            <w:tcW w:w="5871" w:type="dxa"/>
            <w:noWrap w:val="0"/>
            <w:vAlign w:val="center"/>
          </w:tcPr>
          <w:p w14:paraId="466F3351">
            <w:pPr>
              <w:rPr>
                <w:rFonts w:hint="eastAsia" w:ascii="宋体" w:hAnsi="宋体" w:eastAsia="宋体"/>
                <w:sz w:val="24"/>
                <w:szCs w:val="24"/>
              </w:rPr>
            </w:pPr>
            <w:r>
              <w:rPr>
                <w:rFonts w:hint="eastAsia" w:ascii="宋体" w:hAnsi="宋体" w:eastAsia="宋体"/>
                <w:sz w:val="24"/>
                <w:szCs w:val="24"/>
              </w:rPr>
              <w:t>传感器类型：热电偶</w:t>
            </w:r>
          </w:p>
          <w:p w14:paraId="33108CF5">
            <w:pPr>
              <w:rPr>
                <w:rFonts w:hint="eastAsia" w:ascii="宋体" w:hAnsi="宋体" w:eastAsia="宋体"/>
                <w:sz w:val="24"/>
                <w:szCs w:val="24"/>
              </w:rPr>
            </w:pPr>
            <w:r>
              <w:rPr>
                <w:rFonts w:hint="eastAsia" w:ascii="宋体" w:hAnsi="宋体" w:eastAsia="宋体"/>
                <w:sz w:val="24"/>
                <w:szCs w:val="24"/>
              </w:rPr>
              <w:t>量程：</w:t>
            </w:r>
            <w:r>
              <w:rPr>
                <w:rFonts w:ascii="宋体" w:hAnsi="宋体" w:eastAsia="宋体"/>
                <w:sz w:val="24"/>
                <w:szCs w:val="24"/>
              </w:rPr>
              <w:t>-2000~2000W/m2</w:t>
            </w:r>
          </w:p>
          <w:p w14:paraId="1CFC6760">
            <w:pPr>
              <w:rPr>
                <w:rFonts w:hint="eastAsia" w:ascii="宋体" w:hAnsi="宋体" w:eastAsia="宋体"/>
                <w:sz w:val="24"/>
                <w:szCs w:val="24"/>
              </w:rPr>
            </w:pPr>
            <w:r>
              <w:rPr>
                <w:rFonts w:hint="eastAsia" w:ascii="宋体" w:hAnsi="宋体" w:eastAsia="宋体"/>
                <w:sz w:val="24"/>
                <w:szCs w:val="24"/>
              </w:rPr>
              <w:t>灵敏度：</w:t>
            </w:r>
            <w:r>
              <w:rPr>
                <w:rFonts w:ascii="宋体" w:hAnsi="宋体" w:eastAsia="宋体"/>
                <w:sz w:val="24"/>
                <w:szCs w:val="24"/>
              </w:rPr>
              <w:t>50μV/W/m2</w:t>
            </w:r>
          </w:p>
          <w:p w14:paraId="1A169596">
            <w:pPr>
              <w:rPr>
                <w:rFonts w:hint="eastAsia" w:ascii="宋体" w:hAnsi="宋体" w:eastAsia="宋体"/>
                <w:sz w:val="24"/>
                <w:szCs w:val="24"/>
              </w:rPr>
            </w:pPr>
            <w:r>
              <w:rPr>
                <w:rFonts w:hint="eastAsia" w:ascii="宋体" w:hAnsi="宋体" w:eastAsia="宋体"/>
                <w:sz w:val="24"/>
                <w:szCs w:val="24"/>
              </w:rPr>
              <w:t>标称电阻：</w:t>
            </w:r>
            <w:r>
              <w:rPr>
                <w:rFonts w:ascii="宋体" w:hAnsi="宋体" w:eastAsia="宋体"/>
                <w:sz w:val="24"/>
                <w:szCs w:val="24"/>
              </w:rPr>
              <w:t>2Ω</w:t>
            </w:r>
          </w:p>
          <w:p w14:paraId="6F754872">
            <w:pPr>
              <w:rPr>
                <w:rFonts w:hint="eastAsia" w:ascii="宋体" w:hAnsi="宋体" w:eastAsia="宋体"/>
                <w:sz w:val="24"/>
                <w:szCs w:val="24"/>
              </w:rPr>
            </w:pPr>
            <w:r>
              <w:rPr>
                <w:rFonts w:hint="eastAsia" w:ascii="宋体" w:hAnsi="宋体" w:eastAsia="宋体"/>
                <w:sz w:val="24"/>
                <w:szCs w:val="24"/>
              </w:rPr>
              <w:t>传感器内阻：</w:t>
            </w:r>
            <w:r>
              <w:rPr>
                <w:rFonts w:ascii="宋体" w:hAnsi="宋体" w:eastAsia="宋体"/>
                <w:sz w:val="24"/>
                <w:szCs w:val="24"/>
              </w:rPr>
              <w:t>&lt;0.00625km2/W</w:t>
            </w:r>
          </w:p>
          <w:p w14:paraId="01693D05">
            <w:pPr>
              <w:rPr>
                <w:rFonts w:hint="eastAsia" w:ascii="宋体" w:hAnsi="宋体" w:eastAsia="宋体"/>
                <w:sz w:val="24"/>
                <w:szCs w:val="24"/>
              </w:rPr>
            </w:pPr>
            <w:r>
              <w:rPr>
                <w:rFonts w:hint="eastAsia" w:ascii="宋体" w:hAnsi="宋体" w:eastAsia="宋体"/>
                <w:sz w:val="24"/>
                <w:szCs w:val="24"/>
              </w:rPr>
              <w:t>精度：</w:t>
            </w:r>
            <w:r>
              <w:rPr>
                <w:rFonts w:ascii="宋体" w:hAnsi="宋体" w:eastAsia="宋体"/>
                <w:sz w:val="24"/>
                <w:szCs w:val="24"/>
              </w:rPr>
              <w:t>-15%~+5%（土壤内持续12小时）</w:t>
            </w:r>
          </w:p>
          <w:p w14:paraId="27699B9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r>
              <w:rPr>
                <w:rFonts w:hint="eastAsia" w:ascii="宋体" w:hAnsi="宋体" w:eastAsia="宋体"/>
                <w:sz w:val="24"/>
                <w:szCs w:val="24"/>
              </w:rPr>
              <w:t>工作温度：</w:t>
            </w:r>
            <w:r>
              <w:rPr>
                <w:rFonts w:ascii="宋体" w:hAnsi="宋体" w:eastAsia="宋体"/>
                <w:sz w:val="24"/>
                <w:szCs w:val="24"/>
              </w:rPr>
              <w:t>-30℃~70℃</w:t>
            </w:r>
          </w:p>
        </w:tc>
        <w:tc>
          <w:tcPr>
            <w:tcW w:w="643" w:type="dxa"/>
            <w:noWrap w:val="0"/>
            <w:vAlign w:val="center"/>
          </w:tcPr>
          <w:p w14:paraId="4D03D9D9">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6套</w:t>
            </w:r>
          </w:p>
        </w:tc>
        <w:tc>
          <w:tcPr>
            <w:tcW w:w="1178" w:type="dxa"/>
            <w:noWrap w:val="0"/>
            <w:vAlign w:val="center"/>
          </w:tcPr>
          <w:p w14:paraId="49696DB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lang w:val="en-US" w:eastAsia="zh-CN"/>
              </w:rPr>
            </w:pPr>
          </w:p>
        </w:tc>
      </w:tr>
      <w:tr w14:paraId="43B1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blHeader/>
          <w:jc w:val="center"/>
        </w:trPr>
        <w:tc>
          <w:tcPr>
            <w:tcW w:w="1350" w:type="dxa"/>
            <w:vMerge w:val="continue"/>
            <w:noWrap w:val="0"/>
            <w:vAlign w:val="center"/>
          </w:tcPr>
          <w:p w14:paraId="2974A0B9">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7809B3B0">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红外测温传感器</w:t>
            </w:r>
          </w:p>
        </w:tc>
        <w:tc>
          <w:tcPr>
            <w:tcW w:w="5871" w:type="dxa"/>
            <w:noWrap w:val="0"/>
            <w:vAlign w:val="center"/>
          </w:tcPr>
          <w:p w14:paraId="308D491A">
            <w:pPr>
              <w:rPr>
                <w:rFonts w:hint="eastAsia" w:ascii="宋体" w:hAnsi="宋体" w:eastAsia="宋体"/>
                <w:sz w:val="24"/>
                <w:szCs w:val="24"/>
              </w:rPr>
            </w:pPr>
            <w:r>
              <w:rPr>
                <w:rFonts w:hint="eastAsia" w:ascii="宋体" w:hAnsi="宋体" w:eastAsia="宋体"/>
                <w:sz w:val="24"/>
                <w:szCs w:val="24"/>
              </w:rPr>
              <w:t>输入电压：</w:t>
            </w:r>
            <w:r>
              <w:rPr>
                <w:rFonts w:ascii="宋体" w:hAnsi="宋体" w:eastAsia="宋体"/>
                <w:sz w:val="24"/>
                <w:szCs w:val="24"/>
              </w:rPr>
              <w:t>4.5至24VDC</w:t>
            </w:r>
          </w:p>
          <w:p w14:paraId="373A29B0">
            <w:pPr>
              <w:rPr>
                <w:rFonts w:hint="eastAsia" w:ascii="宋体" w:hAnsi="宋体" w:eastAsia="宋体"/>
                <w:sz w:val="24"/>
                <w:szCs w:val="24"/>
              </w:rPr>
            </w:pPr>
            <w:r>
              <w:rPr>
                <w:rFonts w:hint="eastAsia" w:ascii="宋体" w:hAnsi="宋体" w:eastAsia="宋体"/>
                <w:sz w:val="24"/>
                <w:szCs w:val="24"/>
              </w:rPr>
              <w:t>电流消耗：</w:t>
            </w:r>
            <w:r>
              <w:rPr>
                <w:rFonts w:ascii="宋体" w:hAnsi="宋体" w:eastAsia="宋体"/>
                <w:sz w:val="24"/>
                <w:szCs w:val="24"/>
              </w:rPr>
              <w:t>0.6mA（静态），1.3mA（工作）</w:t>
            </w:r>
          </w:p>
          <w:p w14:paraId="4D5E041A">
            <w:pPr>
              <w:rPr>
                <w:rFonts w:hint="eastAsia" w:ascii="宋体" w:hAnsi="宋体" w:eastAsia="宋体"/>
                <w:sz w:val="24"/>
                <w:szCs w:val="24"/>
              </w:rPr>
            </w:pPr>
            <w:r>
              <w:rPr>
                <w:rFonts w:hint="eastAsia" w:ascii="宋体" w:hAnsi="宋体" w:eastAsia="宋体"/>
                <w:sz w:val="24"/>
                <w:szCs w:val="24"/>
              </w:rPr>
              <w:t>校准不确定度（</w:t>
            </w:r>
            <w:r>
              <w:rPr>
                <w:rFonts w:ascii="宋体" w:hAnsi="宋体" w:eastAsia="宋体"/>
                <w:sz w:val="24"/>
                <w:szCs w:val="24"/>
              </w:rPr>
              <w:t>-20至65°C）：0.2°C，当目标和检测器温度在20°C内</w:t>
            </w:r>
          </w:p>
          <w:p w14:paraId="2AD03802">
            <w:pPr>
              <w:rPr>
                <w:rFonts w:hint="eastAsia" w:ascii="宋体" w:hAnsi="宋体" w:eastAsia="宋体"/>
                <w:sz w:val="24"/>
                <w:szCs w:val="24"/>
              </w:rPr>
            </w:pPr>
            <w:r>
              <w:rPr>
                <w:rFonts w:hint="eastAsia" w:ascii="宋体" w:hAnsi="宋体" w:eastAsia="宋体"/>
                <w:sz w:val="24"/>
                <w:szCs w:val="24"/>
              </w:rPr>
              <w:t>校准不确定度（</w:t>
            </w:r>
            <w:r>
              <w:rPr>
                <w:rFonts w:ascii="宋体" w:hAnsi="宋体" w:eastAsia="宋体"/>
                <w:sz w:val="24"/>
                <w:szCs w:val="24"/>
              </w:rPr>
              <w:t>-40至80°C）：0.5℃，当目标和检测器温度相差大于20℃时</w:t>
            </w:r>
          </w:p>
          <w:p w14:paraId="1101610C">
            <w:pPr>
              <w:rPr>
                <w:rFonts w:hint="eastAsia" w:ascii="宋体" w:hAnsi="宋体" w:eastAsia="宋体"/>
                <w:sz w:val="24"/>
                <w:szCs w:val="24"/>
              </w:rPr>
            </w:pPr>
            <w:r>
              <w:rPr>
                <w:rFonts w:hint="eastAsia" w:ascii="宋体" w:hAnsi="宋体" w:eastAsia="宋体"/>
                <w:sz w:val="24"/>
                <w:szCs w:val="24"/>
              </w:rPr>
              <w:t>测量重复性：小于</w:t>
            </w:r>
            <w:r>
              <w:rPr>
                <w:rFonts w:ascii="宋体" w:hAnsi="宋体" w:eastAsia="宋体"/>
                <w:sz w:val="24"/>
                <w:szCs w:val="24"/>
              </w:rPr>
              <w:t>0.05℃</w:t>
            </w:r>
          </w:p>
          <w:p w14:paraId="7CF4C54C">
            <w:pPr>
              <w:rPr>
                <w:rFonts w:hint="eastAsia" w:ascii="宋体" w:hAnsi="宋体" w:eastAsia="宋体"/>
                <w:sz w:val="24"/>
                <w:szCs w:val="24"/>
              </w:rPr>
            </w:pPr>
            <w:r>
              <w:rPr>
                <w:rFonts w:hint="eastAsia" w:ascii="宋体" w:hAnsi="宋体" w:eastAsia="宋体"/>
                <w:sz w:val="24"/>
                <w:szCs w:val="24"/>
              </w:rPr>
              <w:t>稳定性（长期漂移）：锗过滤器保持清洁条件下每年的斜率变化小于</w:t>
            </w:r>
            <w:r>
              <w:rPr>
                <w:rFonts w:ascii="宋体" w:hAnsi="宋体" w:eastAsia="宋体"/>
                <w:sz w:val="24"/>
                <w:szCs w:val="24"/>
              </w:rPr>
              <w:t>2％</w:t>
            </w:r>
          </w:p>
          <w:p w14:paraId="554200CD">
            <w:pPr>
              <w:rPr>
                <w:rFonts w:hint="eastAsia" w:ascii="宋体" w:hAnsi="宋体" w:eastAsia="宋体"/>
                <w:sz w:val="24"/>
                <w:szCs w:val="24"/>
              </w:rPr>
            </w:pPr>
            <w:r>
              <w:rPr>
                <w:rFonts w:hint="eastAsia" w:ascii="宋体" w:hAnsi="宋体" w:eastAsia="宋体"/>
                <w:sz w:val="24"/>
                <w:szCs w:val="24"/>
              </w:rPr>
              <w:t>响应时间：</w:t>
            </w:r>
            <w:r>
              <w:rPr>
                <w:rFonts w:ascii="宋体" w:hAnsi="宋体" w:eastAsia="宋体"/>
                <w:sz w:val="24"/>
                <w:szCs w:val="24"/>
              </w:rPr>
              <w:t>0.6s，检测器信号在步进变化后达到95％的时间;SDI-12电路的最快数据传输速率为1s</w:t>
            </w:r>
          </w:p>
          <w:p w14:paraId="60258C9E">
            <w:pPr>
              <w:rPr>
                <w:rFonts w:hint="eastAsia" w:ascii="宋体" w:hAnsi="宋体" w:eastAsia="宋体"/>
                <w:sz w:val="24"/>
                <w:szCs w:val="24"/>
              </w:rPr>
            </w:pPr>
            <w:r>
              <w:rPr>
                <w:rFonts w:hint="eastAsia" w:ascii="宋体" w:hAnsi="宋体" w:eastAsia="宋体"/>
                <w:sz w:val="24"/>
                <w:szCs w:val="24"/>
              </w:rPr>
              <w:t>视野</w:t>
            </w:r>
            <w:r>
              <w:rPr>
                <w:rFonts w:ascii="宋体" w:hAnsi="宋体" w:eastAsia="宋体"/>
                <w:sz w:val="24"/>
                <w:szCs w:val="24"/>
              </w:rPr>
              <w:t>：22°半角</w:t>
            </w:r>
          </w:p>
          <w:p w14:paraId="1B906291">
            <w:pPr>
              <w:rPr>
                <w:rFonts w:hint="eastAsia" w:ascii="宋体" w:hAnsi="宋体" w:eastAsia="宋体"/>
                <w:sz w:val="24"/>
                <w:szCs w:val="24"/>
              </w:rPr>
            </w:pPr>
            <w:r>
              <w:rPr>
                <w:rFonts w:hint="eastAsia" w:ascii="宋体" w:hAnsi="宋体" w:eastAsia="宋体"/>
                <w:sz w:val="24"/>
                <w:szCs w:val="24"/>
              </w:rPr>
              <w:t>光谱范围：</w:t>
            </w:r>
            <w:r>
              <w:rPr>
                <w:rFonts w:ascii="宋体" w:hAnsi="宋体" w:eastAsia="宋体"/>
                <w:sz w:val="24"/>
                <w:szCs w:val="24"/>
              </w:rPr>
              <w:t>8至14μm的大气窗</w:t>
            </w:r>
          </w:p>
          <w:p w14:paraId="0D220E00">
            <w:pPr>
              <w:rPr>
                <w:rFonts w:hint="eastAsia" w:ascii="宋体" w:hAnsi="宋体" w:eastAsia="宋体"/>
                <w:sz w:val="24"/>
                <w:szCs w:val="24"/>
              </w:rPr>
            </w:pPr>
            <w:r>
              <w:rPr>
                <w:rFonts w:hint="eastAsia" w:ascii="宋体" w:hAnsi="宋体" w:eastAsia="宋体"/>
                <w:sz w:val="24"/>
                <w:szCs w:val="24"/>
              </w:rPr>
              <w:t>操作环境：</w:t>
            </w:r>
            <w:r>
              <w:rPr>
                <w:rFonts w:ascii="宋体" w:hAnsi="宋体" w:eastAsia="宋体"/>
                <w:sz w:val="24"/>
                <w:szCs w:val="24"/>
              </w:rPr>
              <w:t>-55至80℃，0至100％相对湿度（非冷凝）</w:t>
            </w:r>
          </w:p>
          <w:p w14:paraId="13234B8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lang w:eastAsia="zh-CN"/>
              </w:rPr>
            </w:pPr>
          </w:p>
        </w:tc>
        <w:tc>
          <w:tcPr>
            <w:tcW w:w="643" w:type="dxa"/>
            <w:noWrap w:val="0"/>
            <w:vAlign w:val="center"/>
          </w:tcPr>
          <w:p w14:paraId="7AA800FC">
            <w:pPr>
              <w:keepNext/>
              <w:widowControl/>
              <w:snapToGrid w:val="0"/>
              <w:ind w:left="0" w:leftChars="0" w:right="0" w:rightChars="0" w:firstLine="0" w:firstLineChars="0"/>
              <w:jc w:val="both"/>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6套</w:t>
            </w:r>
          </w:p>
          <w:p w14:paraId="51F832D0">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178" w:type="dxa"/>
            <w:noWrap w:val="0"/>
            <w:vAlign w:val="center"/>
          </w:tcPr>
          <w:p w14:paraId="5EBA805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lang w:val="en-US" w:eastAsia="zh-CN"/>
              </w:rPr>
            </w:pPr>
          </w:p>
        </w:tc>
      </w:tr>
      <w:tr w14:paraId="50F3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50" w:type="dxa"/>
            <w:vMerge w:val="continue"/>
            <w:noWrap w:val="0"/>
            <w:vAlign w:val="center"/>
          </w:tcPr>
          <w:p w14:paraId="51DA5F0A">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27AAC7AE">
            <w:pPr>
              <w:keepNext/>
              <w:widowControl/>
              <w:snapToGrid w:val="0"/>
              <w:ind w:left="0" w:leftChars="0" w:right="0" w:rightChars="0" w:firstLine="240" w:firstLineChars="100"/>
              <w:jc w:val="both"/>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附件</w:t>
            </w:r>
          </w:p>
          <w:p w14:paraId="58DCB218">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5871" w:type="dxa"/>
            <w:noWrap w:val="0"/>
            <w:vAlign w:val="center"/>
          </w:tcPr>
          <w:p w14:paraId="5F9907F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lang w:val="en-US" w:eastAsia="zh-CN"/>
              </w:rPr>
            </w:pPr>
            <w:r>
              <w:rPr>
                <w:rFonts w:hint="eastAsia" w:ascii="宋体" w:hAnsi="宋体" w:eastAsia="宋体"/>
                <w:sz w:val="24"/>
                <w:szCs w:val="24"/>
              </w:rPr>
              <w:t>提供太阳能供电系统，数采防护机箱</w:t>
            </w:r>
            <w:r>
              <w:rPr>
                <w:rFonts w:ascii="宋体" w:hAnsi="宋体" w:eastAsia="宋体"/>
                <w:sz w:val="24"/>
                <w:szCs w:val="24"/>
              </w:rPr>
              <w:t>IP6</w:t>
            </w:r>
            <w:r>
              <w:rPr>
                <w:rFonts w:hint="eastAsia" w:ascii="宋体" w:hAnsi="宋体" w:eastAsia="宋体"/>
                <w:sz w:val="24"/>
                <w:szCs w:val="24"/>
              </w:rPr>
              <w:t>5</w:t>
            </w:r>
            <w:r>
              <w:rPr>
                <w:rFonts w:ascii="宋体" w:hAnsi="宋体" w:eastAsia="宋体"/>
                <w:sz w:val="24"/>
                <w:szCs w:val="24"/>
              </w:rPr>
              <w:t>、配电箱</w:t>
            </w:r>
            <w:r>
              <w:rPr>
                <w:rFonts w:hint="eastAsia" w:ascii="宋体" w:hAnsi="宋体" w:eastAsia="宋体"/>
                <w:sz w:val="24"/>
                <w:szCs w:val="24"/>
              </w:rPr>
              <w:t>、无线传输模块</w:t>
            </w:r>
            <w:r>
              <w:rPr>
                <w:rFonts w:ascii="宋体" w:hAnsi="宋体" w:eastAsia="宋体"/>
                <w:sz w:val="24"/>
                <w:szCs w:val="24"/>
              </w:rPr>
              <w:t>。根据现场实际情况确定供电额度，满足系统断电或长期阴雨天7天的数据稳定。</w:t>
            </w:r>
            <w:r>
              <w:rPr>
                <w:rFonts w:hint="eastAsia" w:ascii="宋体" w:hAnsi="宋体" w:eastAsia="宋体"/>
                <w:sz w:val="24"/>
                <w:szCs w:val="24"/>
              </w:rPr>
              <w:t>提供跟仪器匹配的系统安装时的相关线缆、安装卡板、支架。</w:t>
            </w:r>
          </w:p>
        </w:tc>
        <w:tc>
          <w:tcPr>
            <w:tcW w:w="643" w:type="dxa"/>
            <w:noWrap w:val="0"/>
            <w:vAlign w:val="center"/>
          </w:tcPr>
          <w:p w14:paraId="5D1DA778">
            <w:pPr>
              <w:keepNext/>
              <w:widowControl/>
              <w:snapToGrid w:val="0"/>
              <w:ind w:left="0" w:leftChars="0" w:right="0" w:rightChars="0" w:firstLine="0" w:firstLineChars="0"/>
              <w:jc w:val="both"/>
              <w:rPr>
                <w:rFonts w:hint="eastAsia" w:ascii="Times New Roman" w:hAnsi="Times New Roman" w:cs="Times New Roman"/>
                <w:kern w:val="0"/>
                <w:sz w:val="24"/>
                <w:szCs w:val="24"/>
                <w:lang w:val="en-US" w:eastAsia="zh-CN"/>
              </w:rPr>
            </w:pPr>
          </w:p>
          <w:p w14:paraId="204D2F34">
            <w:pPr>
              <w:keepNext/>
              <w:widowControl/>
              <w:snapToGrid w:val="0"/>
              <w:ind w:left="0" w:leftChars="0" w:right="0" w:rightChars="0" w:firstLine="0" w:firstLineChars="0"/>
              <w:jc w:val="both"/>
              <w:rPr>
                <w:rFonts w:hint="eastAsia" w:ascii="Times New Roman" w:hAnsi="Times New Roman" w:cs="Times New Roman"/>
                <w:kern w:val="0"/>
                <w:sz w:val="24"/>
                <w:szCs w:val="24"/>
                <w:lang w:val="en-US" w:eastAsia="zh-CN"/>
              </w:rPr>
            </w:pPr>
          </w:p>
          <w:p w14:paraId="58C4212B">
            <w:pPr>
              <w:keepNext/>
              <w:widowControl/>
              <w:snapToGrid w:val="0"/>
              <w:ind w:left="0" w:leftChars="0" w:right="0" w:rightChars="0" w:firstLine="0" w:firstLineChars="0"/>
              <w:jc w:val="both"/>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2套</w:t>
            </w:r>
          </w:p>
          <w:p w14:paraId="02A80A87">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p w14:paraId="7C931A69">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p w14:paraId="0C9C4CC8">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178" w:type="dxa"/>
            <w:noWrap w:val="0"/>
            <w:vAlign w:val="center"/>
          </w:tcPr>
          <w:p w14:paraId="29FE907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p>
        </w:tc>
      </w:tr>
      <w:tr w14:paraId="6A42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noWrap w:val="0"/>
            <w:vAlign w:val="center"/>
          </w:tcPr>
          <w:p w14:paraId="6A785801">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b/>
                <w:bCs/>
                <w:sz w:val="24"/>
                <w:szCs w:val="24"/>
                <w:lang w:val="en-US" w:eastAsia="zh-CN"/>
              </w:rPr>
              <w:t>2、冻土</w:t>
            </w:r>
            <w:r>
              <w:rPr>
                <w:rFonts w:hint="eastAsia" w:ascii="Times New Roman" w:hAnsi="Times New Roman" w:cs="Times New Roman"/>
                <w:b/>
                <w:bCs/>
                <w:sz w:val="24"/>
                <w:szCs w:val="24"/>
                <w:lang w:val="en-US" w:eastAsia="zh-CN"/>
              </w:rPr>
              <w:t>层监</w:t>
            </w:r>
            <w:r>
              <w:rPr>
                <w:rFonts w:hint="eastAsia" w:ascii="Times New Roman" w:hAnsi="Times New Roman" w:eastAsia="宋体" w:cs="Times New Roman"/>
                <w:b/>
                <w:bCs/>
                <w:sz w:val="24"/>
                <w:szCs w:val="24"/>
                <w:lang w:val="en-US" w:eastAsia="zh-CN"/>
              </w:rPr>
              <w:t>测系统</w:t>
            </w:r>
          </w:p>
        </w:tc>
        <w:tc>
          <w:tcPr>
            <w:tcW w:w="1221" w:type="dxa"/>
            <w:noWrap w:val="0"/>
            <w:vAlign w:val="center"/>
          </w:tcPr>
          <w:p w14:paraId="51222879">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rPr>
              <w:t>数据采集器、温度链传感器及供电系统，安装支架</w:t>
            </w:r>
          </w:p>
        </w:tc>
        <w:tc>
          <w:tcPr>
            <w:tcW w:w="5871" w:type="dxa"/>
            <w:noWrap w:val="0"/>
            <w:vAlign w:val="center"/>
          </w:tcPr>
          <w:p w14:paraId="6CE2CB9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宋体" w:hAnsi="宋体" w:eastAsia="宋体"/>
                <w:b/>
                <w:bCs/>
                <w:sz w:val="24"/>
                <w:szCs w:val="24"/>
              </w:rPr>
            </w:pPr>
            <w:r>
              <w:rPr>
                <w:rFonts w:hint="default" w:ascii="Times New Roman" w:hAnsi="Times New Roman" w:eastAsia="宋体" w:cs="Times New Roman"/>
                <w:kern w:val="0"/>
                <w:sz w:val="24"/>
                <w:szCs w:val="24"/>
                <w:lang w:val="en-US" w:eastAsia="zh-CN"/>
              </w:rPr>
              <w:t>1、</w:t>
            </w:r>
            <w:r>
              <w:rPr>
                <w:rFonts w:hint="default" w:ascii="宋体" w:hAnsi="宋体" w:eastAsia="宋体"/>
                <w:b/>
                <w:bCs/>
                <w:sz w:val="24"/>
                <w:szCs w:val="24"/>
              </w:rPr>
              <w:t>数据采集器 数量1个</w:t>
            </w:r>
          </w:p>
          <w:p w14:paraId="0418D752">
            <w:pPr>
              <w:rPr>
                <w:rFonts w:hint="eastAsia" w:ascii="宋体" w:hAnsi="宋体" w:eastAsia="宋体"/>
                <w:sz w:val="24"/>
                <w:szCs w:val="24"/>
              </w:rPr>
            </w:pPr>
            <w:r>
              <w:rPr>
                <w:rFonts w:hint="eastAsia" w:ascii="宋体" w:hAnsi="宋体" w:eastAsia="宋体"/>
                <w:sz w:val="24"/>
                <w:szCs w:val="24"/>
              </w:rPr>
              <w:t>模拟输入通道：不少于6个单端</w:t>
            </w:r>
          </w:p>
          <w:p w14:paraId="480907B5">
            <w:pPr>
              <w:rPr>
                <w:rFonts w:hint="eastAsia" w:ascii="宋体" w:hAnsi="宋体" w:eastAsia="宋体"/>
                <w:sz w:val="24"/>
                <w:szCs w:val="24"/>
              </w:rPr>
            </w:pPr>
            <w:r>
              <w:rPr>
                <w:rFonts w:hint="eastAsia" w:ascii="宋体" w:hAnsi="宋体" w:eastAsia="宋体"/>
                <w:sz w:val="24"/>
                <w:szCs w:val="24"/>
              </w:rPr>
              <w:t>脉冲计数器：≥8个</w:t>
            </w:r>
          </w:p>
          <w:p w14:paraId="1D7976F5">
            <w:pPr>
              <w:rPr>
                <w:rFonts w:hint="eastAsia" w:ascii="宋体" w:hAnsi="宋体" w:eastAsia="宋体"/>
                <w:sz w:val="24"/>
                <w:szCs w:val="24"/>
              </w:rPr>
            </w:pPr>
            <w:r>
              <w:rPr>
                <w:rFonts w:hint="eastAsia" w:ascii="宋体" w:hAnsi="宋体" w:eastAsia="宋体"/>
                <w:sz w:val="24"/>
                <w:szCs w:val="24"/>
              </w:rPr>
              <w:t>电压激发通道：≥2个</w:t>
            </w:r>
          </w:p>
          <w:p w14:paraId="57D5646D">
            <w:pPr>
              <w:rPr>
                <w:rFonts w:hint="eastAsia" w:ascii="宋体" w:hAnsi="宋体" w:eastAsia="宋体"/>
                <w:sz w:val="24"/>
                <w:szCs w:val="24"/>
              </w:rPr>
            </w:pPr>
            <w:r>
              <w:rPr>
                <w:rFonts w:hint="eastAsia" w:ascii="宋体" w:hAnsi="宋体" w:eastAsia="宋体"/>
                <w:sz w:val="24"/>
                <w:szCs w:val="24"/>
              </w:rPr>
              <w:t>数字控制端口：≥7个</w:t>
            </w:r>
          </w:p>
          <w:p w14:paraId="307A981E">
            <w:pPr>
              <w:rPr>
                <w:rFonts w:hint="eastAsia" w:ascii="宋体" w:hAnsi="宋体" w:eastAsia="宋体"/>
                <w:sz w:val="24"/>
                <w:szCs w:val="24"/>
              </w:rPr>
            </w:pPr>
            <w:r>
              <w:rPr>
                <w:rFonts w:hint="eastAsia" w:ascii="宋体" w:hAnsi="宋体" w:eastAsia="宋体"/>
                <w:sz w:val="24"/>
                <w:szCs w:val="24"/>
              </w:rPr>
              <w:t>通讯端口：USBMicroB，10/100EthernetRJ45（以太网口），RS-232</w:t>
            </w:r>
          </w:p>
          <w:p w14:paraId="6A2A8DAA">
            <w:pPr>
              <w:rPr>
                <w:rFonts w:hint="eastAsia" w:ascii="宋体" w:hAnsi="宋体" w:eastAsia="宋体"/>
                <w:sz w:val="24"/>
                <w:szCs w:val="24"/>
              </w:rPr>
            </w:pPr>
            <w:r>
              <w:rPr>
                <w:rFonts w:hint="eastAsia" w:ascii="宋体" w:hAnsi="宋体" w:eastAsia="宋体"/>
                <w:sz w:val="24"/>
                <w:szCs w:val="24"/>
              </w:rPr>
              <w:t>输入电压范围：-100～﹢2500mV</w:t>
            </w:r>
          </w:p>
          <w:p w14:paraId="7D8999A2">
            <w:pPr>
              <w:rPr>
                <w:rFonts w:hint="eastAsia" w:ascii="宋体" w:hAnsi="宋体" w:eastAsia="宋体"/>
                <w:sz w:val="24"/>
                <w:szCs w:val="24"/>
              </w:rPr>
            </w:pPr>
            <w:r>
              <w:rPr>
                <w:rFonts w:hint="eastAsia" w:ascii="宋体" w:hAnsi="宋体" w:eastAsia="宋体"/>
                <w:sz w:val="24"/>
                <w:szCs w:val="24"/>
              </w:rPr>
              <w:t>模拟电压精度：±（0.04%读数+偏移量）@0～40℃；</w:t>
            </w:r>
          </w:p>
          <w:p w14:paraId="22D7C4C1">
            <w:pPr>
              <w:rPr>
                <w:rFonts w:hint="eastAsia" w:ascii="宋体" w:hAnsi="宋体" w:eastAsia="宋体"/>
                <w:sz w:val="24"/>
                <w:szCs w:val="24"/>
              </w:rPr>
            </w:pPr>
            <w:r>
              <w:rPr>
                <w:rFonts w:hint="eastAsia" w:ascii="宋体" w:hAnsi="宋体" w:eastAsia="宋体"/>
                <w:sz w:val="24"/>
                <w:szCs w:val="24"/>
              </w:rPr>
              <w:t>模拟分辨率：最小0.23μV</w:t>
            </w:r>
          </w:p>
          <w:p w14:paraId="4AA3DEFA">
            <w:pPr>
              <w:rPr>
                <w:rFonts w:hint="eastAsia" w:ascii="宋体" w:hAnsi="宋体" w:eastAsia="宋体"/>
                <w:sz w:val="24"/>
                <w:szCs w:val="24"/>
              </w:rPr>
            </w:pPr>
            <w:r>
              <w:rPr>
                <w:rFonts w:hint="eastAsia" w:ascii="宋体" w:hAnsi="宋体" w:eastAsia="宋体"/>
                <w:sz w:val="24"/>
                <w:szCs w:val="24"/>
              </w:rPr>
              <w:t>模拟数字转换位数（A/D）: ≥24位</w:t>
            </w:r>
          </w:p>
          <w:p w14:paraId="0BAE05E0">
            <w:pPr>
              <w:rPr>
                <w:rFonts w:hint="eastAsia" w:ascii="宋体" w:hAnsi="宋体" w:eastAsia="宋体"/>
                <w:sz w:val="24"/>
                <w:szCs w:val="24"/>
              </w:rPr>
            </w:pPr>
            <w:r>
              <w:rPr>
                <w:rFonts w:hint="eastAsia" w:ascii="宋体" w:hAnsi="宋体" w:eastAsia="宋体"/>
                <w:sz w:val="24"/>
                <w:szCs w:val="24"/>
              </w:rPr>
              <w:t>内存：≥30MB（数据存储）；≥80MB(CPU驱动/程序存储)</w:t>
            </w:r>
          </w:p>
          <w:p w14:paraId="2E2408D1">
            <w:pPr>
              <w:rPr>
                <w:rFonts w:hint="eastAsia" w:ascii="宋体" w:hAnsi="宋体" w:eastAsia="宋体"/>
                <w:sz w:val="24"/>
                <w:szCs w:val="24"/>
              </w:rPr>
            </w:pPr>
            <w:r>
              <w:rPr>
                <w:rFonts w:hint="eastAsia" w:ascii="宋体" w:hAnsi="宋体" w:eastAsia="宋体"/>
                <w:sz w:val="24"/>
                <w:szCs w:val="24"/>
              </w:rPr>
              <w:t>操作温度：-40℃～70℃（标准）</w:t>
            </w:r>
          </w:p>
          <w:p w14:paraId="5989D00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r>
              <w:rPr>
                <w:rFonts w:hint="eastAsia" w:ascii="宋体" w:hAnsi="宋体" w:eastAsia="宋体"/>
                <w:sz w:val="24"/>
                <w:szCs w:val="24"/>
              </w:rPr>
              <w:t>供电：16～32Vdc</w:t>
            </w:r>
          </w:p>
          <w:p w14:paraId="604D73F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宋体" w:hAnsi="宋体" w:eastAsia="宋体"/>
                <w:b/>
                <w:bCs/>
                <w:sz w:val="24"/>
                <w:szCs w:val="24"/>
              </w:rPr>
            </w:pPr>
            <w:r>
              <w:rPr>
                <w:rFonts w:hint="default" w:ascii="Times New Roman" w:hAnsi="Times New Roman" w:eastAsia="宋体" w:cs="Times New Roman"/>
                <w:kern w:val="0"/>
                <w:sz w:val="24"/>
                <w:szCs w:val="24"/>
                <w:lang w:val="en-US" w:eastAsia="zh-CN"/>
              </w:rPr>
              <w:t>2、</w:t>
            </w:r>
            <w:r>
              <w:rPr>
                <w:rFonts w:hint="default" w:ascii="宋体" w:hAnsi="宋体" w:eastAsia="宋体"/>
                <w:b/>
                <w:bCs/>
                <w:sz w:val="24"/>
                <w:szCs w:val="24"/>
              </w:rPr>
              <w:t>温度传感器 数量</w:t>
            </w:r>
            <w:r>
              <w:rPr>
                <w:rFonts w:hint="eastAsia" w:ascii="宋体" w:hAnsi="宋体"/>
                <w:b/>
                <w:bCs/>
                <w:sz w:val="24"/>
                <w:szCs w:val="24"/>
                <w:lang w:val="en-US" w:eastAsia="zh-CN"/>
              </w:rPr>
              <w:t>6</w:t>
            </w:r>
            <w:r>
              <w:rPr>
                <w:rFonts w:hint="default" w:ascii="宋体" w:hAnsi="宋体" w:eastAsia="宋体"/>
                <w:b/>
                <w:bCs/>
                <w:sz w:val="24"/>
                <w:szCs w:val="24"/>
              </w:rPr>
              <w:t>个</w:t>
            </w:r>
          </w:p>
          <w:p w14:paraId="34C8A173">
            <w:pPr>
              <w:rPr>
                <w:rFonts w:hint="eastAsia" w:ascii="宋体" w:hAnsi="宋体" w:eastAsia="宋体"/>
                <w:sz w:val="24"/>
                <w:szCs w:val="24"/>
              </w:rPr>
            </w:pPr>
            <w:r>
              <w:rPr>
                <w:rFonts w:hint="eastAsia" w:ascii="宋体" w:hAnsi="宋体" w:eastAsia="宋体"/>
                <w:sz w:val="24"/>
                <w:szCs w:val="24"/>
              </w:rPr>
              <w:t>量程：-40℃~70℃</w:t>
            </w:r>
          </w:p>
          <w:p w14:paraId="0FE68283">
            <w:pPr>
              <w:rPr>
                <w:rFonts w:hint="eastAsia" w:ascii="宋体" w:hAnsi="宋体" w:eastAsia="宋体"/>
                <w:sz w:val="24"/>
                <w:szCs w:val="24"/>
              </w:rPr>
            </w:pPr>
            <w:r>
              <w:rPr>
                <w:rFonts w:hint="eastAsia" w:ascii="宋体" w:hAnsi="宋体" w:eastAsia="宋体"/>
                <w:sz w:val="24"/>
                <w:szCs w:val="24"/>
              </w:rPr>
              <w:t>环境温度：热敏电阻，-50℃~100℃；连接头及电缆，-50℃~70℃</w:t>
            </w:r>
          </w:p>
          <w:p w14:paraId="192984E1">
            <w:pPr>
              <w:rPr>
                <w:rFonts w:hint="eastAsia" w:ascii="宋体" w:hAnsi="宋体" w:eastAsia="宋体"/>
                <w:sz w:val="24"/>
                <w:szCs w:val="24"/>
              </w:rPr>
            </w:pPr>
            <w:r>
              <w:rPr>
                <w:rFonts w:hint="eastAsia" w:ascii="宋体" w:hAnsi="宋体" w:eastAsia="宋体"/>
                <w:sz w:val="24"/>
                <w:szCs w:val="24"/>
              </w:rPr>
              <w:t>最大工作深度：≥15米</w:t>
            </w:r>
          </w:p>
          <w:p w14:paraId="68DB626F">
            <w:pPr>
              <w:rPr>
                <w:rFonts w:hint="eastAsia" w:ascii="宋体" w:hAnsi="宋体" w:eastAsia="宋体"/>
                <w:sz w:val="24"/>
                <w:szCs w:val="24"/>
              </w:rPr>
            </w:pPr>
            <w:r>
              <w:rPr>
                <w:rFonts w:hint="eastAsia" w:ascii="宋体" w:hAnsi="宋体" w:eastAsia="宋体"/>
                <w:sz w:val="24"/>
                <w:szCs w:val="24"/>
              </w:rPr>
              <w:t>最大线缆长度：≥300米</w:t>
            </w:r>
          </w:p>
          <w:p w14:paraId="0CEC5E7F">
            <w:pPr>
              <w:rPr>
                <w:rFonts w:ascii="宋体" w:hAnsi="宋体" w:eastAsia="宋体"/>
                <w:sz w:val="24"/>
                <w:szCs w:val="24"/>
              </w:rPr>
            </w:pPr>
            <w:r>
              <w:rPr>
                <w:rFonts w:hint="eastAsia" w:ascii="宋体" w:hAnsi="宋体" w:eastAsia="宋体"/>
                <w:sz w:val="24"/>
                <w:szCs w:val="24"/>
              </w:rPr>
              <w:t>可交换性误差：±0.6℃（-40℃时），±0.38℃（0℃时），±0.1℃（25℃时），±0.3℃（50℃时），±0.4℃（70℃时）</w:t>
            </w:r>
          </w:p>
          <w:p w14:paraId="2DC43DE4">
            <w:pPr>
              <w:rPr>
                <w:rFonts w:ascii="宋体" w:hAnsi="宋体" w:eastAsia="宋体"/>
                <w:b/>
                <w:bCs/>
                <w:sz w:val="24"/>
                <w:szCs w:val="24"/>
              </w:rPr>
            </w:pPr>
            <w:r>
              <w:rPr>
                <w:rFonts w:hint="default" w:ascii="Times New Roman" w:hAnsi="Times New Roman" w:eastAsia="宋体" w:cs="Times New Roman"/>
                <w:kern w:val="0"/>
                <w:sz w:val="24"/>
                <w:szCs w:val="24"/>
                <w:lang w:val="en-US" w:eastAsia="zh-CN"/>
              </w:rPr>
              <w:t>3、</w:t>
            </w:r>
            <w:r>
              <w:rPr>
                <w:rFonts w:hint="eastAsia" w:ascii="宋体" w:hAnsi="宋体" w:eastAsia="宋体"/>
                <w:b/>
                <w:bCs/>
                <w:sz w:val="24"/>
                <w:szCs w:val="24"/>
              </w:rPr>
              <w:t>附件</w:t>
            </w:r>
          </w:p>
          <w:p w14:paraId="74F52019">
            <w:pPr>
              <w:rPr>
                <w:rFonts w:hint="default" w:ascii="Times New Roman" w:hAnsi="Times New Roman" w:eastAsia="宋体" w:cs="Times New Roman"/>
                <w:kern w:val="0"/>
                <w:sz w:val="24"/>
                <w:szCs w:val="24"/>
                <w:lang w:val="en-US" w:eastAsia="zh-CN" w:bidi="ar-SA"/>
              </w:rPr>
            </w:pPr>
            <w:r>
              <w:rPr>
                <w:rFonts w:hint="eastAsia" w:ascii="宋体" w:hAnsi="宋体" w:eastAsia="宋体"/>
                <w:sz w:val="24"/>
                <w:szCs w:val="24"/>
              </w:rPr>
              <w:t>提供太阳能供电系统，数采防护机箱</w:t>
            </w:r>
            <w:r>
              <w:rPr>
                <w:rFonts w:ascii="宋体" w:hAnsi="宋体" w:eastAsia="宋体"/>
                <w:sz w:val="24"/>
                <w:szCs w:val="24"/>
              </w:rPr>
              <w:t>IP6</w:t>
            </w:r>
            <w:r>
              <w:rPr>
                <w:rFonts w:hint="eastAsia" w:ascii="宋体" w:hAnsi="宋体" w:eastAsia="宋体"/>
                <w:sz w:val="24"/>
                <w:szCs w:val="24"/>
              </w:rPr>
              <w:t>5</w:t>
            </w:r>
            <w:r>
              <w:rPr>
                <w:rFonts w:ascii="宋体" w:hAnsi="宋体" w:eastAsia="宋体"/>
                <w:sz w:val="24"/>
                <w:szCs w:val="24"/>
              </w:rPr>
              <w:t>、配电箱</w:t>
            </w:r>
            <w:r>
              <w:rPr>
                <w:rFonts w:hint="eastAsia" w:ascii="宋体" w:hAnsi="宋体" w:eastAsia="宋体"/>
                <w:sz w:val="24"/>
                <w:szCs w:val="24"/>
              </w:rPr>
              <w:t>、无线传输模块；</w:t>
            </w:r>
            <w:r>
              <w:rPr>
                <w:rFonts w:ascii="宋体" w:hAnsi="宋体" w:eastAsia="宋体"/>
                <w:sz w:val="24"/>
                <w:szCs w:val="24"/>
              </w:rPr>
              <w:t>根据现场实际情况确定供电额度，满足系统断电或长期阴雨天7天的数据稳定</w:t>
            </w:r>
            <w:r>
              <w:rPr>
                <w:rFonts w:hint="eastAsia" w:ascii="宋体" w:hAnsi="宋体" w:eastAsia="宋体"/>
                <w:sz w:val="24"/>
                <w:szCs w:val="24"/>
              </w:rPr>
              <w:t>；提供跟仪器匹配的系统安装时的相关线缆、安装卡板、支架。</w:t>
            </w:r>
          </w:p>
        </w:tc>
        <w:tc>
          <w:tcPr>
            <w:tcW w:w="643" w:type="dxa"/>
            <w:noWrap w:val="0"/>
            <w:vAlign w:val="center"/>
          </w:tcPr>
          <w:p w14:paraId="2275871F">
            <w:pPr>
              <w:keepNext/>
              <w:widowControl/>
              <w:snapToGrid w:val="0"/>
              <w:ind w:right="0" w:rightChars="0"/>
              <w:jc w:val="both"/>
              <w:rPr>
                <w:rFonts w:hint="default"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1套</w:t>
            </w:r>
          </w:p>
        </w:tc>
        <w:tc>
          <w:tcPr>
            <w:tcW w:w="1178" w:type="dxa"/>
            <w:noWrap w:val="0"/>
            <w:vAlign w:val="center"/>
          </w:tcPr>
          <w:p w14:paraId="7E71267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lang w:val="en-US" w:eastAsia="zh-CN" w:bidi="ar-SA"/>
              </w:rPr>
            </w:pPr>
          </w:p>
        </w:tc>
      </w:tr>
      <w:tr w14:paraId="71B6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jc w:val="center"/>
        </w:trPr>
        <w:tc>
          <w:tcPr>
            <w:tcW w:w="1350" w:type="dxa"/>
            <w:vMerge w:val="restart"/>
            <w:noWrap w:val="0"/>
            <w:vAlign w:val="center"/>
          </w:tcPr>
          <w:p w14:paraId="581F5B70">
            <w:pPr>
              <w:keepNext/>
              <w:widowControl w:val="0"/>
              <w:numPr>
                <w:ilvl w:val="0"/>
                <w:numId w:val="0"/>
              </w:numPr>
              <w:snapToGrid w:val="0"/>
              <w:ind w:left="0" w:leftChars="0" w:right="0" w:rightChars="0" w:firstLine="0" w:firstLineChars="0"/>
              <w:jc w:val="both"/>
              <w:rPr>
                <w:rFonts w:hint="default" w:ascii="Times New Roman" w:hAnsi="Times New Roman" w:eastAsia="宋体" w:cs="Times New Roman"/>
                <w:kern w:val="0"/>
                <w:sz w:val="24"/>
                <w:szCs w:val="24"/>
              </w:rPr>
            </w:pPr>
            <w:r>
              <w:rPr>
                <w:rFonts w:hint="eastAsia" w:ascii="Times New Roman" w:hAnsi="Times New Roman" w:eastAsia="宋体" w:cs="Times New Roman"/>
                <w:b/>
                <w:bCs/>
                <w:sz w:val="24"/>
                <w:szCs w:val="24"/>
                <w:lang w:val="en-US" w:eastAsia="zh-CN"/>
              </w:rPr>
              <w:t>3、便携式</w:t>
            </w:r>
            <w:r>
              <w:rPr>
                <w:rFonts w:hint="eastAsia" w:ascii="Times New Roman" w:hAnsi="Times New Roman" w:cs="Times New Roman"/>
                <w:b/>
                <w:bCs/>
                <w:sz w:val="24"/>
                <w:szCs w:val="24"/>
                <w:lang w:val="en-US" w:eastAsia="zh-CN"/>
              </w:rPr>
              <w:t>自动</w:t>
            </w:r>
            <w:r>
              <w:rPr>
                <w:rFonts w:hint="eastAsia" w:ascii="Times New Roman" w:hAnsi="Times New Roman" w:eastAsia="宋体" w:cs="Times New Roman"/>
                <w:b/>
                <w:bCs/>
                <w:sz w:val="24"/>
                <w:szCs w:val="24"/>
                <w:lang w:val="en-US" w:eastAsia="zh-CN"/>
              </w:rPr>
              <w:t>空气质量监测</w:t>
            </w:r>
            <w:r>
              <w:rPr>
                <w:rFonts w:hint="eastAsia" w:ascii="Times New Roman" w:hAnsi="Times New Roman" w:cs="Times New Roman"/>
                <w:b/>
                <w:bCs/>
                <w:sz w:val="24"/>
                <w:szCs w:val="24"/>
                <w:lang w:val="en-US" w:eastAsia="zh-CN"/>
              </w:rPr>
              <w:t>系统</w:t>
            </w:r>
          </w:p>
        </w:tc>
        <w:tc>
          <w:tcPr>
            <w:tcW w:w="1221" w:type="dxa"/>
            <w:noWrap w:val="0"/>
            <w:vAlign w:val="center"/>
          </w:tcPr>
          <w:p w14:paraId="67692694">
            <w:pPr>
              <w:keepNext/>
              <w:autoSpaceDE w:val="0"/>
              <w:autoSpaceDN w:val="0"/>
              <w:snapToGrid w:val="0"/>
              <w:spacing w:line="240" w:lineRule="auto"/>
              <w:ind w:left="0" w:leftChars="0" w:right="0" w:rightChars="0" w:firstLine="0" w:firstLineChars="0"/>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PM10</w:t>
            </w:r>
          </w:p>
        </w:tc>
        <w:tc>
          <w:tcPr>
            <w:tcW w:w="5871" w:type="dxa"/>
            <w:noWrap w:val="0"/>
            <w:vAlign w:val="center"/>
          </w:tcPr>
          <w:p w14:paraId="2C6A783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测量范围：</w:t>
            </w:r>
            <w:r>
              <w:rPr>
                <w:rFonts w:hint="default" w:ascii="Times New Roman" w:hAnsi="Times New Roman" w:eastAsia="宋体" w:cs="Times New Roman"/>
                <w:kern w:val="0"/>
                <w:sz w:val="24"/>
                <w:szCs w:val="24"/>
              </w:rPr>
              <w:t>(0～10000)μg/m3</w:t>
            </w:r>
            <w:r>
              <w:rPr>
                <w:rFonts w:hint="eastAsia" w:ascii="Times New Roman" w:hAnsi="Times New Roman" w:cs="Times New Roman"/>
                <w:kern w:val="0"/>
                <w:sz w:val="24"/>
                <w:szCs w:val="24"/>
                <w:lang w:eastAsia="zh-CN"/>
              </w:rPr>
              <w:t>，</w:t>
            </w:r>
            <w:r>
              <w:rPr>
                <w:rFonts w:hint="eastAsia" w:ascii="Times New Roman" w:hAnsi="Times New Roman" w:cs="Times New Roman"/>
                <w:kern w:val="0"/>
                <w:sz w:val="24"/>
                <w:szCs w:val="24"/>
                <w:lang w:val="en-US" w:eastAsia="zh-CN"/>
              </w:rPr>
              <w:t>分辨率：0.1</w:t>
            </w:r>
            <w:r>
              <w:rPr>
                <w:rFonts w:hint="default" w:ascii="Times New Roman" w:hAnsi="Times New Roman" w:eastAsia="宋体" w:cs="Times New Roman"/>
                <w:kern w:val="0"/>
                <w:sz w:val="24"/>
                <w:szCs w:val="24"/>
              </w:rPr>
              <w:t>μg/m3</w:t>
            </w:r>
          </w:p>
        </w:tc>
        <w:tc>
          <w:tcPr>
            <w:tcW w:w="643" w:type="dxa"/>
            <w:vMerge w:val="restart"/>
            <w:noWrap w:val="0"/>
            <w:vAlign w:val="center"/>
          </w:tcPr>
          <w:p w14:paraId="7EDC217A">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1台</w:t>
            </w:r>
          </w:p>
        </w:tc>
        <w:tc>
          <w:tcPr>
            <w:tcW w:w="1178" w:type="dxa"/>
            <w:vMerge w:val="restart"/>
            <w:noWrap w:val="0"/>
            <w:vAlign w:val="center"/>
          </w:tcPr>
          <w:p w14:paraId="79D04FC6">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bidi="ar-SA"/>
              </w:rPr>
            </w:pPr>
          </w:p>
        </w:tc>
      </w:tr>
      <w:tr w14:paraId="03D4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0AF63AEC">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486EB2E8">
            <w:pPr>
              <w:keepNext/>
              <w:autoSpaceDE w:val="0"/>
              <w:autoSpaceDN w:val="0"/>
              <w:snapToGrid w:val="0"/>
              <w:spacing w:line="240" w:lineRule="auto"/>
              <w:ind w:left="0" w:leftChars="0" w:right="0" w:rightChars="0" w:firstLine="0" w:firstLineChars="0"/>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PM2.5</w:t>
            </w:r>
          </w:p>
        </w:tc>
        <w:tc>
          <w:tcPr>
            <w:tcW w:w="5871" w:type="dxa"/>
            <w:noWrap w:val="0"/>
            <w:vAlign w:val="center"/>
          </w:tcPr>
          <w:p w14:paraId="097526F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测量范围：</w:t>
            </w:r>
            <w:r>
              <w:rPr>
                <w:rFonts w:hint="default" w:ascii="Times New Roman" w:hAnsi="Times New Roman" w:eastAsia="宋体" w:cs="Times New Roman"/>
                <w:kern w:val="0"/>
                <w:sz w:val="24"/>
                <w:szCs w:val="24"/>
              </w:rPr>
              <w:t>(0～10000)μg/m3</w:t>
            </w:r>
            <w:r>
              <w:rPr>
                <w:rFonts w:hint="eastAsia" w:ascii="Times New Roman" w:hAnsi="Times New Roman" w:cs="Times New Roman"/>
                <w:kern w:val="0"/>
                <w:sz w:val="24"/>
                <w:szCs w:val="24"/>
                <w:lang w:eastAsia="zh-CN"/>
              </w:rPr>
              <w:t>，</w:t>
            </w:r>
            <w:r>
              <w:rPr>
                <w:rFonts w:hint="eastAsia" w:ascii="Times New Roman" w:hAnsi="Times New Roman" w:cs="Times New Roman"/>
                <w:kern w:val="0"/>
                <w:sz w:val="24"/>
                <w:szCs w:val="24"/>
                <w:lang w:val="en-US" w:eastAsia="zh-CN"/>
              </w:rPr>
              <w:t>分辨率：0.1</w:t>
            </w:r>
            <w:r>
              <w:rPr>
                <w:rFonts w:hint="default" w:ascii="Times New Roman" w:hAnsi="Times New Roman" w:eastAsia="宋体" w:cs="Times New Roman"/>
                <w:kern w:val="0"/>
                <w:sz w:val="24"/>
                <w:szCs w:val="24"/>
              </w:rPr>
              <w:t>μg/m3</w:t>
            </w:r>
          </w:p>
        </w:tc>
        <w:tc>
          <w:tcPr>
            <w:tcW w:w="643" w:type="dxa"/>
            <w:vMerge w:val="continue"/>
            <w:noWrap w:val="0"/>
            <w:vAlign w:val="center"/>
          </w:tcPr>
          <w:p w14:paraId="3DD2553A">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178" w:type="dxa"/>
            <w:vMerge w:val="continue"/>
            <w:noWrap w:val="0"/>
            <w:vAlign w:val="center"/>
          </w:tcPr>
          <w:p w14:paraId="62534923">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0D57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jc w:val="center"/>
        </w:trPr>
        <w:tc>
          <w:tcPr>
            <w:tcW w:w="1350" w:type="dxa"/>
            <w:vMerge w:val="continue"/>
            <w:noWrap w:val="0"/>
            <w:vAlign w:val="center"/>
          </w:tcPr>
          <w:p w14:paraId="29B56A10">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3C0A1203">
            <w:pPr>
              <w:keepNext/>
              <w:autoSpaceDE w:val="0"/>
              <w:autoSpaceDN w:val="0"/>
              <w:snapToGrid w:val="0"/>
              <w:spacing w:line="240" w:lineRule="auto"/>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附件</w:t>
            </w:r>
          </w:p>
        </w:tc>
        <w:tc>
          <w:tcPr>
            <w:tcW w:w="5871" w:type="dxa"/>
            <w:noWrap w:val="0"/>
            <w:vAlign w:val="center"/>
          </w:tcPr>
          <w:p w14:paraId="27AD23E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宋体" w:cs="Times New Roman"/>
                <w:kern w:val="0"/>
                <w:sz w:val="24"/>
                <w:szCs w:val="24"/>
              </w:rPr>
            </w:pPr>
            <w:r>
              <w:rPr>
                <w:rFonts w:hint="eastAsia" w:ascii="Times New Roman" w:hAnsi="Times New Roman" w:cs="Times New Roman"/>
                <w:kern w:val="0"/>
                <w:sz w:val="24"/>
                <w:szCs w:val="24"/>
                <w:lang w:val="en-US" w:eastAsia="zh-CN"/>
              </w:rPr>
              <w:t xml:space="preserve">太阳能板，立杆、地笼、 4G 物 联 网、云平 台、移动端 </w:t>
            </w:r>
            <w:r>
              <w:rPr>
                <w:rFonts w:hint="default" w:ascii="Times New Roman" w:hAnsi="Times New Roman" w:cs="Times New Roman"/>
                <w:kern w:val="0"/>
                <w:sz w:val="24"/>
                <w:szCs w:val="24"/>
                <w:lang w:val="en-US" w:eastAsia="zh-CN"/>
              </w:rPr>
              <w:t>APP</w:t>
            </w:r>
          </w:p>
        </w:tc>
        <w:tc>
          <w:tcPr>
            <w:tcW w:w="643" w:type="dxa"/>
            <w:vMerge w:val="continue"/>
            <w:noWrap w:val="0"/>
            <w:vAlign w:val="center"/>
          </w:tcPr>
          <w:p w14:paraId="09419F17">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178" w:type="dxa"/>
            <w:vMerge w:val="continue"/>
            <w:noWrap w:val="0"/>
            <w:vAlign w:val="center"/>
          </w:tcPr>
          <w:p w14:paraId="034C0014">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20CC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restart"/>
            <w:noWrap w:val="0"/>
            <w:vAlign w:val="center"/>
          </w:tcPr>
          <w:p w14:paraId="68673D8D">
            <w:pPr>
              <w:keepNext/>
              <w:widowControl w:val="0"/>
              <w:numPr>
                <w:ilvl w:val="0"/>
                <w:numId w:val="0"/>
              </w:numPr>
              <w:snapToGrid w:val="0"/>
              <w:ind w:left="0" w:leftChars="0" w:right="0" w:rightChars="0" w:firstLine="0" w:firstLineChars="0"/>
              <w:jc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b/>
                <w:bCs/>
                <w:sz w:val="24"/>
                <w:szCs w:val="24"/>
                <w:lang w:val="en-US" w:eastAsia="zh-CN"/>
              </w:rPr>
              <w:t>4、</w:t>
            </w:r>
            <w:r>
              <w:rPr>
                <w:rFonts w:hint="eastAsia" w:ascii="Times New Roman" w:hAnsi="Times New Roman" w:cs="Times New Roman"/>
                <w:b/>
                <w:bCs/>
                <w:sz w:val="24"/>
                <w:szCs w:val="24"/>
                <w:lang w:val="en-US" w:eastAsia="zh-CN"/>
              </w:rPr>
              <w:t>开路式协方差涡度系统</w:t>
            </w:r>
          </w:p>
        </w:tc>
        <w:tc>
          <w:tcPr>
            <w:tcW w:w="1221" w:type="dxa"/>
            <w:noWrap w:val="0"/>
            <w:vAlign w:val="center"/>
          </w:tcPr>
          <w:p w14:paraId="5298F9E8">
            <w:pPr>
              <w:jc w:val="center"/>
              <w:rPr>
                <w:rFonts w:hint="eastAsia" w:hAnsi="宋体"/>
                <w:b/>
                <w:color w:val="000000"/>
                <w:szCs w:val="21"/>
              </w:rPr>
            </w:pPr>
            <w:r>
              <w:rPr>
                <w:rFonts w:hint="eastAsia"/>
                <w:b/>
                <w:color w:val="000000"/>
                <w:szCs w:val="21"/>
              </w:rPr>
              <w:t>开路式</w:t>
            </w:r>
            <w:r>
              <w:rPr>
                <w:b/>
                <w:color w:val="000000"/>
                <w:szCs w:val="21"/>
              </w:rPr>
              <w:t>CO</w:t>
            </w:r>
            <w:r>
              <w:rPr>
                <w:b/>
                <w:color w:val="000000"/>
                <w:szCs w:val="21"/>
                <w:vertAlign w:val="subscript"/>
              </w:rPr>
              <w:t>2</w:t>
            </w:r>
            <w:r>
              <w:rPr>
                <w:b/>
                <w:color w:val="000000"/>
                <w:szCs w:val="21"/>
              </w:rPr>
              <w:t>/H</w:t>
            </w:r>
            <w:r>
              <w:rPr>
                <w:b/>
                <w:color w:val="000000"/>
                <w:szCs w:val="21"/>
                <w:vertAlign w:val="subscript"/>
              </w:rPr>
              <w:t>2</w:t>
            </w:r>
            <w:r>
              <w:rPr>
                <w:b/>
                <w:color w:val="000000"/>
                <w:szCs w:val="21"/>
              </w:rPr>
              <w:t>O</w:t>
            </w:r>
            <w:r>
              <w:rPr>
                <w:rFonts w:hAnsi="宋体"/>
                <w:b/>
                <w:color w:val="000000"/>
                <w:szCs w:val="21"/>
              </w:rPr>
              <w:t>分析仪</w:t>
            </w:r>
          </w:p>
          <w:p w14:paraId="73C1ADF9">
            <w:pPr>
              <w:keepNext/>
              <w:widowControl w:val="0"/>
              <w:numPr>
                <w:ilvl w:val="0"/>
                <w:numId w:val="0"/>
              </w:numPr>
              <w:snapToGrid w:val="0"/>
              <w:ind w:left="0" w:leftChars="0" w:right="0" w:rightChars="0" w:firstLine="0" w:firstLineChars="0"/>
              <w:jc w:val="center"/>
              <w:rPr>
                <w:rFonts w:hint="default" w:ascii="Times New Roman" w:hAnsi="Times New Roman" w:eastAsia="宋体" w:cs="Times New Roman"/>
                <w:kern w:val="0"/>
                <w:sz w:val="24"/>
                <w:szCs w:val="24"/>
                <w:lang w:val="en-US"/>
              </w:rPr>
            </w:pPr>
          </w:p>
        </w:tc>
        <w:tc>
          <w:tcPr>
            <w:tcW w:w="5871" w:type="dxa"/>
            <w:noWrap w:val="0"/>
            <w:vAlign w:val="center"/>
          </w:tcPr>
          <w:p w14:paraId="41EDDFC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 分析仪硬件设计方式：气体分析仪和三维超声风速仪彼此分离而非一体化，以减小分析器对风速测定的影响（尤其是垂直风分量）</w:t>
            </w:r>
          </w:p>
          <w:p w14:paraId="75529ED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2. 分析器温度设置：具备低温（5℃）和高温（30℃）两种温控模式</w:t>
            </w:r>
          </w:p>
          <w:p w14:paraId="079D7B0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3. 功耗：最小≤4W，最高≤8W</w:t>
            </w:r>
          </w:p>
          <w:p w14:paraId="0CAAE4DE">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4.  压力传感器：测量范围：20 ~110 kPa；准确度：≤±0.4 kPa （在50 ~110 kPa时）；分辨率：≤0.006 kPa</w:t>
            </w:r>
          </w:p>
          <w:p w14:paraId="2BAA753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5. 温度传感器：测量范围：−40~70℃；准确度：≤±0.25℃（在环境温度−20~70℃时）；分辨率:≤ 0.003℃</w:t>
            </w:r>
          </w:p>
          <w:p w14:paraId="12460B8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6. 基础气体采样频率：150Hz；带宽：5或10 Hz</w:t>
            </w:r>
          </w:p>
          <w:p w14:paraId="2B1B234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7. 光路长度：≤12.5cm</w:t>
            </w:r>
          </w:p>
          <w:p w14:paraId="0A55570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8. CO2测量范围：0~3000μmol/mol</w:t>
            </w:r>
          </w:p>
          <w:p w14:paraId="374A0D6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9. CO2准确度：＜1%</w:t>
            </w:r>
          </w:p>
          <w:p w14:paraId="101D7856">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10. CO2零点漂移 (℃-1) ：典型≤±0.1μmol/mol，最大≤±0.3μmol/mol</w:t>
            </w:r>
          </w:p>
          <w:p w14:paraId="3ED8DEA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11. RMS噪音/分辨率：5 Hz：≤0.08µmol/mol；10 Hz：≤0.11µmol/mol</w:t>
            </w:r>
          </w:p>
          <w:p w14:paraId="24169FA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12. 增益漂移（CO2浓度为370µmol/mol时读数的%每℃）：典型值≤±0.02%</w:t>
            </w:r>
          </w:p>
          <w:p w14:paraId="38D7CF8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13.对H2O的敏感度（mol CO2/mol H2O）：典型值≤±0.00002；最大值≤±0.00004</w:t>
            </w:r>
          </w:p>
          <w:p w14:paraId="3A2F7AD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14. H2O测量范围：0~60 mmol/mol</w:t>
            </w:r>
          </w:p>
          <w:p w14:paraId="67AD9E3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15. H2O准确度：＜1%</w:t>
            </w:r>
          </w:p>
          <w:p w14:paraId="5E82AD37">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16. H2O零点漂移 (℃-1) ：典型≤±0.03mmol/mol，最大≤±0.05 mmol/mol</w:t>
            </w:r>
          </w:p>
          <w:p w14:paraId="310CA74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17. 零点漂移 (每℃)：≤典型值±0.03 mmol/mol。</w:t>
            </w:r>
          </w:p>
          <w:p w14:paraId="0CE079D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18. RMS噪音/分辨率：5Hz：≤0.0034 mmol/mol；10 Hz：≤0.0047 mmol/mol。</w:t>
            </w:r>
          </w:p>
          <w:p w14:paraId="416EB27D">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19. 增益漂移（H2O浓度为20mmol/mol时读数的%每℃)：≤典型±0.15%。</w:t>
            </w:r>
          </w:p>
        </w:tc>
        <w:tc>
          <w:tcPr>
            <w:tcW w:w="643" w:type="dxa"/>
            <w:noWrap w:val="0"/>
            <w:vAlign w:val="center"/>
          </w:tcPr>
          <w:p w14:paraId="443F61CD">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2套</w:t>
            </w:r>
          </w:p>
        </w:tc>
        <w:tc>
          <w:tcPr>
            <w:tcW w:w="1178" w:type="dxa"/>
            <w:noWrap w:val="0"/>
            <w:vAlign w:val="center"/>
          </w:tcPr>
          <w:p w14:paraId="5DC76ECB">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63ED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blHeader/>
          <w:jc w:val="center"/>
        </w:trPr>
        <w:tc>
          <w:tcPr>
            <w:tcW w:w="1350" w:type="dxa"/>
            <w:vMerge w:val="continue"/>
            <w:noWrap w:val="0"/>
            <w:vAlign w:val="center"/>
          </w:tcPr>
          <w:p w14:paraId="14DE100B">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17EE746A">
            <w:pPr>
              <w:keepNext/>
              <w:widowControl w:val="0"/>
              <w:numPr>
                <w:ilvl w:val="0"/>
                <w:numId w:val="0"/>
              </w:numPr>
              <w:snapToGrid w:val="0"/>
              <w:ind w:left="0" w:leftChars="0" w:right="0" w:rightChars="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三维超声风速仪</w:t>
            </w:r>
          </w:p>
        </w:tc>
        <w:tc>
          <w:tcPr>
            <w:tcW w:w="5871" w:type="dxa"/>
            <w:noWrap w:val="0"/>
            <w:vAlign w:val="center"/>
          </w:tcPr>
          <w:p w14:paraId="323ED36B">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 风速</w:t>
            </w:r>
          </w:p>
          <w:p w14:paraId="379E68BE">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1.1 范围：0~45 m/s</w:t>
            </w:r>
          </w:p>
          <w:p w14:paraId="36B87C87">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1.2 分辨率：≤0.01 m/s</w:t>
            </w:r>
          </w:p>
          <w:p w14:paraId="330A9B3D">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 风向</w:t>
            </w:r>
          </w:p>
          <w:p w14:paraId="357228E7">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2.1 范围：0~359º</w:t>
            </w:r>
          </w:p>
          <w:p w14:paraId="33910A03">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2.2分辨率：≤0.1º</w:t>
            </w:r>
          </w:p>
          <w:p w14:paraId="456711F9">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3工作温度：-40~70℃</w:t>
            </w:r>
          </w:p>
          <w:p w14:paraId="39C133DD">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4 耐降水强度：不小于300mm/hr</w:t>
            </w:r>
          </w:p>
        </w:tc>
        <w:tc>
          <w:tcPr>
            <w:tcW w:w="643" w:type="dxa"/>
            <w:noWrap w:val="0"/>
            <w:vAlign w:val="center"/>
          </w:tcPr>
          <w:p w14:paraId="5A7B8D1D">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2套</w:t>
            </w:r>
          </w:p>
        </w:tc>
        <w:tc>
          <w:tcPr>
            <w:tcW w:w="1178" w:type="dxa"/>
            <w:noWrap w:val="0"/>
            <w:vAlign w:val="center"/>
          </w:tcPr>
          <w:p w14:paraId="6A2BAD0B">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09FF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429CA6B0">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11DB8AE2">
            <w:pPr>
              <w:keepNext/>
              <w:widowControl w:val="0"/>
              <w:numPr>
                <w:ilvl w:val="0"/>
                <w:numId w:val="0"/>
              </w:numPr>
              <w:snapToGrid w:val="0"/>
              <w:ind w:left="0" w:leftChars="0" w:right="0" w:rightChars="0" w:firstLine="0" w:firstLineChars="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实时在线通量计算模块</w:t>
            </w:r>
          </w:p>
        </w:tc>
        <w:tc>
          <w:tcPr>
            <w:tcW w:w="5871" w:type="dxa"/>
            <w:noWrap w:val="0"/>
            <w:vAlign w:val="center"/>
          </w:tcPr>
          <w:p w14:paraId="41912339">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 内置 GPS 模块，具有数据采集、自动修正、自动计算通量、无线下载数据并实时远程管理等功能。</w:t>
            </w:r>
          </w:p>
          <w:p w14:paraId="780110C1">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 自动在线整合通量数据与气象数据，可直接使用完全修正好的通量数据：对感热、潜热、蒸散发、CO2、H2O 样地实时和远程在线都进行完全自动修正，无需人为二次修正。</w:t>
            </w:r>
          </w:p>
          <w:p w14:paraId="5BECAE27">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数据分析软件</w:t>
            </w:r>
          </w:p>
          <w:p w14:paraId="7534C7E0">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 可实现实地的频谱修正、平面拟合等总计 58 种高级功能。</w:t>
            </w:r>
          </w:p>
          <w:p w14:paraId="21B26B76">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 支持任何频率的原始数据采样。</w:t>
            </w:r>
          </w:p>
        </w:tc>
        <w:tc>
          <w:tcPr>
            <w:tcW w:w="643" w:type="dxa"/>
            <w:noWrap w:val="0"/>
            <w:vAlign w:val="center"/>
          </w:tcPr>
          <w:p w14:paraId="4CE3780E">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bidi="ar-SA"/>
              </w:rPr>
            </w:pPr>
            <w:r>
              <w:rPr>
                <w:rFonts w:hint="eastAsia" w:ascii="Times New Roman" w:hAnsi="Times New Roman" w:cs="Times New Roman"/>
                <w:kern w:val="0"/>
                <w:sz w:val="24"/>
                <w:szCs w:val="24"/>
                <w:lang w:val="en-US" w:eastAsia="zh-CN"/>
              </w:rPr>
              <w:t>2套</w:t>
            </w:r>
          </w:p>
        </w:tc>
        <w:tc>
          <w:tcPr>
            <w:tcW w:w="1178" w:type="dxa"/>
            <w:noWrap w:val="0"/>
            <w:vAlign w:val="center"/>
          </w:tcPr>
          <w:p w14:paraId="1B2B9358">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bidi="ar-SA"/>
              </w:rPr>
            </w:pPr>
          </w:p>
        </w:tc>
      </w:tr>
      <w:tr w14:paraId="72F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1350" w:type="dxa"/>
            <w:vMerge w:val="continue"/>
            <w:noWrap w:val="0"/>
            <w:vAlign w:val="center"/>
          </w:tcPr>
          <w:p w14:paraId="6F790BBE">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28B69AC5">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其他安装配件</w:t>
            </w:r>
          </w:p>
        </w:tc>
        <w:tc>
          <w:tcPr>
            <w:tcW w:w="5871" w:type="dxa"/>
            <w:noWrap w:val="0"/>
            <w:vAlign w:val="center"/>
          </w:tcPr>
          <w:p w14:paraId="3ADEF0A7">
            <w:pPr>
              <w:rPr>
                <w:sz w:val="24"/>
                <w:szCs w:val="24"/>
                <w:lang w:eastAsia="zh-CN"/>
              </w:rPr>
            </w:pPr>
            <w:r>
              <w:rPr>
                <w:rFonts w:hint="eastAsia"/>
                <w:sz w:val="24"/>
                <w:szCs w:val="24"/>
                <w:lang w:eastAsia="zh-CN"/>
              </w:rPr>
              <w:t>无线传输模块：1 套</w:t>
            </w:r>
          </w:p>
          <w:p w14:paraId="11649B72">
            <w:pPr>
              <w:rPr>
                <w:sz w:val="24"/>
                <w:szCs w:val="24"/>
                <w:lang w:eastAsia="zh-CN"/>
              </w:rPr>
            </w:pPr>
            <w:r>
              <w:rPr>
                <w:rFonts w:hint="eastAsia"/>
                <w:sz w:val="24"/>
                <w:szCs w:val="24"/>
                <w:lang w:eastAsia="zh-CN"/>
              </w:rPr>
              <w:t>供电系统：</w:t>
            </w:r>
            <w:r>
              <w:rPr>
                <w:sz w:val="24"/>
                <w:szCs w:val="24"/>
                <w:lang w:eastAsia="zh-CN"/>
              </w:rPr>
              <w:t>1</w:t>
            </w:r>
            <w:r>
              <w:rPr>
                <w:rFonts w:hint="eastAsia"/>
                <w:sz w:val="24"/>
                <w:szCs w:val="24"/>
                <w:lang w:eastAsia="zh-CN"/>
              </w:rPr>
              <w:t>套</w:t>
            </w:r>
          </w:p>
          <w:p w14:paraId="4FA45983">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sz w:val="24"/>
                <w:szCs w:val="24"/>
                <w:lang w:eastAsia="zh-CN"/>
              </w:rPr>
              <w:t>其他安装配件：1 套</w:t>
            </w:r>
          </w:p>
        </w:tc>
        <w:tc>
          <w:tcPr>
            <w:tcW w:w="643" w:type="dxa"/>
            <w:noWrap w:val="0"/>
            <w:vAlign w:val="center"/>
          </w:tcPr>
          <w:p w14:paraId="0C2E3B28">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2套</w:t>
            </w:r>
          </w:p>
        </w:tc>
        <w:tc>
          <w:tcPr>
            <w:tcW w:w="1178" w:type="dxa"/>
            <w:noWrap w:val="0"/>
            <w:vAlign w:val="center"/>
          </w:tcPr>
          <w:p w14:paraId="4D4CF48C">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5917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1350" w:type="dxa"/>
            <w:vMerge w:val="continue"/>
            <w:noWrap w:val="0"/>
            <w:vAlign w:val="center"/>
          </w:tcPr>
          <w:p w14:paraId="7910304A">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c>
          <w:tcPr>
            <w:tcW w:w="1221" w:type="dxa"/>
            <w:noWrap w:val="0"/>
            <w:vAlign w:val="center"/>
          </w:tcPr>
          <w:p w14:paraId="2C4FD185">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配置</w:t>
            </w:r>
          </w:p>
        </w:tc>
        <w:tc>
          <w:tcPr>
            <w:tcW w:w="5871" w:type="dxa"/>
            <w:noWrap w:val="0"/>
            <w:vAlign w:val="center"/>
          </w:tcPr>
          <w:p w14:paraId="648A28D9">
            <w:pPr>
              <w:rPr>
                <w:rFonts w:hint="eastAsia" w:ascii="宋体" w:hAnsi="宋体" w:eastAsia="宋体"/>
                <w:sz w:val="24"/>
                <w:szCs w:val="24"/>
              </w:rPr>
            </w:pPr>
            <w:r>
              <w:rPr>
                <w:rFonts w:hint="eastAsia" w:ascii="宋体" w:hAnsi="宋体" w:eastAsia="宋体"/>
                <w:sz w:val="24"/>
                <w:szCs w:val="24"/>
              </w:rPr>
              <w:t>为保证产品质量，需要生产制造厂家针对本项目提供专项授权函；</w:t>
            </w:r>
          </w:p>
          <w:p w14:paraId="7BA4F148">
            <w:pPr>
              <w:rPr>
                <w:rFonts w:hint="eastAsia" w:ascii="宋体" w:hAnsi="宋体" w:eastAsia="宋体"/>
                <w:sz w:val="24"/>
                <w:szCs w:val="24"/>
              </w:rPr>
            </w:pPr>
            <w:r>
              <w:rPr>
                <w:rFonts w:hint="eastAsia" w:ascii="宋体" w:hAnsi="宋体" w:eastAsia="宋体"/>
                <w:sz w:val="24"/>
                <w:szCs w:val="24"/>
              </w:rPr>
              <w:t>1. 开路式 CO2/H2O 分析仪：1 个</w:t>
            </w:r>
          </w:p>
          <w:p w14:paraId="01C94EAC">
            <w:pPr>
              <w:rPr>
                <w:rFonts w:hint="eastAsia" w:ascii="宋体" w:hAnsi="宋体" w:eastAsia="宋体"/>
                <w:sz w:val="24"/>
                <w:szCs w:val="24"/>
              </w:rPr>
            </w:pPr>
            <w:r>
              <w:rPr>
                <w:rFonts w:hint="eastAsia" w:ascii="宋体" w:hAnsi="宋体" w:eastAsia="宋体"/>
                <w:sz w:val="24"/>
                <w:szCs w:val="24"/>
              </w:rPr>
              <w:t>2. 三维超声风速仪：1 个</w:t>
            </w:r>
          </w:p>
          <w:p w14:paraId="22DBC52C">
            <w:pPr>
              <w:rPr>
                <w:rFonts w:hint="eastAsia" w:ascii="宋体" w:hAnsi="宋体" w:eastAsia="宋体"/>
                <w:sz w:val="24"/>
                <w:szCs w:val="24"/>
              </w:rPr>
            </w:pPr>
            <w:r>
              <w:rPr>
                <w:rFonts w:hint="eastAsia" w:ascii="宋体" w:hAnsi="宋体" w:eastAsia="宋体"/>
                <w:sz w:val="24"/>
                <w:szCs w:val="24"/>
              </w:rPr>
              <w:t>3. 通量在线实时计算模块：1 个</w:t>
            </w:r>
          </w:p>
          <w:p w14:paraId="54882209">
            <w:pPr>
              <w:rPr>
                <w:rFonts w:hint="eastAsia" w:ascii="宋体" w:hAnsi="宋体" w:eastAsia="宋体"/>
                <w:sz w:val="24"/>
                <w:szCs w:val="24"/>
              </w:rPr>
            </w:pPr>
            <w:r>
              <w:rPr>
                <w:rFonts w:hint="eastAsia" w:ascii="宋体" w:hAnsi="宋体" w:eastAsia="宋体"/>
                <w:sz w:val="24"/>
                <w:szCs w:val="24"/>
              </w:rPr>
              <w:t>4. 通量数据处理软件：1 套</w:t>
            </w:r>
          </w:p>
          <w:p w14:paraId="058E8DA3">
            <w:pPr>
              <w:rPr>
                <w:rFonts w:hint="eastAsia" w:ascii="宋体" w:hAnsi="宋体" w:eastAsia="宋体"/>
                <w:sz w:val="24"/>
                <w:szCs w:val="24"/>
              </w:rPr>
            </w:pPr>
            <w:r>
              <w:rPr>
                <w:rFonts w:hint="eastAsia" w:ascii="宋体" w:hAnsi="宋体" w:eastAsia="宋体"/>
                <w:sz w:val="24"/>
                <w:szCs w:val="24"/>
              </w:rPr>
              <w:t>5. 无线传输模块：1 套</w:t>
            </w:r>
          </w:p>
          <w:p w14:paraId="48DC5BF0">
            <w:pPr>
              <w:rPr>
                <w:rFonts w:hint="eastAsia" w:ascii="宋体" w:hAnsi="宋体" w:eastAsia="宋体"/>
                <w:sz w:val="24"/>
                <w:szCs w:val="24"/>
              </w:rPr>
            </w:pPr>
            <w:r>
              <w:rPr>
                <w:rFonts w:hint="eastAsia" w:ascii="宋体" w:hAnsi="宋体" w:eastAsia="宋体"/>
                <w:sz w:val="24"/>
                <w:szCs w:val="24"/>
              </w:rPr>
              <w:t>6. 供电系统：1套</w:t>
            </w:r>
          </w:p>
          <w:p w14:paraId="4A91C0A0">
            <w:pPr>
              <w:rPr>
                <w:rFonts w:hint="eastAsia"/>
                <w:sz w:val="24"/>
                <w:szCs w:val="24"/>
                <w:lang w:eastAsia="zh-CN"/>
              </w:rPr>
            </w:pPr>
            <w:r>
              <w:rPr>
                <w:rFonts w:hint="eastAsia" w:ascii="宋体" w:hAnsi="宋体" w:eastAsia="宋体"/>
                <w:sz w:val="24"/>
                <w:szCs w:val="24"/>
              </w:rPr>
              <w:t>7 其他安装配件：1 套</w:t>
            </w:r>
          </w:p>
        </w:tc>
        <w:tc>
          <w:tcPr>
            <w:tcW w:w="643" w:type="dxa"/>
            <w:noWrap w:val="0"/>
            <w:vAlign w:val="center"/>
          </w:tcPr>
          <w:p w14:paraId="20F4FD95">
            <w:pPr>
              <w:keepNext/>
              <w:widowControl/>
              <w:snapToGrid w:val="0"/>
              <w:ind w:left="0" w:leftChars="0" w:right="0" w:rightChars="0" w:firstLine="0" w:firstLineChars="0"/>
              <w:jc w:val="both"/>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2套</w:t>
            </w:r>
          </w:p>
        </w:tc>
        <w:tc>
          <w:tcPr>
            <w:tcW w:w="1178" w:type="dxa"/>
            <w:noWrap w:val="0"/>
            <w:vAlign w:val="center"/>
          </w:tcPr>
          <w:p w14:paraId="6B0D6AC4">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3C07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1350" w:type="dxa"/>
            <w:vMerge w:val="restart"/>
            <w:noWrap w:val="0"/>
            <w:vAlign w:val="center"/>
          </w:tcPr>
          <w:p w14:paraId="1B5F2171">
            <w:pPr>
              <w:keepNext/>
              <w:widowControl/>
              <w:snapToGrid w:val="0"/>
              <w:ind w:left="0" w:leftChars="0" w:right="0" w:rightChars="0" w:firstLine="0" w:firstLineChars="0"/>
              <w:jc w:val="both"/>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5便携式土壤碳通量系统</w:t>
            </w:r>
          </w:p>
        </w:tc>
        <w:tc>
          <w:tcPr>
            <w:tcW w:w="1221" w:type="dxa"/>
            <w:noWrap w:val="0"/>
            <w:vAlign w:val="center"/>
          </w:tcPr>
          <w:p w14:paraId="5D6F66AD">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主机</w:t>
            </w:r>
          </w:p>
        </w:tc>
        <w:tc>
          <w:tcPr>
            <w:tcW w:w="5871" w:type="dxa"/>
            <w:noWrap w:val="0"/>
            <w:vAlign w:val="center"/>
          </w:tcPr>
          <w:p w14:paraId="2FDDEA5F">
            <w:pPr>
              <w:rPr>
                <w:rFonts w:hint="eastAsia" w:ascii="宋体" w:hAnsi="宋体" w:eastAsia="宋体" w:cs="宋体"/>
                <w:sz w:val="24"/>
                <w:szCs w:val="24"/>
                <w:lang w:eastAsia="zh-CN"/>
              </w:rPr>
            </w:pPr>
            <w:r>
              <w:rPr>
                <w:rFonts w:hint="eastAsia" w:ascii="宋体" w:hAnsi="宋体" w:eastAsia="宋体" w:cs="宋体"/>
                <w:sz w:val="24"/>
                <w:szCs w:val="24"/>
                <w:lang w:eastAsia="zh-CN"/>
              </w:rPr>
              <w:t>（1） CO2测量范围：0-5000ppm 。</w:t>
            </w:r>
          </w:p>
          <w:p w14:paraId="1211EC1F">
            <w:pPr>
              <w:rPr>
                <w:rFonts w:hint="eastAsia" w:ascii="宋体" w:hAnsi="宋体" w:eastAsia="宋体" w:cs="宋体"/>
                <w:sz w:val="24"/>
                <w:szCs w:val="24"/>
                <w:lang w:eastAsia="zh-CN"/>
              </w:rPr>
            </w:pPr>
            <w:r>
              <w:rPr>
                <w:rFonts w:hint="eastAsia" w:ascii="宋体" w:hAnsi="宋体" w:eastAsia="宋体" w:cs="宋体"/>
                <w:sz w:val="24"/>
                <w:szCs w:val="24"/>
                <w:lang w:eastAsia="zh-CN"/>
              </w:rPr>
              <w:t>（2) 精度：1%。</w:t>
            </w:r>
          </w:p>
          <w:p w14:paraId="617D2297">
            <w:pPr>
              <w:rPr>
                <w:rFonts w:hint="eastAsia" w:ascii="宋体" w:hAnsi="宋体" w:eastAsia="宋体" w:cs="宋体"/>
                <w:sz w:val="24"/>
                <w:szCs w:val="24"/>
                <w:lang w:eastAsia="zh-CN"/>
              </w:rPr>
            </w:pPr>
            <w:r>
              <w:rPr>
                <w:rFonts w:hint="eastAsia" w:ascii="宋体" w:hAnsi="宋体" w:eastAsia="宋体" w:cs="宋体"/>
                <w:sz w:val="24"/>
                <w:szCs w:val="24"/>
                <w:lang w:eastAsia="zh-CN"/>
              </w:rPr>
              <w:t>（3) HO2测量范围：0-100%。</w:t>
            </w:r>
          </w:p>
          <w:p w14:paraId="716ACE13">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（4) 压力补偿范围：60-115kPa。 </w:t>
            </w:r>
          </w:p>
          <w:p w14:paraId="675378E9">
            <w:pPr>
              <w:rPr>
                <w:rFonts w:hint="eastAsia" w:ascii="宋体" w:hAnsi="宋体" w:eastAsia="宋体" w:cs="宋体"/>
                <w:sz w:val="24"/>
                <w:szCs w:val="24"/>
                <w:lang w:eastAsia="zh-CN"/>
              </w:rPr>
            </w:pPr>
            <w:r>
              <w:rPr>
                <w:rFonts w:hint="eastAsia" w:ascii="宋体" w:hAnsi="宋体" w:eastAsia="宋体" w:cs="宋体"/>
                <w:sz w:val="24"/>
                <w:szCs w:val="24"/>
                <w:lang w:eastAsia="zh-CN"/>
              </w:rPr>
              <w:t>（5) 分析仪呼吸室一体化（设计分析仪内置）。</w:t>
            </w:r>
          </w:p>
          <w:p w14:paraId="179252A6">
            <w:pPr>
              <w:rPr>
                <w:rFonts w:hint="eastAsia" w:ascii="宋体" w:hAnsi="宋体" w:eastAsia="宋体" w:cs="宋体"/>
                <w:sz w:val="24"/>
                <w:szCs w:val="24"/>
                <w:lang w:eastAsia="zh-CN"/>
              </w:rPr>
            </w:pPr>
            <w:r>
              <w:rPr>
                <w:rFonts w:hint="eastAsia" w:ascii="宋体" w:hAnsi="宋体" w:eastAsia="宋体" w:cs="宋体"/>
                <w:sz w:val="24"/>
                <w:szCs w:val="24"/>
                <w:lang w:eastAsia="zh-CN"/>
              </w:rPr>
              <w:t>（6）气室支撑柱：2条。</w:t>
            </w:r>
          </w:p>
          <w:p w14:paraId="7C399A5F">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（7) 气体测量流速范围： 1000ml /min。 </w:t>
            </w:r>
          </w:p>
          <w:p w14:paraId="1D3F8BCA">
            <w:pPr>
              <w:rPr>
                <w:rFonts w:hint="eastAsia" w:ascii="宋体" w:hAnsi="宋体" w:eastAsia="宋体" w:cs="宋体"/>
                <w:sz w:val="24"/>
                <w:szCs w:val="24"/>
                <w:lang w:eastAsia="zh-CN"/>
              </w:rPr>
            </w:pPr>
            <w:r>
              <w:rPr>
                <w:rFonts w:hint="eastAsia" w:ascii="宋体" w:hAnsi="宋体" w:eastAsia="宋体" w:cs="宋体"/>
                <w:sz w:val="24"/>
                <w:szCs w:val="24"/>
                <w:lang w:eastAsia="zh-CN"/>
              </w:rPr>
              <w:t>（8) 内存：&gt;16G。</w:t>
            </w:r>
          </w:p>
          <w:p w14:paraId="6401240C">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(9)  电源：24VDC。 </w:t>
            </w:r>
          </w:p>
          <w:p w14:paraId="4A07923F">
            <w:pPr>
              <w:rPr>
                <w:rFonts w:hint="eastAsia" w:ascii="宋体" w:hAnsi="宋体" w:eastAsia="宋体" w:cs="宋体"/>
                <w:sz w:val="24"/>
                <w:szCs w:val="24"/>
                <w:lang w:eastAsia="zh-CN"/>
              </w:rPr>
            </w:pPr>
            <w:r>
              <w:rPr>
                <w:rFonts w:hint="eastAsia" w:ascii="宋体" w:hAnsi="宋体" w:eastAsia="宋体" w:cs="宋体"/>
                <w:sz w:val="24"/>
                <w:szCs w:val="24"/>
                <w:lang w:eastAsia="zh-CN"/>
              </w:rPr>
              <w:t>(10) 耗电量： &lt;10W。</w:t>
            </w:r>
          </w:p>
          <w:p w14:paraId="762E3E2F">
            <w:pPr>
              <w:rPr>
                <w:rFonts w:hint="eastAsia" w:ascii="宋体" w:hAnsi="宋体" w:eastAsia="宋体" w:cs="宋体"/>
                <w:sz w:val="24"/>
                <w:szCs w:val="24"/>
                <w:lang w:eastAsia="zh-CN"/>
              </w:rPr>
            </w:pPr>
            <w:r>
              <w:rPr>
                <w:rFonts w:hint="eastAsia" w:ascii="宋体" w:hAnsi="宋体" w:eastAsia="宋体" w:cs="宋体"/>
                <w:sz w:val="24"/>
                <w:szCs w:val="24"/>
                <w:lang w:eastAsia="zh-CN"/>
              </w:rPr>
              <w:t>(11) 气室体积：&gt;4000cm3。</w:t>
            </w:r>
          </w:p>
          <w:p w14:paraId="5D4C8854">
            <w:pPr>
              <w:rPr>
                <w:rFonts w:hint="eastAsia" w:ascii="宋体" w:hAnsi="宋体" w:eastAsia="宋体" w:cs="宋体"/>
                <w:sz w:val="24"/>
                <w:szCs w:val="24"/>
                <w:lang w:eastAsia="zh-CN"/>
              </w:rPr>
            </w:pPr>
            <w:r>
              <w:rPr>
                <w:rFonts w:hint="eastAsia" w:ascii="宋体" w:hAnsi="宋体" w:eastAsia="宋体" w:cs="宋体"/>
                <w:sz w:val="24"/>
                <w:szCs w:val="24"/>
                <w:lang w:eastAsia="zh-CN"/>
              </w:rPr>
              <w:t>(12) 软件：web和APP显示软件可直接输出通量值（提供软件注册权证明材料）。</w:t>
            </w:r>
          </w:p>
          <w:p w14:paraId="649DE5FD">
            <w:pPr>
              <w:rPr>
                <w:rFonts w:hint="eastAsia" w:ascii="宋体" w:hAnsi="宋体" w:eastAsia="宋体" w:cs="宋体"/>
                <w:sz w:val="24"/>
                <w:szCs w:val="24"/>
                <w:lang w:eastAsia="zh-CN"/>
              </w:rPr>
            </w:pPr>
            <w:r>
              <w:rPr>
                <w:rFonts w:hint="eastAsia" w:ascii="宋体" w:hAnsi="宋体" w:eastAsia="宋体" w:cs="宋体"/>
                <w:sz w:val="24"/>
                <w:szCs w:val="24"/>
                <w:lang w:eastAsia="zh-CN"/>
              </w:rPr>
              <w:t>(13）通信方式：WIFI，RS232。</w:t>
            </w:r>
          </w:p>
          <w:p w14:paraId="23BB039C">
            <w:pPr>
              <w:rPr>
                <w:rFonts w:hint="eastAsia" w:ascii="宋体" w:hAnsi="宋体" w:eastAsia="宋体" w:cs="宋体"/>
                <w:sz w:val="24"/>
                <w:szCs w:val="24"/>
                <w:lang w:eastAsia="zh-CN"/>
              </w:rPr>
            </w:pPr>
            <w:r>
              <w:rPr>
                <w:rFonts w:hint="eastAsia" w:ascii="宋体" w:hAnsi="宋体" w:eastAsia="宋体" w:cs="宋体"/>
                <w:sz w:val="24"/>
                <w:szCs w:val="24"/>
                <w:lang w:eastAsia="zh-CN"/>
              </w:rPr>
              <w:t>(14)空气温湿度，量程： -20 至 +50℃. 精度:25℃下 ± 0.5%。</w:t>
            </w:r>
          </w:p>
          <w:p w14:paraId="4D9F0582">
            <w:pPr>
              <w:rPr>
                <w:rFonts w:hint="eastAsia" w:ascii="宋体" w:hAnsi="宋体" w:eastAsia="宋体" w:cs="宋体"/>
                <w:sz w:val="24"/>
                <w:szCs w:val="24"/>
                <w:lang w:eastAsia="zh-CN"/>
              </w:rPr>
            </w:pPr>
            <w:r>
              <w:rPr>
                <w:rFonts w:hint="eastAsia" w:ascii="宋体" w:hAnsi="宋体" w:eastAsia="宋体" w:cs="宋体"/>
                <w:sz w:val="24"/>
                <w:szCs w:val="24"/>
                <w:lang w:eastAsia="zh-CN"/>
              </w:rPr>
              <w:t>(15)重量：&lt; 4KG。</w:t>
            </w:r>
          </w:p>
          <w:p w14:paraId="774EB6FB">
            <w:pPr>
              <w:rPr>
                <w:rFonts w:hint="eastAsia" w:ascii="宋体" w:hAnsi="宋体" w:eastAsia="宋体" w:cs="宋体"/>
                <w:sz w:val="24"/>
                <w:szCs w:val="24"/>
                <w:lang w:eastAsia="zh-CN"/>
              </w:rPr>
            </w:pPr>
            <w:r>
              <w:rPr>
                <w:rFonts w:hint="eastAsia" w:ascii="宋体" w:hAnsi="宋体" w:eastAsia="宋体" w:cs="宋体"/>
                <w:sz w:val="24"/>
                <w:szCs w:val="24"/>
                <w:lang w:eastAsia="zh-CN"/>
              </w:rPr>
              <w:t>（16）GPS或者北斗定位精度：3mCEP。</w:t>
            </w:r>
          </w:p>
          <w:p w14:paraId="5218E2C9">
            <w:pPr>
              <w:rPr>
                <w:rFonts w:hint="eastAsia" w:ascii="宋体" w:hAnsi="宋体" w:eastAsia="宋体" w:cs="宋体"/>
                <w:sz w:val="24"/>
                <w:szCs w:val="24"/>
                <w:lang w:eastAsia="zh-CN"/>
              </w:rPr>
            </w:pPr>
            <w:r>
              <w:rPr>
                <w:rFonts w:hint="eastAsia" w:ascii="宋体" w:hAnsi="宋体" w:eastAsia="宋体" w:cs="宋体"/>
                <w:sz w:val="24"/>
                <w:szCs w:val="24"/>
                <w:lang w:eastAsia="zh-CN"/>
              </w:rPr>
              <w:t>(17）土壤水分传感器，传感器输出参数：土壤温度、土壤含水量。</w:t>
            </w:r>
          </w:p>
          <w:p w14:paraId="212B10DF">
            <w:pPr>
              <w:rPr>
                <w:rFonts w:hint="eastAsia"/>
                <w:sz w:val="24"/>
                <w:szCs w:val="24"/>
                <w:lang w:eastAsia="zh-CN"/>
              </w:rPr>
            </w:pPr>
            <w:r>
              <w:rPr>
                <w:rFonts w:hint="eastAsia" w:ascii="宋体" w:hAnsi="宋体" w:eastAsia="宋体" w:cs="宋体"/>
                <w:sz w:val="24"/>
                <w:szCs w:val="24"/>
                <w:lang w:eastAsia="zh-CN"/>
              </w:rPr>
              <w:t>（18）生产厂家具有仪器制造资质并具有国军标质量体系认证。</w:t>
            </w:r>
          </w:p>
        </w:tc>
        <w:tc>
          <w:tcPr>
            <w:tcW w:w="643" w:type="dxa"/>
            <w:noWrap w:val="0"/>
            <w:vAlign w:val="center"/>
          </w:tcPr>
          <w:p w14:paraId="5723BB62">
            <w:pPr>
              <w:keepNext/>
              <w:widowControl/>
              <w:snapToGrid w:val="0"/>
              <w:ind w:left="0" w:leftChars="0" w:right="0" w:rightChars="0" w:firstLine="0" w:firstLineChars="0"/>
              <w:jc w:val="both"/>
              <w:rPr>
                <w:rFonts w:hint="default" w:ascii="Times New Roman" w:hAnsi="Times New Roman" w:cs="Times New Roman"/>
                <w:kern w:val="0"/>
                <w:sz w:val="24"/>
                <w:szCs w:val="24"/>
                <w:lang w:val="en-US" w:eastAsia="zh-CN"/>
              </w:rPr>
            </w:pPr>
            <w:r>
              <w:rPr>
                <w:rFonts w:hint="eastAsia" w:ascii="Times New Roman" w:hAnsi="Times New Roman" w:cs="Times New Roman"/>
                <w:kern w:val="0"/>
                <w:sz w:val="24"/>
                <w:szCs w:val="24"/>
                <w:lang w:val="en-US" w:eastAsia="zh-CN"/>
              </w:rPr>
              <w:t>1台</w:t>
            </w:r>
          </w:p>
        </w:tc>
        <w:tc>
          <w:tcPr>
            <w:tcW w:w="1178" w:type="dxa"/>
            <w:noWrap w:val="0"/>
            <w:vAlign w:val="center"/>
          </w:tcPr>
          <w:p w14:paraId="3554474E">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6CFB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1350" w:type="dxa"/>
            <w:vMerge w:val="continue"/>
            <w:noWrap w:val="0"/>
            <w:vAlign w:val="center"/>
          </w:tcPr>
          <w:p w14:paraId="4CC40640">
            <w:pPr>
              <w:keepNext/>
              <w:widowControl/>
              <w:snapToGrid w:val="0"/>
              <w:ind w:left="0" w:leftChars="0" w:right="0" w:rightChars="0" w:firstLine="0" w:firstLineChars="0"/>
              <w:jc w:val="both"/>
            </w:pPr>
          </w:p>
        </w:tc>
        <w:tc>
          <w:tcPr>
            <w:tcW w:w="1221" w:type="dxa"/>
            <w:noWrap w:val="0"/>
            <w:vAlign w:val="center"/>
          </w:tcPr>
          <w:p w14:paraId="2FD5F1CB">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配置</w:t>
            </w:r>
          </w:p>
        </w:tc>
        <w:tc>
          <w:tcPr>
            <w:tcW w:w="5871" w:type="dxa"/>
            <w:noWrap w:val="0"/>
            <w:vAlign w:val="center"/>
          </w:tcPr>
          <w:p w14:paraId="22E253D2">
            <w:pPr>
              <w:rPr>
                <w:rFonts w:hint="default" w:ascii="Times New Roman" w:hAnsi="Times New Roman" w:eastAsia="宋体" w:cs="Times New Roman"/>
                <w:sz w:val="24"/>
                <w:szCs w:val="24"/>
                <w:lang w:val="en-US" w:eastAsia="zh-CN"/>
              </w:rPr>
            </w:pPr>
            <w:r>
              <w:rPr>
                <w:rFonts w:hint="eastAsia" w:ascii="宋体" w:hAnsi="宋体" w:eastAsia="宋体"/>
                <w:color w:val="000000" w:themeColor="text1"/>
                <w:sz w:val="24"/>
                <w:szCs w:val="24"/>
                <w14:textFill>
                  <w14:solidFill>
                    <w14:schemeClr w14:val="tx1"/>
                  </w14:solidFill>
                </w14:textFill>
              </w:rPr>
              <w:t>土壤温室气体测量仪主机1套，19AH电池2块，北斗定位模块1个，充电器1个，便携箱1个，土壤水分，温度探头1套，土环3个，CO2校准模块1个。</w:t>
            </w:r>
          </w:p>
        </w:tc>
        <w:tc>
          <w:tcPr>
            <w:tcW w:w="643" w:type="dxa"/>
            <w:noWrap w:val="0"/>
            <w:vAlign w:val="center"/>
          </w:tcPr>
          <w:p w14:paraId="1392816F">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1台</w:t>
            </w:r>
          </w:p>
        </w:tc>
        <w:tc>
          <w:tcPr>
            <w:tcW w:w="1178" w:type="dxa"/>
            <w:noWrap w:val="0"/>
            <w:vAlign w:val="center"/>
          </w:tcPr>
          <w:p w14:paraId="4A8C540D">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r>
      <w:tr w14:paraId="0E7A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restart"/>
            <w:noWrap w:val="0"/>
            <w:vAlign w:val="center"/>
          </w:tcPr>
          <w:p w14:paraId="1F486AA4">
            <w:pPr>
              <w:keepNext/>
              <w:widowControl/>
              <w:snapToGrid w:val="0"/>
              <w:ind w:left="0" w:leftChars="0" w:right="0" w:rightChars="0" w:firstLine="0" w:firstLineChars="0"/>
              <w:jc w:val="both"/>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6、地下水位记录仪</w:t>
            </w:r>
          </w:p>
        </w:tc>
        <w:tc>
          <w:tcPr>
            <w:tcW w:w="1221" w:type="dxa"/>
            <w:noWrap w:val="0"/>
            <w:vAlign w:val="center"/>
          </w:tcPr>
          <w:p w14:paraId="3CFE3DC3">
            <w:pPr>
              <w:keepNext/>
              <w:snapToGrid w:val="0"/>
              <w:ind w:left="0" w:leftChars="0" w:right="0" w:rightChars="0" w:firstLine="0" w:firstLineChars="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操作范围</w:t>
            </w:r>
          </w:p>
        </w:tc>
        <w:tc>
          <w:tcPr>
            <w:tcW w:w="5871" w:type="dxa"/>
            <w:noWrap w:val="0"/>
            <w:vAlign w:val="center"/>
          </w:tcPr>
          <w:p w14:paraId="623803F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操作范围：0–207kPa(0到30psia);0到9米(0到30英尺)的水深在海平面上,或0到12米(0到40英尺)的水,海拔3000米(10000英尺)的高度；</w:t>
            </w:r>
          </w:p>
          <w:p w14:paraId="73FC3FA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工厂校准范围：</w:t>
            </w:r>
          </w:p>
          <w:p w14:paraId="77510B5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69–207kPa(10到30psia),0°-40°C(32°-104°F)</w:t>
            </w:r>
          </w:p>
          <w:p w14:paraId="5A650378">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爆破压力：310kPa(45psia)或18米(60英尺)的深度</w:t>
            </w:r>
          </w:p>
          <w:p w14:paraId="3D28EA81">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水位精度：典型误差:±0.1%FS,1.0厘米(0.03英尺)的水，最大误差:±0.2%FS,2.0厘米(0.06英尺)的水</w:t>
            </w:r>
          </w:p>
          <w:p w14:paraId="489F27E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压力精度：±0.3%FS,0.62kPa(0.09psi)最大误差</w:t>
            </w:r>
          </w:p>
          <w:p w14:paraId="5C13F0A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分辨率：&lt;0.02kPa(0.003psi),0.21厘米(0.007英尺)的水</w:t>
            </w:r>
          </w:p>
          <w:p w14:paraId="073B402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压力响应时间(90%)***：&lt;1秒@稳定温度,测量精度也取决于温度响应时间</w:t>
            </w:r>
          </w:p>
        </w:tc>
        <w:tc>
          <w:tcPr>
            <w:tcW w:w="643" w:type="dxa"/>
            <w:vMerge w:val="restart"/>
            <w:noWrap w:val="0"/>
            <w:vAlign w:val="center"/>
          </w:tcPr>
          <w:p w14:paraId="10DC5368">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6</w:t>
            </w:r>
            <w:r>
              <w:rPr>
                <w:rFonts w:hint="eastAsia" w:ascii="Times New Roman" w:hAnsi="Times New Roman" w:cs="Times New Roman"/>
                <w:kern w:val="0"/>
                <w:sz w:val="24"/>
                <w:szCs w:val="24"/>
                <w:lang w:val="en-US" w:eastAsia="zh-CN"/>
              </w:rPr>
              <w:t>套</w:t>
            </w:r>
          </w:p>
          <w:p w14:paraId="6881388F">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p>
        </w:tc>
        <w:tc>
          <w:tcPr>
            <w:tcW w:w="1178" w:type="dxa"/>
            <w:noWrap w:val="0"/>
            <w:vAlign w:val="center"/>
          </w:tcPr>
          <w:p w14:paraId="13767DE2">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bidi="ar-SA"/>
              </w:rPr>
            </w:pPr>
          </w:p>
        </w:tc>
      </w:tr>
      <w:tr w14:paraId="252A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563A2858">
            <w:pPr>
              <w:keepNext/>
              <w:widowControl/>
              <w:snapToGrid w:val="0"/>
              <w:ind w:left="0" w:leftChars="0" w:right="0" w:rightChars="0" w:firstLine="0" w:firstLineChars="0"/>
              <w:jc w:val="both"/>
              <w:rPr>
                <w:rFonts w:hint="default" w:ascii="Times New Roman" w:hAnsi="Times New Roman" w:eastAsia="宋体" w:cs="Times New Roman"/>
                <w:b/>
                <w:bCs/>
                <w:sz w:val="24"/>
                <w:szCs w:val="24"/>
                <w:lang w:val="en-US" w:eastAsia="zh-CN"/>
              </w:rPr>
            </w:pPr>
          </w:p>
        </w:tc>
        <w:tc>
          <w:tcPr>
            <w:tcW w:w="1221" w:type="dxa"/>
            <w:noWrap w:val="0"/>
            <w:vAlign w:val="center"/>
          </w:tcPr>
          <w:p w14:paraId="3C2B13F1">
            <w:pPr>
              <w:keepNext/>
              <w:snapToGrid w:val="0"/>
              <w:ind w:left="0" w:leftChars="0" w:right="0" w:rightChars="0" w:firstLine="0" w:firstLineChars="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温度测量</w:t>
            </w:r>
          </w:p>
        </w:tc>
        <w:tc>
          <w:tcPr>
            <w:tcW w:w="5871" w:type="dxa"/>
            <w:noWrap w:val="0"/>
            <w:vAlign w:val="center"/>
          </w:tcPr>
          <w:p w14:paraId="3D7F6CA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操作范围：-20°C-50°C(4°F–122°F)</w:t>
            </w:r>
          </w:p>
          <w:p w14:paraId="5A8279F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精度：±0.44°C@0-50°C(±0.79°F从32°-122°F)</w:t>
            </w:r>
          </w:p>
          <w:p w14:paraId="33640D9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分辨率：</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"mailto:0.10°C@25°C(0.18°F@77°F)"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0.10°C@25°C(0.18°F@77°F)</w:t>
            </w:r>
            <w:r>
              <w:rPr>
                <w:rFonts w:hint="eastAsia" w:ascii="宋体" w:hAnsi="宋体" w:eastAsia="宋体" w:cs="宋体"/>
                <w:kern w:val="0"/>
                <w:sz w:val="24"/>
                <w:szCs w:val="24"/>
                <w:lang w:val="en-US" w:eastAsia="zh-CN"/>
              </w:rPr>
              <w:fldChar w:fldCharType="end"/>
            </w:r>
          </w:p>
          <w:p w14:paraId="64C470F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响应时间(90%)：10分钟，典型6</w:t>
            </w:r>
          </w:p>
          <w:p w14:paraId="0A34CAE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稳定性(漂移)：0.1°C(0.18°F)每年</w:t>
            </w:r>
          </w:p>
        </w:tc>
        <w:tc>
          <w:tcPr>
            <w:tcW w:w="643" w:type="dxa"/>
            <w:vMerge w:val="continue"/>
            <w:noWrap w:val="0"/>
            <w:vAlign w:val="center"/>
          </w:tcPr>
          <w:p w14:paraId="60C35DEA">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p>
        </w:tc>
        <w:tc>
          <w:tcPr>
            <w:tcW w:w="1178" w:type="dxa"/>
            <w:noWrap w:val="0"/>
            <w:vAlign w:val="center"/>
          </w:tcPr>
          <w:p w14:paraId="364B4466">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08DE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50" w:type="dxa"/>
            <w:vMerge w:val="continue"/>
            <w:noWrap w:val="0"/>
            <w:vAlign w:val="center"/>
          </w:tcPr>
          <w:p w14:paraId="04F3C062">
            <w:pPr>
              <w:keepNext/>
              <w:widowControl/>
              <w:snapToGrid w:val="0"/>
              <w:ind w:left="0" w:leftChars="0" w:right="0" w:rightChars="0" w:firstLine="0" w:firstLineChars="0"/>
              <w:jc w:val="both"/>
              <w:rPr>
                <w:rFonts w:hint="default" w:ascii="Times New Roman" w:hAnsi="Times New Roman" w:eastAsia="宋体" w:cs="Times New Roman"/>
                <w:b/>
                <w:bCs/>
                <w:sz w:val="24"/>
                <w:szCs w:val="24"/>
                <w:lang w:val="en-US" w:eastAsia="zh-CN"/>
              </w:rPr>
            </w:pPr>
          </w:p>
        </w:tc>
        <w:tc>
          <w:tcPr>
            <w:tcW w:w="1221" w:type="dxa"/>
            <w:noWrap w:val="0"/>
            <w:vAlign w:val="center"/>
          </w:tcPr>
          <w:p w14:paraId="559BA5F4">
            <w:pPr>
              <w:keepNext/>
              <w:snapToGrid w:val="0"/>
              <w:ind w:left="0" w:leftChars="0" w:right="0" w:rightChars="0" w:firstLine="0" w:firstLineChars="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数据记录器</w:t>
            </w:r>
          </w:p>
        </w:tc>
        <w:tc>
          <w:tcPr>
            <w:tcW w:w="5871" w:type="dxa"/>
            <w:noWrap w:val="0"/>
            <w:vAlign w:val="center"/>
          </w:tcPr>
          <w:p w14:paraId="491DB6A2">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实时时钟：±1分钟每月@0-50°C(32°-122°F)</w:t>
            </w:r>
          </w:p>
          <w:p w14:paraId="1CAF34BA">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电池：2/3AA，3.6V锂电池，返厂更换电池</w:t>
            </w:r>
          </w:p>
          <w:p w14:paraId="589DAB5C">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电池寿命：5年@1分钟或更大的记录间隔，典型</w:t>
            </w:r>
          </w:p>
          <w:p w14:paraId="2385A67F">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内存(非易失性)：64k内存（约21700组压力和温度数据)</w:t>
            </w:r>
          </w:p>
          <w:p w14:paraId="011A05C0">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重量：约154克(5.43盎司)在空气中；约53.9克(1.9盎司)在淡水中</w:t>
            </w:r>
          </w:p>
          <w:p w14:paraId="593395B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安装孔直径6.3毫米(0.25英寸)</w:t>
            </w:r>
          </w:p>
          <w:p w14:paraId="6ADEAEC5">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记录时间间隔：1秒到18个小时</w:t>
            </w:r>
          </w:p>
          <w:p w14:paraId="36F932E9">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启动模式：立即开启和延迟开启</w:t>
            </w:r>
          </w:p>
          <w:p w14:paraId="0ECD15E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数据下载：记录下载；停止后下载</w:t>
            </w:r>
          </w:p>
          <w:p w14:paraId="491504C4">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电池指示：状态屏幕可以查看电池电压,选择记录电池电压；低电池指示功能。</w:t>
            </w:r>
          </w:p>
        </w:tc>
        <w:tc>
          <w:tcPr>
            <w:tcW w:w="643" w:type="dxa"/>
            <w:vMerge w:val="continue"/>
            <w:noWrap w:val="0"/>
            <w:vAlign w:val="center"/>
          </w:tcPr>
          <w:p w14:paraId="7244B1EA">
            <w:pPr>
              <w:keepNext/>
              <w:widowControl/>
              <w:snapToGrid w:val="0"/>
              <w:ind w:left="0" w:leftChars="0" w:right="0" w:rightChars="0" w:firstLine="0" w:firstLineChars="0"/>
              <w:jc w:val="both"/>
              <w:rPr>
                <w:rFonts w:hint="default" w:ascii="Times New Roman" w:hAnsi="Times New Roman" w:eastAsia="宋体" w:cs="Times New Roman"/>
                <w:kern w:val="0"/>
                <w:sz w:val="24"/>
                <w:szCs w:val="24"/>
                <w:lang w:val="en-US" w:eastAsia="zh-CN"/>
              </w:rPr>
            </w:pPr>
          </w:p>
        </w:tc>
        <w:tc>
          <w:tcPr>
            <w:tcW w:w="1178" w:type="dxa"/>
            <w:noWrap w:val="0"/>
            <w:vAlign w:val="center"/>
          </w:tcPr>
          <w:p w14:paraId="25F91395">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740E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blHeader/>
          <w:jc w:val="center"/>
        </w:trPr>
        <w:tc>
          <w:tcPr>
            <w:tcW w:w="1350" w:type="dxa"/>
            <w:vMerge w:val="restart"/>
            <w:noWrap w:val="0"/>
            <w:vAlign w:val="center"/>
          </w:tcPr>
          <w:p w14:paraId="3C106568">
            <w:pPr>
              <w:keepNext/>
              <w:widowControl/>
              <w:snapToGrid w:val="0"/>
              <w:ind w:left="0" w:leftChars="0" w:right="0" w:rightChars="0" w:firstLine="0" w:firstLineChars="0"/>
              <w:jc w:val="both"/>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7、</w:t>
            </w:r>
            <w:r>
              <w:rPr>
                <w:rFonts w:hint="eastAsia" w:ascii="Times New Roman" w:hAnsi="Times New Roman" w:cs="Times New Roman"/>
                <w:b/>
                <w:bCs/>
                <w:sz w:val="24"/>
                <w:szCs w:val="24"/>
                <w:lang w:val="en-US" w:eastAsia="zh-CN"/>
              </w:rPr>
              <w:t>便携式</w:t>
            </w:r>
            <w:r>
              <w:rPr>
                <w:rFonts w:hint="eastAsia" w:ascii="Times New Roman" w:hAnsi="Times New Roman" w:eastAsia="宋体" w:cs="Times New Roman"/>
                <w:b/>
                <w:bCs/>
                <w:sz w:val="24"/>
                <w:szCs w:val="24"/>
                <w:lang w:val="en-US" w:eastAsia="zh-CN"/>
              </w:rPr>
              <w:t>光合仪</w:t>
            </w:r>
          </w:p>
          <w:p w14:paraId="79C61B23">
            <w:pPr>
              <w:keepNext/>
              <w:widowControl/>
              <w:snapToGrid w:val="0"/>
              <w:ind w:left="0" w:leftChars="0" w:right="0" w:rightChars="0" w:firstLine="0" w:firstLineChars="0"/>
              <w:jc w:val="both"/>
              <w:rPr>
                <w:rFonts w:hint="default" w:ascii="Times New Roman" w:hAnsi="Times New Roman" w:eastAsia="宋体" w:cs="Times New Roman"/>
                <w:b/>
                <w:bCs/>
                <w:sz w:val="24"/>
                <w:szCs w:val="24"/>
                <w:lang w:val="en-US" w:eastAsia="zh-CN"/>
              </w:rPr>
            </w:pPr>
          </w:p>
        </w:tc>
        <w:tc>
          <w:tcPr>
            <w:tcW w:w="1221" w:type="dxa"/>
            <w:noWrap w:val="0"/>
            <w:vAlign w:val="center"/>
          </w:tcPr>
          <w:p w14:paraId="06A6CCA2">
            <w:pPr>
              <w:keepNext/>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分析器</w:t>
            </w:r>
          </w:p>
        </w:tc>
        <w:tc>
          <w:tcPr>
            <w:tcW w:w="5871" w:type="dxa"/>
            <w:noWrap w:val="0"/>
            <w:vAlign w:val="center"/>
          </w:tcPr>
          <w:p w14:paraId="09FACDF6">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sz w:val="24"/>
                <w:szCs w:val="24"/>
              </w:rPr>
              <w:t>分析器位置：红外分析器位于叶室头部，以实现参比室和样品室测量的同步性，如果位于主机内部将造成时滞和压力梯度造成的误差</w:t>
            </w:r>
          </w:p>
          <w:p w14:paraId="4DD70FF0">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分析器：绝对开路式非扩散红外CO</w:t>
            </w:r>
            <w:r>
              <w:rPr>
                <w:rFonts w:hint="eastAsia" w:ascii="宋体" w:hAnsi="宋体" w:eastAsia="宋体" w:cs="宋体"/>
                <w:sz w:val="24"/>
                <w:szCs w:val="24"/>
                <w:vertAlign w:val="subscript"/>
              </w:rPr>
              <w:t>2</w:t>
            </w:r>
            <w:r>
              <w:rPr>
                <w:rFonts w:hint="eastAsia" w:ascii="宋体" w:hAnsi="宋体" w:eastAsia="宋体" w:cs="宋体"/>
                <w:sz w:val="24"/>
                <w:szCs w:val="24"/>
              </w:rPr>
              <w:t>/H</w:t>
            </w:r>
            <w:r>
              <w:rPr>
                <w:rFonts w:hint="eastAsia" w:ascii="宋体" w:hAnsi="宋体" w:eastAsia="宋体" w:cs="宋体"/>
                <w:sz w:val="24"/>
                <w:szCs w:val="24"/>
                <w:vertAlign w:val="subscript"/>
              </w:rPr>
              <w:t>2</w:t>
            </w:r>
            <w:r>
              <w:rPr>
                <w:rFonts w:hint="eastAsia" w:ascii="宋体" w:hAnsi="宋体" w:eastAsia="宋体" w:cs="宋体"/>
                <w:sz w:val="24"/>
                <w:szCs w:val="24"/>
              </w:rPr>
              <w:t>O分析器</w:t>
            </w:r>
          </w:p>
          <w:p w14:paraId="6235C53A">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CO</w:t>
            </w:r>
            <w:r>
              <w:rPr>
                <w:rFonts w:hint="eastAsia" w:ascii="宋体" w:hAnsi="宋体" w:eastAsia="宋体" w:cs="宋体"/>
                <w:sz w:val="24"/>
                <w:szCs w:val="24"/>
                <w:vertAlign w:val="subscript"/>
              </w:rPr>
              <w:t>2</w:t>
            </w:r>
            <w:r>
              <w:rPr>
                <w:rFonts w:hint="eastAsia" w:ascii="宋体" w:hAnsi="宋体" w:eastAsia="宋体" w:cs="宋体"/>
                <w:sz w:val="24"/>
                <w:szCs w:val="24"/>
              </w:rPr>
              <w:t>量程：0-3000 µmol mol</w:t>
            </w:r>
            <w:r>
              <w:rPr>
                <w:rFonts w:hint="eastAsia" w:ascii="宋体" w:hAnsi="宋体" w:eastAsia="宋体" w:cs="宋体"/>
                <w:sz w:val="24"/>
                <w:szCs w:val="24"/>
                <w:vertAlign w:val="superscript"/>
              </w:rPr>
              <w:t>-1</w:t>
            </w:r>
          </w:p>
          <w:p w14:paraId="3506DB48">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CO</w:t>
            </w:r>
            <w:r>
              <w:rPr>
                <w:rFonts w:hint="eastAsia" w:ascii="宋体" w:hAnsi="宋体" w:eastAsia="宋体" w:cs="宋体"/>
                <w:sz w:val="24"/>
                <w:szCs w:val="24"/>
                <w:vertAlign w:val="subscript"/>
              </w:rPr>
              <w:t>2</w:t>
            </w:r>
            <w:r>
              <w:rPr>
                <w:rFonts w:hint="eastAsia" w:ascii="宋体" w:hAnsi="宋体" w:eastAsia="宋体" w:cs="宋体"/>
                <w:sz w:val="24"/>
                <w:szCs w:val="24"/>
              </w:rPr>
              <w:t>信号噪声：</w:t>
            </w:r>
            <w:r>
              <w:rPr>
                <w:rFonts w:hint="eastAsia" w:ascii="宋体" w:hAnsi="宋体" w:eastAsia="宋体" w:cs="宋体"/>
                <w:color w:val="000000"/>
                <w:sz w:val="24"/>
                <w:szCs w:val="24"/>
              </w:rPr>
              <w:t>400 μmol/mol时，信号噪声RMS ≤0.1 μmol/mol@4s信号</w:t>
            </w:r>
          </w:p>
          <w:p w14:paraId="780258ED">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H</w:t>
            </w:r>
            <w:r>
              <w:rPr>
                <w:rFonts w:hint="eastAsia" w:ascii="宋体" w:hAnsi="宋体" w:eastAsia="宋体" w:cs="宋体"/>
                <w:sz w:val="24"/>
                <w:szCs w:val="24"/>
                <w:vertAlign w:val="subscript"/>
              </w:rPr>
              <w:t>2</w:t>
            </w:r>
            <w:r>
              <w:rPr>
                <w:rFonts w:hint="eastAsia" w:ascii="宋体" w:hAnsi="宋体" w:eastAsia="宋体" w:cs="宋体"/>
                <w:sz w:val="24"/>
                <w:szCs w:val="24"/>
              </w:rPr>
              <w:t>O量程：0-75mmol mo</w:t>
            </w:r>
            <w:r>
              <w:rPr>
                <w:rFonts w:hint="eastAsia" w:ascii="宋体" w:hAnsi="宋体" w:eastAsia="宋体" w:cs="宋体"/>
                <w:sz w:val="24"/>
                <w:szCs w:val="24"/>
                <w:vertAlign w:val="superscript"/>
              </w:rPr>
              <w:t>l-1</w:t>
            </w:r>
          </w:p>
          <w:p w14:paraId="219331B3">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H</w:t>
            </w:r>
            <w:r>
              <w:rPr>
                <w:rFonts w:hint="eastAsia" w:ascii="宋体" w:hAnsi="宋体" w:eastAsia="宋体" w:cs="宋体"/>
                <w:sz w:val="24"/>
                <w:szCs w:val="24"/>
                <w:vertAlign w:val="subscript"/>
              </w:rPr>
              <w:t>2</w:t>
            </w:r>
            <w:r>
              <w:rPr>
                <w:rFonts w:hint="eastAsia" w:ascii="宋体" w:hAnsi="宋体" w:eastAsia="宋体" w:cs="宋体"/>
                <w:sz w:val="24"/>
                <w:szCs w:val="24"/>
              </w:rPr>
              <w:t xml:space="preserve">O信号噪声：10 mmol/mol时，信号噪声RMS </w:t>
            </w:r>
            <w:r>
              <w:rPr>
                <w:rFonts w:hint="eastAsia" w:ascii="宋体" w:hAnsi="宋体" w:eastAsia="宋体" w:cs="宋体"/>
                <w:color w:val="000000"/>
                <w:sz w:val="24"/>
                <w:szCs w:val="24"/>
              </w:rPr>
              <w:t>≤</w:t>
            </w:r>
            <w:r>
              <w:rPr>
                <w:rFonts w:hint="eastAsia" w:ascii="宋体" w:hAnsi="宋体" w:eastAsia="宋体" w:cs="宋体"/>
                <w:sz w:val="24"/>
                <w:szCs w:val="24"/>
              </w:rPr>
              <w:t>0.01 mmol/mol@4s信号</w:t>
            </w:r>
          </w:p>
          <w:p w14:paraId="5A75FD93">
            <w:pPr>
              <w:pStyle w:val="55"/>
              <w:numPr>
                <w:ilvl w:val="0"/>
                <w:numId w:val="0"/>
              </w:numPr>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H</w:t>
            </w:r>
            <w:r>
              <w:rPr>
                <w:rFonts w:hint="eastAsia" w:ascii="宋体" w:hAnsi="宋体" w:eastAsia="宋体" w:cs="宋体"/>
                <w:sz w:val="24"/>
                <w:szCs w:val="24"/>
                <w:vertAlign w:val="subscript"/>
              </w:rPr>
              <w:t>2</w:t>
            </w:r>
            <w:r>
              <w:rPr>
                <w:rFonts w:hint="eastAsia" w:ascii="宋体" w:hAnsi="宋体" w:eastAsia="宋体" w:cs="宋体"/>
                <w:sz w:val="24"/>
                <w:szCs w:val="24"/>
              </w:rPr>
              <w:t>O控制范围：0-90%RH</w:t>
            </w:r>
          </w:p>
          <w:p w14:paraId="50E39279">
            <w:pPr>
              <w:pStyle w:val="55"/>
              <w:numPr>
                <w:ilvl w:val="0"/>
                <w:numId w:val="0"/>
              </w:numPr>
              <w:spacing w:line="276" w:lineRule="auto"/>
              <w:contextualSpacing w:val="0"/>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themeColor="text1"/>
                <w:sz w:val="24"/>
                <w:szCs w:val="24"/>
                <w14:textFill>
                  <w14:solidFill>
                    <w14:schemeClr w14:val="tx1"/>
                  </w14:solidFill>
                </w14:textFill>
              </w:rPr>
              <w:t>气体流速：叶室内流速0~1400 µmol s</w:t>
            </w:r>
            <w:r>
              <w:rPr>
                <w:rFonts w:hint="eastAsia" w:ascii="宋体" w:hAnsi="宋体" w:eastAsia="宋体" w:cs="宋体"/>
                <w:color w:val="000000" w:themeColor="text1"/>
                <w:sz w:val="24"/>
                <w:szCs w:val="24"/>
                <w:vertAlign w:val="superscript"/>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，叶室外其他通道流速680-1700 µmol s</w:t>
            </w:r>
            <w:r>
              <w:rPr>
                <w:rFonts w:hint="eastAsia" w:ascii="宋体" w:hAnsi="宋体" w:eastAsia="宋体" w:cs="宋体"/>
                <w:color w:val="000000" w:themeColor="text1"/>
                <w:sz w:val="24"/>
                <w:szCs w:val="24"/>
                <w:vertAlign w:val="superscript"/>
                <w14:textFill>
                  <w14:solidFill>
                    <w14:schemeClr w14:val="tx1"/>
                  </w14:solidFill>
                </w14:textFill>
              </w:rPr>
              <w:t>-1</w:t>
            </w:r>
          </w:p>
        </w:tc>
        <w:tc>
          <w:tcPr>
            <w:tcW w:w="643" w:type="dxa"/>
            <w:noWrap w:val="0"/>
            <w:vAlign w:val="center"/>
          </w:tcPr>
          <w:p w14:paraId="2DA573CF">
            <w:pPr>
              <w:keepNext/>
              <w:widowControl/>
              <w:snapToGrid w:val="0"/>
              <w:ind w:right="0" w:rightChars="0"/>
              <w:jc w:val="both"/>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1台</w:t>
            </w:r>
          </w:p>
        </w:tc>
        <w:tc>
          <w:tcPr>
            <w:tcW w:w="1178" w:type="dxa"/>
            <w:noWrap w:val="0"/>
            <w:vAlign w:val="center"/>
          </w:tcPr>
          <w:p w14:paraId="41E09B27">
            <w:pPr>
              <w:keepNext/>
              <w:widowControl/>
              <w:snapToGrid w:val="0"/>
              <w:ind w:left="0" w:leftChars="0" w:right="0" w:rightChars="0" w:firstLine="0" w:firstLineChars="0"/>
              <w:jc w:val="both"/>
              <w:rPr>
                <w:rFonts w:hint="default" w:ascii="Times New Roman" w:hAnsi="Times New Roman" w:eastAsia="宋体" w:cs="Times New Roman"/>
                <w:kern w:val="0"/>
                <w:sz w:val="24"/>
                <w:szCs w:val="24"/>
              </w:rPr>
            </w:pPr>
          </w:p>
        </w:tc>
      </w:tr>
      <w:tr w14:paraId="5989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blHeader/>
          <w:jc w:val="center"/>
        </w:trPr>
        <w:tc>
          <w:tcPr>
            <w:tcW w:w="1350" w:type="dxa"/>
            <w:vMerge w:val="continue"/>
            <w:noWrap w:val="0"/>
            <w:vAlign w:val="center"/>
          </w:tcPr>
          <w:p w14:paraId="020D16C3">
            <w:pPr>
              <w:keepNext/>
              <w:widowControl/>
              <w:snapToGrid w:val="0"/>
              <w:ind w:left="0" w:leftChars="0" w:right="0" w:rightChars="0" w:firstLine="0" w:firstLineChars="0"/>
              <w:jc w:val="both"/>
            </w:pPr>
          </w:p>
        </w:tc>
        <w:tc>
          <w:tcPr>
            <w:tcW w:w="1221" w:type="dxa"/>
            <w:noWrap w:val="0"/>
            <w:vAlign w:val="center"/>
          </w:tcPr>
          <w:p w14:paraId="4047B72F">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主机压力传感器</w:t>
            </w:r>
          </w:p>
        </w:tc>
        <w:tc>
          <w:tcPr>
            <w:tcW w:w="5871" w:type="dxa"/>
            <w:noWrap w:val="0"/>
            <w:vAlign w:val="center"/>
          </w:tcPr>
          <w:p w14:paraId="696D653D">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color w:val="333333"/>
                <w:sz w:val="24"/>
                <w:szCs w:val="24"/>
                <w:shd w:val="clear" w:color="auto" w:fill="FFFFFF"/>
                <w:lang w:val="en-US" w:eastAsia="zh-CN"/>
              </w:rPr>
              <w:t>1、</w:t>
            </w:r>
            <w:r>
              <w:rPr>
                <w:rFonts w:hint="eastAsia" w:ascii="宋体" w:hAnsi="宋体" w:eastAsia="宋体" w:cs="宋体"/>
                <w:color w:val="000000"/>
                <w:sz w:val="24"/>
                <w:szCs w:val="24"/>
              </w:rPr>
              <w:t>测量范围：</w:t>
            </w:r>
            <w:r>
              <w:rPr>
                <w:rFonts w:hint="eastAsia" w:ascii="宋体" w:hAnsi="宋体" w:eastAsia="宋体" w:cs="宋体"/>
                <w:sz w:val="24"/>
                <w:szCs w:val="24"/>
              </w:rPr>
              <w:t>50~110 kPa</w:t>
            </w:r>
          </w:p>
          <w:p w14:paraId="7EDB6B84">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准确度：≤±0.4 kPa</w:t>
            </w:r>
          </w:p>
          <w:p w14:paraId="16BDE672">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分辨率：典型≤1.5 Pa</w:t>
            </w:r>
          </w:p>
          <w:p w14:paraId="1C3CB99E">
            <w:pPr>
              <w:keepNext/>
              <w:widowControl/>
              <w:snapToGrid w:val="0"/>
              <w:ind w:left="0" w:leftChars="0" w:right="0" w:righ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信号噪声：平均</w:t>
            </w:r>
            <w:r>
              <w:rPr>
                <w:rFonts w:hint="eastAsia" w:ascii="宋体" w:hAnsi="宋体" w:eastAsia="宋体" w:cs="宋体"/>
                <w:color w:val="000000"/>
                <w:sz w:val="24"/>
                <w:szCs w:val="24"/>
              </w:rPr>
              <w:t>≤0.004 kPa</w:t>
            </w:r>
            <w:r>
              <w:rPr>
                <w:rFonts w:hint="eastAsia" w:ascii="宋体" w:hAnsi="宋体" w:eastAsia="宋体" w:cs="宋体"/>
                <w:sz w:val="24"/>
                <w:szCs w:val="24"/>
              </w:rPr>
              <w:t>@4s信号</w:t>
            </w:r>
          </w:p>
        </w:tc>
        <w:tc>
          <w:tcPr>
            <w:tcW w:w="643" w:type="dxa"/>
            <w:noWrap w:val="0"/>
            <w:vAlign w:val="center"/>
          </w:tcPr>
          <w:p w14:paraId="79BC1CFD">
            <w:pPr>
              <w:keepNext/>
              <w:widowControl/>
              <w:snapToGrid w:val="0"/>
              <w:ind w:right="0" w:right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1套</w:t>
            </w:r>
          </w:p>
        </w:tc>
        <w:tc>
          <w:tcPr>
            <w:tcW w:w="1178" w:type="dxa"/>
            <w:noWrap w:val="0"/>
            <w:vAlign w:val="center"/>
          </w:tcPr>
          <w:p w14:paraId="5593EBC2">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r>
      <w:tr w14:paraId="752D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blHeader/>
          <w:jc w:val="center"/>
        </w:trPr>
        <w:tc>
          <w:tcPr>
            <w:tcW w:w="1350" w:type="dxa"/>
            <w:vMerge w:val="continue"/>
            <w:noWrap w:val="0"/>
            <w:vAlign w:val="center"/>
          </w:tcPr>
          <w:p w14:paraId="4CA966CB">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c>
          <w:tcPr>
            <w:tcW w:w="1221" w:type="dxa"/>
            <w:noWrap w:val="0"/>
            <w:vAlign w:val="center"/>
          </w:tcPr>
          <w:p w14:paraId="3F52123F">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叶室压力传感器</w:t>
            </w:r>
          </w:p>
        </w:tc>
        <w:tc>
          <w:tcPr>
            <w:tcW w:w="5871" w:type="dxa"/>
            <w:noWrap w:val="0"/>
            <w:vAlign w:val="center"/>
          </w:tcPr>
          <w:p w14:paraId="62521EC1">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sz w:val="24"/>
                <w:szCs w:val="24"/>
              </w:rPr>
              <w:t>压力差测量范围：-2~2 kPa</w:t>
            </w:r>
          </w:p>
          <w:p w14:paraId="356A98C4">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分辨率：典型＜1 Pa</w:t>
            </w:r>
          </w:p>
          <w:p w14:paraId="268DE303">
            <w:pPr>
              <w:keepNext/>
              <w:widowControl/>
              <w:snapToGrid w:val="0"/>
              <w:ind w:left="0" w:leftChars="0" w:right="0" w:righ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信号噪声：平均</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1 Pa</w:t>
            </w:r>
            <w:r>
              <w:rPr>
                <w:rFonts w:hint="eastAsia" w:ascii="宋体" w:hAnsi="宋体" w:eastAsia="宋体" w:cs="宋体"/>
                <w:sz w:val="24"/>
                <w:szCs w:val="24"/>
              </w:rPr>
              <w:t>@4s信号</w:t>
            </w:r>
          </w:p>
        </w:tc>
        <w:tc>
          <w:tcPr>
            <w:tcW w:w="643" w:type="dxa"/>
            <w:noWrap w:val="0"/>
            <w:vAlign w:val="center"/>
          </w:tcPr>
          <w:p w14:paraId="0F1CFE0A">
            <w:pPr>
              <w:keepNext/>
              <w:widowControl/>
              <w:snapToGrid w:val="0"/>
              <w:ind w:right="0" w:right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1套</w:t>
            </w:r>
          </w:p>
        </w:tc>
        <w:tc>
          <w:tcPr>
            <w:tcW w:w="1178" w:type="dxa"/>
            <w:noWrap w:val="0"/>
            <w:vAlign w:val="center"/>
          </w:tcPr>
          <w:p w14:paraId="4E516552">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r>
      <w:tr w14:paraId="4EB4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blHeader/>
          <w:jc w:val="center"/>
        </w:trPr>
        <w:tc>
          <w:tcPr>
            <w:tcW w:w="1350" w:type="dxa"/>
            <w:vMerge w:val="continue"/>
            <w:noWrap w:val="0"/>
            <w:vAlign w:val="center"/>
          </w:tcPr>
          <w:p w14:paraId="64B328FF">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c>
          <w:tcPr>
            <w:tcW w:w="1221" w:type="dxa"/>
            <w:noWrap w:val="0"/>
            <w:vAlign w:val="center"/>
          </w:tcPr>
          <w:p w14:paraId="23CDED27">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红蓝光源</w:t>
            </w:r>
          </w:p>
        </w:tc>
        <w:tc>
          <w:tcPr>
            <w:tcW w:w="5871" w:type="dxa"/>
            <w:noWrap w:val="0"/>
            <w:vAlign w:val="center"/>
          </w:tcPr>
          <w:p w14:paraId="2BC7200F">
            <w:pPr>
              <w:pStyle w:val="55"/>
              <w:numPr>
                <w:ilvl w:val="0"/>
                <w:numId w:val="0"/>
              </w:numPr>
              <w:spacing w:line="276" w:lineRule="auto"/>
              <w:contextualSpacing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总光强输出范围：0~2000 µmol m</w:t>
            </w:r>
            <w:r>
              <w:rPr>
                <w:rFonts w:hint="eastAsia" w:ascii="宋体" w:hAnsi="宋体" w:eastAsia="宋体" w:cs="宋体"/>
                <w:color w:val="000000" w:themeColor="text1"/>
                <w:sz w:val="24"/>
                <w:szCs w:val="24"/>
                <w:vertAlign w:val="superscript"/>
                <w14:textFill>
                  <w14:solidFill>
                    <w14:schemeClr w14:val="tx1"/>
                  </w14:solidFill>
                </w14:textFill>
              </w:rPr>
              <w:t xml:space="preserve">-2 </w:t>
            </w:r>
            <w:r>
              <w:rPr>
                <w:rFonts w:hint="eastAsia" w:ascii="宋体" w:hAnsi="宋体" w:eastAsia="宋体" w:cs="宋体"/>
                <w:color w:val="000000" w:themeColor="text1"/>
                <w:sz w:val="24"/>
                <w:szCs w:val="24"/>
                <w14:textFill>
                  <w14:solidFill>
                    <w14:schemeClr w14:val="tx1"/>
                  </w14:solidFill>
                </w14:textFill>
              </w:rPr>
              <w:t>s</w:t>
            </w:r>
            <w:r>
              <w:rPr>
                <w:rFonts w:hint="eastAsia" w:ascii="宋体" w:hAnsi="宋体" w:eastAsia="宋体" w:cs="宋体"/>
                <w:color w:val="000000" w:themeColor="text1"/>
                <w:sz w:val="24"/>
                <w:szCs w:val="24"/>
                <w:vertAlign w:val="superscript"/>
                <w14:textFill>
                  <w14:solidFill>
                    <w14:schemeClr w14:val="tx1"/>
                  </w14:solidFill>
                </w14:textFill>
              </w:rPr>
              <w:t>-1</w:t>
            </w:r>
          </w:p>
          <w:p w14:paraId="2A4EB652">
            <w:pPr>
              <w:pStyle w:val="55"/>
              <w:numPr>
                <w:ilvl w:val="0"/>
                <w:numId w:val="0"/>
              </w:numPr>
              <w:spacing w:line="276" w:lineRule="auto"/>
              <w:contextualSpacing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蓝光输出范围：0~＞600 µmol m</w:t>
            </w:r>
            <w:r>
              <w:rPr>
                <w:rFonts w:hint="eastAsia" w:ascii="宋体" w:hAnsi="宋体" w:eastAsia="宋体" w:cs="宋体"/>
                <w:color w:val="000000" w:themeColor="text1"/>
                <w:sz w:val="24"/>
                <w:szCs w:val="24"/>
                <w:vertAlign w:val="superscript"/>
                <w14:textFill>
                  <w14:solidFill>
                    <w14:schemeClr w14:val="tx1"/>
                  </w14:solidFill>
                </w14:textFill>
              </w:rPr>
              <w:t xml:space="preserve">-2 </w:t>
            </w:r>
            <w:r>
              <w:rPr>
                <w:rFonts w:hint="eastAsia" w:ascii="宋体" w:hAnsi="宋体" w:eastAsia="宋体" w:cs="宋体"/>
                <w:color w:val="000000" w:themeColor="text1"/>
                <w:sz w:val="24"/>
                <w:szCs w:val="24"/>
                <w14:textFill>
                  <w14:solidFill>
                    <w14:schemeClr w14:val="tx1"/>
                  </w14:solidFill>
                </w14:textFill>
              </w:rPr>
              <w:t>s</w:t>
            </w:r>
            <w:r>
              <w:rPr>
                <w:rFonts w:hint="eastAsia" w:ascii="宋体" w:hAnsi="宋体" w:eastAsia="宋体" w:cs="宋体"/>
                <w:color w:val="000000" w:themeColor="text1"/>
                <w:sz w:val="24"/>
                <w:szCs w:val="24"/>
                <w:vertAlign w:val="superscript"/>
                <w14:textFill>
                  <w14:solidFill>
                    <w14:schemeClr w14:val="tx1"/>
                  </w14:solidFill>
                </w14:textFill>
              </w:rPr>
              <w:t>-1</w:t>
            </w:r>
          </w:p>
          <w:p w14:paraId="7F20C08D">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红光输出范围：</w:t>
            </w:r>
            <w:r>
              <w:rPr>
                <w:rFonts w:hint="eastAsia" w:ascii="宋体" w:hAnsi="宋体" w:eastAsia="宋体" w:cs="宋体"/>
                <w:color w:val="000000" w:themeColor="text1"/>
                <w:sz w:val="24"/>
                <w:szCs w:val="24"/>
                <w14:textFill>
                  <w14:solidFill>
                    <w14:schemeClr w14:val="tx1"/>
                  </w14:solidFill>
                </w14:textFill>
              </w:rPr>
              <w:t>0~＞1400 µmol m</w:t>
            </w:r>
            <w:r>
              <w:rPr>
                <w:rFonts w:hint="eastAsia" w:ascii="宋体" w:hAnsi="宋体" w:eastAsia="宋体" w:cs="宋体"/>
                <w:color w:val="000000" w:themeColor="text1"/>
                <w:sz w:val="24"/>
                <w:szCs w:val="24"/>
                <w:vertAlign w:val="superscript"/>
                <w14:textFill>
                  <w14:solidFill>
                    <w14:schemeClr w14:val="tx1"/>
                  </w14:solidFill>
                </w14:textFill>
              </w:rPr>
              <w:t xml:space="preserve">-2 </w:t>
            </w:r>
            <w:r>
              <w:rPr>
                <w:rFonts w:hint="eastAsia" w:ascii="宋体" w:hAnsi="宋体" w:eastAsia="宋体" w:cs="宋体"/>
                <w:color w:val="000000" w:themeColor="text1"/>
                <w:sz w:val="24"/>
                <w:szCs w:val="24"/>
                <w14:textFill>
                  <w14:solidFill>
                    <w14:schemeClr w14:val="tx1"/>
                  </w14:solidFill>
                </w14:textFill>
              </w:rPr>
              <w:t>s</w:t>
            </w:r>
            <w:r>
              <w:rPr>
                <w:rFonts w:hint="eastAsia" w:ascii="宋体" w:hAnsi="宋体" w:eastAsia="宋体" w:cs="宋体"/>
                <w:color w:val="000000" w:themeColor="text1"/>
                <w:sz w:val="24"/>
                <w:szCs w:val="24"/>
                <w:vertAlign w:val="superscript"/>
                <w14:textFill>
                  <w14:solidFill>
                    <w14:schemeClr w14:val="tx1"/>
                  </w14:solidFill>
                </w14:textFill>
              </w:rPr>
              <w:t>-1</w:t>
            </w:r>
          </w:p>
          <w:p w14:paraId="7A98A063">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光源控制模块红作用光波峰波长：650 nm~670 nm；蓝作用光波峰波长：450 nm~460 nm</w:t>
            </w:r>
          </w:p>
          <w:p w14:paraId="7BB6633F">
            <w:pPr>
              <w:pStyle w:val="55"/>
              <w:numPr>
                <w:ilvl w:val="0"/>
                <w:numId w:val="0"/>
              </w:numPr>
              <w:spacing w:line="276" w:lineRule="auto"/>
              <w:contextualSpacing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光源控制模块耗电量＜ 5W@2000 μmol m</w:t>
            </w:r>
            <w:r>
              <w:rPr>
                <w:rFonts w:hint="eastAsia" w:ascii="宋体" w:hAnsi="宋体" w:eastAsia="宋体" w:cs="宋体"/>
                <w:sz w:val="24"/>
                <w:szCs w:val="24"/>
                <w:vertAlign w:val="superscript"/>
              </w:rPr>
              <w:t>-2</w:t>
            </w:r>
            <w:r>
              <w:rPr>
                <w:rFonts w:hint="eastAsia" w:ascii="宋体" w:hAnsi="宋体" w:eastAsia="宋体" w:cs="宋体"/>
                <w:sz w:val="24"/>
                <w:szCs w:val="24"/>
              </w:rPr>
              <w:t>s</w:t>
            </w:r>
            <w:r>
              <w:rPr>
                <w:rFonts w:hint="eastAsia" w:ascii="宋体" w:hAnsi="宋体" w:eastAsia="宋体" w:cs="宋体"/>
                <w:sz w:val="24"/>
                <w:szCs w:val="24"/>
                <w:vertAlign w:val="superscript"/>
              </w:rPr>
              <w:t>-1</w:t>
            </w:r>
          </w:p>
        </w:tc>
        <w:tc>
          <w:tcPr>
            <w:tcW w:w="643" w:type="dxa"/>
            <w:noWrap w:val="0"/>
            <w:vAlign w:val="center"/>
          </w:tcPr>
          <w:p w14:paraId="24102D46">
            <w:pPr>
              <w:keepNext/>
              <w:widowControl/>
              <w:snapToGrid w:val="0"/>
              <w:ind w:right="0" w:right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1套</w:t>
            </w:r>
          </w:p>
        </w:tc>
        <w:tc>
          <w:tcPr>
            <w:tcW w:w="1178" w:type="dxa"/>
            <w:noWrap w:val="0"/>
            <w:vAlign w:val="center"/>
          </w:tcPr>
          <w:p w14:paraId="2D517550">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r>
      <w:tr w14:paraId="4608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blHeader/>
          <w:jc w:val="center"/>
        </w:trPr>
        <w:tc>
          <w:tcPr>
            <w:tcW w:w="1350" w:type="dxa"/>
            <w:vMerge w:val="continue"/>
            <w:noWrap w:val="0"/>
            <w:vAlign w:val="center"/>
          </w:tcPr>
          <w:p w14:paraId="435BDF1D">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c>
          <w:tcPr>
            <w:tcW w:w="1221" w:type="dxa"/>
            <w:noWrap w:val="0"/>
            <w:vAlign w:val="center"/>
          </w:tcPr>
          <w:p w14:paraId="5F697A52">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光量子传感器</w:t>
            </w:r>
          </w:p>
        </w:tc>
        <w:tc>
          <w:tcPr>
            <w:tcW w:w="5871" w:type="dxa"/>
            <w:noWrap w:val="0"/>
            <w:vAlign w:val="center"/>
          </w:tcPr>
          <w:p w14:paraId="613843C4">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数量：包括内置与外置共两个</w:t>
            </w:r>
          </w:p>
          <w:p w14:paraId="6A4D56A4">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探测器：硅光电探测器</w:t>
            </w:r>
          </w:p>
          <w:p w14:paraId="2264C182">
            <w:pPr>
              <w:pStyle w:val="55"/>
              <w:numPr>
                <w:ilvl w:val="0"/>
                <w:numId w:val="0"/>
              </w:numPr>
              <w:contextualSpacing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灵敏度：</w:t>
            </w:r>
            <w:r>
              <w:rPr>
                <w:rFonts w:hint="eastAsia" w:ascii="宋体" w:hAnsi="宋体" w:eastAsia="宋体" w:cs="宋体"/>
                <w:color w:val="000000"/>
                <w:kern w:val="0"/>
                <w:sz w:val="24"/>
                <w:szCs w:val="24"/>
              </w:rPr>
              <w:t>5~10 µA /1000 µmol m</w:t>
            </w:r>
            <w:r>
              <w:rPr>
                <w:rFonts w:hint="eastAsia" w:ascii="宋体" w:hAnsi="宋体" w:eastAsia="宋体" w:cs="宋体"/>
                <w:color w:val="000000"/>
                <w:kern w:val="0"/>
                <w:sz w:val="24"/>
                <w:szCs w:val="24"/>
                <w:vertAlign w:val="superscript"/>
              </w:rPr>
              <w:t>-2</w:t>
            </w:r>
            <w:r>
              <w:rPr>
                <w:rFonts w:hint="eastAsia" w:ascii="宋体" w:hAnsi="宋体" w:eastAsia="宋体" w:cs="宋体"/>
                <w:color w:val="000000"/>
                <w:kern w:val="0"/>
                <w:sz w:val="24"/>
                <w:szCs w:val="24"/>
              </w:rPr>
              <w:t xml:space="preserve"> s</w:t>
            </w:r>
            <w:r>
              <w:rPr>
                <w:rFonts w:hint="eastAsia" w:ascii="宋体" w:hAnsi="宋体" w:eastAsia="宋体" w:cs="宋体"/>
                <w:color w:val="000000"/>
                <w:kern w:val="0"/>
                <w:sz w:val="24"/>
                <w:szCs w:val="24"/>
                <w:vertAlign w:val="superscript"/>
              </w:rPr>
              <w:t>-1</w:t>
            </w:r>
          </w:p>
        </w:tc>
        <w:tc>
          <w:tcPr>
            <w:tcW w:w="643" w:type="dxa"/>
            <w:noWrap w:val="0"/>
            <w:vAlign w:val="center"/>
          </w:tcPr>
          <w:p w14:paraId="67783E5B">
            <w:pPr>
              <w:keepNext/>
              <w:widowControl/>
              <w:snapToGrid w:val="0"/>
              <w:ind w:right="0" w:right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1套</w:t>
            </w:r>
          </w:p>
        </w:tc>
        <w:tc>
          <w:tcPr>
            <w:tcW w:w="1178" w:type="dxa"/>
            <w:noWrap w:val="0"/>
            <w:vAlign w:val="center"/>
          </w:tcPr>
          <w:p w14:paraId="5DD1EA16">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r>
      <w:tr w14:paraId="54BE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blHeader/>
          <w:jc w:val="center"/>
        </w:trPr>
        <w:tc>
          <w:tcPr>
            <w:tcW w:w="1350" w:type="dxa"/>
            <w:vMerge w:val="continue"/>
            <w:noWrap w:val="0"/>
            <w:vAlign w:val="center"/>
          </w:tcPr>
          <w:p w14:paraId="0A9C8D16">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c>
          <w:tcPr>
            <w:tcW w:w="1221" w:type="dxa"/>
            <w:noWrap w:val="0"/>
            <w:vAlign w:val="center"/>
          </w:tcPr>
          <w:p w14:paraId="2B9D9540">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温度</w:t>
            </w:r>
          </w:p>
        </w:tc>
        <w:tc>
          <w:tcPr>
            <w:tcW w:w="5871" w:type="dxa"/>
            <w:noWrap w:val="0"/>
            <w:vAlign w:val="center"/>
          </w:tcPr>
          <w:p w14:paraId="47838413">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工作温度：0~50</w:t>
            </w:r>
            <w:r>
              <w:rPr>
                <w:rFonts w:hint="eastAsia" w:ascii="宋体" w:hAnsi="宋体" w:eastAsia="宋体" w:cs="宋体"/>
                <w:color w:val="000000"/>
                <w:sz w:val="24"/>
                <w:szCs w:val="24"/>
              </w:rPr>
              <w:t>℃</w:t>
            </w:r>
          </w:p>
          <w:p w14:paraId="7CACB794">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存储温度：-20℃</w:t>
            </w:r>
            <w:r>
              <w:rPr>
                <w:rFonts w:hint="eastAsia" w:ascii="宋体" w:hAnsi="宋体" w:eastAsia="宋体" w:cs="宋体"/>
                <w:sz w:val="24"/>
                <w:szCs w:val="24"/>
              </w:rPr>
              <w:t>~60</w:t>
            </w:r>
            <w:r>
              <w:rPr>
                <w:rFonts w:hint="eastAsia" w:ascii="宋体" w:hAnsi="宋体" w:eastAsia="宋体" w:cs="宋体"/>
                <w:color w:val="000000"/>
                <w:sz w:val="24"/>
                <w:szCs w:val="24"/>
              </w:rPr>
              <w:t>℃</w:t>
            </w:r>
          </w:p>
          <w:p w14:paraId="20AE259C">
            <w:pPr>
              <w:pStyle w:val="55"/>
              <w:numPr>
                <w:ilvl w:val="0"/>
                <w:numId w:val="0"/>
              </w:numPr>
              <w:spacing w:line="276" w:lineRule="auto"/>
              <w:contextualSpacing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叶室温度控制范围：不小于环境温度的</w:t>
            </w:r>
            <w:r>
              <w:rPr>
                <w:rFonts w:hint="eastAsia" w:ascii="宋体" w:hAnsi="宋体" w:eastAsia="宋体" w:cs="宋体"/>
                <w:color w:val="000000"/>
                <w:sz w:val="24"/>
                <w:szCs w:val="24"/>
              </w:rPr>
              <w:t>±10℃</w:t>
            </w:r>
          </w:p>
        </w:tc>
        <w:tc>
          <w:tcPr>
            <w:tcW w:w="643" w:type="dxa"/>
            <w:noWrap w:val="0"/>
            <w:vAlign w:val="center"/>
          </w:tcPr>
          <w:p w14:paraId="7F106B46">
            <w:pPr>
              <w:keepNext/>
              <w:widowControl/>
              <w:snapToGrid w:val="0"/>
              <w:ind w:right="0" w:right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1套</w:t>
            </w:r>
          </w:p>
        </w:tc>
        <w:tc>
          <w:tcPr>
            <w:tcW w:w="1178" w:type="dxa"/>
            <w:noWrap w:val="0"/>
            <w:vAlign w:val="center"/>
          </w:tcPr>
          <w:p w14:paraId="53468892">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r>
      <w:tr w14:paraId="42E4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blHeader/>
          <w:jc w:val="center"/>
        </w:trPr>
        <w:tc>
          <w:tcPr>
            <w:tcW w:w="1350" w:type="dxa"/>
            <w:vMerge w:val="continue"/>
            <w:noWrap w:val="0"/>
            <w:vAlign w:val="center"/>
          </w:tcPr>
          <w:p w14:paraId="415AB5BC">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c>
          <w:tcPr>
            <w:tcW w:w="1221" w:type="dxa"/>
            <w:noWrap w:val="0"/>
            <w:vAlign w:val="center"/>
          </w:tcPr>
          <w:p w14:paraId="46D5C8BF">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主机</w:t>
            </w:r>
          </w:p>
        </w:tc>
        <w:tc>
          <w:tcPr>
            <w:tcW w:w="5871" w:type="dxa"/>
            <w:noWrap w:val="0"/>
            <w:vAlign w:val="center"/>
          </w:tcPr>
          <w:p w14:paraId="1DC86009">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存储： 不小于2G RAM；不小于8 GB闪存</w:t>
            </w:r>
          </w:p>
          <w:p w14:paraId="3813737D">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处理器：四核，不小于1GHz</w:t>
            </w:r>
          </w:p>
          <w:p w14:paraId="48485810">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显示：可触屏操作，阳光下能清晰显示，分辨率不小于1024×600，显示屏可180度自由旋转</w:t>
            </w:r>
          </w:p>
          <w:p w14:paraId="045374DA">
            <w:pPr>
              <w:pStyle w:val="55"/>
              <w:numPr>
                <w:ilvl w:val="0"/>
                <w:numId w:val="0"/>
              </w:numPr>
              <w:spacing w:line="276" w:lineRule="auto"/>
              <w:contextualSpacing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仪器可以直接联入局域网，实现远程诊断功能</w:t>
            </w:r>
          </w:p>
        </w:tc>
        <w:tc>
          <w:tcPr>
            <w:tcW w:w="643" w:type="dxa"/>
            <w:noWrap w:val="0"/>
            <w:vAlign w:val="center"/>
          </w:tcPr>
          <w:p w14:paraId="40E6D194">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1套</w:t>
            </w:r>
          </w:p>
        </w:tc>
        <w:tc>
          <w:tcPr>
            <w:tcW w:w="1178" w:type="dxa"/>
            <w:noWrap w:val="0"/>
            <w:vAlign w:val="center"/>
          </w:tcPr>
          <w:p w14:paraId="0A96186D">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r>
      <w:tr w14:paraId="3A25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blHeader/>
          <w:jc w:val="center"/>
        </w:trPr>
        <w:tc>
          <w:tcPr>
            <w:tcW w:w="1350" w:type="dxa"/>
            <w:vMerge w:val="continue"/>
            <w:noWrap w:val="0"/>
            <w:vAlign w:val="center"/>
          </w:tcPr>
          <w:p w14:paraId="252A3608">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c>
          <w:tcPr>
            <w:tcW w:w="1221" w:type="dxa"/>
            <w:noWrap w:val="0"/>
            <w:vAlign w:val="center"/>
          </w:tcPr>
          <w:p w14:paraId="2B13C05A">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透明叶室</w:t>
            </w:r>
          </w:p>
        </w:tc>
        <w:tc>
          <w:tcPr>
            <w:tcW w:w="5871" w:type="dxa"/>
            <w:noWrap w:val="0"/>
            <w:vAlign w:val="center"/>
          </w:tcPr>
          <w:p w14:paraId="4332C9E3">
            <w:pPr>
              <w:pStyle w:val="55"/>
              <w:numPr>
                <w:ilvl w:val="0"/>
                <w:numId w:val="0"/>
              </w:numPr>
              <w:spacing w:line="276" w:lineRule="auto"/>
              <w:contextualSpacing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bCs/>
                <w:sz w:val="24"/>
                <w:szCs w:val="24"/>
              </w:rPr>
              <w:t>方形，不少于</w:t>
            </w:r>
            <w:r>
              <w:rPr>
                <w:rFonts w:hint="eastAsia" w:ascii="宋体" w:hAnsi="宋体" w:eastAsia="宋体" w:cs="宋体"/>
                <w:sz w:val="24"/>
                <w:szCs w:val="24"/>
              </w:rPr>
              <w:t>3×3cm</w:t>
            </w:r>
            <w:r>
              <w:rPr>
                <w:rFonts w:hint="eastAsia" w:ascii="宋体" w:hAnsi="宋体" w:eastAsia="宋体" w:cs="宋体"/>
                <w:sz w:val="24"/>
                <w:szCs w:val="24"/>
                <w:vertAlign w:val="superscript"/>
              </w:rPr>
              <w:t>2</w:t>
            </w:r>
            <w:r>
              <w:rPr>
                <w:rFonts w:hint="eastAsia" w:ascii="宋体" w:hAnsi="宋体" w:eastAsia="宋体" w:cs="宋体"/>
                <w:sz w:val="24"/>
                <w:szCs w:val="24"/>
              </w:rPr>
              <w:t>，2×3cm</w:t>
            </w:r>
            <w:r>
              <w:rPr>
                <w:rFonts w:hint="eastAsia" w:ascii="宋体" w:hAnsi="宋体" w:eastAsia="宋体" w:cs="宋体"/>
                <w:sz w:val="24"/>
                <w:szCs w:val="24"/>
                <w:vertAlign w:val="superscript"/>
              </w:rPr>
              <w:t>2</w:t>
            </w:r>
            <w:r>
              <w:rPr>
                <w:rFonts w:hint="eastAsia" w:ascii="宋体" w:hAnsi="宋体" w:eastAsia="宋体" w:cs="宋体"/>
                <w:sz w:val="24"/>
                <w:szCs w:val="24"/>
              </w:rPr>
              <w:t>，1×3cm</w:t>
            </w:r>
            <w:r>
              <w:rPr>
                <w:rFonts w:hint="eastAsia" w:ascii="宋体" w:hAnsi="宋体" w:eastAsia="宋体" w:cs="宋体"/>
                <w:sz w:val="24"/>
                <w:szCs w:val="24"/>
                <w:vertAlign w:val="superscript"/>
              </w:rPr>
              <w:t>2</w:t>
            </w:r>
            <w:r>
              <w:rPr>
                <w:rFonts w:hint="eastAsia" w:ascii="宋体" w:hAnsi="宋体" w:eastAsia="宋体" w:cs="宋体"/>
                <w:sz w:val="24"/>
                <w:szCs w:val="24"/>
              </w:rPr>
              <w:t>适配器</w:t>
            </w:r>
          </w:p>
          <w:p w14:paraId="7BCD1C1F">
            <w:pPr>
              <w:keepNext/>
              <w:widowControl/>
              <w:snapToGrid w:val="0"/>
              <w:ind w:left="0" w:leftChars="0" w:right="0" w:righ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带刻度，1mm分辨率</w:t>
            </w:r>
          </w:p>
        </w:tc>
        <w:tc>
          <w:tcPr>
            <w:tcW w:w="643" w:type="dxa"/>
            <w:noWrap w:val="0"/>
            <w:vAlign w:val="center"/>
          </w:tcPr>
          <w:p w14:paraId="1AEA60D6">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1套</w:t>
            </w:r>
          </w:p>
        </w:tc>
        <w:tc>
          <w:tcPr>
            <w:tcW w:w="1178" w:type="dxa"/>
            <w:noWrap w:val="0"/>
            <w:vAlign w:val="center"/>
          </w:tcPr>
          <w:p w14:paraId="7939DAE6">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r>
      <w:tr w14:paraId="1C2D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blHeader/>
          <w:jc w:val="center"/>
        </w:trPr>
        <w:tc>
          <w:tcPr>
            <w:tcW w:w="1350" w:type="dxa"/>
            <w:vMerge w:val="continue"/>
            <w:noWrap w:val="0"/>
            <w:vAlign w:val="center"/>
          </w:tcPr>
          <w:p w14:paraId="2E1DFF0B">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c>
          <w:tcPr>
            <w:tcW w:w="1221" w:type="dxa"/>
            <w:noWrap w:val="0"/>
            <w:vAlign w:val="center"/>
          </w:tcPr>
          <w:p w14:paraId="17E476DA">
            <w:pPr>
              <w:keepNext/>
              <w:widowControl/>
              <w:snapToGrid w:val="0"/>
              <w:ind w:left="0" w:leftChars="0" w:right="0" w:rightChars="0" w:firstLine="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配置</w:t>
            </w:r>
          </w:p>
        </w:tc>
        <w:tc>
          <w:tcPr>
            <w:tcW w:w="5871" w:type="dxa"/>
            <w:noWrap w:val="0"/>
            <w:vAlign w:val="center"/>
          </w:tcPr>
          <w:p w14:paraId="54A679F3">
            <w:pPr>
              <w:keepNext/>
              <w:widowControl/>
              <w:snapToGrid w:val="0"/>
              <w:ind w:left="0" w:leftChars="0" w:right="0" w:rightChars="0" w:firstLine="0" w:firstLineChars="0"/>
              <w:jc w:val="both"/>
              <w:rPr>
                <w:rFonts w:hint="eastAsia" w:ascii="宋体" w:hAnsi="宋体" w:eastAsia="宋体" w:cs="宋体"/>
                <w:sz w:val="24"/>
                <w:szCs w:val="24"/>
              </w:rPr>
            </w:pPr>
            <w:r>
              <w:rPr>
                <w:rFonts w:hint="eastAsia" w:ascii="宋体" w:hAnsi="宋体" w:eastAsia="宋体" w:cs="宋体"/>
                <w:sz w:val="24"/>
                <w:szCs w:val="24"/>
              </w:rPr>
              <w:t>为保证产品质量，需要生产制造厂家针对本项目提供专项授权函；</w:t>
            </w:r>
          </w:p>
          <w:p w14:paraId="23AEC3A4">
            <w:pPr>
              <w:keepNext/>
              <w:widowControl/>
              <w:snapToGrid w:val="0"/>
              <w:ind w:left="0" w:leftChars="0" w:right="0" w:righ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rPr>
              <w:t>包含主机及分析仪；透明叶室；红蓝光源叶室；三脚架；3节电池及1个充电器；配件箱；苏打3瓶；干燥剂3套；CO2钢瓶30瓶。</w:t>
            </w:r>
          </w:p>
        </w:tc>
        <w:tc>
          <w:tcPr>
            <w:tcW w:w="643" w:type="dxa"/>
            <w:noWrap w:val="0"/>
            <w:vAlign w:val="center"/>
          </w:tcPr>
          <w:p w14:paraId="42C37A7D">
            <w:pPr>
              <w:keepNext/>
              <w:widowControl/>
              <w:snapToGrid w:val="0"/>
              <w:ind w:left="0" w:leftChars="0" w:right="0" w:rightChars="0" w:firstLine="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1套</w:t>
            </w:r>
          </w:p>
        </w:tc>
        <w:tc>
          <w:tcPr>
            <w:tcW w:w="1178" w:type="dxa"/>
            <w:noWrap w:val="0"/>
            <w:vAlign w:val="center"/>
          </w:tcPr>
          <w:p w14:paraId="2E8712D9">
            <w:pPr>
              <w:keepNext/>
              <w:widowControl/>
              <w:snapToGrid w:val="0"/>
              <w:ind w:left="0" w:leftChars="0" w:right="0" w:rightChars="0" w:firstLine="0" w:firstLineChars="0"/>
              <w:jc w:val="both"/>
              <w:rPr>
                <w:rFonts w:hint="default" w:ascii="Times New Roman" w:hAnsi="Times New Roman" w:eastAsia="宋体" w:cs="Times New Roman"/>
                <w:sz w:val="24"/>
                <w:szCs w:val="24"/>
                <w:lang w:val="en-US" w:eastAsia="zh-CN"/>
              </w:rPr>
            </w:pPr>
          </w:p>
        </w:tc>
      </w:tr>
    </w:tbl>
    <w:p w14:paraId="6E5FE414">
      <w:pPr>
        <w:pStyle w:val="12"/>
        <w:spacing w:line="360" w:lineRule="auto"/>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w:t>
      </w:r>
      <w:r>
        <w:rPr>
          <w:rFonts w:hint="eastAsia" w:ascii="Times New Roman" w:hAnsi="Times New Roman" w:eastAsia="宋体" w:cs="Times New Roman"/>
          <w:b/>
          <w:bCs/>
          <w:sz w:val="24"/>
          <w:szCs w:val="24"/>
          <w:lang w:val="en-US" w:eastAsia="zh-CN"/>
        </w:rPr>
        <w:t>便携式光合仪</w:t>
      </w:r>
      <w:r>
        <w:rPr>
          <w:rFonts w:hint="eastAsia" w:asciiTheme="minorEastAsia" w:hAnsiTheme="minorEastAsia" w:cstheme="minorEastAsia"/>
          <w:b/>
          <w:bCs/>
          <w:sz w:val="24"/>
          <w:szCs w:val="24"/>
          <w:highlight w:val="none"/>
        </w:rPr>
        <w:t>】产品为核心产品，不同投标人提供相同品牌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E2DFAC3">
      <w:pPr>
        <w:pStyle w:val="12"/>
        <w:spacing w:line="360" w:lineRule="auto"/>
        <w:ind w:firstLine="482"/>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每项参数要求投标人须提供与服务需求相应的证明材料，例如产品检测报告、测试报告、产品合格证、鉴定证书、制造商产品彩页、制造商官网截图、制造商产品说明书或相应实物照片等。</w:t>
      </w:r>
    </w:p>
    <w:p w14:paraId="13D953FF">
      <w:pPr>
        <w:spacing w:before="180" w:line="360" w:lineRule="auto"/>
        <w:rPr>
          <w:rFonts w:hint="eastAsia"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1.供货</w:t>
      </w:r>
      <w:r>
        <w:rPr>
          <w:rFonts w:hint="eastAsia" w:ascii="宋体" w:hAnsi="宋体" w:eastAsia="宋体" w:cs="宋体"/>
          <w:color w:val="000000" w:themeColor="text1"/>
          <w:spacing w:val="4"/>
          <w:sz w:val="24"/>
          <w:szCs w:val="24"/>
          <w:highlight w:val="none"/>
          <w:lang w:val="zh-CN" w:eastAsia="zh-CN"/>
          <w14:textFill>
            <w14:solidFill>
              <w14:schemeClr w14:val="tx1"/>
            </w14:solidFill>
          </w14:textFill>
        </w:rPr>
        <w:t>地点：招标人指定地点。</w:t>
      </w:r>
    </w:p>
    <w:p w14:paraId="4035E407">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2.付款方式：</w:t>
      </w:r>
      <w:r>
        <w:rPr>
          <w:rFonts w:hint="eastAsia" w:ascii="宋体" w:hAnsi="宋体" w:cs="宋体"/>
          <w:sz w:val="24"/>
          <w:szCs w:val="24"/>
          <w:highlight w:val="none"/>
          <w:lang w:val="en-US" w:eastAsia="zh-CN"/>
        </w:rPr>
        <w:t>以合同签订为准</w:t>
      </w:r>
      <w:r>
        <w:rPr>
          <w:rFonts w:hint="eastAsia" w:ascii="宋体" w:hAnsi="宋体" w:eastAsia="宋体" w:cs="宋体"/>
          <w:sz w:val="24"/>
          <w:szCs w:val="24"/>
          <w:highlight w:val="none"/>
        </w:rPr>
        <w:t>。</w:t>
      </w:r>
    </w:p>
    <w:p w14:paraId="5444444B">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3.运输及保险：货物运输方式不限，运输、保险等运输过程中发生的所有费用均由卖方承担 。</w:t>
      </w:r>
    </w:p>
    <w:p w14:paraId="4E42ACED">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4.  包装</w:t>
      </w:r>
    </w:p>
    <w:p w14:paraId="65331B5C">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4.1  包装方式：保证货物抵达交货地点时包装完整无损，包装箱的尺寸及重量应考虑货物最终目的地的偏远程度以及货物转运地可能缺乏重型装卸设备的情况，尽量包装牢固。对由于包装不善而引起的货物损坏或损失、耽误交货时限等损失，均由卖方承担责任。</w:t>
      </w:r>
    </w:p>
    <w:p w14:paraId="08F42F77">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cs="宋体"/>
          <w:color w:val="000000" w:themeColor="text1"/>
          <w:spacing w:val="4"/>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.交货</w:t>
      </w:r>
    </w:p>
    <w:p w14:paraId="64FB3FA2">
      <w:pPr>
        <w:spacing w:before="180" w:line="360" w:lineRule="auto"/>
        <w:rPr>
          <w:rFonts w:hint="eastAsia" w:ascii="宋体" w:hAnsi="宋体" w:eastAsia="宋体" w:cs="宋体"/>
          <w:color w:val="000000" w:themeColor="text1"/>
          <w:spacing w:val="4"/>
          <w:sz w:val="24"/>
          <w:szCs w:val="24"/>
          <w:highlight w:val="yellow"/>
          <w:lang w:val="en-US" w:eastAsia="zh-CN"/>
          <w14:textFill>
            <w14:solidFill>
              <w14:schemeClr w14:val="tx1"/>
            </w14:solidFill>
          </w14:textFill>
        </w:rPr>
      </w:pPr>
      <w:r>
        <w:rPr>
          <w:rFonts w:hint="eastAsia" w:ascii="宋体" w:hAnsi="宋体" w:cs="宋体"/>
          <w:color w:val="000000" w:themeColor="text1"/>
          <w:spacing w:val="4"/>
          <w:sz w:val="24"/>
          <w:szCs w:val="24"/>
          <w:highlight w:val="yellow"/>
          <w:lang w:val="en-US" w:eastAsia="zh-CN"/>
          <w14:textFill>
            <w14:solidFill>
              <w14:schemeClr w14:val="tx1"/>
            </w14:solidFill>
          </w14:textFill>
        </w:rPr>
        <w:t>5</w:t>
      </w:r>
      <w:r>
        <w:rPr>
          <w:rFonts w:hint="eastAsia" w:ascii="宋体" w:hAnsi="宋体" w:eastAsia="宋体" w:cs="宋体"/>
          <w:color w:val="000000" w:themeColor="text1"/>
          <w:spacing w:val="4"/>
          <w:sz w:val="24"/>
          <w:szCs w:val="24"/>
          <w:highlight w:val="yellow"/>
          <w:lang w:val="en-US" w:eastAsia="zh-CN"/>
          <w14:textFill>
            <w14:solidFill>
              <w14:schemeClr w14:val="tx1"/>
            </w14:solidFill>
          </w14:textFill>
        </w:rPr>
        <w:t>.1交货时间:国产设备60天，进口设备120天。</w:t>
      </w:r>
    </w:p>
    <w:p w14:paraId="4C9740FE">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卖方须在上述时限之前，一次完成供货并交付验收。</w:t>
      </w:r>
    </w:p>
    <w:p w14:paraId="1BE1B815">
      <w:pPr>
        <w:spacing w:before="180" w:line="360" w:lineRule="auto"/>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cs="宋体"/>
          <w:color w:val="000000" w:themeColor="text1"/>
          <w:spacing w:val="4"/>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.2交货地点：卖方负责送货上门并卸货。</w:t>
      </w:r>
    </w:p>
    <w:p w14:paraId="12CE9C2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br w:type="page"/>
      </w:r>
    </w:p>
    <w:p w14:paraId="181FB341">
      <w:pPr>
        <w:pStyle w:val="4"/>
        <w:bidi w:val="0"/>
        <w:jc w:val="center"/>
        <w:outlineLvl w:val="0"/>
        <w:rPr>
          <w:rFonts w:hint="eastAsia"/>
          <w:highlight w:val="none"/>
        </w:rPr>
      </w:pPr>
      <w:bookmarkStart w:id="159" w:name="_Toc27846"/>
      <w:r>
        <w:rPr>
          <w:rFonts w:hint="eastAsia"/>
          <w:highlight w:val="none"/>
        </w:rPr>
        <w:t>第五章  评标办法</w:t>
      </w:r>
      <w:bookmarkEnd w:id="156"/>
      <w:bookmarkEnd w:id="157"/>
      <w:bookmarkEnd w:id="159"/>
      <w:bookmarkStart w:id="160" w:name="_Hlt101846155"/>
      <w:bookmarkEnd w:id="160"/>
      <w:bookmarkStart w:id="161" w:name="_Toc208849007"/>
      <w:bookmarkStart w:id="162" w:name="_Toc217446097"/>
      <w:bookmarkStart w:id="163" w:name="_Toc183582280"/>
      <w:bookmarkStart w:id="164" w:name="_Toc183682415"/>
    </w:p>
    <w:p w14:paraId="0613FA7C">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总则</w:t>
      </w:r>
      <w:bookmarkEnd w:id="161"/>
      <w:bookmarkEnd w:id="162"/>
      <w:bookmarkEnd w:id="163"/>
      <w:bookmarkEnd w:id="164"/>
    </w:p>
    <w:p w14:paraId="62DEE97D">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154F936C">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 </w:t>
      </w:r>
      <w:r>
        <w:rPr>
          <w:rFonts w:hint="eastAsia" w:ascii="宋体" w:hAnsi="宋体" w:eastAsia="宋体" w:cs="宋体"/>
          <w:bCs/>
          <w:color w:val="000000"/>
          <w:sz w:val="24"/>
          <w:szCs w:val="24"/>
          <w:highlight w:val="none"/>
        </w:rPr>
        <w:t>评标工作由采购人负责组织，具体评标工作由采购人依法组建的评标委员会负责。评标委员会由采购人代表和有关技术、经济等方面的专家组成。</w:t>
      </w:r>
    </w:p>
    <w:p w14:paraId="67415F3E">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评标工作应遵循公平、公正、科学及择优的原则。</w:t>
      </w:r>
    </w:p>
    <w:p w14:paraId="141DCD6D">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评标委员会按照招标文件规定的评标方法和标准进行评标，并独立履行下列职责：</w:t>
      </w:r>
    </w:p>
    <w:p w14:paraId="4409C376">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（1）审查投标文件是否符合招标文件要求，并作出评价；</w:t>
      </w:r>
    </w:p>
    <w:p w14:paraId="57E80628">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（2）要求投标投标人对投标文件有关事项作出解释或者澄清；</w:t>
      </w:r>
    </w:p>
    <w:p w14:paraId="77D7F26E">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（3）推荐中标候选投标人名单，或者受采购人委托按照事先确定的办法直接确定中标投标人；</w:t>
      </w:r>
    </w:p>
    <w:p w14:paraId="7199A177">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（4）向采购人或者有关部门报告非法干预评标工作的行为。</w:t>
      </w:r>
      <w:bookmarkStart w:id="165" w:name="_Toc217446098"/>
    </w:p>
    <w:p w14:paraId="2D33D7E6">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 评标过程严格保密。投标人对评标委员会的评标过程或合同授予决定施加影响的任何行为都可能导致其投标被拒绝。</w:t>
      </w:r>
    </w:p>
    <w:p w14:paraId="598E1EB5">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1.6评标委员会决定投标文件的响应性应依据投标文件本身的内容，而不寻求外部的证据。</w:t>
      </w:r>
    </w:p>
    <w:p w14:paraId="082B6292">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52D799AD">
      <w:pPr>
        <w:pageBreakBefore w:val="0"/>
        <w:kinsoku/>
        <w:wordWrap/>
        <w:overflowPunct/>
        <w:topLinePunct w:val="0"/>
        <w:autoSpaceDE/>
        <w:autoSpaceDN/>
        <w:bidi w:val="0"/>
        <w:adjustRightInd/>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评标方法</w:t>
      </w:r>
    </w:p>
    <w:p w14:paraId="55DA1761">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本项目评标方法为：综合评分法。</w:t>
      </w:r>
    </w:p>
    <w:p w14:paraId="09844F7F">
      <w:pPr>
        <w:pageBreakBefore w:val="0"/>
        <w:kinsoku/>
        <w:wordWrap/>
        <w:overflowPunct/>
        <w:topLinePunct w:val="0"/>
        <w:autoSpaceDE/>
        <w:autoSpaceDN/>
        <w:bidi w:val="0"/>
        <w:adjustRightInd/>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评标程序</w:t>
      </w:r>
      <w:bookmarkEnd w:id="165"/>
    </w:p>
    <w:p w14:paraId="49408A4F">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bookmarkStart w:id="166" w:name="_Toc217446099"/>
      <w:r>
        <w:rPr>
          <w:rFonts w:hint="eastAsia" w:ascii="宋体" w:hAnsi="宋体" w:eastAsia="宋体" w:cs="宋体"/>
          <w:color w:val="000000"/>
          <w:sz w:val="24"/>
          <w:szCs w:val="24"/>
          <w:highlight w:val="none"/>
        </w:rPr>
        <w:t>3.1资格审查</w:t>
      </w:r>
    </w:p>
    <w:p w14:paraId="597B005B">
      <w:pPr>
        <w:keepNext/>
        <w:keepLines/>
        <w:pageBreakBefore w:val="0"/>
        <w:kinsoku/>
        <w:wordWrap/>
        <w:overflowPunct/>
        <w:topLinePunct w:val="0"/>
        <w:autoSpaceDE/>
        <w:autoSpaceDN/>
        <w:bidi w:val="0"/>
        <w:adjustRightInd/>
        <w:spacing w:line="36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Cs/>
          <w:color w:val="000000"/>
          <w:sz w:val="24"/>
          <w:szCs w:val="24"/>
          <w:highlight w:val="none"/>
        </w:rPr>
        <w:br w:type="page"/>
      </w:r>
      <w:r>
        <w:rPr>
          <w:rFonts w:hint="eastAsia" w:ascii="宋体" w:hAnsi="宋体" w:eastAsia="宋体" w:cs="宋体"/>
          <w:b/>
          <w:bCs w:val="0"/>
          <w:color w:val="000000"/>
          <w:sz w:val="24"/>
          <w:szCs w:val="24"/>
          <w:highlight w:val="none"/>
        </w:rPr>
        <w:t>资格审查表</w:t>
      </w:r>
    </w:p>
    <w:tbl>
      <w:tblPr>
        <w:tblStyle w:val="31"/>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14A9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10268A3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6516" w:type="dxa"/>
            <w:vMerge w:val="restart"/>
            <w:vAlign w:val="center"/>
          </w:tcPr>
          <w:p w14:paraId="741F9BD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1295" w:type="dxa"/>
            <w:gridSpan w:val="2"/>
            <w:vAlign w:val="center"/>
          </w:tcPr>
          <w:p w14:paraId="28EDFA5E">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213B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354C9D93">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516" w:type="dxa"/>
            <w:vMerge w:val="continue"/>
            <w:vAlign w:val="center"/>
          </w:tcPr>
          <w:p w14:paraId="72F72897">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22" w:type="dxa"/>
            <w:vAlign w:val="center"/>
          </w:tcPr>
          <w:p w14:paraId="366A8D67">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673" w:type="dxa"/>
            <w:vAlign w:val="center"/>
          </w:tcPr>
          <w:p w14:paraId="44294583">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236C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0FB5F25A">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w:t>
            </w:r>
          </w:p>
        </w:tc>
        <w:tc>
          <w:tcPr>
            <w:tcW w:w="6516" w:type="dxa"/>
            <w:shd w:val="clear" w:color="auto" w:fill="auto"/>
            <w:vAlign w:val="center"/>
          </w:tcPr>
          <w:p w14:paraId="1278F02C">
            <w:pPr>
              <w:pStyle w:val="51"/>
              <w:spacing w:line="36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具有独立承担民事责任的能力；</w:t>
            </w:r>
          </w:p>
          <w:p w14:paraId="46BBA766">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供应商满足以下条件之一即可：</w:t>
            </w:r>
          </w:p>
          <w:p w14:paraId="16EEE976">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供应商为企业（包括合伙企业）的，应提供有效的“营业执照”；</w:t>
            </w:r>
          </w:p>
          <w:p w14:paraId="14BF8808">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供应商为事业单位的，应提供有效的“事业单位法人证书”；</w:t>
            </w:r>
          </w:p>
          <w:p w14:paraId="39E52C26">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供应商是非企业机构的，应提供有效的“执业许可证”、“登记证书”等证明文件；</w:t>
            </w:r>
          </w:p>
          <w:p w14:paraId="7DC8BC0D">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供应商是个体工商户的，应提供有效的“个体工商户营业执照”；</w:t>
            </w:r>
          </w:p>
          <w:p w14:paraId="35D82E83">
            <w:pPr>
              <w:pStyle w:val="51"/>
              <w:keepNext w:val="0"/>
              <w:keepLines w:val="0"/>
              <w:pageBreakBefore w:val="0"/>
              <w:widowControl/>
              <w:shd w:val="clear" w:color="auto" w:fill="auto"/>
              <w:kinsoku/>
              <w:wordWrap/>
              <w:overflowPunct/>
              <w:topLinePunct w:val="0"/>
              <w:autoSpaceDE/>
              <w:autoSpaceDN/>
              <w:bidi w:val="0"/>
              <w:adjustRightInd/>
              <w:snapToGrid/>
              <w:spacing w:line="360" w:lineRule="auto"/>
              <w:ind w:left="105" w:leftChars="50" w:right="105" w:rightChars="50"/>
              <w:textAlignment w:val="center"/>
              <w:outlineLvl w:val="9"/>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供应商是自然人的，应提供有效的自然人身份证明。</w:t>
            </w:r>
          </w:p>
          <w:p w14:paraId="713A505A">
            <w:pPr>
              <w:pStyle w:val="51"/>
              <w:spacing w:line="360" w:lineRule="auto"/>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aps w:val="0"/>
                <w:color w:val="auto"/>
                <w:spacing w:val="0"/>
                <w:sz w:val="24"/>
                <w:szCs w:val="24"/>
                <w:highlight w:val="none"/>
              </w:rPr>
              <w:t>】</w:t>
            </w:r>
          </w:p>
        </w:tc>
        <w:tc>
          <w:tcPr>
            <w:tcW w:w="622" w:type="dxa"/>
            <w:vAlign w:val="center"/>
          </w:tcPr>
          <w:p w14:paraId="5CA882E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2724D6C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4C26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331BC691">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2</w:t>
            </w:r>
          </w:p>
        </w:tc>
        <w:tc>
          <w:tcPr>
            <w:tcW w:w="6516" w:type="dxa"/>
            <w:shd w:val="clear" w:color="auto" w:fill="auto"/>
            <w:vAlign w:val="center"/>
          </w:tcPr>
          <w:p w14:paraId="44E33FE4">
            <w:pPr>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具有良好的商业信誉和健全的财务会计制度；</w:t>
            </w:r>
          </w:p>
          <w:p w14:paraId="7095EFE7">
            <w:pPr>
              <w:pStyle w:val="51"/>
              <w:keepNext w:val="0"/>
              <w:keepLines w:val="0"/>
              <w:pageBreakBefore w:val="0"/>
              <w:widowControl/>
              <w:kinsoku/>
              <w:wordWrap/>
              <w:overflowPunct/>
              <w:topLinePunct w:val="0"/>
              <w:autoSpaceDE/>
              <w:autoSpaceDN/>
              <w:bidi w:val="0"/>
              <w:adjustRightInd/>
              <w:snapToGrid/>
              <w:spacing w:line="360" w:lineRule="auto"/>
              <w:ind w:left="105" w:leftChars="50" w:right="105" w:rightChars="5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以开标截止时间点</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未列入“信用中国”&lt;www.creditchina.gov.cn&gt;网站的“失信被执行人”和“重大税收违法失信主体”及“中国政府采购网”&lt;www.ccgp.gov.cn&gt;网站的“政府采购严重违法失信行为记录名单”，开标截止时间后，由</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代理公司统一登陆网站查询上传投标文件的</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信誉情况，并以保存的网页查询截图为准；</w:t>
            </w:r>
          </w:p>
          <w:p w14:paraId="7E2FB762">
            <w:pPr>
              <w:pStyle w:val="51"/>
              <w:keepNext w:val="0"/>
              <w:keepLines w:val="0"/>
              <w:pageBreakBefore w:val="0"/>
              <w:widowControl/>
              <w:kinsoku/>
              <w:wordWrap/>
              <w:overflowPunct/>
              <w:topLinePunct w:val="0"/>
              <w:autoSpaceDE/>
              <w:autoSpaceDN/>
              <w:bidi w:val="0"/>
              <w:adjustRightInd/>
              <w:snapToGrid/>
              <w:spacing w:line="360" w:lineRule="auto"/>
              <w:ind w:left="105" w:leftChars="50" w:right="105" w:rightChars="5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lang w:val="en-US" w:eastAsia="zh-CN"/>
              </w:rPr>
              <w:t>银行出具的近1年内资信证明或2024年度（如2024年审计报告未出可提供2023年度审计报告）经审计的财务报告</w:t>
            </w:r>
            <w:r>
              <w:rPr>
                <w:rFonts w:hint="eastAsia" w:ascii="宋体" w:hAnsi="宋体" w:eastAsia="宋体" w:cs="宋体"/>
                <w:color w:val="000000"/>
                <w:sz w:val="24"/>
                <w:szCs w:val="24"/>
                <w:highlight w:val="none"/>
              </w:rPr>
              <w:t>，新成立企业无需提供。</w:t>
            </w:r>
          </w:p>
          <w:p w14:paraId="621293E2">
            <w:pPr>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auto"/>
                <w:sz w:val="24"/>
                <w:szCs w:val="24"/>
                <w:highlight w:val="none"/>
              </w:rPr>
              <w:t>新成立企业是指：营业执照申领时间至今未满一年的企业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新成立企业仅需提供近3个月内任意1个月银行出具的资信证明即可】。</w:t>
            </w:r>
          </w:p>
        </w:tc>
        <w:tc>
          <w:tcPr>
            <w:tcW w:w="622" w:type="dxa"/>
            <w:vAlign w:val="center"/>
          </w:tcPr>
          <w:p w14:paraId="1DEF624B">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28A5018D">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7E36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2DEC975B">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3</w:t>
            </w:r>
          </w:p>
        </w:tc>
        <w:tc>
          <w:tcPr>
            <w:tcW w:w="6516" w:type="dxa"/>
            <w:shd w:val="clear" w:color="auto" w:fill="auto"/>
            <w:vAlign w:val="center"/>
          </w:tcPr>
          <w:p w14:paraId="4792DEF8">
            <w:pPr>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具有履行合同所必需的设备和专业技术能力；</w:t>
            </w:r>
          </w:p>
          <w:p w14:paraId="65882ED9">
            <w:pPr>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【须提供：①相关设备或设施的购置发票或单据（任一）或提供承诺函；②</w:t>
            </w:r>
            <w:r>
              <w:rPr>
                <w:rFonts w:hint="eastAsia" w:ascii="宋体" w:hAnsi="宋体" w:eastAsia="宋体" w:cs="宋体"/>
                <w:spacing w:val="-2"/>
                <w:sz w:val="24"/>
                <w:szCs w:val="24"/>
                <w:highlight w:val="none"/>
              </w:rPr>
              <w:t>提供具有履行合同所必需的专业技术能力相关证明材料或声明</w:t>
            </w:r>
            <w:r>
              <w:rPr>
                <w:rFonts w:hint="eastAsia" w:ascii="宋体" w:hAnsi="宋体" w:eastAsia="宋体" w:cs="宋体"/>
                <w:color w:val="000000"/>
                <w:sz w:val="24"/>
                <w:szCs w:val="24"/>
                <w:highlight w:val="none"/>
              </w:rPr>
              <w:t>】。</w:t>
            </w:r>
          </w:p>
        </w:tc>
        <w:tc>
          <w:tcPr>
            <w:tcW w:w="622" w:type="dxa"/>
            <w:vAlign w:val="center"/>
          </w:tcPr>
          <w:p w14:paraId="45CD9FA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2F17B65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34AE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4C793A29">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4</w:t>
            </w:r>
          </w:p>
        </w:tc>
        <w:tc>
          <w:tcPr>
            <w:tcW w:w="6516" w:type="dxa"/>
            <w:shd w:val="clear" w:color="auto" w:fill="auto"/>
            <w:vAlign w:val="center"/>
          </w:tcPr>
          <w:p w14:paraId="4EE3BDBA">
            <w:pPr>
              <w:pStyle w:val="12"/>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有依法缴纳税收和社会保障资金的良好记录；</w:t>
            </w:r>
          </w:p>
          <w:p w14:paraId="1621A4FE">
            <w:pPr>
              <w:pStyle w:val="12"/>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【须提供：①近</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个月内任意1个月已依法缴纳税收的凭据；②近</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个月内任意1个月已依法缴纳社会保险的凭据（依法免税</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投标人，应提供相应证明文件，新成立企业或自然人无需提供）】。</w:t>
            </w:r>
          </w:p>
        </w:tc>
        <w:tc>
          <w:tcPr>
            <w:tcW w:w="622" w:type="dxa"/>
            <w:vAlign w:val="center"/>
          </w:tcPr>
          <w:p w14:paraId="286BA0AC">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2B1C9CC1">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4B69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6DB219DD">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5</w:t>
            </w:r>
          </w:p>
        </w:tc>
        <w:tc>
          <w:tcPr>
            <w:tcW w:w="6516" w:type="dxa"/>
            <w:shd w:val="clear" w:color="auto" w:fill="auto"/>
            <w:vAlign w:val="center"/>
          </w:tcPr>
          <w:p w14:paraId="59AC65E5">
            <w:pPr>
              <w:widowControl/>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参加本次政府采购活动前三年内，在经营活动中没有重大违法记录；</w:t>
            </w:r>
          </w:p>
          <w:p w14:paraId="64247AE6">
            <w:pPr>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【须提供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书面承诺（投标人自行承诺并承担后果，声明不实的，按《政府采购法》及相关法律法规中提供虚假材料的有关规定处理】。 </w:t>
            </w:r>
          </w:p>
        </w:tc>
        <w:tc>
          <w:tcPr>
            <w:tcW w:w="622" w:type="dxa"/>
            <w:vAlign w:val="center"/>
          </w:tcPr>
          <w:p w14:paraId="6C505079">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65504C0B">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6D17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48EC4C63">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6</w:t>
            </w:r>
          </w:p>
        </w:tc>
        <w:tc>
          <w:tcPr>
            <w:tcW w:w="6516" w:type="dxa"/>
            <w:shd w:val="clear" w:color="auto" w:fill="auto"/>
            <w:vAlign w:val="center"/>
          </w:tcPr>
          <w:p w14:paraId="4A510ADF">
            <w:pPr>
              <w:widowControl/>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本项目特定资格条件：</w:t>
            </w:r>
            <w:r>
              <w:rPr>
                <w:rFonts w:hint="eastAsia" w:ascii="宋体" w:hAnsi="宋体" w:eastAsia="宋体" w:cs="宋体"/>
                <w:color w:val="000000"/>
                <w:sz w:val="24"/>
                <w:szCs w:val="24"/>
                <w:highlight w:val="none"/>
              </w:rPr>
              <w:t>单位负责人为同一人或者存在直接控股、管理关系的不同投标人，不得参加同一合同项下的政府采购活动。</w:t>
            </w:r>
          </w:p>
          <w:p w14:paraId="7FAECC7B">
            <w:pPr>
              <w:widowControl/>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【须提供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书面承诺（投标人自行承诺并承担后果，声明函不实的，按《政府采购法》及相关法律法规中提供虚假材料的有关规定处理】。</w:t>
            </w:r>
          </w:p>
        </w:tc>
        <w:tc>
          <w:tcPr>
            <w:tcW w:w="622" w:type="dxa"/>
            <w:vAlign w:val="center"/>
          </w:tcPr>
          <w:p w14:paraId="32D1E49D">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7460C626">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320B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shd w:val="clear" w:color="auto" w:fill="auto"/>
            <w:vAlign w:val="center"/>
          </w:tcPr>
          <w:p w14:paraId="3E4530ED">
            <w:pPr>
              <w:pStyle w:val="51"/>
              <w:pageBreakBefore w:val="0"/>
              <w:kinsoku/>
              <w:wordWrap/>
              <w:overflowPunct/>
              <w:topLinePunct w:val="0"/>
              <w:autoSpaceDE/>
              <w:autoSpaceDN/>
              <w:bidi w:val="0"/>
              <w:adjustRightInd/>
              <w:spacing w:line="360" w:lineRule="auto"/>
              <w:jc w:val="center"/>
              <w:textAlignment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7</w:t>
            </w:r>
          </w:p>
        </w:tc>
        <w:tc>
          <w:tcPr>
            <w:tcW w:w="6516" w:type="dxa"/>
            <w:shd w:val="clear" w:color="auto" w:fill="auto"/>
            <w:vAlign w:val="center"/>
          </w:tcPr>
          <w:p w14:paraId="307F9E5F">
            <w:pPr>
              <w:widowControl/>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本项目不接受联合体</w:t>
            </w:r>
            <w:r>
              <w:rPr>
                <w:rFonts w:hint="eastAsia" w:ascii="宋体" w:hAnsi="宋体" w:eastAsia="宋体" w:cs="宋体"/>
                <w:color w:val="000000"/>
                <w:sz w:val="24"/>
                <w:szCs w:val="24"/>
                <w:highlight w:val="none"/>
                <w:lang w:eastAsia="zh-CN"/>
              </w:rPr>
              <w:t>。</w:t>
            </w:r>
          </w:p>
          <w:p w14:paraId="05B692DB">
            <w:pPr>
              <w:widowControl/>
              <w:spacing w:line="360" w:lineRule="auto"/>
              <w:rPr>
                <w:rFonts w:hint="eastAsia" w:ascii="宋体" w:hAnsi="宋体" w:eastAsia="宋体" w:cs="宋体"/>
                <w:color w:val="000000"/>
                <w:kern w:val="2"/>
                <w:sz w:val="24"/>
                <w:szCs w:val="24"/>
                <w:highlight w:val="yellow"/>
                <w:lang w:val="en-US" w:eastAsia="zh-CN" w:bidi="ar-SA"/>
              </w:rPr>
            </w:pPr>
            <w:r>
              <w:rPr>
                <w:rFonts w:hint="eastAsia" w:ascii="宋体" w:hAnsi="宋体" w:eastAsia="宋体" w:cs="宋体"/>
                <w:color w:val="000000"/>
                <w:sz w:val="24"/>
                <w:szCs w:val="24"/>
                <w:highlight w:val="none"/>
              </w:rPr>
              <w:t>【无需提供任何证明材料】。</w:t>
            </w:r>
          </w:p>
        </w:tc>
        <w:tc>
          <w:tcPr>
            <w:tcW w:w="622" w:type="dxa"/>
            <w:vAlign w:val="center"/>
          </w:tcPr>
          <w:p w14:paraId="5149677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39D25C8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7491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7E76902C">
            <w:pPr>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622" w:type="dxa"/>
            <w:vAlign w:val="center"/>
          </w:tcPr>
          <w:p w14:paraId="5172DD5A">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73" w:type="dxa"/>
            <w:vAlign w:val="center"/>
          </w:tcPr>
          <w:p w14:paraId="7A92ADB7">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753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2233616F">
            <w:pPr>
              <w:pStyle w:val="51"/>
              <w:pageBreakBefore w:val="0"/>
              <w:kinsoku/>
              <w:wordWrap/>
              <w:overflowPunct/>
              <w:topLinePunct w:val="0"/>
              <w:autoSpaceDE/>
              <w:autoSpaceDN/>
              <w:bidi w:val="0"/>
              <w:adjustRightInd/>
              <w:spacing w:line="360" w:lineRule="auto"/>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中有一项未通过上述审查标准，</w:t>
            </w:r>
            <w:r>
              <w:rPr>
                <w:rFonts w:hint="eastAsia" w:ascii="宋体" w:hAnsi="宋体" w:eastAsia="宋体" w:cs="宋体"/>
                <w:color w:val="000000"/>
                <w:sz w:val="24"/>
                <w:szCs w:val="24"/>
                <w:highlight w:val="none"/>
                <w:lang w:val="en-US" w:eastAsia="zh-CN"/>
              </w:rPr>
              <w:t>评标委员会</w:t>
            </w:r>
            <w:r>
              <w:rPr>
                <w:rFonts w:hint="eastAsia" w:ascii="宋体" w:hAnsi="宋体" w:eastAsia="宋体" w:cs="宋体"/>
                <w:color w:val="000000"/>
                <w:sz w:val="24"/>
                <w:szCs w:val="24"/>
                <w:highlight w:val="none"/>
              </w:rPr>
              <w:t>将认定整个</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不响应</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件而予以无效处理，并且不允许</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通过修改或撤销其不符合要求的差异或保留，使之成为具有响应性的</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w:t>
            </w:r>
          </w:p>
        </w:tc>
      </w:tr>
    </w:tbl>
    <w:p w14:paraId="5A1188B6">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p>
    <w:p w14:paraId="539EEF07">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trike/>
          <w:color w:val="000000"/>
          <w:sz w:val="24"/>
          <w:szCs w:val="24"/>
          <w:highlight w:val="none"/>
        </w:rPr>
      </w:pPr>
      <w:r>
        <w:rPr>
          <w:rFonts w:hint="eastAsia" w:ascii="宋体" w:hAnsi="宋体" w:eastAsia="宋体" w:cs="宋体"/>
          <w:color w:val="000000"/>
          <w:sz w:val="24"/>
          <w:szCs w:val="24"/>
          <w:highlight w:val="none"/>
        </w:rPr>
        <w:t>3.2符合性审查。依据招标文件的规定，从投标文件的有效性、完整性和对招标文件的响应程度进行审查，以确定是否对招标文件的实质性要求作出响应。</w:t>
      </w:r>
    </w:p>
    <w:p w14:paraId="7A8AAD63">
      <w:pPr>
        <w:pStyle w:val="30"/>
        <w:pageBreakBefore w:val="0"/>
        <w:kinsoku/>
        <w:wordWrap/>
        <w:overflowPunct/>
        <w:topLinePunct w:val="0"/>
        <w:autoSpaceDE/>
        <w:autoSpaceDN/>
        <w:bidi w:val="0"/>
        <w:adjustRightIn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符合性审查表</w:t>
      </w:r>
    </w:p>
    <w:tbl>
      <w:tblPr>
        <w:tblStyle w:val="31"/>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512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0559E16A">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6100" w:type="dxa"/>
            <w:vMerge w:val="restart"/>
            <w:vAlign w:val="center"/>
          </w:tcPr>
          <w:p w14:paraId="55B53D8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1635" w:type="dxa"/>
            <w:gridSpan w:val="2"/>
            <w:vAlign w:val="center"/>
          </w:tcPr>
          <w:p w14:paraId="6E5FB715">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1F22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64ECA23B">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6100" w:type="dxa"/>
            <w:vMerge w:val="continue"/>
            <w:vAlign w:val="center"/>
          </w:tcPr>
          <w:p w14:paraId="72C5591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782" w:type="dxa"/>
            <w:vAlign w:val="center"/>
          </w:tcPr>
          <w:p w14:paraId="0FB9BF1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853" w:type="dxa"/>
            <w:vAlign w:val="center"/>
          </w:tcPr>
          <w:p w14:paraId="5277F31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2A64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63AACA2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6100" w:type="dxa"/>
            <w:vAlign w:val="center"/>
          </w:tcPr>
          <w:p w14:paraId="6C04A9D1">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w:t>
            </w:r>
            <w:r>
              <w:rPr>
                <w:rFonts w:hint="eastAsia" w:ascii="宋体" w:hAnsi="宋体" w:eastAsia="宋体" w:cs="宋体"/>
                <w:color w:val="000000"/>
                <w:sz w:val="24"/>
                <w:szCs w:val="24"/>
                <w:highlight w:val="none"/>
                <w:lang w:val="en-US" w:eastAsia="zh-CN"/>
              </w:rPr>
              <w:t>编制</w:t>
            </w:r>
            <w:r>
              <w:rPr>
                <w:rFonts w:hint="eastAsia" w:ascii="宋体" w:hAnsi="宋体" w:eastAsia="宋体" w:cs="宋体"/>
                <w:color w:val="000000"/>
                <w:sz w:val="24"/>
                <w:szCs w:val="24"/>
                <w:highlight w:val="none"/>
              </w:rPr>
              <w:t>符合招标文件要求；</w:t>
            </w:r>
          </w:p>
        </w:tc>
        <w:tc>
          <w:tcPr>
            <w:tcW w:w="782" w:type="dxa"/>
            <w:vAlign w:val="center"/>
          </w:tcPr>
          <w:p w14:paraId="7B270F15">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3D15699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7B14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0DDA29A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6100" w:type="dxa"/>
            <w:vAlign w:val="center"/>
          </w:tcPr>
          <w:p w14:paraId="047DBDBB">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按照招标文件规定和要求</w:t>
            </w:r>
            <w:r>
              <w:rPr>
                <w:rFonts w:hint="eastAsia" w:ascii="宋体" w:hAnsi="宋体" w:eastAsia="宋体" w:cs="宋体"/>
                <w:color w:val="000000"/>
                <w:sz w:val="24"/>
                <w:szCs w:val="24"/>
                <w:highlight w:val="none"/>
                <w:lang w:val="en-US" w:eastAsia="zh-CN"/>
              </w:rPr>
              <w:t>加密</w:t>
            </w:r>
            <w:r>
              <w:rPr>
                <w:rFonts w:hint="eastAsia" w:ascii="宋体" w:hAnsi="宋体" w:eastAsia="宋体" w:cs="宋体"/>
                <w:color w:val="000000"/>
                <w:sz w:val="24"/>
                <w:szCs w:val="24"/>
                <w:highlight w:val="none"/>
              </w:rPr>
              <w:t>、签章；</w:t>
            </w:r>
          </w:p>
        </w:tc>
        <w:tc>
          <w:tcPr>
            <w:tcW w:w="782" w:type="dxa"/>
            <w:vAlign w:val="center"/>
          </w:tcPr>
          <w:p w14:paraId="71E0FCEC">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7D368ABE">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0853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4D5F0716">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6100" w:type="dxa"/>
            <w:vAlign w:val="center"/>
          </w:tcPr>
          <w:p w14:paraId="01F8DE39">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按照招标文件规定缴纳投标保证金；</w:t>
            </w:r>
          </w:p>
        </w:tc>
        <w:tc>
          <w:tcPr>
            <w:tcW w:w="782" w:type="dxa"/>
            <w:vAlign w:val="center"/>
          </w:tcPr>
          <w:p w14:paraId="0B51B8B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0D54E311">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0CA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7367EC7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6100" w:type="dxa"/>
            <w:vAlign w:val="center"/>
          </w:tcPr>
          <w:p w14:paraId="098726D0">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投标报价不得高于设定的最高限价；</w:t>
            </w:r>
          </w:p>
        </w:tc>
        <w:tc>
          <w:tcPr>
            <w:tcW w:w="782" w:type="dxa"/>
            <w:vAlign w:val="center"/>
          </w:tcPr>
          <w:p w14:paraId="04FE827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3238D55C">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625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25527D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6100" w:type="dxa"/>
            <w:vAlign w:val="center"/>
          </w:tcPr>
          <w:p w14:paraId="6F06D0DD">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供货期、质保期</w:t>
            </w:r>
            <w:r>
              <w:rPr>
                <w:rFonts w:hint="eastAsia" w:ascii="宋体" w:hAnsi="宋体" w:eastAsia="宋体" w:cs="宋体"/>
                <w:color w:val="000000"/>
                <w:sz w:val="24"/>
                <w:szCs w:val="24"/>
                <w:highlight w:val="none"/>
              </w:rPr>
              <w:t>符合招标文件规定期限；</w:t>
            </w:r>
          </w:p>
        </w:tc>
        <w:tc>
          <w:tcPr>
            <w:tcW w:w="782" w:type="dxa"/>
            <w:vAlign w:val="center"/>
          </w:tcPr>
          <w:p w14:paraId="02C7B79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0CB82C5C">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165E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1B6FF5F2">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6100" w:type="dxa"/>
            <w:vAlign w:val="center"/>
          </w:tcPr>
          <w:p w14:paraId="140C71B5">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按照招标文件规定的格式要求编制投标文件，实质性响应招标文件内容；</w:t>
            </w:r>
          </w:p>
        </w:tc>
        <w:tc>
          <w:tcPr>
            <w:tcW w:w="782" w:type="dxa"/>
            <w:vAlign w:val="center"/>
          </w:tcPr>
          <w:p w14:paraId="4C25D216">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62AA48F0">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052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68D3521F">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p>
        </w:tc>
        <w:tc>
          <w:tcPr>
            <w:tcW w:w="6100" w:type="dxa"/>
            <w:vAlign w:val="center"/>
          </w:tcPr>
          <w:p w14:paraId="2CD7C89F">
            <w:pPr>
              <w:pStyle w:val="51"/>
              <w:pageBreakBefore w:val="0"/>
              <w:kinsoku/>
              <w:wordWrap/>
              <w:overflowPunct/>
              <w:topLinePunct w:val="0"/>
              <w:autoSpaceDE/>
              <w:autoSpaceDN/>
              <w:bidi w:val="0"/>
              <w:adjustRightInd/>
              <w:spacing w:line="360" w:lineRule="auto"/>
              <w:ind w:left="210" w:leftChars="100"/>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投标文件不得附有采购人不能接受的条件</w:t>
            </w:r>
            <w:r>
              <w:rPr>
                <w:rFonts w:hint="eastAsia" w:ascii="宋体" w:hAnsi="宋体" w:eastAsia="宋体" w:cs="宋体"/>
                <w:color w:val="000000"/>
                <w:sz w:val="24"/>
                <w:szCs w:val="24"/>
                <w:highlight w:val="none"/>
                <w:lang w:eastAsia="zh-CN"/>
              </w:rPr>
              <w:t>。</w:t>
            </w:r>
          </w:p>
        </w:tc>
        <w:tc>
          <w:tcPr>
            <w:tcW w:w="782" w:type="dxa"/>
            <w:vAlign w:val="center"/>
          </w:tcPr>
          <w:p w14:paraId="0D8D15A0">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781C4E3A">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4A54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09EDB238">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782" w:type="dxa"/>
            <w:vAlign w:val="center"/>
          </w:tcPr>
          <w:p w14:paraId="45631344">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c>
          <w:tcPr>
            <w:tcW w:w="853" w:type="dxa"/>
            <w:vAlign w:val="center"/>
          </w:tcPr>
          <w:p w14:paraId="5346B143">
            <w:pPr>
              <w:pStyle w:val="51"/>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000000"/>
                <w:sz w:val="24"/>
                <w:szCs w:val="24"/>
                <w:highlight w:val="none"/>
              </w:rPr>
            </w:pPr>
          </w:p>
        </w:tc>
      </w:tr>
      <w:tr w14:paraId="4214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0FFD6F24">
            <w:pPr>
              <w:pStyle w:val="51"/>
              <w:pageBreakBefore w:val="0"/>
              <w:kinsoku/>
              <w:wordWrap/>
              <w:overflowPunct/>
              <w:topLinePunct w:val="0"/>
              <w:autoSpaceDE/>
              <w:autoSpaceDN/>
              <w:bidi w:val="0"/>
              <w:adjustRightInd/>
              <w:spacing w:line="360" w:lineRule="auto"/>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3F6BACA8">
      <w:pPr>
        <w:pStyle w:val="13"/>
        <w:pageBreakBefore w:val="0"/>
        <w:tabs>
          <w:tab w:val="left" w:pos="600"/>
        </w:tabs>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3.2.1在投标文件符合性审查过程中，如果出现评标委员会成员意见不一致的情况，按照少数服从多数的原则确定，但不得违背政府采购基本原则和招标文件规定。</w:t>
      </w:r>
    </w:p>
    <w:p w14:paraId="11193974">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67" w:name="_Toc183682422"/>
      <w:bookmarkStart w:id="168" w:name="_Toc217446104"/>
      <w:bookmarkStart w:id="169" w:name="_Toc183582287"/>
    </w:p>
    <w:bookmarkEnd w:id="167"/>
    <w:bookmarkEnd w:id="168"/>
    <w:bookmarkEnd w:id="169"/>
    <w:p w14:paraId="29B1F505">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000000"/>
          <w:sz w:val="24"/>
          <w:szCs w:val="24"/>
          <w:highlight w:val="none"/>
        </w:rPr>
        <w:t>3.4比较与评价。按招</w:t>
      </w:r>
      <w:r>
        <w:rPr>
          <w:rFonts w:hint="eastAsia" w:ascii="宋体" w:hAnsi="宋体" w:eastAsia="宋体" w:cs="宋体"/>
          <w:b w:val="0"/>
          <w:bCs w:val="0"/>
          <w:color w:val="auto"/>
          <w:sz w:val="24"/>
          <w:szCs w:val="24"/>
          <w:highlight w:val="none"/>
        </w:rPr>
        <w:t>标文件中规定的评标方法和标准，对符合性审查合格的投标文件进行综合比较与评价。</w:t>
      </w:r>
    </w:p>
    <w:p w14:paraId="4093D7CE">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3.5推荐中标候选人名单。中标候选人数量应当根据招标文件确定，但必须按顺序排列中标候选人。</w:t>
      </w:r>
    </w:p>
    <w:p w14:paraId="72DFFE5C">
      <w:pPr>
        <w:pStyle w:val="45"/>
        <w:pageBreakBefore w:val="0"/>
        <w:kinsoku/>
        <w:wordWrap/>
        <w:overflowPunct/>
        <w:topLinePunct w:val="0"/>
        <w:autoSpaceDE/>
        <w:autoSpaceDN/>
        <w:bidi w:val="0"/>
        <w:adjustRightInd/>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b w:val="0"/>
          <w:bCs w:val="0"/>
          <w:color w:val="auto"/>
          <w:sz w:val="24"/>
          <w:szCs w:val="24"/>
          <w:highlight w:val="none"/>
          <w:shd w:val="clear" w:color="auto" w:fill="FAFAFA"/>
        </w:rPr>
        <w:t>，按照技术指标优劣顺序推荐</w:t>
      </w:r>
      <w:r>
        <w:rPr>
          <w:rFonts w:hint="eastAsia" w:ascii="宋体" w:hAnsi="宋体" w:eastAsia="宋体" w:cs="宋体"/>
          <w:b w:val="0"/>
          <w:bCs w:val="0"/>
          <w:color w:val="auto"/>
          <w:sz w:val="24"/>
          <w:szCs w:val="24"/>
          <w:highlight w:val="none"/>
        </w:rPr>
        <w:t>。</w:t>
      </w:r>
    </w:p>
    <w:p w14:paraId="6F31569D">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3.6编写评标报告。评标报告是评标委员会根据评标委员成员签字的原始评标记录和评标结果编写的报告，其主要内容包括：</w:t>
      </w:r>
    </w:p>
    <w:p w14:paraId="666F583C">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（1）项目概况、开标日期和地点；</w:t>
      </w:r>
    </w:p>
    <w:p w14:paraId="2BC0319F">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（2）参与竞争的的投标人名单和评标委员会成员名单；</w:t>
      </w:r>
    </w:p>
    <w:p w14:paraId="477D2554">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（3）评审因素和评分标准；</w:t>
      </w:r>
    </w:p>
    <w:p w14:paraId="28979687">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（4）开标记录和评标情况及说明，包括投标无效投标人名单及原因；</w:t>
      </w:r>
    </w:p>
    <w:p w14:paraId="6CB7670C">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（5）评标结果和中标候选人排序。</w:t>
      </w:r>
    </w:p>
    <w:p w14:paraId="464AD608">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bookmarkStart w:id="170" w:name="_Toc217446103"/>
      <w:r>
        <w:rPr>
          <w:rFonts w:hint="eastAsia" w:ascii="宋体" w:hAnsi="宋体" w:eastAsia="宋体" w:cs="宋体"/>
          <w:b w:val="0"/>
          <w:bCs w:val="0"/>
          <w:color w:val="auto"/>
          <w:sz w:val="24"/>
          <w:szCs w:val="24"/>
          <w:highlight w:val="none"/>
        </w:rPr>
        <w:t>4. 评标细则及标准</w:t>
      </w:r>
      <w:bookmarkEnd w:id="170"/>
    </w:p>
    <w:p w14:paraId="75C318C2">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 评标委员会只对通过符合性审查的投标文件，根据招标文件的要求采用相同的评标程序、评分办法及标准进行评价和比较。</w:t>
      </w:r>
    </w:p>
    <w:p w14:paraId="6D1F5F0D">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 本次综合评分的因素是：商务、价格、技术服务、业绩、对招标文件的响应程度以及投标文件规范性等。</w:t>
      </w:r>
    </w:p>
    <w:p w14:paraId="66080A2A">
      <w:pPr>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4.3 除价格因素外，评标委员会成员应依据投标文件规定的评审因素和评分标准进行比较打分。</w:t>
      </w:r>
    </w:p>
    <w:p w14:paraId="4B9FE17F">
      <w:pPr>
        <w:pStyle w:val="13"/>
        <w:pageBreakBefore w:val="0"/>
        <w:tabs>
          <w:tab w:val="left" w:pos="600"/>
        </w:tabs>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4.4评标细则及标准的制定以科学合理、降低评标委员会自由裁量权为原则。</w:t>
      </w:r>
    </w:p>
    <w:p w14:paraId="77E55398">
      <w:pPr>
        <w:pStyle w:val="13"/>
        <w:pageBreakBefore w:val="0"/>
        <w:tabs>
          <w:tab w:val="left" w:pos="600"/>
        </w:tabs>
        <w:kinsoku/>
        <w:wordWrap/>
        <w:overflowPunct/>
        <w:topLinePunct w:val="0"/>
        <w:autoSpaceDE/>
        <w:autoSpaceDN/>
        <w:bidi w:val="0"/>
        <w:adjustRightInd/>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4.5评标委员会将按照下述评分标准对通过符合性审查的投标文件进行详细评标，投标人评标得分等于所有评委评分的算术平均值，结果保留两位小数。</w:t>
      </w:r>
    </w:p>
    <w:p w14:paraId="2F434497">
      <w:pPr>
        <w:pStyle w:val="13"/>
        <w:tabs>
          <w:tab w:val="left" w:pos="600"/>
        </w:tabs>
        <w:spacing w:line="360" w:lineRule="auto"/>
        <w:ind w:firstLine="480" w:firstLineChars="20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评审因素权重表</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6334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134F5DDB">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356D8728">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w:t>
            </w:r>
          </w:p>
        </w:tc>
        <w:tc>
          <w:tcPr>
            <w:tcW w:w="2241" w:type="dxa"/>
            <w:tcBorders>
              <w:top w:val="single" w:color="auto" w:sz="4" w:space="0"/>
              <w:left w:val="single" w:color="auto" w:sz="4" w:space="0"/>
              <w:bottom w:val="single" w:color="auto" w:sz="4" w:space="0"/>
              <w:right w:val="single" w:color="auto" w:sz="4" w:space="0"/>
            </w:tcBorders>
            <w:vAlign w:val="center"/>
          </w:tcPr>
          <w:p w14:paraId="3DA44174">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2</w:t>
            </w:r>
          </w:p>
        </w:tc>
        <w:tc>
          <w:tcPr>
            <w:tcW w:w="2698" w:type="dxa"/>
            <w:tcBorders>
              <w:top w:val="single" w:color="auto" w:sz="4" w:space="0"/>
              <w:left w:val="single" w:color="auto" w:sz="4" w:space="0"/>
              <w:bottom w:val="single" w:color="auto" w:sz="4" w:space="0"/>
              <w:right w:val="single" w:color="auto" w:sz="4" w:space="0"/>
            </w:tcBorders>
            <w:vAlign w:val="center"/>
          </w:tcPr>
          <w:p w14:paraId="2D3F32C0">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3</w:t>
            </w:r>
          </w:p>
        </w:tc>
      </w:tr>
      <w:tr w14:paraId="7AA5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70CAC77">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4033133F">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00EA700E">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2C904721">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合计</w:t>
            </w:r>
          </w:p>
        </w:tc>
      </w:tr>
      <w:tr w14:paraId="4F88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6D5B27D1">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16533B79">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lang w:val="en-US" w:eastAsia="zh-CN"/>
              </w:rPr>
              <w:t>30</w:t>
            </w:r>
            <w:r>
              <w:rPr>
                <w:rFonts w:hint="eastAsia" w:ascii="宋体" w:hAnsi="宋体" w:eastAsia="宋体" w:cs="宋体"/>
                <w:b w:val="0"/>
                <w:bCs w:val="0"/>
                <w:color w:val="auto"/>
                <w:spacing w:val="6"/>
                <w:kern w:val="0"/>
                <w:sz w:val="24"/>
                <w:szCs w:val="24"/>
                <w:highlight w:val="none"/>
              </w:rPr>
              <w:t>%</w:t>
            </w:r>
          </w:p>
        </w:tc>
        <w:tc>
          <w:tcPr>
            <w:tcW w:w="2241" w:type="dxa"/>
            <w:tcBorders>
              <w:top w:val="single" w:color="auto" w:sz="4" w:space="0"/>
              <w:left w:val="single" w:color="auto" w:sz="4" w:space="0"/>
              <w:bottom w:val="single" w:color="auto" w:sz="4" w:space="0"/>
              <w:right w:val="single" w:color="auto" w:sz="4" w:space="0"/>
            </w:tcBorders>
            <w:vAlign w:val="center"/>
          </w:tcPr>
          <w:p w14:paraId="617D1713">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lang w:val="en-US" w:eastAsia="zh-CN"/>
              </w:rPr>
              <w:t>70</w:t>
            </w:r>
            <w:r>
              <w:rPr>
                <w:rFonts w:hint="eastAsia" w:ascii="宋体" w:hAnsi="宋体" w:eastAsia="宋体" w:cs="宋体"/>
                <w:b w:val="0"/>
                <w:bCs w:val="0"/>
                <w:color w:val="auto"/>
                <w:spacing w:val="6"/>
                <w:kern w:val="0"/>
                <w:sz w:val="24"/>
                <w:szCs w:val="24"/>
                <w:highlight w:val="none"/>
              </w:rPr>
              <w:t>%</w:t>
            </w:r>
          </w:p>
        </w:tc>
        <w:tc>
          <w:tcPr>
            <w:tcW w:w="2698" w:type="dxa"/>
            <w:tcBorders>
              <w:top w:val="single" w:color="auto" w:sz="4" w:space="0"/>
              <w:left w:val="single" w:color="auto" w:sz="4" w:space="0"/>
              <w:bottom w:val="single" w:color="auto" w:sz="4" w:space="0"/>
              <w:right w:val="single" w:color="auto" w:sz="4" w:space="0"/>
            </w:tcBorders>
            <w:vAlign w:val="center"/>
          </w:tcPr>
          <w:p w14:paraId="5EA0870B">
            <w:pPr>
              <w:autoSpaceDE w:val="0"/>
              <w:autoSpaceDN w:val="0"/>
              <w:adjustRightInd w:val="0"/>
              <w:spacing w:line="360" w:lineRule="auto"/>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100%</w:t>
            </w:r>
          </w:p>
        </w:tc>
      </w:tr>
    </w:tbl>
    <w:p w14:paraId="3B846AA1">
      <w:pPr>
        <w:pStyle w:val="13"/>
        <w:tabs>
          <w:tab w:val="left" w:pos="600"/>
        </w:tabs>
        <w:spacing w:line="360" w:lineRule="auto"/>
        <w:ind w:firstLine="0"/>
        <w:jc w:val="center"/>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val="0"/>
          <w:bCs w:val="0"/>
          <w:color w:val="auto"/>
          <w:sz w:val="24"/>
          <w:szCs w:val="24"/>
          <w:highlight w:val="none"/>
        </w:rPr>
        <w:t>技术、商务部分评审标准（</w:t>
      </w:r>
      <w:r>
        <w:rPr>
          <w:rFonts w:hint="eastAsia" w:ascii="宋体" w:hAnsi="宋体" w:eastAsia="宋体"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分）</w:t>
      </w:r>
    </w:p>
    <w:p w14:paraId="3F445F7B">
      <w:pPr>
        <w:pStyle w:val="13"/>
        <w:tabs>
          <w:tab w:val="left" w:pos="600"/>
        </w:tabs>
        <w:spacing w:line="360" w:lineRule="auto"/>
        <w:ind w:firstLine="0"/>
        <w:jc w:val="center"/>
        <w:rPr>
          <w:rFonts w:hint="eastAsia" w:ascii="宋体" w:hAnsi="宋体" w:eastAsia="宋体" w:cs="宋体"/>
          <w:b w:val="0"/>
          <w:bCs w:val="0"/>
          <w:color w:val="auto"/>
          <w:spacing w:val="6"/>
          <w:kern w:val="0"/>
          <w:sz w:val="24"/>
          <w:szCs w:val="24"/>
          <w:highlight w:val="none"/>
          <w:lang w:val="en-US" w:eastAsia="zh-CN"/>
        </w:rPr>
      </w:pPr>
    </w:p>
    <w:tbl>
      <w:tblPr>
        <w:tblStyle w:val="31"/>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5754"/>
      </w:tblGrid>
      <w:tr w14:paraId="61E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413" w:type="dxa"/>
            <w:tcBorders>
              <w:top w:val="single" w:color="auto" w:sz="4" w:space="0"/>
              <w:left w:val="single" w:color="auto" w:sz="4" w:space="0"/>
              <w:bottom w:val="single" w:color="auto" w:sz="4" w:space="0"/>
              <w:right w:val="single" w:color="auto" w:sz="4" w:space="0"/>
            </w:tcBorders>
            <w:vAlign w:val="center"/>
          </w:tcPr>
          <w:p w14:paraId="4F3B70F8">
            <w:pPr>
              <w:spacing w:line="360" w:lineRule="auto"/>
              <w:rPr>
                <w:rFonts w:hint="eastAsia" w:ascii="宋体" w:hAnsi="宋体" w:eastAsia="宋体" w:cs="宋体"/>
                <w:b/>
                <w:bCs/>
                <w:snapToGrid w:val="0"/>
                <w:kern w:val="0"/>
                <w:sz w:val="24"/>
                <w:szCs w:val="24"/>
                <w:highlight w:val="none"/>
                <w:lang w:val="zh-CN"/>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snapToGrid w:val="0"/>
                <w:kern w:val="0"/>
                <w:sz w:val="24"/>
                <w:szCs w:val="24"/>
                <w:highlight w:val="none"/>
              </w:rPr>
              <w:t>评分项目</w:t>
            </w:r>
          </w:p>
        </w:tc>
        <w:tc>
          <w:tcPr>
            <w:tcW w:w="1417" w:type="dxa"/>
            <w:tcBorders>
              <w:top w:val="single" w:color="auto" w:sz="4" w:space="0"/>
              <w:left w:val="single" w:color="auto" w:sz="4" w:space="0"/>
              <w:bottom w:val="single" w:color="auto" w:sz="4" w:space="0"/>
              <w:right w:val="single" w:color="auto" w:sz="4" w:space="0"/>
            </w:tcBorders>
            <w:vAlign w:val="center"/>
          </w:tcPr>
          <w:p w14:paraId="7578FCD1">
            <w:pPr>
              <w:widowControl/>
              <w:kinsoku w:val="0"/>
              <w:autoSpaceDE w:val="0"/>
              <w:autoSpaceDN w:val="0"/>
              <w:adjustRightInd w:val="0"/>
              <w:snapToGrid w:val="0"/>
              <w:spacing w:line="360" w:lineRule="auto"/>
              <w:jc w:val="center"/>
              <w:textAlignment w:val="baseline"/>
              <w:rPr>
                <w:rFonts w:hint="eastAsia" w:ascii="宋体" w:hAnsi="宋体" w:eastAsia="宋体" w:cs="宋体"/>
                <w:b/>
                <w:bCs/>
                <w:snapToGrid w:val="0"/>
                <w:kern w:val="0"/>
                <w:sz w:val="24"/>
                <w:szCs w:val="24"/>
                <w:highlight w:val="none"/>
                <w:lang w:val="zh-CN"/>
              </w:rPr>
            </w:pPr>
            <w:r>
              <w:rPr>
                <w:rFonts w:hint="eastAsia" w:ascii="宋体" w:hAnsi="宋体" w:eastAsia="宋体" w:cs="宋体"/>
                <w:b/>
                <w:bCs/>
                <w:snapToGrid w:val="0"/>
                <w:kern w:val="0"/>
                <w:sz w:val="24"/>
                <w:szCs w:val="24"/>
                <w:highlight w:val="none"/>
                <w:lang w:val="zh-CN"/>
              </w:rPr>
              <w:t>分值</w:t>
            </w:r>
          </w:p>
        </w:tc>
        <w:tc>
          <w:tcPr>
            <w:tcW w:w="5754" w:type="dxa"/>
            <w:tcBorders>
              <w:top w:val="single" w:color="auto" w:sz="4" w:space="0"/>
              <w:left w:val="single" w:color="auto" w:sz="4" w:space="0"/>
              <w:bottom w:val="single" w:color="auto" w:sz="4" w:space="0"/>
              <w:right w:val="single" w:color="auto" w:sz="4" w:space="0"/>
            </w:tcBorders>
            <w:vAlign w:val="center"/>
          </w:tcPr>
          <w:p w14:paraId="168B5787">
            <w:pPr>
              <w:widowControl/>
              <w:kinsoku w:val="0"/>
              <w:autoSpaceDE w:val="0"/>
              <w:autoSpaceDN w:val="0"/>
              <w:adjustRightInd w:val="0"/>
              <w:snapToGrid w:val="0"/>
              <w:spacing w:line="360" w:lineRule="auto"/>
              <w:jc w:val="center"/>
              <w:textAlignment w:val="baseline"/>
              <w:rPr>
                <w:rFonts w:hint="eastAsia" w:ascii="宋体" w:hAnsi="宋体" w:eastAsia="宋体" w:cs="宋体"/>
                <w:b/>
                <w:bCs/>
                <w:snapToGrid w:val="0"/>
                <w:kern w:val="0"/>
                <w:sz w:val="24"/>
                <w:szCs w:val="24"/>
                <w:highlight w:val="none"/>
                <w:lang w:val="zh-CN"/>
              </w:rPr>
            </w:pPr>
            <w:r>
              <w:rPr>
                <w:rFonts w:hint="eastAsia" w:ascii="宋体" w:hAnsi="宋体" w:eastAsia="宋体" w:cs="宋体"/>
                <w:b/>
                <w:bCs/>
                <w:snapToGrid w:val="0"/>
                <w:kern w:val="0"/>
                <w:sz w:val="24"/>
                <w:szCs w:val="24"/>
                <w:highlight w:val="none"/>
                <w:lang w:val="zh-CN"/>
              </w:rPr>
              <w:t>标准</w:t>
            </w:r>
          </w:p>
        </w:tc>
      </w:tr>
      <w:tr w14:paraId="3F5E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left w:val="single" w:color="auto" w:sz="4" w:space="0"/>
              <w:right w:val="single" w:color="auto" w:sz="4" w:space="0"/>
            </w:tcBorders>
            <w:vAlign w:val="center"/>
          </w:tcPr>
          <w:p w14:paraId="1EA13651">
            <w:pPr>
              <w:widowControl/>
              <w:spacing w:line="360" w:lineRule="auto"/>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要求</w:t>
            </w:r>
          </w:p>
          <w:p w14:paraId="28FEA6AF">
            <w:pPr>
              <w:widowControl/>
              <w:spacing w:line="360" w:lineRule="auto"/>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响应评价</w:t>
            </w:r>
          </w:p>
        </w:tc>
        <w:tc>
          <w:tcPr>
            <w:tcW w:w="1417" w:type="dxa"/>
            <w:tcBorders>
              <w:top w:val="single" w:color="auto" w:sz="4" w:space="0"/>
              <w:left w:val="single" w:color="auto" w:sz="4" w:space="0"/>
              <w:bottom w:val="single" w:color="auto" w:sz="4" w:space="0"/>
              <w:right w:val="single" w:color="auto" w:sz="4" w:space="0"/>
            </w:tcBorders>
            <w:vAlign w:val="center"/>
          </w:tcPr>
          <w:p w14:paraId="6882B226">
            <w:pPr>
              <w:spacing w:line="360"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39</w:t>
            </w:r>
          </w:p>
        </w:tc>
        <w:tc>
          <w:tcPr>
            <w:tcW w:w="5754" w:type="dxa"/>
            <w:tcBorders>
              <w:top w:val="single" w:color="auto" w:sz="4" w:space="0"/>
              <w:left w:val="single" w:color="auto" w:sz="4" w:space="0"/>
              <w:bottom w:val="single" w:color="auto" w:sz="4" w:space="0"/>
              <w:right w:val="single" w:color="auto" w:sz="4" w:space="0"/>
            </w:tcBorders>
            <w:vAlign w:val="center"/>
          </w:tcPr>
          <w:p w14:paraId="58133DB0">
            <w:pPr>
              <w:widowControl/>
              <w:spacing w:line="360" w:lineRule="auto"/>
              <w:ind w:firstLine="480" w:firstLineChars="200"/>
              <w:textAlignment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对照第</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四</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章“</w:t>
            </w:r>
            <w:r>
              <w:rPr>
                <w:rFonts w:hint="eastAsia" w:ascii="宋体" w:hAnsi="宋体" w:eastAsia="宋体" w:cs="宋体"/>
                <w:bCs/>
                <w:color w:val="auto"/>
                <w:sz w:val="24"/>
                <w:szCs w:val="24"/>
                <w:highlight w:val="none"/>
              </w:rPr>
              <w:t>招标项目技术要求</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的技术参数，根据投标人提供的产品配置及技术性能指标的响应情况进行评审。</w:t>
            </w:r>
          </w:p>
          <w:p w14:paraId="43610605">
            <w:pPr>
              <w:widowControl/>
              <w:spacing w:line="360" w:lineRule="auto"/>
              <w:ind w:firstLine="480" w:firstLineChars="200"/>
              <w:textAlignment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1.投标人</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类似项目</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技术参数完全响应招标文件要求的</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，得</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39</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分；每一条</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技术参数存在负偏离的，扣1.5分，最多扣</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39</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w:t>
            </w:r>
          </w:p>
          <w:p w14:paraId="225F58B3">
            <w:pPr>
              <w:rPr>
                <w:rFonts w:hint="eastAsia" w:ascii="宋体" w:hAnsi="宋体" w:eastAsia="宋体" w:cs="宋体"/>
                <w:b/>
                <w:bCs/>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注：负偏离评审依据：</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r>
      <w:tr w14:paraId="1881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tcBorders>
              <w:left w:val="single" w:color="auto" w:sz="4" w:space="0"/>
              <w:right w:val="single" w:color="auto" w:sz="4" w:space="0"/>
            </w:tcBorders>
            <w:vAlign w:val="center"/>
          </w:tcPr>
          <w:p w14:paraId="4183FAFF">
            <w:pPr>
              <w:adjustRightInd w:val="0"/>
              <w:snapToGrid w:val="0"/>
              <w:spacing w:line="360" w:lineRule="auto"/>
              <w:jc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证明</w:t>
            </w:r>
          </w:p>
        </w:tc>
        <w:tc>
          <w:tcPr>
            <w:tcW w:w="1417" w:type="dxa"/>
            <w:tcBorders>
              <w:top w:val="single" w:color="auto" w:sz="4" w:space="0"/>
              <w:left w:val="single" w:color="auto" w:sz="4" w:space="0"/>
              <w:right w:val="single" w:color="auto" w:sz="4" w:space="0"/>
            </w:tcBorders>
            <w:vAlign w:val="center"/>
          </w:tcPr>
          <w:p w14:paraId="0BFD7DA1">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right w:val="single" w:color="auto" w:sz="4" w:space="0"/>
            </w:tcBorders>
            <w:vAlign w:val="center"/>
          </w:tcPr>
          <w:p w14:paraId="59040D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供应商近三年内（</w:t>
            </w:r>
            <w:r>
              <w:rPr>
                <w:rFonts w:hint="eastAsia" w:ascii="宋体" w:hAnsi="宋体" w:eastAsia="宋体" w:cs="宋体"/>
                <w:color w:val="000000" w:themeColor="text1"/>
                <w:sz w:val="24"/>
                <w:szCs w:val="24"/>
                <w:highlight w:val="none"/>
                <w:lang w:val="en-US" w:eastAsia="zh-CN"/>
                <w14:textFill>
                  <w14:solidFill>
                    <w14:schemeClr w14:val="tx1"/>
                  </w14:solidFill>
                </w14:textFill>
              </w:rPr>
              <w:t>自投标截止日往前推算</w:t>
            </w:r>
            <w:r>
              <w:rPr>
                <w:rFonts w:hint="eastAsia" w:ascii="宋体" w:hAnsi="宋体" w:eastAsia="宋体" w:cs="宋体"/>
                <w:color w:val="000000" w:themeColor="text1"/>
                <w:sz w:val="24"/>
                <w:szCs w:val="24"/>
                <w:highlight w:val="none"/>
                <w:lang w:eastAsia="zh-CN"/>
                <w14:textFill>
                  <w14:solidFill>
                    <w14:schemeClr w14:val="tx1"/>
                  </w14:solidFill>
                </w14:textFill>
              </w:rPr>
              <w:t>，以合同签订日期为准）完成</w:t>
            </w:r>
            <w:r>
              <w:rPr>
                <w:rFonts w:hint="eastAsia" w:ascii="宋体" w:hAnsi="宋体" w:cs="宋体"/>
                <w:color w:val="000000" w:themeColor="text1"/>
                <w:sz w:val="24"/>
                <w:szCs w:val="24"/>
                <w:highlight w:val="none"/>
                <w:lang w:eastAsia="zh-CN"/>
                <w14:textFill>
                  <w14:solidFill>
                    <w14:schemeClr w14:val="tx1"/>
                  </w14:solidFill>
                </w14:textFill>
              </w:rPr>
              <w:t>类似项目</w:t>
            </w:r>
            <w:r>
              <w:rPr>
                <w:rFonts w:hint="eastAsia" w:ascii="宋体" w:hAnsi="宋体" w:eastAsia="宋体" w:cs="宋体"/>
                <w:color w:val="000000" w:themeColor="text1"/>
                <w:sz w:val="24"/>
                <w:szCs w:val="24"/>
                <w:highlight w:val="none"/>
                <w:lang w:eastAsia="zh-CN"/>
                <w14:textFill>
                  <w14:solidFill>
                    <w14:schemeClr w14:val="tx1"/>
                  </w14:solidFill>
                </w14:textFill>
              </w:rPr>
              <w:t>的业绩，每个项目业绩得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分，最多得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2BBA0CAC">
            <w:pPr>
              <w:adjustRightInd w:val="0"/>
              <w:snapToGrid w:val="0"/>
              <w:spacing w:line="360" w:lineRule="auto"/>
              <w:ind w:firstLine="482" w:firstLineChars="200"/>
              <w:jc w:val="left"/>
              <w:rPr>
                <w:rFonts w:hint="eastAsia" w:ascii="宋体" w:hAnsi="宋体" w:eastAsia="宋体" w:cs="宋体"/>
                <w:b/>
                <w:bCs/>
                <w:color w:val="000000" w:themeColor="text1"/>
                <w:sz w:val="24"/>
                <w:szCs w:val="24"/>
                <w:highlight w:val="none"/>
                <w:lang w:val="zh-CN"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注：须提供中标通知书及采购合同（至少包括合同首页、标的页、签字盖章页、采购内容页）彩色扫描件，未按要求提供不得分；</w:t>
            </w:r>
          </w:p>
        </w:tc>
      </w:tr>
      <w:tr w14:paraId="2D8D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413" w:type="dxa"/>
            <w:tcBorders>
              <w:left w:val="single" w:color="auto" w:sz="4" w:space="0"/>
              <w:right w:val="single" w:color="auto" w:sz="4" w:space="0"/>
            </w:tcBorders>
            <w:vAlign w:val="center"/>
          </w:tcPr>
          <w:p w14:paraId="7BD91DFA">
            <w:pPr>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项目组织</w:t>
            </w:r>
          </w:p>
          <w:p w14:paraId="273BCEB1">
            <w:pPr>
              <w:widowControl/>
              <w:spacing w:line="360" w:lineRule="auto"/>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7E9BA120">
            <w:pPr>
              <w:widowControl/>
              <w:spacing w:line="360" w:lineRule="auto"/>
              <w:jc w:val="center"/>
              <w:textAlignment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1ED8ECD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组织</w:t>
            </w:r>
            <w:r>
              <w:rPr>
                <w:rFonts w:hint="eastAsia" w:ascii="宋体" w:hAnsi="宋体" w:eastAsia="宋体" w:cs="宋体"/>
                <w:color w:val="000000" w:themeColor="text1"/>
                <w:sz w:val="24"/>
                <w:szCs w:val="24"/>
                <w:highlight w:val="none"/>
                <w:lang w:eastAsia="zh-CN"/>
                <w14:textFill>
                  <w14:solidFill>
                    <w14:schemeClr w14:val="tx1"/>
                  </w14:solidFill>
                </w14:textFill>
              </w:rPr>
              <w:t>方案进行评分：</w:t>
            </w:r>
          </w:p>
          <w:p w14:paraId="096425FB">
            <w:pPr>
              <w:widowControl/>
              <w:spacing w:line="360" w:lineRule="auto"/>
              <w:ind w:firstLine="480" w:firstLineChars="20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组织</w:t>
            </w:r>
            <w:r>
              <w:rPr>
                <w:rFonts w:hint="eastAsia" w:ascii="宋体" w:hAnsi="宋体" w:eastAsia="宋体" w:cs="宋体"/>
                <w:b w:val="0"/>
                <w:bCs w:val="0"/>
                <w:color w:val="000000" w:themeColor="text1"/>
                <w:sz w:val="24"/>
                <w:szCs w:val="24"/>
                <w:highlight w:val="none"/>
                <w14:textFill>
                  <w14:solidFill>
                    <w14:schemeClr w14:val="tx1"/>
                  </w14:solidFill>
                </w14:textFill>
              </w:rPr>
              <w:t>方案包括但不限于：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①</w:t>
            </w:r>
            <w:r>
              <w:rPr>
                <w:rFonts w:hint="eastAsia" w:ascii="宋体" w:hAnsi="宋体" w:eastAsia="宋体" w:cs="宋体"/>
                <w:b w:val="0"/>
                <w:bCs w:val="0"/>
                <w:color w:val="000000" w:themeColor="text1"/>
                <w:sz w:val="24"/>
                <w:szCs w:val="24"/>
                <w:highlight w:val="none"/>
                <w14:textFill>
                  <w14:solidFill>
                    <w14:schemeClr w14:val="tx1"/>
                  </w14:solidFill>
                </w14:textFill>
              </w:rPr>
              <w:t>项目人员安排（包含但不限于主要人员名单及基本情况介绍、在本项目中承担的职责等）、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②</w:t>
            </w:r>
            <w:r>
              <w:rPr>
                <w:rFonts w:hint="eastAsia" w:ascii="宋体" w:hAnsi="宋体" w:eastAsia="宋体" w:cs="宋体"/>
                <w:b w:val="0"/>
                <w:bCs w:val="0"/>
                <w:color w:val="000000" w:themeColor="text1"/>
                <w:sz w:val="24"/>
                <w:szCs w:val="24"/>
                <w:highlight w:val="none"/>
                <w14:textFill>
                  <w14:solidFill>
                    <w14:schemeClr w14:val="tx1"/>
                  </w14:solidFill>
                </w14:textFill>
              </w:rPr>
              <w:t>供货方案（包含但不限于产品来源、供货计划、供货时间、包装和运输方式等）、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③</w:t>
            </w:r>
            <w:r>
              <w:rPr>
                <w:rFonts w:hint="eastAsia" w:ascii="宋体" w:hAnsi="宋体" w:eastAsia="宋体" w:cs="宋体"/>
                <w:b w:val="0"/>
                <w:bCs w:val="0"/>
                <w:color w:val="000000" w:themeColor="text1"/>
                <w:sz w:val="24"/>
                <w:szCs w:val="24"/>
                <w:highlight w:val="none"/>
                <w14:textFill>
                  <w14:solidFill>
                    <w14:schemeClr w14:val="tx1"/>
                  </w14:solidFill>
                </w14:textFill>
              </w:rPr>
              <w:t>质量管控方案（包括但不限于质量管控的标准、方法和程序等）、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④</w:t>
            </w:r>
            <w:r>
              <w:rPr>
                <w:rFonts w:hint="eastAsia" w:ascii="宋体" w:hAnsi="宋体" w:eastAsia="宋体" w:cs="宋体"/>
                <w:b w:val="0"/>
                <w:bCs w:val="0"/>
                <w:color w:val="000000" w:themeColor="text1"/>
                <w:sz w:val="24"/>
                <w:szCs w:val="24"/>
                <w:highlight w:val="none"/>
                <w14:textFill>
                  <w14:solidFill>
                    <w14:schemeClr w14:val="tx1"/>
                  </w14:solidFill>
                </w14:textFill>
              </w:rPr>
              <w:t>测试（调试）方案（包含但不限于人员安排、测试步骤、测试标准等）等4项内容，方案内容完整齐全，符合项目实际（</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第</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四</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章“</w:t>
            </w:r>
            <w:r>
              <w:rPr>
                <w:rFonts w:hint="eastAsia" w:ascii="宋体" w:hAnsi="宋体" w:eastAsia="宋体" w:cs="宋体"/>
                <w:bCs/>
                <w:color w:val="000000" w:themeColor="text1"/>
                <w:sz w:val="24"/>
                <w:szCs w:val="24"/>
                <w:highlight w:val="none"/>
                <w14:textFill>
                  <w14:solidFill>
                    <w14:schemeClr w14:val="tx1"/>
                  </w14:solidFill>
                </w14:textFill>
              </w:rPr>
              <w:t>招标项目技术要求</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）的，得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分；每缺少一项方案内容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缺陷的扣</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分，扣完为止；未提供项目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组织</w:t>
            </w:r>
            <w:r>
              <w:rPr>
                <w:rFonts w:hint="eastAsia" w:ascii="宋体" w:hAnsi="宋体" w:eastAsia="宋体" w:cs="宋体"/>
                <w:b w:val="0"/>
                <w:bCs w:val="0"/>
                <w:color w:val="000000" w:themeColor="text1"/>
                <w:sz w:val="24"/>
                <w:szCs w:val="24"/>
                <w:highlight w:val="none"/>
                <w14:textFill>
                  <w14:solidFill>
                    <w14:schemeClr w14:val="tx1"/>
                  </w14:solidFill>
                </w14:textFill>
              </w:rPr>
              <w:t>方案的，此项不得分。</w:t>
            </w:r>
          </w:p>
        </w:tc>
      </w:tr>
      <w:tr w14:paraId="3B62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413" w:type="dxa"/>
            <w:tcBorders>
              <w:left w:val="single" w:color="auto" w:sz="4" w:space="0"/>
              <w:right w:val="single" w:color="auto" w:sz="4" w:space="0"/>
            </w:tcBorders>
            <w:vAlign w:val="center"/>
          </w:tcPr>
          <w:p w14:paraId="72B5F20A">
            <w:pPr>
              <w:widowControl/>
              <w:spacing w:line="360" w:lineRule="auto"/>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技术培训</w:t>
            </w:r>
          </w:p>
          <w:p w14:paraId="1C766B0D">
            <w:pPr>
              <w:widowControl/>
              <w:spacing w:line="360" w:lineRule="auto"/>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58E6987B">
            <w:pPr>
              <w:widowControl/>
              <w:spacing w:line="360" w:lineRule="auto"/>
              <w:jc w:val="center"/>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140060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lang w:eastAsia="zh-CN"/>
                <w14:textFill>
                  <w14:solidFill>
                    <w14:schemeClr w14:val="tx1"/>
                  </w14:solidFill>
                </w14:textFill>
              </w:rPr>
              <w:t>培训方案进行评分：</w:t>
            </w:r>
          </w:p>
          <w:p w14:paraId="36F676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项目培训方案包括但不限于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培训内容、培训方式、培训计划、培训团队人员配置</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4项内容，</w:t>
            </w:r>
            <w:r>
              <w:rPr>
                <w:rFonts w:hint="eastAsia" w:ascii="宋体" w:hAnsi="宋体" w:eastAsia="宋体" w:cs="宋体"/>
                <w:color w:val="000000" w:themeColor="text1"/>
                <w:sz w:val="24"/>
                <w:szCs w:val="24"/>
                <w:highlight w:val="none"/>
                <w:lang w:eastAsia="zh-CN"/>
                <w14:textFill>
                  <w14:solidFill>
                    <w14:schemeClr w14:val="tx1"/>
                  </w14:solidFill>
                </w14:textFill>
              </w:rPr>
              <w:t>方案内容完整齐全，符合项目实际的，得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分；每缺少一项方案内容扣</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分，扣完为止；未提供项目技术培训方案的，此项不得分。</w:t>
            </w:r>
          </w:p>
        </w:tc>
      </w:tr>
      <w:tr w14:paraId="0E74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413" w:type="dxa"/>
            <w:tcBorders>
              <w:left w:val="single" w:color="auto" w:sz="4" w:space="0"/>
              <w:right w:val="single" w:color="auto" w:sz="4" w:space="0"/>
            </w:tcBorders>
            <w:vAlign w:val="center"/>
          </w:tcPr>
          <w:p w14:paraId="3FA05D35">
            <w:pPr>
              <w:widowControl/>
              <w:spacing w:line="360" w:lineRule="auto"/>
              <w:jc w:val="center"/>
              <w:textAlignment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售后服务</w:t>
            </w:r>
          </w:p>
          <w:p w14:paraId="32164570">
            <w:pPr>
              <w:widowControl/>
              <w:spacing w:line="360" w:lineRule="auto"/>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22DB62F4">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22E264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根据供应商提供的售后服务方案进行评分：</w:t>
            </w:r>
          </w:p>
          <w:p w14:paraId="27DC5B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项目售后服务方案包括但不限于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承诺（例如质保期增加的承诺）、巡检方案、备件（易耗品）供应方案（含质保期后备件价格）、服务人员配备（含专职维修工程师、保证设备的日常维护及故障排除、厂家技术方面专职维修工程师以提供技术服务支持）、故障响应措施</w:t>
            </w:r>
            <w:r>
              <w:rPr>
                <w:rFonts w:hint="eastAsia" w:ascii="宋体" w:hAnsi="宋体" w:cs="宋体"/>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sz w:val="24"/>
                <w:szCs w:val="24"/>
                <w:highlight w:val="none"/>
              </w:rPr>
              <w:t>故障维修响应时间</w:t>
            </w:r>
            <w:r>
              <w:rPr>
                <w:rFonts w:hint="eastAsia" w:ascii="宋体" w:hAnsi="宋体" w:eastAsia="宋体" w:cs="宋体"/>
                <w:sz w:val="24"/>
                <w:szCs w:val="24"/>
                <w:highlight w:val="none"/>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质保外服务措施</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7项内容，</w:t>
            </w:r>
            <w:r>
              <w:rPr>
                <w:rFonts w:hint="eastAsia" w:ascii="宋体" w:hAnsi="宋体" w:eastAsia="宋体" w:cs="宋体"/>
                <w:color w:val="000000" w:themeColor="text1"/>
                <w:sz w:val="24"/>
                <w:szCs w:val="24"/>
                <w:highlight w:val="none"/>
                <w:lang w:eastAsia="zh-CN"/>
                <w14:textFill>
                  <w14:solidFill>
                    <w14:schemeClr w14:val="tx1"/>
                  </w14:solidFill>
                </w14:textFill>
              </w:rPr>
              <w:t>方案内容完整齐全，符合项目实际的，得</w:t>
            </w:r>
            <w:r>
              <w:rPr>
                <w:rFonts w:hint="eastAsia" w:ascii="宋体" w:hAnsi="宋体" w:cs="宋体"/>
                <w:color w:val="000000" w:themeColor="text1"/>
                <w:sz w:val="24"/>
                <w:szCs w:val="24"/>
                <w:highlight w:val="none"/>
                <w:lang w:val="en-US" w:eastAsia="zh-CN"/>
                <w14:textFill>
                  <w14:solidFill>
                    <w14:schemeClr w14:val="tx1"/>
                  </w14:solidFill>
                </w14:textFill>
              </w:rPr>
              <w:t>7分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；每缺少一项方案内容扣</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扣</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分，扣完为止；未提供项目售后服务方案的，此项不得分。</w:t>
            </w:r>
          </w:p>
        </w:tc>
      </w:tr>
    </w:tbl>
    <w:p w14:paraId="3CD52230">
      <w:pPr>
        <w:spacing w:line="360" w:lineRule="auto"/>
        <w:rPr>
          <w:rFonts w:hint="eastAsia" w:ascii="宋体" w:hAnsi="宋体" w:eastAsia="宋体" w:cs="宋体"/>
          <w:b w:val="0"/>
          <w:bCs w:val="0"/>
          <w:color w:val="auto"/>
          <w:sz w:val="24"/>
          <w:szCs w:val="24"/>
          <w:highlight w:val="none"/>
        </w:rPr>
      </w:pPr>
    </w:p>
    <w:p w14:paraId="782E503B">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0200FE6">
      <w:pPr>
        <w:pStyle w:val="13"/>
        <w:tabs>
          <w:tab w:val="left" w:pos="600"/>
        </w:tabs>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bl>
      <w:tblPr>
        <w:tblStyle w:val="3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67CA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1D8C1F90">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661" w:type="dxa"/>
            <w:gridSpan w:val="2"/>
            <w:vAlign w:val="center"/>
          </w:tcPr>
          <w:p w14:paraId="386EA328">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6301" w:type="dxa"/>
            <w:vAlign w:val="center"/>
          </w:tcPr>
          <w:p w14:paraId="2AEDD794">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32DA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24F71A9E">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661" w:type="dxa"/>
            <w:gridSpan w:val="2"/>
            <w:vMerge w:val="restart"/>
            <w:vAlign w:val="center"/>
          </w:tcPr>
          <w:p w14:paraId="1AA914AC">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w:t>
            </w:r>
          </w:p>
        </w:tc>
        <w:tc>
          <w:tcPr>
            <w:tcW w:w="6301" w:type="dxa"/>
            <w:vAlign w:val="center"/>
          </w:tcPr>
          <w:p w14:paraId="5D2701A7">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评标基准价即满足招标文件要求且投标价格最低的投标报价。</w:t>
            </w:r>
          </w:p>
          <w:p w14:paraId="6F29AC3C">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投标报价得分=（评标基准价/投标报价）×</w:t>
            </w:r>
            <w:r>
              <w:rPr>
                <w:rFonts w:hint="eastAsia" w:ascii="宋体" w:hAnsi="宋体" w:eastAsia="宋体" w:cs="宋体"/>
                <w:color w:val="auto"/>
                <w:sz w:val="24"/>
                <w:szCs w:val="24"/>
                <w:highlight w:val="none"/>
                <w:lang w:val="en-US" w:eastAsia="zh-CN"/>
              </w:rPr>
              <w:t>30</w:t>
            </w:r>
          </w:p>
        </w:tc>
      </w:tr>
      <w:tr w14:paraId="1147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continue"/>
            <w:vAlign w:val="center"/>
          </w:tcPr>
          <w:p w14:paraId="1CF6CC57">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p>
        </w:tc>
        <w:tc>
          <w:tcPr>
            <w:tcW w:w="1661" w:type="dxa"/>
            <w:gridSpan w:val="2"/>
            <w:vMerge w:val="continue"/>
            <w:vAlign w:val="center"/>
          </w:tcPr>
          <w:p w14:paraId="5140DF2F">
            <w:pPr>
              <w:autoSpaceDE w:val="0"/>
              <w:autoSpaceDN w:val="0"/>
              <w:adjustRightInd w:val="0"/>
              <w:spacing w:line="360" w:lineRule="auto"/>
              <w:jc w:val="center"/>
              <w:rPr>
                <w:rFonts w:hint="eastAsia" w:ascii="宋体" w:hAnsi="宋体" w:eastAsia="宋体" w:cs="宋体"/>
                <w:color w:val="auto"/>
                <w:sz w:val="24"/>
                <w:szCs w:val="24"/>
                <w:highlight w:val="none"/>
                <w:lang w:val="zh-CN"/>
              </w:rPr>
            </w:pPr>
          </w:p>
        </w:tc>
        <w:tc>
          <w:tcPr>
            <w:tcW w:w="6301" w:type="dxa"/>
            <w:vAlign w:val="center"/>
          </w:tcPr>
          <w:p w14:paraId="508758EA">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因落实政府采购政策进行价格调整的，以调整后的价格计算评标基准价和投标报价。</w:t>
            </w:r>
          </w:p>
        </w:tc>
      </w:tr>
      <w:tr w14:paraId="59C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restart"/>
            <w:vAlign w:val="center"/>
          </w:tcPr>
          <w:p w14:paraId="45987B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7" w:type="dxa"/>
            <w:vMerge w:val="restart"/>
            <w:vAlign w:val="center"/>
          </w:tcPr>
          <w:p w14:paraId="2C0E8F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政府采购价格折扣优惠政策说明</w:t>
            </w:r>
          </w:p>
        </w:tc>
        <w:tc>
          <w:tcPr>
            <w:tcW w:w="1104" w:type="dxa"/>
            <w:vAlign w:val="center"/>
          </w:tcPr>
          <w:p w14:paraId="20A0D9B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6301" w:type="dxa"/>
            <w:vAlign w:val="center"/>
          </w:tcPr>
          <w:p w14:paraId="3275B0F2">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落实政府采购政策需满足的资格要求：</w:t>
            </w:r>
            <w:r>
              <w:rPr>
                <w:rFonts w:hint="eastAsia" w:ascii="宋体" w:hAnsi="宋体" w:cs="宋体"/>
                <w:color w:val="auto"/>
                <w:sz w:val="24"/>
                <w:szCs w:val="24"/>
                <w:highlight w:val="none"/>
                <w:lang w:eastAsia="zh-CN"/>
              </w:rPr>
              <w:t>本项目为非专门面向中小企业（含中型、小型、微型企业）采购项目，根据《政府采购促进中小企业发展管理办法》（财库[2020]46号）的规定，评标时将给予小微企业进行价格10%的优惠，用优惠后的价格参与评审</w:t>
            </w:r>
            <w:r>
              <w:rPr>
                <w:rFonts w:hint="eastAsia" w:ascii="宋体" w:hAnsi="宋体" w:eastAsia="宋体" w:cs="宋体"/>
                <w:color w:val="auto"/>
                <w:sz w:val="24"/>
                <w:szCs w:val="24"/>
                <w:highlight w:val="none"/>
              </w:rPr>
              <w:t>。</w:t>
            </w:r>
          </w:p>
        </w:tc>
      </w:tr>
      <w:tr w14:paraId="39C7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2372C4E3">
            <w:pPr>
              <w:spacing w:line="360" w:lineRule="auto"/>
              <w:jc w:val="center"/>
              <w:rPr>
                <w:rFonts w:hint="eastAsia" w:ascii="宋体" w:hAnsi="宋体" w:eastAsia="宋体" w:cs="宋体"/>
                <w:color w:val="auto"/>
                <w:sz w:val="24"/>
                <w:szCs w:val="24"/>
                <w:highlight w:val="none"/>
              </w:rPr>
            </w:pPr>
          </w:p>
        </w:tc>
        <w:tc>
          <w:tcPr>
            <w:tcW w:w="557" w:type="dxa"/>
            <w:vMerge w:val="continue"/>
            <w:vAlign w:val="center"/>
          </w:tcPr>
          <w:p w14:paraId="65C6744A">
            <w:pPr>
              <w:spacing w:line="360" w:lineRule="auto"/>
              <w:jc w:val="center"/>
              <w:rPr>
                <w:rFonts w:hint="eastAsia" w:ascii="宋体" w:hAnsi="宋体" w:eastAsia="宋体" w:cs="宋体"/>
                <w:color w:val="auto"/>
                <w:sz w:val="24"/>
                <w:szCs w:val="24"/>
                <w:highlight w:val="none"/>
              </w:rPr>
            </w:pPr>
          </w:p>
        </w:tc>
        <w:tc>
          <w:tcPr>
            <w:tcW w:w="1104" w:type="dxa"/>
            <w:vAlign w:val="center"/>
          </w:tcPr>
          <w:p w14:paraId="5B7810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6301" w:type="dxa"/>
            <w:vAlign w:val="center"/>
          </w:tcPr>
          <w:p w14:paraId="701E507A">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视同小型。</w:t>
            </w:r>
          </w:p>
        </w:tc>
      </w:tr>
      <w:tr w14:paraId="3E2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dxa"/>
            <w:vMerge w:val="continue"/>
            <w:vAlign w:val="center"/>
          </w:tcPr>
          <w:p w14:paraId="77A19912">
            <w:pPr>
              <w:spacing w:line="360" w:lineRule="auto"/>
              <w:jc w:val="center"/>
              <w:rPr>
                <w:rFonts w:hint="eastAsia" w:ascii="宋体" w:hAnsi="宋体" w:eastAsia="宋体" w:cs="宋体"/>
                <w:color w:val="auto"/>
                <w:sz w:val="24"/>
                <w:szCs w:val="24"/>
                <w:highlight w:val="none"/>
              </w:rPr>
            </w:pPr>
          </w:p>
        </w:tc>
        <w:tc>
          <w:tcPr>
            <w:tcW w:w="557" w:type="dxa"/>
            <w:vMerge w:val="continue"/>
            <w:vAlign w:val="center"/>
          </w:tcPr>
          <w:p w14:paraId="05C23A9A">
            <w:pPr>
              <w:spacing w:line="360" w:lineRule="auto"/>
              <w:jc w:val="center"/>
              <w:rPr>
                <w:rFonts w:hint="eastAsia" w:ascii="宋体" w:hAnsi="宋体" w:eastAsia="宋体" w:cs="宋体"/>
                <w:color w:val="auto"/>
                <w:sz w:val="24"/>
                <w:szCs w:val="24"/>
                <w:highlight w:val="none"/>
              </w:rPr>
            </w:pPr>
          </w:p>
        </w:tc>
        <w:tc>
          <w:tcPr>
            <w:tcW w:w="1104" w:type="dxa"/>
            <w:vAlign w:val="center"/>
          </w:tcPr>
          <w:p w14:paraId="2A007B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6301" w:type="dxa"/>
            <w:vAlign w:val="center"/>
          </w:tcPr>
          <w:p w14:paraId="1700C459">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《残疾人福利性单位声明函》的残疾人福利性单位，视同小型。</w:t>
            </w:r>
          </w:p>
        </w:tc>
      </w:tr>
      <w:tr w14:paraId="168B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517" w:type="dxa"/>
            <w:gridSpan w:val="4"/>
            <w:vAlign w:val="center"/>
          </w:tcPr>
          <w:p w14:paraId="0BE3FB5E">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评分注意事项：</w:t>
            </w:r>
          </w:p>
          <w:p w14:paraId="4A00A562">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因落实政府采购政策进行价格调整的，评标委员会应记录价格调整的依据、计算过程及计算结果。</w:t>
            </w:r>
          </w:p>
        </w:tc>
      </w:tr>
    </w:tbl>
    <w:p w14:paraId="6871EC1A">
      <w:pPr>
        <w:pStyle w:val="13"/>
        <w:tabs>
          <w:tab w:val="left" w:pos="600"/>
        </w:tabs>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4.5.1投标人总分=报价部分得分+技术、商务部分得分，结果保留两位小数。</w:t>
      </w:r>
    </w:p>
    <w:p w14:paraId="35BBF81B">
      <w:pPr>
        <w:spacing w:line="360" w:lineRule="auto"/>
        <w:ind w:firstLine="480" w:firstLineChars="200"/>
        <w:rPr>
          <w:rFonts w:hint="eastAsia" w:ascii="宋体" w:hAnsi="宋体" w:eastAsia="宋体" w:cs="宋体"/>
          <w:b w:val="0"/>
          <w:bCs w:val="0"/>
          <w:color w:val="auto"/>
          <w:sz w:val="24"/>
          <w:szCs w:val="24"/>
          <w:highlight w:val="none"/>
        </w:rPr>
      </w:pPr>
      <w:bookmarkStart w:id="171" w:name="_Toc217446060"/>
      <w:r>
        <w:rPr>
          <w:rFonts w:hint="eastAsia" w:ascii="宋体" w:hAnsi="宋体" w:eastAsia="宋体" w:cs="宋体"/>
          <w:b w:val="0"/>
          <w:bCs w:val="0"/>
          <w:color w:val="auto"/>
          <w:sz w:val="24"/>
          <w:szCs w:val="24"/>
          <w:highlight w:val="none"/>
        </w:rPr>
        <w:t>5. 终止招标</w:t>
      </w:r>
    </w:p>
    <w:p w14:paraId="60CE9EC4">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采购人、采购代理机构在发布招标公告、资格预审公告或者发出投标邀请书后，除因重大变故采购任务取消情况外，不得擅自终止招标活动。</w:t>
      </w:r>
    </w:p>
    <w:p w14:paraId="72DCFFCD">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933A26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 定标</w:t>
      </w:r>
      <w:bookmarkEnd w:id="171"/>
      <w:bookmarkStart w:id="172" w:name="_Toc217446061"/>
    </w:p>
    <w:p w14:paraId="37DD8AC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6.1. 定标原则</w:t>
      </w:r>
      <w:bookmarkEnd w:id="172"/>
      <w:r>
        <w:rPr>
          <w:rFonts w:hint="eastAsia" w:ascii="宋体" w:hAnsi="宋体" w:eastAsia="宋体" w:cs="宋体"/>
          <w:b w:val="0"/>
          <w:bCs w:val="0"/>
          <w:color w:val="auto"/>
          <w:sz w:val="24"/>
          <w:szCs w:val="24"/>
          <w:highlight w:val="none"/>
        </w:rPr>
        <w:t>：本项目根据评标委员会推荐的中标候选人名单，按顺序确定中标人。</w:t>
      </w:r>
    </w:p>
    <w:p w14:paraId="218B1ED2">
      <w:pPr>
        <w:spacing w:line="360" w:lineRule="auto"/>
        <w:ind w:firstLine="480" w:firstLineChars="200"/>
        <w:rPr>
          <w:rFonts w:hint="eastAsia" w:ascii="宋体" w:hAnsi="宋体" w:eastAsia="宋体" w:cs="宋体"/>
          <w:b w:val="0"/>
          <w:bCs w:val="0"/>
          <w:color w:val="auto"/>
          <w:sz w:val="24"/>
          <w:szCs w:val="24"/>
          <w:highlight w:val="none"/>
        </w:rPr>
      </w:pPr>
      <w:bookmarkStart w:id="173" w:name="_Toc217446062"/>
      <w:r>
        <w:rPr>
          <w:rFonts w:hint="eastAsia" w:ascii="宋体" w:hAnsi="宋体" w:eastAsia="宋体" w:cs="宋体"/>
          <w:b w:val="0"/>
          <w:bCs w:val="0"/>
          <w:color w:val="auto"/>
          <w:sz w:val="24"/>
          <w:szCs w:val="24"/>
          <w:highlight w:val="none"/>
        </w:rPr>
        <w:t>6.2. 定标程序</w:t>
      </w:r>
      <w:bookmarkEnd w:id="173"/>
    </w:p>
    <w:p w14:paraId="2C1755D4">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20F71A4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6.2.2 采购代理机构在评标结束后两个工作日内将评标报告送至采购人。</w:t>
      </w:r>
    </w:p>
    <w:p w14:paraId="1C321D2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6.2.3 采购人应当自收到评标报告之日起5个工作日内在评标报告推荐的中标候选人中按顺序确定中标人。</w:t>
      </w:r>
    </w:p>
    <w:p w14:paraId="23C08E0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6.2.4 根据采购人确定的中标人，采购人在招标公告发布的媒体上发布中标公告，同时向中标人发出中标通知书。</w:t>
      </w:r>
    </w:p>
    <w:p w14:paraId="2CBF8CA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6.2.5 采购人不退回投标文件和其他投标资料。</w:t>
      </w:r>
    </w:p>
    <w:bookmarkEnd w:id="166"/>
    <w:p w14:paraId="13A112EC">
      <w:pPr>
        <w:spacing w:line="360" w:lineRule="auto"/>
        <w:ind w:firstLine="480" w:firstLineChars="200"/>
        <w:rPr>
          <w:rFonts w:hint="eastAsia" w:ascii="宋体" w:hAnsi="宋体" w:eastAsia="宋体" w:cs="宋体"/>
          <w:color w:val="000000"/>
          <w:sz w:val="24"/>
          <w:szCs w:val="24"/>
          <w:highlight w:val="none"/>
        </w:rPr>
      </w:pPr>
      <w:bookmarkStart w:id="174" w:name="_Toc208849022"/>
      <w:bookmarkStart w:id="175" w:name="_Toc183582297"/>
      <w:bookmarkStart w:id="176" w:name="_Toc217446105"/>
      <w:bookmarkStart w:id="177" w:name="_Toc183682432"/>
      <w:r>
        <w:rPr>
          <w:rFonts w:hint="eastAsia" w:ascii="宋体" w:hAnsi="宋体" w:eastAsia="宋体" w:cs="宋体"/>
          <w:color w:val="000000"/>
          <w:sz w:val="24"/>
          <w:szCs w:val="24"/>
          <w:highlight w:val="none"/>
        </w:rPr>
        <w:t xml:space="preserve">7. </w:t>
      </w:r>
      <w:bookmarkEnd w:id="174"/>
      <w:bookmarkEnd w:id="175"/>
      <w:bookmarkEnd w:id="176"/>
      <w:bookmarkEnd w:id="177"/>
      <w:r>
        <w:rPr>
          <w:rFonts w:hint="eastAsia" w:ascii="宋体" w:hAnsi="宋体" w:eastAsia="宋体" w:cs="宋体"/>
          <w:color w:val="000000"/>
          <w:sz w:val="24"/>
          <w:szCs w:val="24"/>
          <w:highlight w:val="none"/>
        </w:rPr>
        <w:t>评标专家在政府采购活动中承担以下义务：</w:t>
      </w:r>
    </w:p>
    <w:p w14:paraId="3EFA4F91">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遵纪守法，客观、公正、廉洁地履行职责。</w:t>
      </w:r>
    </w:p>
    <w:p w14:paraId="7510663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 按照政府采购相关法律法规和招标文件的规定对投标人的资格条件和投标人提供的</w:t>
      </w:r>
      <w:r>
        <w:rPr>
          <w:rFonts w:hint="eastAsia" w:ascii="宋体" w:hAnsi="宋体" w:eastAsia="宋体" w:cs="宋体"/>
          <w:sz w:val="24"/>
          <w:szCs w:val="24"/>
          <w:highlight w:val="none"/>
        </w:rPr>
        <w:t>商务、价格、技术服务、业绩、对招标文件的响应程度以及投标文件规范性</w:t>
      </w:r>
      <w:r>
        <w:rPr>
          <w:rFonts w:hint="eastAsia" w:ascii="宋体" w:hAnsi="宋体" w:eastAsia="宋体" w:cs="宋体"/>
          <w:color w:val="000000"/>
          <w:sz w:val="24"/>
          <w:szCs w:val="24"/>
          <w:highlight w:val="none"/>
        </w:rPr>
        <w:t>等方面进行评价，提供科学合理、公平公正的评标意见，参与起草评标报告，并予签字确认。</w:t>
      </w:r>
    </w:p>
    <w:p w14:paraId="34FFBB4D">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保守秘密。不得透露招标项目情况，不得泄漏投标人的投标文件及知悉的商业秘密，不得向投标人透露评标情况。</w:t>
      </w:r>
    </w:p>
    <w:p w14:paraId="7F945177">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发现投标人在政府采购活动中有不正当竞争或恶意串通等违规行为，及时向政府采购评标工作的组织者或财政部门报告并加以制止。</w:t>
      </w:r>
    </w:p>
    <w:p w14:paraId="6F44FED5">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31399442">
      <w:pPr>
        <w:widowControl/>
        <w:autoSpaceDE w:val="0"/>
        <w:autoSpaceDN w:val="0"/>
        <w:spacing w:line="360" w:lineRule="auto"/>
        <w:ind w:firstLine="480" w:firstLineChars="200"/>
        <w:textAlignment w:val="bottom"/>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7.5 </w:t>
      </w:r>
      <w:r>
        <w:rPr>
          <w:rFonts w:hint="eastAsia" w:ascii="宋体" w:hAnsi="宋体" w:eastAsia="宋体" w:cs="宋体"/>
          <w:sz w:val="24"/>
          <w:szCs w:val="24"/>
          <w:highlight w:val="none"/>
        </w:rPr>
        <w:t>配合采购人或者采购代理机构答复投标人质疑，配合投诉处理工作等事宜。</w:t>
      </w:r>
    </w:p>
    <w:p w14:paraId="3D4B9083">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 法律、法规和规章规定的其他义务。</w:t>
      </w:r>
    </w:p>
    <w:p w14:paraId="68F54B46">
      <w:pPr>
        <w:widowControl/>
        <w:autoSpaceDE w:val="0"/>
        <w:autoSpaceDN w:val="0"/>
        <w:spacing w:line="360" w:lineRule="auto"/>
        <w:ind w:firstLine="482" w:firstLineChars="200"/>
        <w:textAlignment w:val="bottom"/>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评标专家在招标活动中应当遵守以下工作纪律：</w:t>
      </w:r>
    </w:p>
    <w:p w14:paraId="15769F1A">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应邀按时参加评标活动。遇特殊情况不能出席或途中遇阻不能按时参加评标的，应及时告知财政部门或者采购人或者采购代理机构，不得私自转托他人。</w:t>
      </w:r>
    </w:p>
    <w:p w14:paraId="03D58455">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52FA9A85">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2C95BE24">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 评标过程中关闭通讯设备，不得与外界联系。</w:t>
      </w:r>
    </w:p>
    <w:p w14:paraId="5686DF37">
      <w:pPr>
        <w:widowControl/>
        <w:autoSpaceDE w:val="0"/>
        <w:autoSpaceDN w:val="0"/>
        <w:spacing w:line="360" w:lineRule="auto"/>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29BA631B">
      <w:pPr>
        <w:pStyle w:val="4"/>
        <w:bidi w:val="0"/>
        <w:jc w:val="center"/>
        <w:outlineLvl w:val="0"/>
        <w:rPr>
          <w:rFonts w:hint="eastAsia"/>
          <w:highlight w:val="none"/>
        </w:rPr>
      </w:pPr>
      <w:r>
        <w:rPr>
          <w:rFonts w:hint="eastAsia" w:ascii="宋体" w:hAnsi="宋体" w:eastAsia="宋体" w:cs="宋体"/>
          <w:b w:val="0"/>
          <w:bCs w:val="0"/>
          <w:color w:val="000000"/>
          <w:szCs w:val="24"/>
          <w:highlight w:val="none"/>
        </w:rPr>
        <w:br w:type="page"/>
      </w:r>
      <w:bookmarkStart w:id="178" w:name="_Toc7810"/>
      <w:bookmarkStart w:id="179" w:name="_Toc22113"/>
      <w:r>
        <w:rPr>
          <w:rFonts w:hint="eastAsia"/>
          <w:highlight w:val="none"/>
        </w:rPr>
        <w:t>第六章  拟签订的合同文本</w:t>
      </w:r>
      <w:bookmarkEnd w:id="178"/>
      <w:bookmarkEnd w:id="179"/>
    </w:p>
    <w:p w14:paraId="6726255A">
      <w:pPr>
        <w:pStyle w:val="6"/>
        <w:spacing w:line="36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本合同仅供参考，最终以与采购人实际签订合同为准</w:t>
      </w:r>
    </w:p>
    <w:p w14:paraId="54E15DA4">
      <w:pPr>
        <w:widowControl/>
        <w:kinsoku w:val="0"/>
        <w:autoSpaceDE w:val="0"/>
        <w:autoSpaceDN w:val="0"/>
        <w:adjustRightInd w:val="0"/>
        <w:snapToGrid w:val="0"/>
        <w:spacing w:before="251" w:line="360" w:lineRule="auto"/>
        <w:jc w:val="left"/>
        <w:textAlignment w:val="baseline"/>
        <w:rPr>
          <w:rFonts w:hint="eastAsia" w:ascii="宋体" w:hAnsi="宋体" w:eastAsia="宋体" w:cs="宋体"/>
          <w:snapToGrid w:val="0"/>
          <w:color w:val="000000"/>
          <w:kern w:val="0"/>
          <w:sz w:val="24"/>
          <w:szCs w:val="24"/>
          <w:highlight w:val="none"/>
          <w:lang w:eastAsia="zh-CN"/>
        </w:rPr>
      </w:pPr>
      <w:bookmarkStart w:id="180" w:name="_Toc9510642"/>
    </w:p>
    <w:bookmarkEnd w:id="180"/>
    <w:p w14:paraId="143CFE97">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甲方：</w:t>
      </w:r>
    </w:p>
    <w:p w14:paraId="6715F532">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 乙方：</w:t>
      </w:r>
    </w:p>
    <w:p w14:paraId="612FA28D">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rPr>
        <w:t>设备并由乙方提供相关服务事宜，达成一致，协议如下：</w:t>
      </w:r>
    </w:p>
    <w:p w14:paraId="6EAB0BC2">
      <w:pPr>
        <w:numPr>
          <w:ilvl w:val="0"/>
          <w:numId w:val="5"/>
        </w:num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设备名称、规格（型号）、数量</w:t>
      </w:r>
      <w:r>
        <w:rPr>
          <w:rFonts w:hint="eastAsia" w:ascii="宋体" w:hAnsi="宋体" w:eastAsia="宋体" w:cs="宋体"/>
          <w:b w:val="0"/>
          <w:bCs w:val="0"/>
          <w:sz w:val="24"/>
          <w:szCs w:val="24"/>
          <w:highlight w:val="none"/>
          <w:lang w:val="en-US" w:eastAsia="zh-CN"/>
        </w:rPr>
        <w:t>详见下表</w:t>
      </w:r>
    </w:p>
    <w:tbl>
      <w:tblPr>
        <w:tblStyle w:val="31"/>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B2346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4061CF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985CA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5CEA5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FEFD2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规格</w:t>
            </w:r>
          </w:p>
          <w:p w14:paraId="6EA7C7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D0FE1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665CE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FB610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含税单价</w:t>
            </w:r>
          </w:p>
          <w:p w14:paraId="04AD5F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27855E4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合计金额</w:t>
            </w:r>
          </w:p>
          <w:p w14:paraId="64CF9F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E6E42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备注</w:t>
            </w:r>
          </w:p>
        </w:tc>
      </w:tr>
      <w:tr w14:paraId="0CCEED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476A48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4A7AD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748FE6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6CB0B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36E84F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338545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0DC5AB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BDEE8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9001E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p>
        </w:tc>
      </w:tr>
      <w:tr w14:paraId="1277BA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E7A443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kern w:val="2"/>
                <w:sz w:val="24"/>
                <w:szCs w:val="24"/>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B4F45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D1CCE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B1FDF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AD5D8C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B3323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EC087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2E2E56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78EA6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p>
        </w:tc>
      </w:tr>
      <w:tr w14:paraId="5C38A0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921A1F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3EB85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60A33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E3C4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89500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33766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95564E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AADF2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000000"/>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CAF80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000000"/>
                <w:sz w:val="24"/>
                <w:szCs w:val="24"/>
                <w:highlight w:val="none"/>
                <w:lang w:val="en-US"/>
              </w:rPr>
            </w:pPr>
          </w:p>
        </w:tc>
      </w:tr>
      <w:tr w14:paraId="4F6E68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D4C708B">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val="0"/>
                <w:color w:val="000000"/>
                <w:kern w:val="2"/>
                <w:sz w:val="24"/>
                <w:szCs w:val="24"/>
                <w:highlight w:val="none"/>
                <w:lang w:val="en-US" w:eastAsia="zh-CN" w:bidi="ar"/>
              </w:rPr>
            </w:pPr>
            <w:r>
              <w:rPr>
                <w:rFonts w:hint="eastAsia" w:ascii="宋体" w:hAnsi="宋体" w:eastAsia="宋体" w:cs="宋体"/>
                <w:b w:val="0"/>
                <w:bCs w:val="0"/>
                <w:color w:val="000000"/>
                <w:kern w:val="2"/>
                <w:sz w:val="24"/>
                <w:szCs w:val="24"/>
                <w:highlight w:val="none"/>
                <w:lang w:val="en-US" w:eastAsia="zh-CN" w:bidi="ar"/>
              </w:rPr>
              <w:t>总计：人民币（大写）     元整                 （小写）     元</w:t>
            </w:r>
          </w:p>
        </w:tc>
      </w:tr>
    </w:tbl>
    <w:p w14:paraId="7358DC7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本合同为</w:t>
      </w:r>
      <w:r>
        <w:rPr>
          <w:rFonts w:hint="eastAsia" w:ascii="宋体" w:hAnsi="宋体" w:eastAsia="宋体" w:cs="宋体"/>
          <w:b w:val="0"/>
          <w:bCs w:val="0"/>
          <w:i w:val="0"/>
          <w:iCs w:val="0"/>
          <w:color w:val="auto"/>
          <w:sz w:val="24"/>
          <w:szCs w:val="24"/>
          <w:highlight w:val="none"/>
          <w:u w:val="single"/>
          <w:lang w:val="en-US" w:eastAsia="zh-CN"/>
        </w:rPr>
        <w:t>固定总价/固定单价</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上述合同</w:t>
      </w:r>
      <w:r>
        <w:rPr>
          <w:rFonts w:hint="eastAsia" w:ascii="宋体" w:hAnsi="宋体" w:eastAsia="宋体" w:cs="宋体"/>
          <w:b w:val="0"/>
          <w:bCs w:val="0"/>
          <w:color w:val="auto"/>
          <w:sz w:val="24"/>
          <w:szCs w:val="24"/>
          <w:highlight w:val="none"/>
          <w:lang w:val="en-US" w:eastAsia="zh-CN"/>
        </w:rPr>
        <w:t>价格</w:t>
      </w:r>
      <w:r>
        <w:rPr>
          <w:rFonts w:hint="eastAsia" w:ascii="宋体" w:hAnsi="宋体" w:eastAsia="宋体" w:cs="宋体"/>
          <w:b w:val="0"/>
          <w:bCs w:val="0"/>
          <w:color w:val="auto"/>
          <w:sz w:val="24"/>
          <w:szCs w:val="24"/>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15E39C00">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7025943D">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2C162182">
      <w:pPr>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216CB2B7">
      <w:pPr>
        <w:spacing w:line="360" w:lineRule="auto"/>
        <w:rPr>
          <w:rStyle w:val="37"/>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二、制造商及原产地</w:t>
      </w:r>
    </w:p>
    <w:p w14:paraId="4FEA54D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制造商：              </w:t>
      </w:r>
    </w:p>
    <w:p w14:paraId="3236D6F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原产地：</w:t>
      </w:r>
    </w:p>
    <w:p w14:paraId="1ED5AD16">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三、系统配置：详见附件</w:t>
      </w:r>
    </w:p>
    <w:p w14:paraId="4B5BFC49">
      <w:pPr>
        <w:spacing w:line="360" w:lineRule="auto"/>
        <w:ind w:left="422" w:hanging="480" w:hanging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四、随机的必备品、配件、工具及其数量：乙方应按产品说明书和装箱单及出厂要求配备必须的备品、配件和专用工具。</w:t>
      </w:r>
    </w:p>
    <w:p w14:paraId="56FB67E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五、交货期、地点、</w:t>
      </w:r>
      <w:r>
        <w:rPr>
          <w:rFonts w:hint="eastAsia" w:ascii="宋体" w:hAnsi="宋体" w:eastAsia="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rPr>
        <w:t>期：</w:t>
      </w:r>
    </w:p>
    <w:p w14:paraId="701C71B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a）交货期：自</w:t>
      </w:r>
      <w:r>
        <w:rPr>
          <w:rFonts w:hint="eastAsia" w:ascii="宋体" w:hAnsi="宋体" w:eastAsia="宋体" w:cs="宋体"/>
          <w:b w:val="0"/>
          <w:bCs w:val="0"/>
          <w:color w:val="auto"/>
          <w:sz w:val="24"/>
          <w:szCs w:val="24"/>
          <w:highlight w:val="none"/>
          <w:lang w:eastAsia="zh-CN"/>
        </w:rPr>
        <w:t>合同签订</w:t>
      </w:r>
      <w:r>
        <w:rPr>
          <w:rFonts w:hint="eastAsia" w:ascii="宋体" w:hAnsi="宋体" w:eastAsia="宋体" w:cs="宋体"/>
          <w:b w:val="0"/>
          <w:bCs w:val="0"/>
          <w:color w:val="auto"/>
          <w:sz w:val="24"/>
          <w:szCs w:val="24"/>
          <w:highlight w:val="none"/>
        </w:rPr>
        <w:t>之日起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天内（按</w:t>
      </w:r>
      <w:r>
        <w:rPr>
          <w:rFonts w:hint="eastAsia" w:ascii="宋体" w:hAnsi="宋体" w:eastAsia="宋体" w:cs="宋体"/>
          <w:b w:val="0"/>
          <w:bCs w:val="0"/>
          <w:color w:val="auto"/>
          <w:sz w:val="24"/>
          <w:szCs w:val="24"/>
          <w:highlight w:val="none"/>
          <w:lang w:eastAsia="zh-CN"/>
        </w:rPr>
        <w:t>合同签订</w:t>
      </w:r>
      <w:r>
        <w:rPr>
          <w:rFonts w:hint="eastAsia" w:ascii="宋体" w:hAnsi="宋体" w:eastAsia="宋体" w:cs="宋体"/>
          <w:b w:val="0"/>
          <w:bCs w:val="0"/>
          <w:color w:val="auto"/>
          <w:sz w:val="24"/>
          <w:szCs w:val="24"/>
          <w:highlight w:val="none"/>
        </w:rPr>
        <w:t>之日算起），将</w:t>
      </w:r>
      <w:r>
        <w:rPr>
          <w:rFonts w:hint="eastAsia" w:ascii="宋体" w:hAnsi="宋体" w:eastAsia="宋体" w:cs="宋体"/>
          <w:b w:val="0"/>
          <w:bCs w:val="0"/>
          <w:color w:val="auto"/>
          <w:sz w:val="24"/>
          <w:szCs w:val="24"/>
          <w:highlight w:val="none"/>
          <w:lang w:eastAsia="zh-CN"/>
        </w:rPr>
        <w:t>标的物</w:t>
      </w:r>
      <w:r>
        <w:rPr>
          <w:rFonts w:hint="eastAsia" w:ascii="宋体" w:hAnsi="宋体" w:eastAsia="宋体" w:cs="宋体"/>
          <w:b w:val="0"/>
          <w:bCs w:val="0"/>
          <w:color w:val="auto"/>
          <w:sz w:val="24"/>
          <w:szCs w:val="24"/>
          <w:highlight w:val="none"/>
        </w:rPr>
        <w:t>运送至甲方指定地点，并负责完成安装调试，配合甲方完成验收。</w:t>
      </w:r>
    </w:p>
    <w:p w14:paraId="0EB3E65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b）交货地点：甲方指定。</w:t>
      </w:r>
    </w:p>
    <w:p w14:paraId="7A59D3D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：系统安装验收合格之日起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rPr>
        <w:t>承担</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内设备任何故障产生的费用。</w:t>
      </w:r>
    </w:p>
    <w:p w14:paraId="15BE5064">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六、售后服务：详见附件，需涵盖以下条款</w:t>
      </w:r>
    </w:p>
    <w:p w14:paraId="5361474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1、保修期间，乙方需提供免费的维修及零配件更换</w:t>
      </w:r>
      <w:r>
        <w:rPr>
          <w:rFonts w:hint="eastAsia" w:ascii="宋体" w:hAnsi="宋体" w:eastAsia="宋体" w:cs="宋体"/>
          <w:b w:val="0"/>
          <w:bCs w:val="0"/>
          <w:color w:val="auto"/>
          <w:sz w:val="24"/>
          <w:szCs w:val="24"/>
          <w:highlight w:val="none"/>
          <w:lang w:eastAsia="zh-CN"/>
        </w:rPr>
        <w:t>，提供整机（包含附件）原厂（</w:t>
      </w:r>
      <w:r>
        <w:rPr>
          <w:rFonts w:hint="eastAsia" w:ascii="宋体" w:hAnsi="宋体" w:eastAsia="宋体" w:cs="宋体"/>
          <w:b w:val="0"/>
          <w:bCs w:val="0"/>
          <w:color w:val="auto"/>
          <w:sz w:val="24"/>
          <w:szCs w:val="24"/>
          <w:highlight w:val="none"/>
          <w:lang w:val="en-US" w:eastAsia="zh-CN"/>
        </w:rPr>
        <w:t>免费</w:t>
      </w:r>
      <w:r>
        <w:rPr>
          <w:rFonts w:hint="eastAsia" w:ascii="宋体" w:hAnsi="宋体" w:eastAsia="宋体" w:cs="宋体"/>
          <w:b w:val="0"/>
          <w:bCs w:val="0"/>
          <w:color w:val="auto"/>
          <w:sz w:val="24"/>
          <w:szCs w:val="24"/>
          <w:highlight w:val="none"/>
          <w:lang w:eastAsia="zh-CN"/>
        </w:rPr>
        <w:t>）保修服务</w:t>
      </w:r>
      <w:r>
        <w:rPr>
          <w:rFonts w:hint="eastAsia" w:ascii="宋体" w:hAnsi="宋体" w:eastAsia="宋体" w:cs="宋体"/>
          <w:b w:val="0"/>
          <w:bCs w:val="0"/>
          <w:color w:val="auto"/>
          <w:sz w:val="24"/>
          <w:szCs w:val="24"/>
          <w:highlight w:val="none"/>
        </w:rPr>
        <w:t>；在甲方发出要求服务通知的24小时内，乙方指派的服务人员必须到达用户方现场，对设备出现的较大的问题，解决时间不超过3个日历日。</w:t>
      </w:r>
    </w:p>
    <w:p w14:paraId="7A06FB7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2E7DE4D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3、设备如出现故障，乙方二小时内回应，二十四小时内排除故障，如一天不能解决处理的，应向甲方提供同类型的应急代用设备，如相同的事故出现两次将无偿更换新机或退回甲方货款。</w:t>
      </w:r>
    </w:p>
    <w:p w14:paraId="17B1A58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4、如设备维修调试后达不到合同或招投标文件规定的质量或技术指标要求，甲方有权提出退货，并要求乙方退回货款。</w:t>
      </w:r>
    </w:p>
    <w:p w14:paraId="422FFB4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5、售后服务期外，终身免费维修，定期保养，最优惠提供零配件、易损件和耗材。</w:t>
      </w:r>
    </w:p>
    <w:p w14:paraId="4F945EB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6、疆内设有常年维修点或提供常驻维修人员。</w:t>
      </w:r>
    </w:p>
    <w:p w14:paraId="4BCDE6D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7、乙方接到甲方通知后未依照约定时间到场提供维修（包括零配件更换）保养等售后服务的，甲方有权另行聘请专业人员进行维修处理，产生的合理费用在</w:t>
      </w:r>
      <w:r>
        <w:rPr>
          <w:rFonts w:hint="eastAsia" w:ascii="宋体" w:hAnsi="宋体" w:eastAsia="宋体" w:cs="宋体"/>
          <w:b w:val="0"/>
          <w:bCs w:val="0"/>
          <w:color w:val="auto"/>
          <w:sz w:val="24"/>
          <w:szCs w:val="24"/>
          <w:highlight w:val="none"/>
          <w:lang w:val="en-US" w:eastAsia="zh-CN"/>
        </w:rPr>
        <w:t>质量保函中</w:t>
      </w:r>
      <w:r>
        <w:rPr>
          <w:rFonts w:hint="eastAsia" w:ascii="宋体" w:hAnsi="宋体" w:eastAsia="宋体" w:cs="宋体"/>
          <w:b w:val="0"/>
          <w:bCs w:val="0"/>
          <w:color w:val="auto"/>
          <w:sz w:val="24"/>
          <w:szCs w:val="24"/>
          <w:highlight w:val="none"/>
        </w:rPr>
        <w:t>予以扣除，不足部分，乙方应予以补足。</w:t>
      </w:r>
    </w:p>
    <w:p w14:paraId="18371E7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、乙方应当按照附件及本约定履行售后服务义务，附件与本约定不一致的，以本约定为准</w:t>
      </w:r>
      <w:r>
        <w:rPr>
          <w:rFonts w:hint="eastAsia" w:ascii="宋体" w:hAnsi="宋体" w:eastAsia="宋体" w:cs="宋体"/>
          <w:b w:val="0"/>
          <w:bCs w:val="0"/>
          <w:color w:val="auto"/>
          <w:sz w:val="24"/>
          <w:szCs w:val="24"/>
          <w:highlight w:val="none"/>
          <w:lang w:eastAsia="zh-CN"/>
        </w:rPr>
        <w:t>。</w:t>
      </w:r>
    </w:p>
    <w:p w14:paraId="364A6F0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七、付款方式：</w:t>
      </w:r>
    </w:p>
    <w:p w14:paraId="0DB8134C">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1、合同签订后10日内，买方支付货款的30%作为预付款；卖方按合同约定交付全部产品、安装调试完毕支付至货款的80%，验收合格后30日内，按验收单、合同相关条款支付至货款的100%。</w:t>
      </w:r>
    </w:p>
    <w:p w14:paraId="1D02FAE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eastAsia="宋体" w:cs="宋体"/>
          <w:b w:val="0"/>
          <w:bCs w:val="0"/>
          <w:color w:val="auto"/>
          <w:sz w:val="24"/>
          <w:szCs w:val="24"/>
          <w:highlight w:val="none"/>
          <w:lang w:val="en-US" w:eastAsia="zh-CN"/>
        </w:rPr>
        <w:t>否则甲方有权拒绝支付任何费用且不承担任何违约责任。</w:t>
      </w:r>
    </w:p>
    <w:p w14:paraId="17E09BE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、乙方银行账户信息：</w:t>
      </w:r>
    </w:p>
    <w:p w14:paraId="4E01813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开户行：                                  </w:t>
      </w:r>
    </w:p>
    <w:p w14:paraId="7D391459">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账户名称：                                                </w:t>
      </w:r>
    </w:p>
    <w:p w14:paraId="29B95BF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银行账号：                                                    </w:t>
      </w:r>
    </w:p>
    <w:p w14:paraId="045D459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05B1C08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八、包装标准：</w:t>
      </w:r>
    </w:p>
    <w:p w14:paraId="6E39183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01A3D9D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2、由于乙方包装或其防护措施不妥而引起标的物锈蚀、损坏和丢失的任何损失的责任或费用由乙方承担。</w:t>
      </w:r>
    </w:p>
    <w:p w14:paraId="4ACDEB6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3、除双方特殊约定以外，乙方提供的包装物费用包括在本合同总价中。</w:t>
      </w:r>
    </w:p>
    <w:p w14:paraId="3703F13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4、乙方负责将送至甲方指定地点的设备包装物从甲方工作场所中清除出去，不得给甲方工作人员或环境造成影响，否则将承担相应的责任，赔偿甲方的损失。</w:t>
      </w:r>
    </w:p>
    <w:p w14:paraId="6287446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5、标的物在运输途中的安全问题均由乙方负责</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在交货过程中，发生意外事故和故障损失，如撞、刮、裂、损等均由乙方承担责任；</w:t>
      </w:r>
    </w:p>
    <w:p w14:paraId="0ABD3B5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2A8C5BF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十、安装调试</w:t>
      </w:r>
      <w:r>
        <w:rPr>
          <w:rFonts w:hint="eastAsia" w:ascii="宋体" w:hAnsi="宋体" w:eastAsia="宋体" w:cs="宋体"/>
          <w:b w:val="0"/>
          <w:bCs w:val="0"/>
          <w:color w:val="auto"/>
          <w:sz w:val="24"/>
          <w:szCs w:val="24"/>
          <w:highlight w:val="none"/>
          <w:lang w:val="en-US" w:eastAsia="zh-CN"/>
        </w:rPr>
        <w:t>及试运行</w:t>
      </w:r>
      <w:r>
        <w:rPr>
          <w:rFonts w:hint="eastAsia" w:ascii="宋体" w:hAnsi="宋体" w:eastAsia="宋体" w:cs="宋体"/>
          <w:b w:val="0"/>
          <w:bCs w:val="0"/>
          <w:color w:val="auto"/>
          <w:sz w:val="24"/>
          <w:szCs w:val="24"/>
          <w:highlight w:val="none"/>
        </w:rPr>
        <w:t>：</w:t>
      </w:r>
    </w:p>
    <w:p w14:paraId="4829AD6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1、乙方必须在合同签订后1周内将所有的安装调试条件、需甲方配合的事项以书面方式通知甲方；</w:t>
      </w:r>
    </w:p>
    <w:p w14:paraId="540733A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2、乙方负责标的物的运送、安装、调试、技术协助、校准、培训以及其他类似等工作，</w:t>
      </w:r>
      <w:r>
        <w:rPr>
          <w:rFonts w:hint="eastAsia" w:ascii="宋体" w:hAnsi="宋体" w:eastAsia="宋体" w:cs="宋体"/>
          <w:b w:val="0"/>
          <w:bCs w:val="0"/>
          <w:color w:val="auto"/>
          <w:sz w:val="24"/>
          <w:szCs w:val="24"/>
          <w:highlight w:val="none"/>
          <w:lang w:eastAsia="zh-CN"/>
        </w:rPr>
        <w:t>直至该</w:t>
      </w:r>
      <w:r>
        <w:rPr>
          <w:rFonts w:hint="eastAsia" w:ascii="宋体" w:hAnsi="宋体" w:eastAsia="宋体" w:cs="宋体"/>
          <w:b w:val="0"/>
          <w:bCs w:val="0"/>
          <w:color w:val="auto"/>
          <w:sz w:val="24"/>
          <w:szCs w:val="24"/>
          <w:highlight w:val="none"/>
          <w:lang w:val="en-US" w:eastAsia="zh-CN"/>
        </w:rPr>
        <w:t>标的物</w:t>
      </w:r>
      <w:r>
        <w:rPr>
          <w:rFonts w:hint="eastAsia" w:ascii="宋体" w:hAnsi="宋体" w:eastAsia="宋体" w:cs="宋体"/>
          <w:b w:val="0"/>
          <w:bCs w:val="0"/>
          <w:color w:val="auto"/>
          <w:sz w:val="24"/>
          <w:szCs w:val="24"/>
          <w:highlight w:val="none"/>
          <w:lang w:eastAsia="zh-CN"/>
        </w:rPr>
        <w:t>可以正常</w:t>
      </w:r>
      <w:r>
        <w:rPr>
          <w:rFonts w:hint="eastAsia" w:ascii="宋体" w:hAnsi="宋体" w:eastAsia="宋体" w:cs="宋体"/>
          <w:b w:val="0"/>
          <w:bCs w:val="0"/>
          <w:color w:val="auto"/>
          <w:sz w:val="24"/>
          <w:szCs w:val="24"/>
          <w:highlight w:val="none"/>
          <w:lang w:val="en-US" w:eastAsia="zh-CN"/>
        </w:rPr>
        <w:t>试运行</w:t>
      </w:r>
      <w:r>
        <w:rPr>
          <w:rFonts w:hint="eastAsia" w:ascii="宋体" w:hAnsi="宋体" w:eastAsia="宋体" w:cs="宋体"/>
          <w:b w:val="0"/>
          <w:bCs w:val="0"/>
          <w:color w:val="auto"/>
          <w:sz w:val="24"/>
          <w:szCs w:val="24"/>
          <w:highlight w:val="none"/>
        </w:rPr>
        <w:t xml:space="preserve">。 </w:t>
      </w:r>
    </w:p>
    <w:p w14:paraId="48F034B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3、乙方应指派专</w:t>
      </w:r>
      <w:r>
        <w:rPr>
          <w:rFonts w:hint="eastAsia" w:ascii="宋体" w:hAnsi="宋体" w:eastAsia="宋体" w:cs="宋体"/>
          <w:b w:val="0"/>
          <w:bCs w:val="0"/>
          <w:color w:val="auto"/>
          <w:sz w:val="24"/>
          <w:szCs w:val="24"/>
          <w:highlight w:val="none"/>
          <w:lang w:val="en-US" w:eastAsia="zh-CN"/>
        </w:rPr>
        <w:t>业</w:t>
      </w:r>
      <w:r>
        <w:rPr>
          <w:rFonts w:hint="eastAsia" w:ascii="宋体" w:hAnsi="宋体" w:eastAsia="宋体" w:cs="宋体"/>
          <w:b w:val="0"/>
          <w:bCs w:val="0"/>
          <w:color w:val="auto"/>
          <w:sz w:val="24"/>
          <w:szCs w:val="24"/>
          <w:highlight w:val="none"/>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41588E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4、在安装调试期间，因物件发生的事故及造成任何人身伤亡，由乙方承担全部责任责任。</w:t>
      </w:r>
      <w:r>
        <w:rPr>
          <w:rFonts w:hint="eastAsia" w:ascii="宋体" w:hAnsi="宋体" w:eastAsia="宋体" w:cs="宋体"/>
          <w:b w:val="0"/>
          <w:bCs w:val="0"/>
          <w:color w:val="auto"/>
          <w:kern w:val="2"/>
          <w:sz w:val="24"/>
          <w:szCs w:val="24"/>
          <w:highlight w:val="none"/>
          <w:lang w:val="en-US" w:eastAsia="zh-CN" w:bidi="ar"/>
        </w:rPr>
        <w:br w:type="textWrapping"/>
      </w:r>
      <w:r>
        <w:rPr>
          <w:rFonts w:hint="eastAsia" w:ascii="宋体" w:hAnsi="宋体" w:eastAsia="宋体" w:cs="宋体"/>
          <w:b w:val="0"/>
          <w:bCs w:val="0"/>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242EC1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641C899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40CB46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
        </w:rPr>
        <w:t>8、在标的物到达之前，乙方必须提供与生产厂家签订的、针对合同内标的物的</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年免费保修协议或合同。若未能提供此文件，则视为乙方未履行合同要求，甲方有权拒绝接收货物。</w:t>
      </w:r>
    </w:p>
    <w:p w14:paraId="0127B2A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十一、验收标准：</w:t>
      </w:r>
    </w:p>
    <w:p w14:paraId="725EA9F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1、单证齐全：应有产品合格证（或质量证明）、使用说明、保修证明、发票和其他应具有的单证。同时由乙方提供该套标的物的商检证，需计量鉴定的，还需提供初次计量鉴定证书。</w:t>
      </w:r>
    </w:p>
    <w:p w14:paraId="5F68373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2、质量符合</w:t>
      </w:r>
      <w:r>
        <w:rPr>
          <w:rFonts w:hint="eastAsia" w:ascii="宋体" w:hAnsi="宋体" w:eastAsia="宋体" w:cs="宋体"/>
          <w:b w:val="0"/>
          <w:bCs w:val="0"/>
          <w:color w:val="auto"/>
          <w:sz w:val="24"/>
          <w:szCs w:val="24"/>
          <w:highlight w:val="none"/>
          <w:lang w:val="en-US" w:eastAsia="zh-CN"/>
        </w:rPr>
        <w:t>现行</w:t>
      </w:r>
      <w:r>
        <w:rPr>
          <w:rFonts w:hint="eastAsia" w:ascii="宋体" w:hAnsi="宋体" w:eastAsia="宋体" w:cs="宋体"/>
          <w:b w:val="0"/>
          <w:bCs w:val="0"/>
          <w:color w:val="auto"/>
          <w:sz w:val="24"/>
          <w:szCs w:val="24"/>
          <w:highlight w:val="none"/>
        </w:rPr>
        <w:t>国家法律法规规定的标准、招标文件和投标文件的要求。其中有关标的物名称、制造商、数量等信息须符合投标文件和配置清单</w:t>
      </w:r>
    </w:p>
    <w:p w14:paraId="55F176F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试运行期结束后，</w:t>
      </w:r>
      <w:r>
        <w:rPr>
          <w:rFonts w:hint="eastAsia" w:ascii="宋体" w:hAnsi="宋体" w:eastAsia="宋体" w:cs="宋体"/>
          <w:b w:val="0"/>
          <w:bCs w:val="0"/>
          <w:color w:val="auto"/>
          <w:sz w:val="24"/>
          <w:szCs w:val="24"/>
          <w:highlight w:val="none"/>
        </w:rPr>
        <w:t>甲方标的物使用科室最终签发相关的安装验收合格报告，并且甲方有权委托中国有资质的单位对仪器进行精度校核，所发生的费用由乙方承担且乙方同意授权甲方从应付货款中直接扣除。</w:t>
      </w:r>
    </w:p>
    <w:p w14:paraId="7472A65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、甲方最终验收合格后进入</w:t>
      </w:r>
      <w:r>
        <w:rPr>
          <w:rFonts w:hint="eastAsia" w:ascii="宋体" w:hAnsi="宋体" w:eastAsia="宋体" w:cs="宋体"/>
          <w:b w:val="0"/>
          <w:bCs w:val="0"/>
          <w:color w:val="auto"/>
          <w:sz w:val="24"/>
          <w:szCs w:val="24"/>
          <w:highlight w:val="none"/>
          <w:lang w:val="en-US" w:eastAsia="zh-CN"/>
        </w:rPr>
        <w:t>保修</w:t>
      </w:r>
      <w:r>
        <w:rPr>
          <w:rFonts w:hint="eastAsia" w:ascii="宋体" w:hAnsi="宋体" w:eastAsia="宋体" w:cs="宋体"/>
          <w:b w:val="0"/>
          <w:bCs w:val="0"/>
          <w:color w:val="auto"/>
          <w:sz w:val="24"/>
          <w:szCs w:val="24"/>
          <w:highlight w:val="none"/>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7E423E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根据《中华人民共和国强制检定的工作计量器具目录》及招标文件要求，属于计量器具需要进行计量检定、校准的设备，由乙方承担首次</w:t>
      </w:r>
      <w:r>
        <w:rPr>
          <w:rFonts w:hint="eastAsia" w:ascii="宋体" w:hAnsi="宋体" w:eastAsia="宋体" w:cs="宋体"/>
          <w:b w:val="0"/>
          <w:bCs w:val="0"/>
          <w:color w:val="auto"/>
          <w:sz w:val="24"/>
          <w:szCs w:val="24"/>
          <w:highlight w:val="none"/>
        </w:rPr>
        <w:t>技术监督局的</w:t>
      </w:r>
      <w:r>
        <w:rPr>
          <w:rFonts w:hint="eastAsia" w:ascii="宋体" w:hAnsi="宋体" w:eastAsia="宋体" w:cs="宋体"/>
          <w:b w:val="0"/>
          <w:bCs w:val="0"/>
          <w:color w:val="auto"/>
          <w:sz w:val="24"/>
          <w:szCs w:val="24"/>
          <w:highlight w:val="none"/>
          <w:lang w:val="en-US" w:eastAsia="zh-CN"/>
        </w:rPr>
        <w:t>检定、校准</w:t>
      </w:r>
      <w:r>
        <w:rPr>
          <w:rFonts w:hint="eastAsia" w:ascii="宋体" w:hAnsi="宋体" w:eastAsia="宋体" w:cs="宋体"/>
          <w:b w:val="0"/>
          <w:bCs w:val="0"/>
          <w:color w:val="auto"/>
          <w:sz w:val="24"/>
          <w:szCs w:val="24"/>
          <w:highlight w:val="none"/>
        </w:rPr>
        <w:t>费用，</w:t>
      </w:r>
      <w:r>
        <w:rPr>
          <w:rFonts w:hint="eastAsia" w:ascii="宋体" w:hAnsi="宋体" w:eastAsia="宋体" w:cs="宋体"/>
          <w:b w:val="0"/>
          <w:bCs w:val="0"/>
          <w:color w:val="auto"/>
          <w:sz w:val="24"/>
          <w:szCs w:val="24"/>
          <w:highlight w:val="none"/>
          <w:lang w:val="en-US" w:eastAsia="zh-CN"/>
        </w:rPr>
        <w:t>并</w:t>
      </w:r>
      <w:r>
        <w:rPr>
          <w:rFonts w:hint="eastAsia" w:ascii="宋体" w:hAnsi="宋体" w:eastAsia="宋体" w:cs="宋体"/>
          <w:b w:val="0"/>
          <w:bCs w:val="0"/>
          <w:color w:val="auto"/>
          <w:sz w:val="24"/>
          <w:szCs w:val="24"/>
          <w:highlight w:val="none"/>
        </w:rPr>
        <w:t>提供承诺函。</w:t>
      </w:r>
    </w:p>
    <w:p w14:paraId="453CD43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6、产品生产日期自交货之日起半年以内。</w:t>
      </w:r>
    </w:p>
    <w:p w14:paraId="32A56A0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十二、质量技术标准及损害赔偿：</w:t>
      </w:r>
    </w:p>
    <w:p w14:paraId="1C8128A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4F11602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2、乙方应保证其提供的标的物是原产地的原装产品，是全新的、未使用过的，采用的是最佳材料和第一流的工艺，并在各个方面符合合同规定的质量、规格和性能要求。否则按退货处理。</w:t>
      </w:r>
    </w:p>
    <w:p w14:paraId="57D9061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65C9F2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4、标的物在售后服务期内，如出现三次以上（含三次）因质量问题引起的故障，乙方负责更换同类新的</w:t>
      </w:r>
      <w:r>
        <w:rPr>
          <w:rFonts w:hint="eastAsia" w:ascii="宋体" w:hAnsi="宋体" w:eastAsia="宋体" w:cs="宋体"/>
          <w:b w:val="0"/>
          <w:bCs w:val="0"/>
          <w:color w:val="auto"/>
          <w:sz w:val="24"/>
          <w:szCs w:val="24"/>
          <w:highlight w:val="none"/>
          <w:lang w:val="en-US" w:eastAsia="zh-CN"/>
        </w:rPr>
        <w:t>标的物</w:t>
      </w:r>
      <w:r>
        <w:rPr>
          <w:rFonts w:hint="eastAsia" w:ascii="宋体" w:hAnsi="宋体" w:eastAsia="宋体" w:cs="宋体"/>
          <w:b w:val="0"/>
          <w:bCs w:val="0"/>
          <w:color w:val="auto"/>
          <w:sz w:val="24"/>
          <w:szCs w:val="24"/>
          <w:highlight w:val="none"/>
        </w:rPr>
        <w:t>，以达到合同规定的规格、质量和性能，并从更换之日起重新计算被更换标的物的售后服务期，由此产生的一切费用由乙方承担。</w:t>
      </w:r>
    </w:p>
    <w:p w14:paraId="352E8629">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5、如因为乙方标的物质量原因，导致甲方损失，</w:t>
      </w:r>
      <w:r>
        <w:rPr>
          <w:rFonts w:hint="eastAsia" w:ascii="宋体" w:hAnsi="宋体" w:eastAsia="宋体" w:cs="宋体"/>
          <w:b w:val="0"/>
          <w:bCs w:val="0"/>
          <w:color w:val="auto"/>
          <w:kern w:val="2"/>
          <w:sz w:val="24"/>
          <w:szCs w:val="24"/>
          <w:highlight w:val="none"/>
          <w:lang w:val="en-US" w:eastAsia="zh-CN" w:bidi="ar"/>
        </w:rPr>
        <w:t>由乙方承担全部责任并赔偿甲方所有损失。如因乙方提供的设备发生医疗器械不良事件，乙方应承担全部责任和所有费用</w:t>
      </w:r>
      <w:r>
        <w:rPr>
          <w:rFonts w:hint="eastAsia" w:ascii="宋体" w:hAnsi="宋体" w:eastAsia="宋体" w:cs="宋体"/>
          <w:b w:val="0"/>
          <w:bCs w:val="0"/>
          <w:color w:val="auto"/>
          <w:sz w:val="24"/>
          <w:szCs w:val="24"/>
          <w:highlight w:val="none"/>
        </w:rPr>
        <w:t>。</w:t>
      </w:r>
    </w:p>
    <w:p w14:paraId="2DE3AF4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十三、合同修改、变更、转让及专利权：</w:t>
      </w:r>
    </w:p>
    <w:p w14:paraId="0DAC007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1、未经甲方书面同意，乙方不得对合同条款及服务内容进行任何修改、变更。并且不得转让其应履行的义务。否则，甲方有权终止合同，所发生的损失由乙方全部承担。</w:t>
      </w:r>
    </w:p>
    <w:p w14:paraId="3E2EF04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43D91CE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31B575F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十五、违约责任：</w:t>
      </w:r>
    </w:p>
    <w:p w14:paraId="10B5648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436B806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2、乙方逾期交货的，按逾期交货部分货款计算，乙方向甲方偿付每日千分之五的违约金，逾期十天以上的，甲方有权解除合同，乙方应当承担因终止合同而发生的一切直接损失和费用。</w:t>
      </w:r>
    </w:p>
    <w:p w14:paraId="706F86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1D15312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4、乙方不得以任何形式在任何情况下对甲方工作人员进行商业贿赂活动，否则甲方有权单方解除合同，同时乙方需按照本合同总金额20%向甲方支付违约金并承担相应的法律责任。</w:t>
      </w:r>
    </w:p>
    <w:p w14:paraId="03D9059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1261A5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35693AC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44D2A92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十六、赔偿、追索权：</w:t>
      </w:r>
    </w:p>
    <w:p w14:paraId="2085220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12FE2BB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2、本合同所有条款约定的违约金、赔偿金等均应以人民币的方式支付，双方明确按照第一次购汇当日的银行汇卖价，即购汇凭单上的购汇汇率，作为今后违约金、赔偿金等结算支付的汇率。</w:t>
      </w:r>
    </w:p>
    <w:p w14:paraId="7AB6B66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十七、解决合同纠纷的方式：</w:t>
      </w:r>
    </w:p>
    <w:p w14:paraId="16457319">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1、合同双方本着诚实、公平合理的原则协商解决，协商仍不能达成共识，可向甲方所在地人民法院提起诉讼。</w:t>
      </w:r>
    </w:p>
    <w:p w14:paraId="11A1CEC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2、在诉讼期间，合同未发生争议部分应当继续履行。</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lang w:val="en-US" w:eastAsia="zh-CN"/>
        </w:rPr>
        <w:t>十八：质量保函：</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1、乙方须出具具有担保资质的公司出具的书面质量保函。</w:t>
      </w:r>
    </w:p>
    <w:p w14:paraId="5854C625">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2、乙方须保证标的物质量符合合同约定的技术标准和质量要求。</w:t>
      </w:r>
    </w:p>
    <w:p w14:paraId="25688E3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3、乙方承诺在标的物验收合格后，对标的物进行为期</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年的免费保修服务。</w:t>
      </w:r>
    </w:p>
    <w:p w14:paraId="5B3B6E7A">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4、若标的物在保修期内出现故障及问题，乙方应立即进行修复，直至达到合同约定的质量标准。</w:t>
      </w:r>
    </w:p>
    <w:p w14:paraId="4DB1FCA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5、若因乙方原因导致标的物维修不及时，甲方有权要求乙方承担相应的违约责任，包括但不限于修复费用、赔偿损失等。</w:t>
      </w:r>
    </w:p>
    <w:p w14:paraId="5B21815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6、在约定的售后服务期（保修服务期）内未按要求提供相应技术支持时，不予退还质量保函。</w:t>
      </w:r>
    </w:p>
    <w:p w14:paraId="0651B7F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6、质量保函自签订之日起生效，至项目验收合格后</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年止.</w:t>
      </w:r>
    </w:p>
    <w:p w14:paraId="7F66205B">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7、保修期结束后，由甲方出具保修期内标的物及售后服务评价，符合要求的正常退还质量保函金，不符合要求的不予退还质量保函金。</w:t>
      </w:r>
    </w:p>
    <w:p w14:paraId="11A67A3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rPr>
        <w:t>、其它：</w:t>
      </w:r>
    </w:p>
    <w:p w14:paraId="3B512A9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合同所有附件，</w:t>
      </w:r>
      <w:r>
        <w:rPr>
          <w:rFonts w:hint="eastAsia" w:ascii="宋体" w:hAnsi="宋体" w:eastAsia="宋体" w:cs="宋体"/>
          <w:b w:val="0"/>
          <w:bCs w:val="0"/>
          <w:color w:val="auto"/>
          <w:sz w:val="24"/>
          <w:szCs w:val="24"/>
          <w:highlight w:val="none"/>
          <w:lang w:val="en-US" w:eastAsia="zh-CN"/>
        </w:rPr>
        <w:t>包括与合同相关的采购文件、招标文件、谈判文件、招投标备案材料、售后服务承诺书、成交通知书、</w:t>
      </w:r>
      <w:r>
        <w:rPr>
          <w:rFonts w:hint="eastAsia" w:ascii="宋体" w:hAnsi="宋体" w:eastAsia="宋体" w:cs="宋体"/>
          <w:b w:val="0"/>
          <w:bCs w:val="0"/>
          <w:color w:val="auto"/>
          <w:sz w:val="24"/>
          <w:szCs w:val="24"/>
          <w:highlight w:val="none"/>
        </w:rPr>
        <w:t>成交方的投标文件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询标中的书面答疑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开标中的书面承诺</w:t>
      </w:r>
      <w:r>
        <w:rPr>
          <w:rFonts w:hint="eastAsia" w:ascii="宋体" w:hAnsi="宋体" w:eastAsia="宋体" w:cs="宋体"/>
          <w:b w:val="0"/>
          <w:bCs w:val="0"/>
          <w:color w:val="auto"/>
          <w:sz w:val="24"/>
          <w:szCs w:val="24"/>
          <w:highlight w:val="none"/>
          <w:lang w:val="en-US" w:eastAsia="zh-CN"/>
        </w:rPr>
        <w:t>及合同附件</w:t>
      </w:r>
      <w:r>
        <w:rPr>
          <w:rFonts w:hint="eastAsia" w:ascii="宋体" w:hAnsi="宋体" w:eastAsia="宋体" w:cs="宋体"/>
          <w:b w:val="0"/>
          <w:bCs w:val="0"/>
          <w:color w:val="auto"/>
          <w:sz w:val="24"/>
          <w:szCs w:val="24"/>
          <w:highlight w:val="none"/>
        </w:rPr>
        <w:t>等均作为合同的有效组成部分，与合同具有同等的法律效力。</w:t>
      </w:r>
    </w:p>
    <w:p w14:paraId="598744D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2、乙方保证提供的资质是真实的，与原件相符。否则，产生的责任及给甲方造成的损失均由乙方承担并赔偿。</w:t>
      </w:r>
    </w:p>
    <w:p w14:paraId="5BFA807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3、乙方保证合同中提供的电话、传真、开户银行、账号等信息准确无误。否则造成的责任及损失由乙方承担。</w:t>
      </w:r>
    </w:p>
    <w:p w14:paraId="69801EE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4、本合同应按中华人民共和国的相关法律解释</w:t>
      </w:r>
      <w:r>
        <w:rPr>
          <w:rFonts w:hint="eastAsia" w:ascii="宋体" w:hAnsi="宋体" w:eastAsia="宋体" w:cs="宋体"/>
          <w:b w:val="0"/>
          <w:bCs w:val="0"/>
          <w:color w:val="auto"/>
          <w:kern w:val="2"/>
          <w:sz w:val="24"/>
          <w:szCs w:val="24"/>
          <w:highlight w:val="none"/>
          <w:lang w:val="en-US" w:eastAsia="zh-CN" w:bidi="ar"/>
        </w:rPr>
        <w:t>，合同内容如遇国家法律、法规及政策另有规定的，从其规定。</w:t>
      </w:r>
    </w:p>
    <w:p w14:paraId="04B70A24">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rPr>
        <w:t>5、本合同文本一式五份，甲方执四份、乙方执一份</w:t>
      </w:r>
      <w:r>
        <w:rPr>
          <w:rFonts w:hint="eastAsia" w:ascii="宋体" w:hAnsi="宋体" w:eastAsia="宋体" w:cs="宋体"/>
          <w:b w:val="0"/>
          <w:bCs w:val="0"/>
          <w:color w:val="auto"/>
          <w:kern w:val="2"/>
          <w:sz w:val="24"/>
          <w:szCs w:val="24"/>
          <w:highlight w:val="none"/>
          <w:lang w:val="en-US" w:eastAsia="zh-CN" w:bidi="ar"/>
        </w:rPr>
        <w:t>，均具有同等的法律效力</w:t>
      </w:r>
      <w:r>
        <w:rPr>
          <w:rFonts w:hint="eastAsia" w:ascii="宋体" w:hAnsi="宋体" w:eastAsia="宋体" w:cs="宋体"/>
          <w:b w:val="0"/>
          <w:bCs w:val="0"/>
          <w:color w:val="auto"/>
          <w:sz w:val="24"/>
          <w:szCs w:val="24"/>
          <w:highlight w:val="none"/>
        </w:rPr>
        <w:t>。自甲、乙双方</w:t>
      </w:r>
      <w:r>
        <w:rPr>
          <w:rFonts w:hint="eastAsia" w:ascii="宋体" w:hAnsi="宋体" w:eastAsia="宋体" w:cs="宋体"/>
          <w:b w:val="0"/>
          <w:bCs w:val="0"/>
          <w:color w:val="auto"/>
          <w:sz w:val="24"/>
          <w:szCs w:val="24"/>
          <w:highlight w:val="none"/>
          <w:lang w:val="en-US" w:eastAsia="zh-CN"/>
        </w:rPr>
        <w:t>法定代表人或委托代理人</w:t>
      </w:r>
      <w:r>
        <w:rPr>
          <w:rFonts w:hint="eastAsia" w:ascii="宋体" w:hAnsi="宋体" w:eastAsia="宋体" w:cs="宋体"/>
          <w:b w:val="0"/>
          <w:bCs w:val="0"/>
          <w:color w:val="auto"/>
          <w:sz w:val="24"/>
          <w:szCs w:val="24"/>
          <w:highlight w:val="none"/>
        </w:rPr>
        <w:t>签字</w:t>
      </w:r>
      <w:r>
        <w:rPr>
          <w:rFonts w:hint="eastAsia" w:ascii="宋体" w:hAnsi="宋体" w:eastAsia="宋体" w:cs="宋体"/>
          <w:b w:val="0"/>
          <w:bCs w:val="0"/>
          <w:color w:val="auto"/>
          <w:sz w:val="24"/>
          <w:szCs w:val="24"/>
          <w:highlight w:val="none"/>
          <w:lang w:val="en-US" w:eastAsia="zh-CN"/>
        </w:rPr>
        <w:t>且加盖单位公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或合同专用章</w:t>
      </w:r>
      <w:r>
        <w:rPr>
          <w:rFonts w:hint="eastAsia" w:ascii="宋体" w:hAnsi="宋体" w:eastAsia="宋体" w:cs="宋体"/>
          <w:b w:val="0"/>
          <w:bCs w:val="0"/>
          <w:color w:val="auto"/>
          <w:sz w:val="24"/>
          <w:szCs w:val="24"/>
          <w:highlight w:val="none"/>
        </w:rPr>
        <w:t>之日起生效，双方如有未尽事宜，可另行友好协商解决。</w:t>
      </w:r>
    </w:p>
    <w:tbl>
      <w:tblPr>
        <w:tblStyle w:val="31"/>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2F84FD5A">
        <w:tblPrEx>
          <w:tblCellMar>
            <w:top w:w="0" w:type="dxa"/>
            <w:left w:w="108" w:type="dxa"/>
            <w:bottom w:w="0" w:type="dxa"/>
            <w:right w:w="108" w:type="dxa"/>
          </w:tblCellMar>
        </w:tblPrEx>
        <w:tc>
          <w:tcPr>
            <w:tcW w:w="5148" w:type="dxa"/>
            <w:noWrap w:val="0"/>
            <w:vAlign w:val="top"/>
          </w:tcPr>
          <w:p w14:paraId="16293BE2">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甲方：</w:t>
            </w:r>
          </w:p>
        </w:tc>
        <w:tc>
          <w:tcPr>
            <w:tcW w:w="4860" w:type="dxa"/>
            <w:noWrap w:val="0"/>
            <w:vAlign w:val="top"/>
          </w:tcPr>
          <w:p w14:paraId="5FF6BF9D">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乙方：</w:t>
            </w:r>
          </w:p>
        </w:tc>
      </w:tr>
      <w:tr w14:paraId="75634E9D">
        <w:tblPrEx>
          <w:tblCellMar>
            <w:top w:w="0" w:type="dxa"/>
            <w:left w:w="108" w:type="dxa"/>
            <w:bottom w:w="0" w:type="dxa"/>
            <w:right w:w="108" w:type="dxa"/>
          </w:tblCellMar>
        </w:tblPrEx>
        <w:trPr>
          <w:trHeight w:val="80" w:hRule="atLeast"/>
        </w:trPr>
        <w:tc>
          <w:tcPr>
            <w:tcW w:w="5148" w:type="dxa"/>
            <w:noWrap w:val="0"/>
            <w:vAlign w:val="top"/>
          </w:tcPr>
          <w:p w14:paraId="2FE43A6D">
            <w:pPr>
              <w:spacing w:line="360" w:lineRule="auto"/>
              <w:rPr>
                <w:rFonts w:hint="eastAsia" w:ascii="宋体" w:hAnsi="宋体" w:eastAsia="宋体" w:cs="宋体"/>
                <w:b w:val="0"/>
                <w:bCs w:val="0"/>
                <w:sz w:val="24"/>
                <w:szCs w:val="24"/>
                <w:highlight w:val="none"/>
              </w:rPr>
            </w:pPr>
          </w:p>
        </w:tc>
        <w:tc>
          <w:tcPr>
            <w:tcW w:w="4860" w:type="dxa"/>
            <w:noWrap w:val="0"/>
            <w:vAlign w:val="top"/>
          </w:tcPr>
          <w:p w14:paraId="436AFB46">
            <w:pPr>
              <w:spacing w:line="360" w:lineRule="auto"/>
              <w:rPr>
                <w:rFonts w:hint="eastAsia" w:ascii="宋体" w:hAnsi="宋体" w:eastAsia="宋体" w:cs="宋体"/>
                <w:b w:val="0"/>
                <w:bCs w:val="0"/>
                <w:sz w:val="24"/>
                <w:szCs w:val="24"/>
                <w:highlight w:val="none"/>
              </w:rPr>
            </w:pPr>
          </w:p>
        </w:tc>
      </w:tr>
      <w:tr w14:paraId="5CA78CCA">
        <w:tblPrEx>
          <w:tblCellMar>
            <w:top w:w="0" w:type="dxa"/>
            <w:left w:w="108" w:type="dxa"/>
            <w:bottom w:w="0" w:type="dxa"/>
            <w:right w:w="108" w:type="dxa"/>
          </w:tblCellMar>
        </w:tblPrEx>
        <w:tc>
          <w:tcPr>
            <w:tcW w:w="5148" w:type="dxa"/>
            <w:noWrap w:val="0"/>
            <w:vAlign w:val="top"/>
          </w:tcPr>
          <w:p w14:paraId="3754482A">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甲方法人：</w:t>
            </w:r>
          </w:p>
        </w:tc>
        <w:tc>
          <w:tcPr>
            <w:tcW w:w="4860" w:type="dxa"/>
            <w:noWrap w:val="0"/>
            <w:vAlign w:val="top"/>
          </w:tcPr>
          <w:p w14:paraId="19125983">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乙方法人：</w:t>
            </w:r>
          </w:p>
        </w:tc>
      </w:tr>
      <w:tr w14:paraId="3B5A02D6">
        <w:tblPrEx>
          <w:tblCellMar>
            <w:top w:w="0" w:type="dxa"/>
            <w:left w:w="108" w:type="dxa"/>
            <w:bottom w:w="0" w:type="dxa"/>
            <w:right w:w="108" w:type="dxa"/>
          </w:tblCellMar>
        </w:tblPrEx>
        <w:tc>
          <w:tcPr>
            <w:tcW w:w="5148" w:type="dxa"/>
            <w:noWrap w:val="0"/>
            <w:vAlign w:val="top"/>
          </w:tcPr>
          <w:p w14:paraId="14C9371A">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（签字）</w:t>
            </w:r>
          </w:p>
        </w:tc>
        <w:tc>
          <w:tcPr>
            <w:tcW w:w="4860" w:type="dxa"/>
            <w:noWrap w:val="0"/>
            <w:vAlign w:val="top"/>
          </w:tcPr>
          <w:p w14:paraId="26889922">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（签字）</w:t>
            </w:r>
          </w:p>
        </w:tc>
      </w:tr>
      <w:tr w14:paraId="40C067DE">
        <w:tblPrEx>
          <w:tblCellMar>
            <w:top w:w="0" w:type="dxa"/>
            <w:left w:w="108" w:type="dxa"/>
            <w:bottom w:w="0" w:type="dxa"/>
            <w:right w:w="108" w:type="dxa"/>
          </w:tblCellMar>
        </w:tblPrEx>
        <w:tc>
          <w:tcPr>
            <w:tcW w:w="5148" w:type="dxa"/>
            <w:noWrap w:val="0"/>
            <w:vAlign w:val="top"/>
          </w:tcPr>
          <w:p w14:paraId="5408F46E">
            <w:pPr>
              <w:spacing w:line="360" w:lineRule="auto"/>
              <w:rPr>
                <w:rFonts w:hint="eastAsia" w:ascii="宋体" w:hAnsi="宋体" w:eastAsia="宋体" w:cs="宋体"/>
                <w:b w:val="0"/>
                <w:bCs w:val="0"/>
                <w:sz w:val="24"/>
                <w:szCs w:val="24"/>
                <w:highlight w:val="none"/>
              </w:rPr>
            </w:pPr>
          </w:p>
        </w:tc>
        <w:tc>
          <w:tcPr>
            <w:tcW w:w="4860" w:type="dxa"/>
            <w:noWrap w:val="0"/>
            <w:vAlign w:val="top"/>
          </w:tcPr>
          <w:p w14:paraId="75DAD529">
            <w:pPr>
              <w:spacing w:line="360" w:lineRule="auto"/>
              <w:rPr>
                <w:rFonts w:hint="eastAsia" w:ascii="宋体" w:hAnsi="宋体" w:eastAsia="宋体" w:cs="宋体"/>
                <w:b w:val="0"/>
                <w:bCs w:val="0"/>
                <w:sz w:val="24"/>
                <w:szCs w:val="24"/>
                <w:highlight w:val="none"/>
              </w:rPr>
            </w:pPr>
          </w:p>
        </w:tc>
      </w:tr>
      <w:tr w14:paraId="48B63782">
        <w:tblPrEx>
          <w:tblCellMar>
            <w:top w:w="0" w:type="dxa"/>
            <w:left w:w="108" w:type="dxa"/>
            <w:bottom w:w="0" w:type="dxa"/>
            <w:right w:w="108" w:type="dxa"/>
          </w:tblCellMar>
        </w:tblPrEx>
        <w:trPr>
          <w:trHeight w:val="350" w:hRule="atLeast"/>
        </w:trPr>
        <w:tc>
          <w:tcPr>
            <w:tcW w:w="5148" w:type="dxa"/>
            <w:noWrap w:val="0"/>
            <w:vAlign w:val="top"/>
          </w:tcPr>
          <w:p w14:paraId="3F186784">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甲方代表：</w:t>
            </w:r>
          </w:p>
        </w:tc>
        <w:tc>
          <w:tcPr>
            <w:tcW w:w="4860" w:type="dxa"/>
            <w:noWrap w:val="0"/>
            <w:vAlign w:val="top"/>
          </w:tcPr>
          <w:p w14:paraId="67F49D32">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乙方代表：</w:t>
            </w:r>
          </w:p>
        </w:tc>
      </w:tr>
      <w:tr w14:paraId="1F778C6D">
        <w:tblPrEx>
          <w:tblCellMar>
            <w:top w:w="0" w:type="dxa"/>
            <w:left w:w="108" w:type="dxa"/>
            <w:bottom w:w="0" w:type="dxa"/>
            <w:right w:w="108" w:type="dxa"/>
          </w:tblCellMar>
        </w:tblPrEx>
        <w:trPr>
          <w:trHeight w:val="350" w:hRule="atLeast"/>
        </w:trPr>
        <w:tc>
          <w:tcPr>
            <w:tcW w:w="5148" w:type="dxa"/>
            <w:noWrap w:val="0"/>
            <w:vAlign w:val="top"/>
          </w:tcPr>
          <w:p w14:paraId="2761CBCD">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（签字）</w:t>
            </w:r>
          </w:p>
        </w:tc>
        <w:tc>
          <w:tcPr>
            <w:tcW w:w="4860" w:type="dxa"/>
            <w:noWrap w:val="0"/>
            <w:vAlign w:val="top"/>
          </w:tcPr>
          <w:p w14:paraId="5CD1AD61">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（签字）</w:t>
            </w:r>
          </w:p>
        </w:tc>
      </w:tr>
      <w:tr w14:paraId="5FC2C404">
        <w:tblPrEx>
          <w:tblCellMar>
            <w:top w:w="0" w:type="dxa"/>
            <w:left w:w="108" w:type="dxa"/>
            <w:bottom w:w="0" w:type="dxa"/>
            <w:right w:w="108" w:type="dxa"/>
          </w:tblCellMar>
        </w:tblPrEx>
        <w:tc>
          <w:tcPr>
            <w:tcW w:w="5148" w:type="dxa"/>
            <w:noWrap w:val="0"/>
            <w:vAlign w:val="top"/>
          </w:tcPr>
          <w:p w14:paraId="27C64FD6">
            <w:pPr>
              <w:spacing w:line="360" w:lineRule="auto"/>
              <w:rPr>
                <w:rFonts w:hint="eastAsia" w:ascii="宋体" w:hAnsi="宋体" w:eastAsia="宋体" w:cs="宋体"/>
                <w:b w:val="0"/>
                <w:bCs w:val="0"/>
                <w:sz w:val="24"/>
                <w:szCs w:val="24"/>
                <w:highlight w:val="none"/>
              </w:rPr>
            </w:pPr>
          </w:p>
        </w:tc>
        <w:tc>
          <w:tcPr>
            <w:tcW w:w="4860" w:type="dxa"/>
            <w:noWrap w:val="0"/>
            <w:vAlign w:val="top"/>
          </w:tcPr>
          <w:p w14:paraId="4CDDC8C5">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合同专用章：</w:t>
            </w:r>
          </w:p>
        </w:tc>
      </w:tr>
      <w:tr w14:paraId="66E146B2">
        <w:tblPrEx>
          <w:tblCellMar>
            <w:top w:w="0" w:type="dxa"/>
            <w:left w:w="108" w:type="dxa"/>
            <w:bottom w:w="0" w:type="dxa"/>
            <w:right w:w="108" w:type="dxa"/>
          </w:tblCellMar>
        </w:tblPrEx>
        <w:tc>
          <w:tcPr>
            <w:tcW w:w="5148" w:type="dxa"/>
            <w:noWrap w:val="0"/>
            <w:vAlign w:val="top"/>
          </w:tcPr>
          <w:p w14:paraId="07E6CED2">
            <w:pPr>
              <w:spacing w:line="360" w:lineRule="auto"/>
              <w:rPr>
                <w:rFonts w:hint="eastAsia" w:ascii="宋体" w:hAnsi="宋体" w:eastAsia="宋体" w:cs="宋体"/>
                <w:b w:val="0"/>
                <w:bCs w:val="0"/>
                <w:sz w:val="24"/>
                <w:szCs w:val="24"/>
                <w:highlight w:val="none"/>
              </w:rPr>
            </w:pPr>
          </w:p>
        </w:tc>
        <w:tc>
          <w:tcPr>
            <w:tcW w:w="4860" w:type="dxa"/>
            <w:noWrap w:val="0"/>
            <w:vAlign w:val="top"/>
          </w:tcPr>
          <w:p w14:paraId="5451B6EC">
            <w:pPr>
              <w:spacing w:line="360" w:lineRule="auto"/>
              <w:rPr>
                <w:rFonts w:hint="eastAsia" w:ascii="宋体" w:hAnsi="宋体" w:eastAsia="宋体" w:cs="宋体"/>
                <w:b w:val="0"/>
                <w:bCs w:val="0"/>
                <w:sz w:val="24"/>
                <w:szCs w:val="24"/>
                <w:highlight w:val="none"/>
              </w:rPr>
            </w:pPr>
          </w:p>
        </w:tc>
      </w:tr>
      <w:tr w14:paraId="5D17F728">
        <w:tblPrEx>
          <w:tblCellMar>
            <w:top w:w="0" w:type="dxa"/>
            <w:left w:w="108" w:type="dxa"/>
            <w:bottom w:w="0" w:type="dxa"/>
            <w:right w:w="108" w:type="dxa"/>
          </w:tblCellMar>
        </w:tblPrEx>
        <w:tc>
          <w:tcPr>
            <w:tcW w:w="5148" w:type="dxa"/>
            <w:noWrap w:val="0"/>
            <w:vAlign w:val="top"/>
          </w:tcPr>
          <w:p w14:paraId="1D73AA54">
            <w:pPr>
              <w:spacing w:line="360" w:lineRule="auto"/>
              <w:rPr>
                <w:rFonts w:hint="eastAsia" w:ascii="宋体" w:hAnsi="宋体" w:eastAsia="宋体" w:cs="宋体"/>
                <w:b w:val="0"/>
                <w:bCs w:val="0"/>
                <w:sz w:val="24"/>
                <w:szCs w:val="24"/>
                <w:highlight w:val="none"/>
              </w:rPr>
            </w:pPr>
          </w:p>
        </w:tc>
        <w:tc>
          <w:tcPr>
            <w:tcW w:w="4860" w:type="dxa"/>
            <w:noWrap w:val="0"/>
            <w:vAlign w:val="top"/>
          </w:tcPr>
          <w:p w14:paraId="028A9746">
            <w:pPr>
              <w:spacing w:line="360" w:lineRule="auto"/>
              <w:ind w:left="1054" w:hanging="1200" w:hangingChars="5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单位地址：</w:t>
            </w:r>
          </w:p>
        </w:tc>
      </w:tr>
      <w:tr w14:paraId="52A7F58D">
        <w:tblPrEx>
          <w:tblCellMar>
            <w:top w:w="0" w:type="dxa"/>
            <w:left w:w="108" w:type="dxa"/>
            <w:bottom w:w="0" w:type="dxa"/>
            <w:right w:w="108" w:type="dxa"/>
          </w:tblCellMar>
        </w:tblPrEx>
        <w:tc>
          <w:tcPr>
            <w:tcW w:w="5148" w:type="dxa"/>
            <w:noWrap w:val="0"/>
            <w:vAlign w:val="top"/>
          </w:tcPr>
          <w:p w14:paraId="732CB86A">
            <w:pPr>
              <w:spacing w:line="360" w:lineRule="auto"/>
              <w:rPr>
                <w:rFonts w:hint="eastAsia" w:ascii="宋体" w:hAnsi="宋体" w:eastAsia="宋体" w:cs="宋体"/>
                <w:b w:val="0"/>
                <w:bCs w:val="0"/>
                <w:sz w:val="24"/>
                <w:szCs w:val="24"/>
                <w:highlight w:val="none"/>
              </w:rPr>
            </w:pPr>
          </w:p>
          <w:p w14:paraId="3CF871F5">
            <w:pPr>
              <w:spacing w:line="360" w:lineRule="auto"/>
              <w:rPr>
                <w:rFonts w:hint="eastAsia" w:ascii="宋体" w:hAnsi="宋体" w:eastAsia="宋体" w:cs="宋体"/>
                <w:b w:val="0"/>
                <w:bCs w:val="0"/>
                <w:sz w:val="24"/>
                <w:szCs w:val="24"/>
                <w:highlight w:val="none"/>
              </w:rPr>
            </w:pPr>
          </w:p>
        </w:tc>
        <w:tc>
          <w:tcPr>
            <w:tcW w:w="4860" w:type="dxa"/>
            <w:noWrap w:val="0"/>
            <w:vAlign w:val="top"/>
          </w:tcPr>
          <w:p w14:paraId="49D54F03">
            <w:pPr>
              <w:spacing w:line="360" w:lineRule="auto"/>
              <w:rPr>
                <w:rFonts w:hint="eastAsia" w:ascii="宋体" w:hAnsi="宋体" w:eastAsia="宋体" w:cs="宋体"/>
                <w:b w:val="0"/>
                <w:bCs w:val="0"/>
                <w:sz w:val="24"/>
                <w:szCs w:val="24"/>
                <w:highlight w:val="none"/>
              </w:rPr>
            </w:pPr>
          </w:p>
        </w:tc>
      </w:tr>
      <w:tr w14:paraId="2365AC8E">
        <w:tblPrEx>
          <w:tblCellMar>
            <w:top w:w="0" w:type="dxa"/>
            <w:left w:w="108" w:type="dxa"/>
            <w:bottom w:w="0" w:type="dxa"/>
            <w:right w:w="108" w:type="dxa"/>
          </w:tblCellMar>
        </w:tblPrEx>
        <w:tc>
          <w:tcPr>
            <w:tcW w:w="5148" w:type="dxa"/>
            <w:noWrap w:val="0"/>
            <w:vAlign w:val="top"/>
          </w:tcPr>
          <w:p w14:paraId="790AA483">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合同专用章：</w:t>
            </w:r>
          </w:p>
        </w:tc>
        <w:tc>
          <w:tcPr>
            <w:tcW w:w="4860" w:type="dxa"/>
            <w:noWrap w:val="0"/>
            <w:vAlign w:val="top"/>
          </w:tcPr>
          <w:p w14:paraId="5DD01A1F">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单位电话：</w:t>
            </w:r>
          </w:p>
        </w:tc>
      </w:tr>
      <w:tr w14:paraId="2144E4E3">
        <w:tblPrEx>
          <w:tblCellMar>
            <w:top w:w="0" w:type="dxa"/>
            <w:left w:w="108" w:type="dxa"/>
            <w:bottom w:w="0" w:type="dxa"/>
            <w:right w:w="108" w:type="dxa"/>
          </w:tblCellMar>
        </w:tblPrEx>
        <w:tc>
          <w:tcPr>
            <w:tcW w:w="5148" w:type="dxa"/>
            <w:noWrap w:val="0"/>
            <w:vAlign w:val="top"/>
          </w:tcPr>
          <w:p w14:paraId="6AA695A3">
            <w:pPr>
              <w:spacing w:line="360" w:lineRule="auto"/>
              <w:rPr>
                <w:rFonts w:hint="eastAsia" w:ascii="宋体" w:hAnsi="宋体" w:eastAsia="宋体" w:cs="宋体"/>
                <w:b w:val="0"/>
                <w:bCs w:val="0"/>
                <w:sz w:val="24"/>
                <w:szCs w:val="24"/>
                <w:highlight w:val="none"/>
              </w:rPr>
            </w:pPr>
          </w:p>
          <w:p w14:paraId="06F6742C">
            <w:pPr>
              <w:spacing w:line="360" w:lineRule="auto"/>
              <w:rPr>
                <w:rFonts w:hint="eastAsia" w:ascii="宋体" w:hAnsi="宋体" w:eastAsia="宋体" w:cs="宋体"/>
                <w:b w:val="0"/>
                <w:bCs w:val="0"/>
                <w:sz w:val="24"/>
                <w:szCs w:val="24"/>
                <w:highlight w:val="none"/>
              </w:rPr>
            </w:pPr>
          </w:p>
        </w:tc>
        <w:tc>
          <w:tcPr>
            <w:tcW w:w="4860" w:type="dxa"/>
            <w:noWrap w:val="0"/>
            <w:vAlign w:val="top"/>
          </w:tcPr>
          <w:p w14:paraId="028569DF">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维修工程师电话：</w:t>
            </w:r>
          </w:p>
        </w:tc>
      </w:tr>
      <w:tr w14:paraId="61574F51">
        <w:tblPrEx>
          <w:tblCellMar>
            <w:top w:w="0" w:type="dxa"/>
            <w:left w:w="108" w:type="dxa"/>
            <w:bottom w:w="0" w:type="dxa"/>
            <w:right w:w="108" w:type="dxa"/>
          </w:tblCellMar>
        </w:tblPrEx>
        <w:tc>
          <w:tcPr>
            <w:tcW w:w="5148" w:type="dxa"/>
            <w:noWrap w:val="0"/>
            <w:vAlign w:val="top"/>
          </w:tcPr>
          <w:p w14:paraId="00B9586F">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单位地址：</w:t>
            </w:r>
          </w:p>
        </w:tc>
        <w:tc>
          <w:tcPr>
            <w:tcW w:w="4860" w:type="dxa"/>
            <w:noWrap w:val="0"/>
            <w:vAlign w:val="top"/>
          </w:tcPr>
          <w:p w14:paraId="6BA72D86">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开户行：</w:t>
            </w:r>
          </w:p>
        </w:tc>
      </w:tr>
      <w:tr w14:paraId="39366453">
        <w:tblPrEx>
          <w:tblCellMar>
            <w:top w:w="0" w:type="dxa"/>
            <w:left w:w="108" w:type="dxa"/>
            <w:bottom w:w="0" w:type="dxa"/>
            <w:right w:w="108" w:type="dxa"/>
          </w:tblCellMar>
        </w:tblPrEx>
        <w:tc>
          <w:tcPr>
            <w:tcW w:w="5148" w:type="dxa"/>
            <w:noWrap w:val="0"/>
            <w:vAlign w:val="top"/>
          </w:tcPr>
          <w:p w14:paraId="2B8CFF1F">
            <w:pPr>
              <w:spacing w:line="360" w:lineRule="auto"/>
              <w:rPr>
                <w:rFonts w:hint="eastAsia" w:ascii="宋体" w:hAnsi="宋体" w:eastAsia="宋体" w:cs="宋体"/>
                <w:b w:val="0"/>
                <w:bCs w:val="0"/>
                <w:sz w:val="24"/>
                <w:szCs w:val="24"/>
                <w:highlight w:val="none"/>
              </w:rPr>
            </w:pPr>
          </w:p>
          <w:p w14:paraId="70533096">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单位电话：</w:t>
            </w:r>
          </w:p>
        </w:tc>
        <w:tc>
          <w:tcPr>
            <w:tcW w:w="4860" w:type="dxa"/>
            <w:noWrap w:val="0"/>
            <w:vAlign w:val="top"/>
          </w:tcPr>
          <w:p w14:paraId="51B37E3D">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帐号：</w:t>
            </w:r>
          </w:p>
        </w:tc>
      </w:tr>
      <w:tr w14:paraId="2D67AB78">
        <w:tblPrEx>
          <w:tblCellMar>
            <w:top w:w="0" w:type="dxa"/>
            <w:left w:w="108" w:type="dxa"/>
            <w:bottom w:w="0" w:type="dxa"/>
            <w:right w:w="108" w:type="dxa"/>
          </w:tblCellMar>
        </w:tblPrEx>
        <w:tc>
          <w:tcPr>
            <w:tcW w:w="5148" w:type="dxa"/>
            <w:noWrap w:val="0"/>
            <w:vAlign w:val="top"/>
          </w:tcPr>
          <w:p w14:paraId="6F3643AA">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合同签订时间：    年   月   日</w:t>
            </w:r>
          </w:p>
        </w:tc>
        <w:tc>
          <w:tcPr>
            <w:tcW w:w="4860" w:type="dxa"/>
            <w:noWrap w:val="0"/>
            <w:vAlign w:val="top"/>
          </w:tcPr>
          <w:p w14:paraId="1A890E44">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合同签订时间：    年   月   日</w:t>
            </w:r>
          </w:p>
        </w:tc>
      </w:tr>
    </w:tbl>
    <w:p w14:paraId="539442F5">
      <w:pPr>
        <w:pStyle w:val="12"/>
        <w:rPr>
          <w:rFonts w:hint="eastAsia" w:ascii="宋体" w:hAnsi="宋体" w:eastAsia="宋体" w:cs="宋体"/>
          <w:sz w:val="24"/>
          <w:szCs w:val="24"/>
          <w:highlight w:val="none"/>
        </w:rPr>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653F">
    <w:pPr>
      <w:pStyle w:val="18"/>
    </w:pPr>
    <w:r>
      <w:rPr>
        <w:rStyle w:val="41"/>
        <w:rFonts w:hint="eastAsia" w:ascii="宋体" w:hAnsi="宋体"/>
        <w:bCs/>
        <w:sz w:val="24"/>
      </w:rPr>
      <w:t>地址：乌鲁木齐市</w:t>
    </w:r>
    <w:r>
      <w:rPr>
        <w:rStyle w:val="41"/>
        <w:rFonts w:hint="eastAsia" w:ascii="宋体" w:hAnsi="宋体"/>
        <w:bCs/>
        <w:color w:val="000000"/>
        <w:sz w:val="24"/>
      </w:rPr>
      <w:t>水磨沟区龙盛街898号万科中央公园S6栋5层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3A7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73DD">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5AA8">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0B0F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50B0F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DEA5">
    <w:pPr>
      <w:autoSpaceDE w:val="0"/>
      <w:autoSpaceDN w:val="0"/>
      <w:adjustRightInd w:val="0"/>
      <w:spacing w:line="200" w:lineRule="exact"/>
      <w:jc w:val="left"/>
      <w:rPr>
        <w:rFonts w:hint="default" w:ascii="Times New Roman" w:eastAsia="Times New Roman"/>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8F328">
                          <w:pPr>
                            <w:pStyle w:val="1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C8F328">
                    <w:pPr>
                      <w:pStyle w:val="1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282E">
    <w:pPr>
      <w:pStyle w:val="20"/>
      <w:pBdr>
        <w:bottom w:val="none" w:color="000000" w:sz="0" w:space="1"/>
      </w:pBdr>
      <w:rPr>
        <w:rStyle w:val="41"/>
        <w:sz w:val="24"/>
      </w:rPr>
    </w:pPr>
    <w:r>
      <w:rPr>
        <w:rStyle w:val="41"/>
        <w:rFonts w:hint="eastAsia"/>
        <w:sz w:val="24"/>
      </w:rPr>
      <w:t xml:space="preserve"> </w:t>
    </w:r>
    <w:r>
      <w:rPr>
        <w:rStyle w:val="41"/>
        <w:sz w:val="24"/>
      </w:rPr>
      <w:drawing>
        <wp:inline distT="0" distB="0" distL="114300" distR="114300">
          <wp:extent cx="374015" cy="375920"/>
          <wp:effectExtent l="0" t="0" r="6985" b="5080"/>
          <wp:docPr id="1"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1"/>
        <w:rFonts w:hint="eastAsia"/>
        <w:sz w:val="24"/>
      </w:rPr>
      <w:t xml:space="preserve">                                         新疆拓源工程管理咨询有限公司</w:t>
    </w:r>
  </w:p>
  <w:p w14:paraId="581DBE81">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8FC0">
    <w:pPr>
      <w:pStyle w:val="20"/>
    </w:pPr>
    <w:r>
      <w:rPr>
        <w:rStyle w:val="41"/>
        <w:rFonts w:hint="eastAsia"/>
        <w:sz w:val="24"/>
      </w:rPr>
      <w:t xml:space="preserve">  </w:t>
    </w:r>
    <w:r>
      <w:rPr>
        <w:rStyle w:val="41"/>
        <w:sz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41"/>
        <w:rFonts w:hint="eastAsia"/>
        <w:sz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5"/>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7"/>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4049F403"/>
    <w:multiLevelType w:val="singleLevel"/>
    <w:tmpl w:val="4049F403"/>
    <w:lvl w:ilvl="0" w:tentative="0">
      <w:start w:val="1"/>
      <w:numFmt w:val="chineseCounting"/>
      <w:suff w:val="nothing"/>
      <w:lvlText w:val="%1、"/>
      <w:lvlJc w:val="left"/>
      <w:rPr>
        <w:rFonts w:hint="eastAsia"/>
      </w:rPr>
    </w:lvl>
  </w:abstractNum>
  <w:abstractNum w:abstractNumId="4">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2"/>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DJmOWRhY2NiNzlhMTVlZjFmNmM0YTRiZjkxZmEifQ=="/>
    <w:docVar w:name="KSO_WPS_MARK_KEY" w:val="2542d0e4-db01-47bc-9e30-3b31ec68f3a9"/>
  </w:docVars>
  <w:rsids>
    <w:rsidRoot w:val="006D6F44"/>
    <w:rsid w:val="00083A7D"/>
    <w:rsid w:val="00085DA1"/>
    <w:rsid w:val="001119CD"/>
    <w:rsid w:val="001343B1"/>
    <w:rsid w:val="00177ECA"/>
    <w:rsid w:val="002021CC"/>
    <w:rsid w:val="0022674C"/>
    <w:rsid w:val="00252FC0"/>
    <w:rsid w:val="003C111D"/>
    <w:rsid w:val="00436CBC"/>
    <w:rsid w:val="0049263D"/>
    <w:rsid w:val="004D5BB6"/>
    <w:rsid w:val="005F58DE"/>
    <w:rsid w:val="00634FF2"/>
    <w:rsid w:val="006351B6"/>
    <w:rsid w:val="006B79D1"/>
    <w:rsid w:val="006D6F44"/>
    <w:rsid w:val="00754BD2"/>
    <w:rsid w:val="00971785"/>
    <w:rsid w:val="00A21929"/>
    <w:rsid w:val="00AD511E"/>
    <w:rsid w:val="00BD6145"/>
    <w:rsid w:val="00CC135F"/>
    <w:rsid w:val="00D651EE"/>
    <w:rsid w:val="00DF7C4C"/>
    <w:rsid w:val="00F846DC"/>
    <w:rsid w:val="011A058D"/>
    <w:rsid w:val="015529D7"/>
    <w:rsid w:val="02563B57"/>
    <w:rsid w:val="02731484"/>
    <w:rsid w:val="02B20C36"/>
    <w:rsid w:val="03870C59"/>
    <w:rsid w:val="040C416E"/>
    <w:rsid w:val="05681A7F"/>
    <w:rsid w:val="057C2119"/>
    <w:rsid w:val="05EC445F"/>
    <w:rsid w:val="06371391"/>
    <w:rsid w:val="06815A00"/>
    <w:rsid w:val="07235BE6"/>
    <w:rsid w:val="07294B7B"/>
    <w:rsid w:val="0734173C"/>
    <w:rsid w:val="082F62F4"/>
    <w:rsid w:val="08805E2F"/>
    <w:rsid w:val="094665B2"/>
    <w:rsid w:val="09C82F26"/>
    <w:rsid w:val="0A1931E8"/>
    <w:rsid w:val="0A8366CB"/>
    <w:rsid w:val="0B084C39"/>
    <w:rsid w:val="0B0D4C33"/>
    <w:rsid w:val="0B1229A8"/>
    <w:rsid w:val="0B1F2F4E"/>
    <w:rsid w:val="0B5843AD"/>
    <w:rsid w:val="0C0544CC"/>
    <w:rsid w:val="0C71390F"/>
    <w:rsid w:val="0D850FBB"/>
    <w:rsid w:val="0D86113E"/>
    <w:rsid w:val="0D8853B5"/>
    <w:rsid w:val="0DD87DE8"/>
    <w:rsid w:val="0E2B3F92"/>
    <w:rsid w:val="0E5F3020"/>
    <w:rsid w:val="0F2310FF"/>
    <w:rsid w:val="0F887012"/>
    <w:rsid w:val="106A6D97"/>
    <w:rsid w:val="116A4DD1"/>
    <w:rsid w:val="12BE7F9E"/>
    <w:rsid w:val="12C33AC5"/>
    <w:rsid w:val="1415056B"/>
    <w:rsid w:val="14B27574"/>
    <w:rsid w:val="14F00AA2"/>
    <w:rsid w:val="153F2E4A"/>
    <w:rsid w:val="15655FDB"/>
    <w:rsid w:val="15682314"/>
    <w:rsid w:val="15802E15"/>
    <w:rsid w:val="15976D95"/>
    <w:rsid w:val="15F874DA"/>
    <w:rsid w:val="16161E94"/>
    <w:rsid w:val="16393655"/>
    <w:rsid w:val="16B65467"/>
    <w:rsid w:val="178722FE"/>
    <w:rsid w:val="17E024AE"/>
    <w:rsid w:val="17E71A50"/>
    <w:rsid w:val="18A04871"/>
    <w:rsid w:val="18B43502"/>
    <w:rsid w:val="18E831AB"/>
    <w:rsid w:val="1934019F"/>
    <w:rsid w:val="19403168"/>
    <w:rsid w:val="1BB750B7"/>
    <w:rsid w:val="1BD46B05"/>
    <w:rsid w:val="1BF846A0"/>
    <w:rsid w:val="1C0D1768"/>
    <w:rsid w:val="1C111736"/>
    <w:rsid w:val="1C37598E"/>
    <w:rsid w:val="1C8E3164"/>
    <w:rsid w:val="1CF02287"/>
    <w:rsid w:val="1CF60711"/>
    <w:rsid w:val="1D5252D9"/>
    <w:rsid w:val="1DC57731"/>
    <w:rsid w:val="1DD957B9"/>
    <w:rsid w:val="1DE226F6"/>
    <w:rsid w:val="1E395337"/>
    <w:rsid w:val="1EBA1146"/>
    <w:rsid w:val="1EEE29A8"/>
    <w:rsid w:val="1F280811"/>
    <w:rsid w:val="20001D6A"/>
    <w:rsid w:val="206A5E42"/>
    <w:rsid w:val="211A4921"/>
    <w:rsid w:val="2139587A"/>
    <w:rsid w:val="22E67C91"/>
    <w:rsid w:val="23B262C9"/>
    <w:rsid w:val="23BB3019"/>
    <w:rsid w:val="244C35C8"/>
    <w:rsid w:val="246C62EA"/>
    <w:rsid w:val="249441E7"/>
    <w:rsid w:val="24AE1898"/>
    <w:rsid w:val="25317169"/>
    <w:rsid w:val="256F4866"/>
    <w:rsid w:val="25E92311"/>
    <w:rsid w:val="26244D68"/>
    <w:rsid w:val="26592325"/>
    <w:rsid w:val="267C3185"/>
    <w:rsid w:val="26E52AD8"/>
    <w:rsid w:val="27072C08"/>
    <w:rsid w:val="27BC2A5B"/>
    <w:rsid w:val="27C41578"/>
    <w:rsid w:val="27E40FE2"/>
    <w:rsid w:val="27E47234"/>
    <w:rsid w:val="283F5715"/>
    <w:rsid w:val="2863070C"/>
    <w:rsid w:val="28A864B3"/>
    <w:rsid w:val="28D601EB"/>
    <w:rsid w:val="28EC2915"/>
    <w:rsid w:val="29DE5D3A"/>
    <w:rsid w:val="2A104310"/>
    <w:rsid w:val="2A7C60C8"/>
    <w:rsid w:val="2AEC5A97"/>
    <w:rsid w:val="2B1A4D1A"/>
    <w:rsid w:val="2BC32A58"/>
    <w:rsid w:val="2D373C3F"/>
    <w:rsid w:val="2E986820"/>
    <w:rsid w:val="2ED718A0"/>
    <w:rsid w:val="2EF42085"/>
    <w:rsid w:val="2F316922"/>
    <w:rsid w:val="2F743822"/>
    <w:rsid w:val="2F8F1CBA"/>
    <w:rsid w:val="2F9028FF"/>
    <w:rsid w:val="2FB971F8"/>
    <w:rsid w:val="301A2DFD"/>
    <w:rsid w:val="306B247C"/>
    <w:rsid w:val="30B84056"/>
    <w:rsid w:val="310F3486"/>
    <w:rsid w:val="312406A1"/>
    <w:rsid w:val="31AB69D8"/>
    <w:rsid w:val="31D609DB"/>
    <w:rsid w:val="31E01A47"/>
    <w:rsid w:val="32024E86"/>
    <w:rsid w:val="3208400D"/>
    <w:rsid w:val="32382833"/>
    <w:rsid w:val="329E236C"/>
    <w:rsid w:val="33FF6CC7"/>
    <w:rsid w:val="3492329A"/>
    <w:rsid w:val="34E97A94"/>
    <w:rsid w:val="352F2BEC"/>
    <w:rsid w:val="35E46E43"/>
    <w:rsid w:val="374271D8"/>
    <w:rsid w:val="37C47CD5"/>
    <w:rsid w:val="37D739CE"/>
    <w:rsid w:val="38662298"/>
    <w:rsid w:val="38E01351"/>
    <w:rsid w:val="3927443A"/>
    <w:rsid w:val="39F37552"/>
    <w:rsid w:val="39FD7219"/>
    <w:rsid w:val="3A52002D"/>
    <w:rsid w:val="3A9B09AC"/>
    <w:rsid w:val="3ADE2D8C"/>
    <w:rsid w:val="3B756F45"/>
    <w:rsid w:val="3DAE0540"/>
    <w:rsid w:val="3DDA7990"/>
    <w:rsid w:val="3E3C34CE"/>
    <w:rsid w:val="3E9055C8"/>
    <w:rsid w:val="3EA76402"/>
    <w:rsid w:val="3EBC7034"/>
    <w:rsid w:val="3F143436"/>
    <w:rsid w:val="3FF35E0E"/>
    <w:rsid w:val="40A50767"/>
    <w:rsid w:val="41016309"/>
    <w:rsid w:val="417E6023"/>
    <w:rsid w:val="41AD023F"/>
    <w:rsid w:val="428C078D"/>
    <w:rsid w:val="42EE6E5E"/>
    <w:rsid w:val="430640AA"/>
    <w:rsid w:val="44BB02A4"/>
    <w:rsid w:val="44F71EFD"/>
    <w:rsid w:val="45AD7E6F"/>
    <w:rsid w:val="45DC4237"/>
    <w:rsid w:val="46290CE3"/>
    <w:rsid w:val="472E08A8"/>
    <w:rsid w:val="472F5BD9"/>
    <w:rsid w:val="480908C5"/>
    <w:rsid w:val="481B23A6"/>
    <w:rsid w:val="4825684B"/>
    <w:rsid w:val="4828061F"/>
    <w:rsid w:val="48B00A3D"/>
    <w:rsid w:val="48C12194"/>
    <w:rsid w:val="48CA1527"/>
    <w:rsid w:val="49153B3D"/>
    <w:rsid w:val="49AB391A"/>
    <w:rsid w:val="49F77AF3"/>
    <w:rsid w:val="4BF36A46"/>
    <w:rsid w:val="4C0B634F"/>
    <w:rsid w:val="4C15185F"/>
    <w:rsid w:val="4C993E74"/>
    <w:rsid w:val="4CC27294"/>
    <w:rsid w:val="4CC63226"/>
    <w:rsid w:val="4D9C1893"/>
    <w:rsid w:val="4DDD1F01"/>
    <w:rsid w:val="4E127FF8"/>
    <w:rsid w:val="4E2C0B7D"/>
    <w:rsid w:val="4E742CF6"/>
    <w:rsid w:val="4F166C4D"/>
    <w:rsid w:val="4F3F4419"/>
    <w:rsid w:val="4F8D1BA3"/>
    <w:rsid w:val="50180913"/>
    <w:rsid w:val="5042188F"/>
    <w:rsid w:val="514364CA"/>
    <w:rsid w:val="51581F75"/>
    <w:rsid w:val="515B2E61"/>
    <w:rsid w:val="5223325C"/>
    <w:rsid w:val="52BF3272"/>
    <w:rsid w:val="530E3233"/>
    <w:rsid w:val="53852DC9"/>
    <w:rsid w:val="5386726D"/>
    <w:rsid w:val="540519ED"/>
    <w:rsid w:val="54B75710"/>
    <w:rsid w:val="55435F41"/>
    <w:rsid w:val="554E426F"/>
    <w:rsid w:val="55A7171D"/>
    <w:rsid w:val="55E661CC"/>
    <w:rsid w:val="56015FA8"/>
    <w:rsid w:val="56102EB5"/>
    <w:rsid w:val="567E11E9"/>
    <w:rsid w:val="56933C1B"/>
    <w:rsid w:val="56A63FEE"/>
    <w:rsid w:val="576458AF"/>
    <w:rsid w:val="57883566"/>
    <w:rsid w:val="586B76F6"/>
    <w:rsid w:val="58D00F8B"/>
    <w:rsid w:val="59044790"/>
    <w:rsid w:val="59611BE3"/>
    <w:rsid w:val="59875AED"/>
    <w:rsid w:val="599F3D82"/>
    <w:rsid w:val="5A1629CD"/>
    <w:rsid w:val="5A517EA9"/>
    <w:rsid w:val="5AEB1782"/>
    <w:rsid w:val="5AFA22EF"/>
    <w:rsid w:val="5B2578B9"/>
    <w:rsid w:val="5B266F2F"/>
    <w:rsid w:val="5B2E3D47"/>
    <w:rsid w:val="5B86325C"/>
    <w:rsid w:val="5BCA1926"/>
    <w:rsid w:val="5CE42047"/>
    <w:rsid w:val="5CFE4C15"/>
    <w:rsid w:val="5D79574D"/>
    <w:rsid w:val="5DBD1BFF"/>
    <w:rsid w:val="5DBF3AD3"/>
    <w:rsid w:val="5E826883"/>
    <w:rsid w:val="5EEF0B59"/>
    <w:rsid w:val="5F806C73"/>
    <w:rsid w:val="5FC24DEE"/>
    <w:rsid w:val="60077FCA"/>
    <w:rsid w:val="606E6033"/>
    <w:rsid w:val="60E04C59"/>
    <w:rsid w:val="611D1FCC"/>
    <w:rsid w:val="616427FD"/>
    <w:rsid w:val="62003FBE"/>
    <w:rsid w:val="62031A89"/>
    <w:rsid w:val="62E61EAB"/>
    <w:rsid w:val="63606B41"/>
    <w:rsid w:val="641451FA"/>
    <w:rsid w:val="643C6AED"/>
    <w:rsid w:val="64CC50D8"/>
    <w:rsid w:val="659737D4"/>
    <w:rsid w:val="675E2E21"/>
    <w:rsid w:val="67DB2DD0"/>
    <w:rsid w:val="680C5410"/>
    <w:rsid w:val="684756A2"/>
    <w:rsid w:val="693F4F4A"/>
    <w:rsid w:val="6A1D7E55"/>
    <w:rsid w:val="6B2A62D8"/>
    <w:rsid w:val="6B2B3DFF"/>
    <w:rsid w:val="6BAC76B6"/>
    <w:rsid w:val="6C183D6E"/>
    <w:rsid w:val="6C5A7C87"/>
    <w:rsid w:val="6C8859AD"/>
    <w:rsid w:val="6C9558D6"/>
    <w:rsid w:val="6DCB0E05"/>
    <w:rsid w:val="6E6B54D0"/>
    <w:rsid w:val="6F2272C9"/>
    <w:rsid w:val="700D2C66"/>
    <w:rsid w:val="703379DD"/>
    <w:rsid w:val="7065389B"/>
    <w:rsid w:val="707A1AB0"/>
    <w:rsid w:val="70D95DDC"/>
    <w:rsid w:val="724E21E5"/>
    <w:rsid w:val="731629DD"/>
    <w:rsid w:val="7343241B"/>
    <w:rsid w:val="73DC65DE"/>
    <w:rsid w:val="74493C73"/>
    <w:rsid w:val="74A54E21"/>
    <w:rsid w:val="757B4FC6"/>
    <w:rsid w:val="757B6040"/>
    <w:rsid w:val="7654306E"/>
    <w:rsid w:val="76F31C74"/>
    <w:rsid w:val="778525FB"/>
    <w:rsid w:val="779B7F76"/>
    <w:rsid w:val="783C3AEF"/>
    <w:rsid w:val="786077DD"/>
    <w:rsid w:val="795641A9"/>
    <w:rsid w:val="7A8157E9"/>
    <w:rsid w:val="7B152F32"/>
    <w:rsid w:val="7B8E6410"/>
    <w:rsid w:val="7D9F0FBC"/>
    <w:rsid w:val="7DBE44EE"/>
    <w:rsid w:val="7DBF0B02"/>
    <w:rsid w:val="7E554132"/>
    <w:rsid w:val="7ED14F91"/>
    <w:rsid w:val="7EE27891"/>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47"/>
    <w:autoRedefine/>
    <w:qFormat/>
    <w:uiPriority w:val="0"/>
    <w:pPr>
      <w:keepNext/>
      <w:keepLines/>
      <w:spacing w:before="340" w:after="330" w:line="578" w:lineRule="auto"/>
    </w:pPr>
    <w:rPr>
      <w:rFonts w:ascii="Calibri" w:hAnsi="Calibri"/>
      <w:kern w:val="44"/>
      <w:sz w:val="44"/>
      <w:szCs w:val="44"/>
    </w:rPr>
  </w:style>
  <w:style w:type="paragraph" w:styleId="4">
    <w:name w:val="heading 2"/>
    <w:basedOn w:val="1"/>
    <w:autoRedefine/>
    <w:qFormat/>
    <w:uiPriority w:val="0"/>
    <w:pPr>
      <w:keepLines/>
      <w:spacing w:before="260" w:after="260" w:line="416" w:lineRule="auto"/>
      <w:outlineLvl w:val="1"/>
    </w:pPr>
    <w:rPr>
      <w:rFonts w:ascii="Arial" w:hAnsi="Arial" w:eastAsia="黑体"/>
      <w:bCs/>
      <w:szCs w:val="32"/>
    </w:rPr>
  </w:style>
  <w:style w:type="paragraph" w:styleId="5">
    <w:name w:val="heading 3"/>
    <w:basedOn w:val="1"/>
    <w:next w:val="6"/>
    <w:autoRedefine/>
    <w:unhideWhenUsed/>
    <w:qFormat/>
    <w:uiPriority w:val="0"/>
    <w:pPr>
      <w:keepNext/>
      <w:keepLines/>
      <w:numPr>
        <w:ilvl w:val="2"/>
        <w:numId w:val="1"/>
      </w:numPr>
      <w:spacing w:before="100" w:after="100" w:line="560" w:lineRule="exact"/>
      <w:outlineLvl w:val="2"/>
    </w:pPr>
    <w:rPr>
      <w:rFonts w:ascii="Times New Roman" w:hAnsi="Times New Roman" w:eastAsia="楷体" w:cs="Times New Roman"/>
      <w:b/>
      <w:bCs/>
      <w:kern w:val="0"/>
      <w:sz w:val="32"/>
      <w:szCs w:val="32"/>
      <w:lang w:val="zh-CN"/>
    </w:rPr>
  </w:style>
  <w:style w:type="paragraph" w:styleId="7">
    <w:name w:val="heading 4"/>
    <w:basedOn w:val="1"/>
    <w:next w:val="1"/>
    <w:autoRedefine/>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paragraph" w:styleId="8">
    <w:name w:val="heading 5"/>
    <w:basedOn w:val="1"/>
    <w:next w:val="1"/>
    <w:autoRedefine/>
    <w:qFormat/>
    <w:uiPriority w:val="0"/>
    <w:pPr>
      <w:keepNext/>
      <w:keepLines/>
      <w:tabs>
        <w:tab w:val="left" w:pos="1440"/>
      </w:tabs>
      <w:spacing w:before="280" w:after="290" w:line="372" w:lineRule="auto"/>
      <w:ind w:left="1440" w:hanging="900"/>
      <w:outlineLvl w:val="4"/>
    </w:pPr>
    <w:rPr>
      <w:b/>
      <w:sz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3">
    <w:name w:val="C503-正文格式"/>
    <w:basedOn w:val="1"/>
    <w:autoRedefine/>
    <w:qFormat/>
    <w:uiPriority w:val="0"/>
    <w:pPr>
      <w:spacing w:line="360" w:lineRule="auto"/>
      <w:ind w:firstLine="480" w:firstLineChars="200"/>
    </w:pPr>
    <w:rPr>
      <w:rFonts w:ascii="Times New Roman" w:hAnsi="Times New Roman" w:eastAsia="宋体" w:cs="Times New Roman"/>
      <w:sz w:val="24"/>
      <w:szCs w:val="20"/>
      <w:lang w:val="zh-CN"/>
    </w:rPr>
  </w:style>
  <w:style w:type="paragraph" w:styleId="6">
    <w:name w:val="Normal Indent"/>
    <w:basedOn w:val="1"/>
    <w:autoRedefine/>
    <w:qFormat/>
    <w:uiPriority w:val="0"/>
    <w:pPr>
      <w:ind w:firstLine="420" w:firstLineChars="200"/>
    </w:pPr>
  </w:style>
  <w:style w:type="paragraph" w:styleId="9">
    <w:name w:val="caption"/>
    <w:basedOn w:val="1"/>
    <w:next w:val="1"/>
    <w:autoRedefine/>
    <w:qFormat/>
    <w:uiPriority w:val="0"/>
    <w:rPr>
      <w:rFonts w:ascii="Arial" w:hAnsi="Arial" w:eastAsia="黑体" w:cs="Arial"/>
      <w:sz w:val="20"/>
      <w:szCs w:val="20"/>
    </w:rPr>
  </w:style>
  <w:style w:type="paragraph" w:styleId="10">
    <w:name w:val="toa heading"/>
    <w:basedOn w:val="1"/>
    <w:next w:val="1"/>
    <w:autoRedefine/>
    <w:qFormat/>
    <w:uiPriority w:val="0"/>
    <w:pPr>
      <w:spacing w:before="120"/>
    </w:pPr>
    <w:rPr>
      <w:rFonts w:ascii="Cambria" w:hAnsi="Cambria"/>
      <w:sz w:val="24"/>
    </w:rPr>
  </w:style>
  <w:style w:type="paragraph" w:styleId="11">
    <w:name w:val="annotation text"/>
    <w:basedOn w:val="1"/>
    <w:link w:val="57"/>
    <w:autoRedefine/>
    <w:qFormat/>
    <w:uiPriority w:val="0"/>
    <w:pPr>
      <w:jc w:val="left"/>
    </w:pPr>
  </w:style>
  <w:style w:type="paragraph" w:styleId="12">
    <w:name w:val="Body Text"/>
    <w:basedOn w:val="1"/>
    <w:autoRedefine/>
    <w:qFormat/>
    <w:uiPriority w:val="0"/>
    <w:pPr>
      <w:spacing w:after="120"/>
    </w:pPr>
  </w:style>
  <w:style w:type="paragraph" w:styleId="13">
    <w:name w:val="Body Text Indent"/>
    <w:basedOn w:val="1"/>
    <w:next w:val="14"/>
    <w:autoRedefine/>
    <w:qFormat/>
    <w:uiPriority w:val="0"/>
    <w:pPr>
      <w:ind w:firstLine="630"/>
    </w:pPr>
    <w:rPr>
      <w:sz w:val="32"/>
      <w:szCs w:val="20"/>
    </w:rPr>
  </w:style>
  <w:style w:type="paragraph" w:styleId="14">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15">
    <w:name w:val="Plain Text"/>
    <w:basedOn w:val="1"/>
    <w:autoRedefine/>
    <w:qFormat/>
    <w:uiPriority w:val="0"/>
    <w:rPr>
      <w:rFonts w:ascii="宋体" w:hAnsi="Courier New"/>
      <w:szCs w:val="20"/>
    </w:rPr>
  </w:style>
  <w:style w:type="paragraph" w:styleId="16">
    <w:name w:val="Body Text Indent 2"/>
    <w:basedOn w:val="1"/>
    <w:autoRedefine/>
    <w:qFormat/>
    <w:uiPriority w:val="0"/>
    <w:pPr>
      <w:spacing w:after="120" w:line="480" w:lineRule="auto"/>
      <w:ind w:left="420" w:leftChars="200"/>
    </w:pPr>
  </w:style>
  <w:style w:type="paragraph" w:styleId="17">
    <w:name w:val="Balloon Text"/>
    <w:basedOn w:val="1"/>
    <w:link w:val="56"/>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envelope return"/>
    <w:basedOn w:val="1"/>
    <w:autoRedefine/>
    <w:qFormat/>
    <w:uiPriority w:val="99"/>
    <w:pPr>
      <w:snapToGrid w:val="0"/>
    </w:pPr>
    <w:rPr>
      <w:rFonts w:ascii="Arial" w:hAnsi="Arial" w:cs="Arial"/>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qFormat/>
    <w:uiPriority w:val="0"/>
    <w:pPr>
      <w:spacing w:line="480" w:lineRule="auto"/>
    </w:pPr>
    <w:rPr>
      <w:rFonts w:ascii="Times New Roman" w:hAnsi="Times New Roman"/>
      <w:sz w:val="30"/>
    </w:rPr>
  </w:style>
  <w:style w:type="paragraph" w:styleId="22">
    <w:name w:val="toc 4"/>
    <w:basedOn w:val="1"/>
    <w:next w:val="1"/>
    <w:autoRedefine/>
    <w:qFormat/>
    <w:uiPriority w:val="0"/>
    <w:pPr>
      <w:ind w:left="1260" w:leftChars="600"/>
    </w:pPr>
  </w:style>
  <w:style w:type="paragraph" w:styleId="23">
    <w:name w:val="index heading"/>
    <w:basedOn w:val="1"/>
    <w:next w:val="24"/>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4">
    <w:name w:val="index 1"/>
    <w:basedOn w:val="1"/>
    <w:next w:val="1"/>
    <w:autoRedefine/>
    <w:unhideWhenUsed/>
    <w:qFormat/>
    <w:uiPriority w:val="0"/>
  </w:style>
  <w:style w:type="paragraph" w:styleId="25">
    <w:name w:val="footnote text"/>
    <w:basedOn w:val="1"/>
    <w:autoRedefine/>
    <w:qFormat/>
    <w:uiPriority w:val="0"/>
    <w:pPr>
      <w:snapToGrid w:val="0"/>
      <w:jc w:val="left"/>
    </w:pPr>
    <w:rPr>
      <w:sz w:val="18"/>
    </w:rPr>
  </w:style>
  <w:style w:type="paragraph" w:styleId="26">
    <w:name w:val="List 5"/>
    <w:basedOn w:val="1"/>
    <w:autoRedefine/>
    <w:qFormat/>
    <w:uiPriority w:val="0"/>
    <w:pPr>
      <w:ind w:left="2100" w:hanging="420"/>
    </w:pPr>
    <w:rPr>
      <w:rFonts w:eastAsia="楷体_GB2312"/>
      <w:sz w:val="32"/>
      <w:szCs w:val="20"/>
    </w:rPr>
  </w:style>
  <w:style w:type="paragraph" w:styleId="27">
    <w:name w:val="Title"/>
    <w:basedOn w:val="1"/>
    <w:next w:val="1"/>
    <w:autoRedefine/>
    <w:qFormat/>
    <w:uiPriority w:val="10"/>
    <w:pPr>
      <w:spacing w:before="240" w:after="60"/>
      <w:jc w:val="center"/>
      <w:outlineLvl w:val="0"/>
    </w:pPr>
    <w:rPr>
      <w:rFonts w:ascii="Cambria" w:hAnsi="Cambria"/>
      <w:b/>
      <w:bCs/>
      <w:sz w:val="32"/>
      <w:szCs w:val="32"/>
    </w:rPr>
  </w:style>
  <w:style w:type="paragraph" w:styleId="28">
    <w:name w:val="annotation subject"/>
    <w:basedOn w:val="11"/>
    <w:next w:val="11"/>
    <w:link w:val="58"/>
    <w:autoRedefine/>
    <w:qFormat/>
    <w:uiPriority w:val="0"/>
    <w:rPr>
      <w:b/>
      <w:bCs/>
    </w:rPr>
  </w:style>
  <w:style w:type="paragraph" w:styleId="29">
    <w:name w:val="Body Text First Indent"/>
    <w:basedOn w:val="12"/>
    <w:next w:val="1"/>
    <w:autoRedefine/>
    <w:qFormat/>
    <w:uiPriority w:val="0"/>
    <w:pPr>
      <w:ind w:firstLine="420" w:firstLineChars="100"/>
    </w:pPr>
  </w:style>
  <w:style w:type="paragraph" w:styleId="30">
    <w:name w:val="Body Text First Indent 2"/>
    <w:basedOn w:val="13"/>
    <w:next w:val="12"/>
    <w:autoRedefine/>
    <w:qFormat/>
    <w:uiPriority w:val="0"/>
    <w:pPr>
      <w:ind w:firstLine="42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bCs/>
    </w:rPr>
  </w:style>
  <w:style w:type="character" w:styleId="35">
    <w:name w:val="Emphasis"/>
    <w:basedOn w:val="33"/>
    <w:qFormat/>
    <w:uiPriority w:val="0"/>
    <w:rPr>
      <w:i/>
    </w:rPr>
  </w:style>
  <w:style w:type="character" w:styleId="36">
    <w:name w:val="Hyperlink"/>
    <w:basedOn w:val="33"/>
    <w:autoRedefine/>
    <w:qFormat/>
    <w:uiPriority w:val="0"/>
    <w:rPr>
      <w:rFonts w:ascii="Times New Roman" w:hAnsi="Times New Roman" w:eastAsia="微软雅黑" w:cs="Times New Roman"/>
      <w:color w:val="0000FF"/>
      <w:u w:val="single"/>
    </w:rPr>
  </w:style>
  <w:style w:type="character" w:styleId="37">
    <w:name w:val="annotation reference"/>
    <w:basedOn w:val="33"/>
    <w:autoRedefine/>
    <w:qFormat/>
    <w:uiPriority w:val="0"/>
    <w:rPr>
      <w:sz w:val="21"/>
      <w:szCs w:val="21"/>
    </w:rPr>
  </w:style>
  <w:style w:type="paragraph" w:customStyle="1" w:styleId="38">
    <w:name w:val="_Style 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styleId="39">
    <w:name w:val="Quote"/>
    <w:basedOn w:val="1"/>
    <w:next w:val="1"/>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0">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character" w:customStyle="1" w:styleId="41">
    <w:name w:val="NormalCharacter"/>
    <w:link w:val="42"/>
    <w:autoRedefine/>
    <w:qFormat/>
    <w:uiPriority w:val="0"/>
  </w:style>
  <w:style w:type="paragraph" w:customStyle="1" w:styleId="42">
    <w:name w:val="UserStyle_5"/>
    <w:basedOn w:val="1"/>
    <w:link w:val="41"/>
    <w:autoRedefine/>
    <w:qFormat/>
    <w:uiPriority w:val="0"/>
    <w:pPr>
      <w:widowControl/>
      <w:spacing w:after="160" w:line="240" w:lineRule="exact"/>
      <w:jc w:val="left"/>
      <w:textAlignment w:val="baseline"/>
    </w:pPr>
  </w:style>
  <w:style w:type="character" w:customStyle="1" w:styleId="43">
    <w:name w:val="UserStyle_3"/>
    <w:autoRedefine/>
    <w:qFormat/>
    <w:uiPriority w:val="0"/>
    <w:rPr>
      <w:rFonts w:ascii="宋体" w:hAnsi="宋体" w:eastAsia="宋体"/>
      <w:b/>
      <w:sz w:val="32"/>
      <w:szCs w:val="32"/>
    </w:rPr>
  </w:style>
  <w:style w:type="paragraph" w:customStyle="1" w:styleId="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4正文"/>
    <w:basedOn w:val="1"/>
    <w:autoRedefine/>
    <w:qFormat/>
    <w:uiPriority w:val="0"/>
    <w:pPr>
      <w:snapToGrid w:val="0"/>
      <w:spacing w:line="360" w:lineRule="auto"/>
      <w:ind w:firstLine="480" w:firstLineChars="200"/>
    </w:pPr>
    <w:rPr>
      <w:rFonts w:eastAsia="仿宋"/>
      <w:sz w:val="24"/>
    </w:rPr>
  </w:style>
  <w:style w:type="paragraph" w:customStyle="1" w:styleId="46">
    <w:name w:val="首行缩进:  0.85 厘米"/>
    <w:basedOn w:val="1"/>
    <w:autoRedefine/>
    <w:qFormat/>
    <w:uiPriority w:val="0"/>
    <w:pPr>
      <w:widowControl/>
      <w:spacing w:after="100" w:line="360" w:lineRule="auto"/>
      <w:ind w:firstLine="482"/>
      <w:jc w:val="left"/>
    </w:pPr>
    <w:rPr>
      <w:kern w:val="0"/>
      <w:sz w:val="24"/>
      <w:lang w:eastAsia="en-US"/>
    </w:rPr>
  </w:style>
  <w:style w:type="character" w:customStyle="1" w:styleId="47">
    <w:name w:val="标题 1 Char"/>
    <w:link w:val="2"/>
    <w:autoRedefine/>
    <w:qFormat/>
    <w:uiPriority w:val="0"/>
    <w:rPr>
      <w:rFonts w:ascii="Calibri" w:hAnsi="Calibri" w:eastAsia="宋体" w:cs="Times New Roman"/>
      <w:kern w:val="44"/>
      <w:sz w:val="44"/>
      <w:szCs w:val="44"/>
    </w:rPr>
  </w:style>
  <w:style w:type="paragraph" w:customStyle="1" w:styleId="48">
    <w:name w:val="Table Paragraph"/>
    <w:basedOn w:val="1"/>
    <w:autoRedefine/>
    <w:unhideWhenUsed/>
    <w:qFormat/>
    <w:uiPriority w:val="1"/>
    <w:rPr>
      <w:sz w:val="24"/>
    </w:rPr>
  </w:style>
  <w:style w:type="paragraph" w:customStyle="1" w:styleId="49">
    <w:name w:val="列出段落1"/>
    <w:basedOn w:val="1"/>
    <w:autoRedefine/>
    <w:qFormat/>
    <w:uiPriority w:val="0"/>
    <w:pPr>
      <w:spacing w:line="360" w:lineRule="auto"/>
      <w:ind w:firstLine="420" w:firstLineChars="200"/>
    </w:pPr>
    <w:rPr>
      <w:rFonts w:ascii="等线" w:hAnsi="等线"/>
      <w:szCs w:val="22"/>
    </w:rPr>
  </w:style>
  <w:style w:type="paragraph" w:customStyle="1" w:styleId="50">
    <w:name w:val="样式 正文缩进 + 首行缩进:  2 字符"/>
    <w:basedOn w:val="6"/>
    <w:autoRedefine/>
    <w:qFormat/>
    <w:uiPriority w:val="0"/>
    <w:pPr>
      <w:spacing w:line="360" w:lineRule="auto"/>
      <w:ind w:firstLine="200"/>
    </w:pPr>
    <w:rPr>
      <w:rFonts w:cs="宋体"/>
      <w:sz w:val="24"/>
      <w:szCs w:val="20"/>
    </w:rPr>
  </w:style>
  <w:style w:type="paragraph" w:customStyle="1" w:styleId="51">
    <w:name w:val="WPS Plain"/>
    <w:basedOn w:val="1"/>
    <w:autoRedefine/>
    <w:qFormat/>
    <w:uiPriority w:val="0"/>
    <w:pPr>
      <w:widowControl/>
      <w:jc w:val="left"/>
    </w:pPr>
    <w:rPr>
      <w:rFonts w:ascii="Times New Roman"/>
      <w:sz w:val="24"/>
    </w:rPr>
  </w:style>
  <w:style w:type="paragraph" w:customStyle="1" w:styleId="52">
    <w:name w:val="普通(网站)1"/>
    <w:basedOn w:val="1"/>
    <w:autoRedefine/>
    <w:qFormat/>
    <w:uiPriority w:val="0"/>
    <w:pPr>
      <w:jc w:val="left"/>
    </w:pPr>
    <w:rPr>
      <w:kern w:val="0"/>
      <w:sz w:val="24"/>
    </w:rPr>
  </w:style>
  <w:style w:type="paragraph" w:customStyle="1" w:styleId="53">
    <w:name w:val="Body text|1"/>
    <w:basedOn w:val="1"/>
    <w:autoRedefine/>
    <w:qFormat/>
    <w:uiPriority w:val="0"/>
    <w:pPr>
      <w:spacing w:line="290" w:lineRule="auto"/>
      <w:ind w:firstLine="400"/>
    </w:pPr>
    <w:rPr>
      <w:rFonts w:ascii="宋体" w:hAnsi="宋体" w:cs="宋体"/>
      <w:sz w:val="22"/>
      <w:szCs w:val="22"/>
      <w:lang w:val="zh-CN" w:bidi="zh-CN"/>
    </w:rPr>
  </w:style>
  <w:style w:type="paragraph" w:customStyle="1" w:styleId="54">
    <w:name w:val="纯文本1"/>
    <w:basedOn w:val="1"/>
    <w:autoRedefine/>
    <w:qFormat/>
    <w:uiPriority w:val="0"/>
    <w:rPr>
      <w:rFonts w:ascii="宋体" w:hAnsi="Courier New"/>
      <w:szCs w:val="22"/>
    </w:rPr>
  </w:style>
  <w:style w:type="paragraph" w:styleId="55">
    <w:name w:val="List Paragraph"/>
    <w:basedOn w:val="1"/>
    <w:autoRedefine/>
    <w:qFormat/>
    <w:uiPriority w:val="99"/>
    <w:pPr>
      <w:ind w:firstLine="420" w:firstLineChars="200"/>
    </w:pPr>
  </w:style>
  <w:style w:type="character" w:customStyle="1" w:styleId="56">
    <w:name w:val="批注框文本 Char"/>
    <w:basedOn w:val="33"/>
    <w:link w:val="17"/>
    <w:autoRedefine/>
    <w:qFormat/>
    <w:uiPriority w:val="0"/>
    <w:rPr>
      <w:rFonts w:ascii="Calibri" w:hAnsi="Calibri"/>
      <w:kern w:val="2"/>
      <w:sz w:val="18"/>
      <w:szCs w:val="18"/>
    </w:rPr>
  </w:style>
  <w:style w:type="character" w:customStyle="1" w:styleId="57">
    <w:name w:val="批注文字 Char"/>
    <w:basedOn w:val="33"/>
    <w:link w:val="11"/>
    <w:autoRedefine/>
    <w:qFormat/>
    <w:uiPriority w:val="0"/>
    <w:rPr>
      <w:rFonts w:ascii="Calibri" w:hAnsi="Calibri"/>
      <w:kern w:val="2"/>
      <w:sz w:val="21"/>
      <w:szCs w:val="24"/>
    </w:rPr>
  </w:style>
  <w:style w:type="character" w:customStyle="1" w:styleId="58">
    <w:name w:val="批注主题 Char"/>
    <w:basedOn w:val="57"/>
    <w:link w:val="28"/>
    <w:autoRedefine/>
    <w:qFormat/>
    <w:uiPriority w:val="0"/>
    <w:rPr>
      <w:rFonts w:ascii="Calibri" w:hAnsi="Calibri"/>
      <w:b/>
      <w:bCs/>
      <w:kern w:val="2"/>
      <w:sz w:val="21"/>
      <w:szCs w:val="24"/>
    </w:rPr>
  </w:style>
  <w:style w:type="paragraph" w:customStyle="1" w:styleId="59">
    <w:name w:val="普通(网站)2"/>
    <w:basedOn w:val="1"/>
    <w:autoRedefine/>
    <w:qFormat/>
    <w:uiPriority w:val="0"/>
    <w:pPr>
      <w:jc w:val="left"/>
    </w:pPr>
    <w:rPr>
      <w:rFonts w:ascii="Times New Roman" w:hAnsi="Times New Roman"/>
      <w:kern w:val="0"/>
      <w:sz w:val="24"/>
    </w:rPr>
  </w:style>
  <w:style w:type="paragraph" w:customStyle="1" w:styleId="60">
    <w:name w:val="Normal (Web)"/>
    <w:basedOn w:val="1"/>
    <w:autoRedefine/>
    <w:qFormat/>
    <w:uiPriority w:val="0"/>
    <w:pPr>
      <w:spacing w:before="0" w:beforeLines="0" w:beforeAutospacing="0" w:after="0" w:afterLines="0" w:afterAutospacing="0"/>
      <w:ind w:left="0" w:right="0"/>
      <w:jc w:val="left"/>
    </w:pPr>
    <w:rPr>
      <w:kern w:val="0"/>
      <w:sz w:val="24"/>
      <w:lang w:val="en-US" w:eastAsia="zh-CN"/>
    </w:rPr>
  </w:style>
  <w:style w:type="paragraph" w:customStyle="1" w:styleId="6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题注5"/>
    <w:basedOn w:val="1"/>
    <w:next w:val="9"/>
    <w:autoRedefine/>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3">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
    <w:name w:val="正文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列表段落1"/>
    <w:basedOn w:val="1"/>
    <w:autoRedefine/>
    <w:qFormat/>
    <w:uiPriority w:val="0"/>
    <w:pPr>
      <w:ind w:firstLine="420" w:firstLineChars="200"/>
    </w:pPr>
    <w:rPr>
      <w:rFonts w:ascii="Calibri" w:hAnsi="Calibri" w:cs="黑体"/>
      <w:szCs w:val="22"/>
    </w:rPr>
  </w:style>
  <w:style w:type="character" w:customStyle="1" w:styleId="66">
    <w:name w:val="font41"/>
    <w:basedOn w:val="33"/>
    <w:autoRedefine/>
    <w:qFormat/>
    <w:uiPriority w:val="0"/>
    <w:rPr>
      <w:rFonts w:ascii="Arial" w:hAnsi="Arial" w:cs="Arial"/>
      <w:color w:val="000000"/>
      <w:sz w:val="20"/>
      <w:szCs w:val="20"/>
      <w:u w:val="none"/>
    </w:rPr>
  </w:style>
  <w:style w:type="character" w:customStyle="1" w:styleId="67">
    <w:name w:val="font241"/>
    <w:basedOn w:val="33"/>
    <w:autoRedefine/>
    <w:qFormat/>
    <w:uiPriority w:val="0"/>
    <w:rPr>
      <w:rFonts w:ascii="方正黑体_GBK" w:hAnsi="方正黑体_GBK" w:eastAsia="方正黑体_GBK" w:cs="方正黑体_GBK"/>
      <w:color w:val="000000"/>
      <w:sz w:val="44"/>
      <w:szCs w:val="44"/>
      <w:u w:val="none"/>
    </w:rPr>
  </w:style>
  <w:style w:type="character" w:customStyle="1" w:styleId="68">
    <w:name w:val="font11"/>
    <w:basedOn w:val="33"/>
    <w:autoRedefine/>
    <w:qFormat/>
    <w:uiPriority w:val="0"/>
    <w:rPr>
      <w:rFonts w:hint="default" w:ascii="Times New Roman" w:hAnsi="Times New Roman" w:cs="Times New Roman"/>
      <w:color w:val="000000"/>
      <w:sz w:val="44"/>
      <w:szCs w:val="44"/>
      <w:u w:val="none"/>
    </w:rPr>
  </w:style>
  <w:style w:type="character" w:customStyle="1" w:styleId="69">
    <w:name w:val="font91"/>
    <w:basedOn w:val="33"/>
    <w:autoRedefine/>
    <w:qFormat/>
    <w:uiPriority w:val="0"/>
    <w:rPr>
      <w:rFonts w:hint="default" w:ascii="Times New Roman" w:hAnsi="Times New Roman" w:cs="Times New Roman"/>
      <w:color w:val="000000"/>
      <w:sz w:val="28"/>
      <w:szCs w:val="28"/>
      <w:u w:val="none"/>
    </w:rPr>
  </w:style>
  <w:style w:type="character" w:customStyle="1" w:styleId="70">
    <w:name w:val="font121"/>
    <w:basedOn w:val="33"/>
    <w:autoRedefine/>
    <w:qFormat/>
    <w:uiPriority w:val="0"/>
    <w:rPr>
      <w:rFonts w:hint="eastAsia" w:ascii="宋体" w:hAnsi="宋体" w:eastAsia="宋体" w:cs="宋体"/>
      <w:color w:val="000000"/>
      <w:sz w:val="28"/>
      <w:szCs w:val="28"/>
      <w:u w:val="none"/>
    </w:rPr>
  </w:style>
  <w:style w:type="character" w:customStyle="1" w:styleId="71">
    <w:name w:val="font251"/>
    <w:basedOn w:val="33"/>
    <w:autoRedefine/>
    <w:qFormat/>
    <w:uiPriority w:val="0"/>
    <w:rPr>
      <w:rFonts w:hint="default" w:ascii="Times New Roman" w:hAnsi="Times New Roman" w:cs="Times New Roman"/>
      <w:color w:val="000000"/>
      <w:sz w:val="44"/>
      <w:szCs w:val="44"/>
      <w:u w:val="none"/>
    </w:rPr>
  </w:style>
  <w:style w:type="character" w:customStyle="1" w:styleId="72">
    <w:name w:val="font101"/>
    <w:basedOn w:val="33"/>
    <w:autoRedefine/>
    <w:qFormat/>
    <w:uiPriority w:val="0"/>
    <w:rPr>
      <w:rFonts w:hint="eastAsia" w:ascii="方正仿宋_GBK" w:hAnsi="方正仿宋_GBK" w:eastAsia="方正仿宋_GBK" w:cs="方正仿宋_GBK"/>
      <w:color w:val="000000"/>
      <w:sz w:val="44"/>
      <w:szCs w:val="44"/>
      <w:u w:val="none"/>
    </w:rPr>
  </w:style>
  <w:style w:type="character" w:customStyle="1" w:styleId="73">
    <w:name w:val="font131"/>
    <w:basedOn w:val="33"/>
    <w:autoRedefine/>
    <w:qFormat/>
    <w:uiPriority w:val="0"/>
    <w:rPr>
      <w:rFonts w:hint="eastAsia" w:ascii="方正仿宋_GBK" w:hAnsi="方正仿宋_GBK" w:eastAsia="方正仿宋_GBK" w:cs="方正仿宋_GBK"/>
      <w:color w:val="000000"/>
      <w:sz w:val="28"/>
      <w:szCs w:val="28"/>
      <w:u w:val="none"/>
    </w:rPr>
  </w:style>
  <w:style w:type="character" w:customStyle="1" w:styleId="74">
    <w:name w:val="font261"/>
    <w:basedOn w:val="33"/>
    <w:autoRedefine/>
    <w:qFormat/>
    <w:uiPriority w:val="0"/>
    <w:rPr>
      <w:rFonts w:ascii="Arial" w:hAnsi="Arial" w:cs="Arial"/>
      <w:color w:val="000000"/>
      <w:sz w:val="28"/>
      <w:szCs w:val="28"/>
      <w:u w:val="none"/>
    </w:rPr>
  </w:style>
  <w:style w:type="character" w:customStyle="1" w:styleId="75">
    <w:name w:val="font191"/>
    <w:basedOn w:val="33"/>
    <w:autoRedefine/>
    <w:qFormat/>
    <w:uiPriority w:val="0"/>
    <w:rPr>
      <w:rFonts w:hint="eastAsia" w:ascii="宋体" w:hAnsi="宋体" w:eastAsia="宋体" w:cs="宋体"/>
      <w:color w:val="000000"/>
      <w:sz w:val="28"/>
      <w:szCs w:val="28"/>
      <w:u w:val="none"/>
    </w:rPr>
  </w:style>
  <w:style w:type="character" w:customStyle="1" w:styleId="76">
    <w:name w:val="font271"/>
    <w:basedOn w:val="33"/>
    <w:autoRedefine/>
    <w:qFormat/>
    <w:uiPriority w:val="0"/>
    <w:rPr>
      <w:rFonts w:hint="default" w:ascii="Times New Roman" w:hAnsi="Times New Roman" w:cs="Times New Roman"/>
      <w:color w:val="000000"/>
      <w:sz w:val="28"/>
      <w:szCs w:val="28"/>
      <w:u w:val="none"/>
    </w:rPr>
  </w:style>
  <w:style w:type="character" w:customStyle="1" w:styleId="77">
    <w:name w:val="font231"/>
    <w:basedOn w:val="33"/>
    <w:autoRedefine/>
    <w:qFormat/>
    <w:uiPriority w:val="0"/>
    <w:rPr>
      <w:rFonts w:hint="eastAsia" w:ascii="方正仿宋_GBK" w:hAnsi="方正仿宋_GBK" w:eastAsia="方正仿宋_GBK" w:cs="方正仿宋_GBK"/>
      <w:color w:val="000000"/>
      <w:sz w:val="48"/>
      <w:szCs w:val="48"/>
      <w:u w:val="none"/>
    </w:rPr>
  </w:style>
  <w:style w:type="character" w:customStyle="1" w:styleId="78">
    <w:name w:val="font81"/>
    <w:basedOn w:val="33"/>
    <w:autoRedefine/>
    <w:qFormat/>
    <w:uiPriority w:val="0"/>
    <w:rPr>
      <w:rFonts w:hint="default" w:ascii="Times New Roman" w:hAnsi="Times New Roman" w:cs="Times New Roman"/>
      <w:color w:val="000000"/>
      <w:sz w:val="48"/>
      <w:szCs w:val="48"/>
      <w:u w:val="none"/>
    </w:rPr>
  </w:style>
  <w:style w:type="character" w:customStyle="1" w:styleId="79">
    <w:name w:val="font51"/>
    <w:basedOn w:val="33"/>
    <w:qFormat/>
    <w:uiPriority w:val="0"/>
    <w:rPr>
      <w:rFonts w:hint="default" w:ascii="方正仿宋_GBK" w:hAnsi="方正仿宋_GBK" w:eastAsia="方正仿宋_GBK" w:cs="方正仿宋_GBK"/>
      <w:color w:val="000000"/>
      <w:sz w:val="22"/>
      <w:szCs w:val="22"/>
      <w:u w:val="none"/>
    </w:rPr>
  </w:style>
  <w:style w:type="character" w:customStyle="1" w:styleId="80">
    <w:name w:val="font71"/>
    <w:basedOn w:val="33"/>
    <w:qFormat/>
    <w:uiPriority w:val="0"/>
    <w:rPr>
      <w:rFonts w:hint="default" w:ascii="方正仿宋_GBK" w:hAnsi="方正仿宋_GBK" w:eastAsia="方正仿宋_GBK" w:cs="方正仿宋_GBK"/>
      <w:color w:val="FF0000"/>
      <w:sz w:val="22"/>
      <w:szCs w:val="22"/>
      <w:u w:val="none"/>
    </w:r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paragraph" w:customStyle="1" w:styleId="82">
    <w:name w:val="null9"/>
    <w:qFormat/>
    <w:uiPriority w:val="0"/>
    <w:rPr>
      <w:rFonts w:hint="eastAsia" w:ascii="Times New Roman" w:hAnsi="Times New Roman" w:eastAsia="宋体" w:cs="Times New Roman"/>
      <w:sz w:val="18"/>
      <w:szCs w:val="18"/>
    </w:r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06ECC-EA8F-4E41-BC32-F0EDF5BE185C}">
  <ds:schemaRefs/>
</ds:datastoreItem>
</file>

<file path=docProps/app.xml><?xml version="1.0" encoding="utf-8"?>
<Properties xmlns="http://schemas.openxmlformats.org/officeDocument/2006/extended-properties" xmlns:vt="http://schemas.openxmlformats.org/officeDocument/2006/docPropsVTypes">
  <Template>Normal</Template>
  <Pages>80</Pages>
  <Words>20251</Words>
  <Characters>21238</Characters>
  <Lines>214</Lines>
  <Paragraphs>60</Paragraphs>
  <TotalTime>3</TotalTime>
  <ScaleCrop>false</ScaleCrop>
  <LinksUpToDate>false</LinksUpToDate>
  <CharactersWithSpaces>22935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11154</cp:lastModifiedBy>
  <cp:lastPrinted>2025-06-26T06:08:00Z</cp:lastPrinted>
  <dcterms:modified xsi:type="dcterms:W3CDTF">2026-06-02T10:00:33Z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8552D5D01A8B488DA88A4942A57BDF6D_13</vt:lpwstr>
  </property>
  <property fmtid="{D5CDD505-2E9C-101B-9397-08002B2CF9AE}" pid="4" name="KSOTemplateDocerSaveRecord">
    <vt:lpwstr>eyJoZGlkIjoiZjFmZWIzNDg2MmIzZjExOTIzMmViNTBmYTMwYTk0ZWYiLCJ1c2VySWQiOiIyODc4OTE5NzUifQ==</vt:lpwstr>
  </property>
</Properties>
</file>