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E17421">
      <w:pPr>
        <w:pStyle w:val="14"/>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sz w:val="44"/>
          <w:szCs w:val="44"/>
          <w:highlight w:val="none"/>
          <w14:textFill>
            <w14:solidFill>
              <w14:schemeClr w14:val="tx1"/>
            </w14:solidFill>
          </w14:textFill>
        </w:rPr>
        <w:fldChar w:fldCharType="begin">
          <w:fldData xml:space="preserve">ZQBKAHoAdABYAFEAdAA0AFYATgBXAGQAdgB6AGMAegBtAGIAawA1AHUAUwAzAGoARwBHAGcAYQA3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</w:fldData>
        </w:fldChar>
      </w:r>
      <w:r>
        <w:rPr>
          <w:rFonts w:hint="eastAsia" w:ascii="宋体" w:hAnsi="宋体" w:cs="宋体"/>
          <w:color w:val="000000" w:themeColor="text1"/>
          <w:sz w:val="44"/>
          <w:szCs w:val="44"/>
          <w:highlight w:val="none"/>
          <w14:textFill>
            <w14:solidFill>
              <w14:schemeClr w14:val="tx1"/>
            </w14:solidFill>
          </w14:textFill>
        </w:rPr>
        <w:instrText xml:space="preserve">ADDIN CNKISM.UserStyle</w:instrText>
      </w:r>
      <w:r>
        <w:rPr>
          <w:rFonts w:hint="eastAsia" w:ascii="宋体" w:hAnsi="宋体" w:cs="宋体"/>
          <w:color w:val="000000" w:themeColor="text1"/>
          <w:sz w:val="44"/>
          <w:szCs w:val="44"/>
          <w:highlight w:val="none"/>
          <w14:textFill>
            <w14:solidFill>
              <w14:schemeClr w14:val="tx1"/>
            </w14:solidFill>
          </w14:textFill>
        </w:rPr>
        <w:fldChar w:fldCharType="end"/>
      </w:r>
      <w:r>
        <w:rPr>
          <w:rFonts w:hint="eastAsia" w:ascii="宋体" w:hAnsi="宋体" w:cs="宋体"/>
          <w:color w:val="000000" w:themeColor="text1"/>
          <w:sz w:val="44"/>
          <w:szCs w:val="44"/>
          <w:highlight w:val="none"/>
          <w14:textFill>
            <w14:solidFill>
              <w14:schemeClr w14:val="tx1"/>
            </w14:solidFill>
          </w14:textFill>
        </w:rPr>
        <w:drawing>
          <wp:inline distT="0" distB="0" distL="114300" distR="114300">
            <wp:extent cx="860425" cy="920750"/>
            <wp:effectExtent l="0" t="0" r="15875" b="12700"/>
            <wp:docPr id="4" name="图片 10" descr="透明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透明logo"/>
                    <pic:cNvPicPr>
                      <a:picLocks noChangeAspect="1"/>
                    </pic:cNvPicPr>
                  </pic:nvPicPr>
                  <pic:blipFill>
                    <a:blip r:embed="rId19"/>
                    <a:stretch>
                      <a:fillRect/>
                    </a:stretch>
                  </pic:blipFill>
                  <pic:spPr>
                    <a:xfrm>
                      <a:off x="0" y="0"/>
                      <a:ext cx="860425" cy="920750"/>
                    </a:xfrm>
                    <a:prstGeom prst="rect">
                      <a:avLst/>
                    </a:prstGeom>
                    <a:noFill/>
                    <a:ln>
                      <a:noFill/>
                    </a:ln>
                  </pic:spPr>
                </pic:pic>
              </a:graphicData>
            </a:graphic>
          </wp:inline>
        </w:drawing>
      </w:r>
      <w:r>
        <w:rPr>
          <w:rFonts w:hint="eastAsia" w:ascii="宋体" w:hAnsi="宋体" w:cs="宋体"/>
          <w:color w:val="000000" w:themeColor="text1"/>
          <w:sz w:val="28"/>
          <w:szCs w:val="28"/>
          <w:highlight w:val="none"/>
          <w14:textFill>
            <w14:solidFill>
              <w14:schemeClr w14:val="tx1"/>
            </w14:solidFill>
          </w14:textFill>
        </w:rPr>
        <w:t xml:space="preserve">                                   </w:t>
      </w:r>
      <w:r>
        <w:rPr>
          <w:rFonts w:hint="eastAsia" w:ascii="宋体" w:hAnsi="宋体" w:cs="宋体"/>
          <w:b/>
          <w:bCs/>
          <w:color w:val="000000" w:themeColor="text1"/>
          <w:sz w:val="24"/>
          <w:highlight w:val="none"/>
          <w14:textFill>
            <w14:solidFill>
              <w14:schemeClr w14:val="tx1"/>
            </w14:solidFill>
          </w14:textFill>
        </w:rPr>
        <w:t>代理机构自编号：YDCTF20260580</w:t>
      </w:r>
    </w:p>
    <w:p w14:paraId="16AE1ABC">
      <w:pPr>
        <w:pStyle w:val="14"/>
        <w:rPr>
          <w:rFonts w:ascii="宋体" w:hAnsi="宋体" w:cs="宋体"/>
          <w:color w:val="000000" w:themeColor="text1"/>
          <w:highlight w:val="none"/>
          <w14:textFill>
            <w14:solidFill>
              <w14:schemeClr w14:val="tx1"/>
            </w14:solidFill>
          </w14:textFill>
        </w:rPr>
      </w:pPr>
    </w:p>
    <w:p w14:paraId="479A6C32">
      <w:pPr>
        <w:jc w:val="center"/>
        <w:rPr>
          <w:rFonts w:ascii="宋体" w:hAnsi="宋体" w:cs="宋体"/>
          <w:b/>
          <w:bCs/>
          <w:color w:val="000000" w:themeColor="text1"/>
          <w:spacing w:val="-6"/>
          <w:sz w:val="48"/>
          <w:szCs w:val="48"/>
          <w:highlight w:val="none"/>
          <w14:textFill>
            <w14:solidFill>
              <w14:schemeClr w14:val="tx1"/>
            </w14:solidFill>
          </w14:textFill>
        </w:rPr>
      </w:pPr>
      <w:r>
        <w:rPr>
          <w:rFonts w:hint="eastAsia" w:ascii="宋体" w:hAnsi="宋体" w:cs="宋体"/>
          <w:b/>
          <w:bCs/>
          <w:color w:val="000000" w:themeColor="text1"/>
          <w:spacing w:val="-6"/>
          <w:sz w:val="48"/>
          <w:szCs w:val="48"/>
          <w:highlight w:val="none"/>
          <w14:textFill>
            <w14:solidFill>
              <w14:schemeClr w14:val="tx1"/>
            </w14:solidFill>
          </w14:textFill>
        </w:rPr>
        <w:t>西南林业大学第二届智华联谊活动</w:t>
      </w:r>
    </w:p>
    <w:p w14:paraId="28FDB440">
      <w:pPr>
        <w:jc w:val="center"/>
        <w:rPr>
          <w:rFonts w:ascii="宋体" w:hAnsi="宋体" w:cs="宋体"/>
          <w:b/>
          <w:bCs/>
          <w:color w:val="000000" w:themeColor="text1"/>
          <w:sz w:val="32"/>
          <w:szCs w:val="32"/>
          <w:highlight w:val="none"/>
          <w14:textFill>
            <w14:solidFill>
              <w14:schemeClr w14:val="tx1"/>
            </w14:solidFill>
          </w14:textFill>
        </w:rPr>
      </w:pPr>
      <w:r>
        <w:rPr>
          <w:rFonts w:hint="eastAsia" w:ascii="宋体" w:hAnsi="宋体" w:cs="宋体"/>
          <w:b/>
          <w:bCs/>
          <w:color w:val="000000" w:themeColor="text1"/>
          <w:spacing w:val="-6"/>
          <w:sz w:val="48"/>
          <w:szCs w:val="48"/>
          <w:highlight w:val="none"/>
          <w14:textFill>
            <w14:solidFill>
              <w14:schemeClr w14:val="tx1"/>
            </w14:solidFill>
          </w14:textFill>
        </w:rPr>
        <w:t>舞台灯光音响租赁服务</w:t>
      </w:r>
    </w:p>
    <w:p w14:paraId="07B91EDE">
      <w:pPr>
        <w:pStyle w:val="9"/>
        <w:ind w:firstLine="0" w:firstLineChars="0"/>
        <w:rPr>
          <w:rFonts w:ascii="宋体" w:hAnsi="宋体" w:cs="宋体"/>
          <w:color w:val="000000" w:themeColor="text1"/>
          <w:highlight w:val="none"/>
          <w14:textFill>
            <w14:solidFill>
              <w14:schemeClr w14:val="tx1"/>
            </w14:solidFill>
          </w14:textFill>
        </w:rPr>
      </w:pPr>
    </w:p>
    <w:p w14:paraId="6850966C">
      <w:pPr>
        <w:pStyle w:val="9"/>
        <w:ind w:firstLine="0" w:firstLineChars="0"/>
        <w:rPr>
          <w:rFonts w:ascii="宋体" w:hAnsi="宋体" w:cs="宋体"/>
          <w:color w:val="000000" w:themeColor="text1"/>
          <w:highlight w:val="none"/>
          <w14:textFill>
            <w14:solidFill>
              <w14:schemeClr w14:val="tx1"/>
            </w14:solidFill>
          </w14:textFill>
        </w:rPr>
      </w:pPr>
    </w:p>
    <w:p w14:paraId="0C5A303F">
      <w:pPr>
        <w:rPr>
          <w:rFonts w:ascii="宋体" w:hAnsi="宋体" w:cs="宋体"/>
          <w:color w:val="000000" w:themeColor="text1"/>
          <w:highlight w:val="none"/>
          <w14:textFill>
            <w14:solidFill>
              <w14:schemeClr w14:val="tx1"/>
            </w14:solidFill>
          </w14:textFill>
        </w:rPr>
      </w:pPr>
    </w:p>
    <w:p w14:paraId="4E897D4B">
      <w:pPr>
        <w:rPr>
          <w:rFonts w:ascii="宋体" w:hAnsi="宋体" w:cs="宋体"/>
          <w:color w:val="000000" w:themeColor="text1"/>
          <w:highlight w:val="none"/>
          <w14:textFill>
            <w14:solidFill>
              <w14:schemeClr w14:val="tx1"/>
            </w14:solidFill>
          </w14:textFill>
        </w:rPr>
      </w:pPr>
    </w:p>
    <w:p w14:paraId="3052C4FC">
      <w:pPr>
        <w:pStyle w:val="9"/>
        <w:ind w:firstLine="0" w:firstLineChars="0"/>
        <w:rPr>
          <w:rFonts w:ascii="宋体" w:hAnsi="宋体" w:cs="宋体"/>
          <w:color w:val="000000" w:themeColor="text1"/>
          <w:highlight w:val="none"/>
          <w14:textFill>
            <w14:solidFill>
              <w14:schemeClr w14:val="tx1"/>
            </w14:solidFill>
          </w14:textFill>
        </w:rPr>
      </w:pPr>
    </w:p>
    <w:p w14:paraId="1DB678BB">
      <w:pPr>
        <w:pStyle w:val="9"/>
        <w:ind w:firstLine="0" w:firstLineChars="0"/>
        <w:rPr>
          <w:rFonts w:ascii="宋体" w:hAnsi="宋体" w:cs="宋体"/>
          <w:color w:val="000000" w:themeColor="text1"/>
          <w:highlight w:val="none"/>
          <w14:textFill>
            <w14:solidFill>
              <w14:schemeClr w14:val="tx1"/>
            </w14:solidFill>
          </w14:textFill>
        </w:rPr>
      </w:pPr>
    </w:p>
    <w:p w14:paraId="522F9A1D">
      <w:pPr>
        <w:pStyle w:val="9"/>
        <w:ind w:firstLine="0" w:firstLineChars="0"/>
        <w:rPr>
          <w:rFonts w:ascii="宋体" w:hAnsi="宋体" w:cs="宋体"/>
          <w:color w:val="000000" w:themeColor="text1"/>
          <w:highlight w:val="none"/>
          <w14:textFill>
            <w14:solidFill>
              <w14:schemeClr w14:val="tx1"/>
            </w14:solidFill>
          </w14:textFill>
        </w:rPr>
      </w:pPr>
    </w:p>
    <w:p w14:paraId="1BE85AEE">
      <w:pPr>
        <w:rPr>
          <w:rFonts w:ascii="宋体" w:hAnsi="宋体" w:cs="宋体"/>
          <w:color w:val="000000" w:themeColor="text1"/>
          <w:highlight w:val="none"/>
          <w14:textFill>
            <w14:solidFill>
              <w14:schemeClr w14:val="tx1"/>
            </w14:solidFill>
          </w14:textFill>
        </w:rPr>
      </w:pPr>
    </w:p>
    <w:p w14:paraId="29BD9568">
      <w:pPr>
        <w:pStyle w:val="52"/>
        <w:ind w:left="900" w:hanging="480"/>
        <w:rPr>
          <w:rFonts w:ascii="宋体" w:hAnsi="宋体"/>
          <w:color w:val="000000" w:themeColor="text1"/>
          <w:highlight w:val="none"/>
          <w14:textFill>
            <w14:solidFill>
              <w14:schemeClr w14:val="tx1"/>
            </w14:solidFill>
          </w14:textFill>
        </w:rPr>
      </w:pPr>
    </w:p>
    <w:p w14:paraId="3AA592D5">
      <w:pPr>
        <w:pStyle w:val="53"/>
        <w:rPr>
          <w:rFonts w:ascii="宋体" w:hAnsi="宋体"/>
          <w:color w:val="000000" w:themeColor="text1"/>
          <w:highlight w:val="none"/>
          <w14:textFill>
            <w14:solidFill>
              <w14:schemeClr w14:val="tx1"/>
            </w14:solidFill>
          </w14:textFill>
        </w:rPr>
      </w:pPr>
    </w:p>
    <w:p w14:paraId="49144347">
      <w:pPr>
        <w:jc w:val="center"/>
        <w:rPr>
          <w:rFonts w:ascii="宋体" w:hAnsi="宋体" w:cs="宋体"/>
          <w:color w:val="000000" w:themeColor="text1"/>
          <w:sz w:val="28"/>
          <w:szCs w:val="28"/>
          <w:highlight w:val="none"/>
          <w14:textFill>
            <w14:solidFill>
              <w14:schemeClr w14:val="tx1"/>
            </w14:solidFill>
          </w14:textFill>
        </w:rPr>
      </w:pPr>
      <w:r>
        <w:rPr>
          <w:rFonts w:hint="eastAsia" w:ascii="宋体" w:hAnsi="宋体" w:cs="宋体"/>
          <w:b/>
          <w:bCs/>
          <w:color w:val="000000" w:themeColor="text1"/>
          <w:sz w:val="96"/>
          <w:szCs w:val="96"/>
          <w:highlight w:val="none"/>
          <w14:textFill>
            <w14:solidFill>
              <w14:schemeClr w14:val="tx1"/>
            </w14:solidFill>
          </w14:textFill>
        </w:rPr>
        <w:t>招标文件</w:t>
      </w:r>
    </w:p>
    <w:p w14:paraId="7E9FDC20">
      <w:pPr>
        <w:pStyle w:val="14"/>
        <w:spacing w:before="317" w:beforeLines="100"/>
        <w:jc w:val="center"/>
        <w:rPr>
          <w:rFonts w:ascii="宋体" w:hAnsi="宋体" w:cs="宋体"/>
          <w:b/>
          <w:bCs/>
          <w:color w:val="000000" w:themeColor="text1"/>
          <w:sz w:val="40"/>
          <w:szCs w:val="40"/>
          <w:highlight w:val="none"/>
          <w14:textFill>
            <w14:solidFill>
              <w14:schemeClr w14:val="tx1"/>
            </w14:solidFill>
          </w14:textFill>
        </w:rPr>
      </w:pPr>
      <w:r>
        <w:rPr>
          <w:rFonts w:hint="eastAsia" w:ascii="宋体" w:hAnsi="宋体" w:cs="宋体"/>
          <w:b/>
          <w:bCs/>
          <w:color w:val="000000" w:themeColor="text1"/>
          <w:sz w:val="40"/>
          <w:szCs w:val="40"/>
          <w:highlight w:val="none"/>
          <w14:textFill>
            <w14:solidFill>
              <w14:schemeClr w14:val="tx1"/>
            </w14:solidFill>
          </w14:textFill>
        </w:rPr>
        <w:t>（项目编号：</w:t>
      </w:r>
      <w:r>
        <w:rPr>
          <w:rFonts w:hint="eastAsia" w:ascii="宋体" w:hAnsi="宋体" w:cs="宋体"/>
          <w:b/>
          <w:bCs/>
          <w:color w:val="000000" w:themeColor="text1"/>
          <w:sz w:val="40"/>
          <w:szCs w:val="40"/>
          <w:highlight w:val="none"/>
          <w:lang w:eastAsia="zh-CN"/>
          <w14:textFill>
            <w14:solidFill>
              <w14:schemeClr w14:val="tx1"/>
            </w14:solidFill>
          </w14:textFill>
        </w:rPr>
        <w:t>YNZC2026-G3-02356-YYZX-0202</w:t>
      </w:r>
      <w:r>
        <w:rPr>
          <w:rFonts w:hint="eastAsia" w:ascii="宋体" w:hAnsi="宋体" w:cs="宋体"/>
          <w:b/>
          <w:bCs/>
          <w:color w:val="000000" w:themeColor="text1"/>
          <w:sz w:val="40"/>
          <w:szCs w:val="40"/>
          <w:highlight w:val="none"/>
          <w14:textFill>
            <w14:solidFill>
              <w14:schemeClr w14:val="tx1"/>
            </w14:solidFill>
          </w14:textFill>
        </w:rPr>
        <w:t>）</w:t>
      </w:r>
    </w:p>
    <w:p w14:paraId="2A1930FD">
      <w:pPr>
        <w:pStyle w:val="14"/>
        <w:rPr>
          <w:rFonts w:ascii="宋体" w:hAnsi="宋体" w:cs="宋体"/>
          <w:color w:val="000000" w:themeColor="text1"/>
          <w:sz w:val="28"/>
          <w:szCs w:val="28"/>
          <w:highlight w:val="none"/>
          <w14:textFill>
            <w14:solidFill>
              <w14:schemeClr w14:val="tx1"/>
            </w14:solidFill>
          </w14:textFill>
        </w:rPr>
      </w:pPr>
    </w:p>
    <w:p w14:paraId="39805042">
      <w:pPr>
        <w:rPr>
          <w:rFonts w:ascii="宋体" w:hAnsi="宋体" w:cs="宋体"/>
          <w:color w:val="000000" w:themeColor="text1"/>
          <w:sz w:val="28"/>
          <w:szCs w:val="28"/>
          <w:highlight w:val="none"/>
          <w14:textFill>
            <w14:solidFill>
              <w14:schemeClr w14:val="tx1"/>
            </w14:solidFill>
          </w14:textFill>
        </w:rPr>
      </w:pPr>
    </w:p>
    <w:p w14:paraId="67D9F3E9">
      <w:pPr>
        <w:pStyle w:val="32"/>
        <w:ind w:firstLine="0"/>
        <w:rPr>
          <w:rFonts w:ascii="宋体" w:hAnsi="宋体" w:cs="宋体"/>
          <w:color w:val="000000" w:themeColor="text1"/>
          <w:sz w:val="28"/>
          <w:szCs w:val="28"/>
          <w:highlight w:val="none"/>
          <w14:textFill>
            <w14:solidFill>
              <w14:schemeClr w14:val="tx1"/>
            </w14:solidFill>
          </w14:textFill>
        </w:rPr>
      </w:pPr>
    </w:p>
    <w:p w14:paraId="10E2C1FE">
      <w:pPr>
        <w:pStyle w:val="14"/>
        <w:rPr>
          <w:rFonts w:ascii="宋体" w:hAnsi="宋体" w:cs="宋体"/>
          <w:b/>
          <w:color w:val="000000" w:themeColor="text1"/>
          <w:sz w:val="36"/>
          <w:szCs w:val="36"/>
          <w:highlight w:val="none"/>
          <w14:textFill>
            <w14:solidFill>
              <w14:schemeClr w14:val="tx1"/>
            </w14:solidFill>
          </w14:textFill>
        </w:rPr>
      </w:pPr>
    </w:p>
    <w:p w14:paraId="778A0FBB">
      <w:pPr>
        <w:pStyle w:val="14"/>
        <w:spacing w:line="600" w:lineRule="auto"/>
        <w:ind w:firstLine="1084" w:firstLineChars="300"/>
        <w:rPr>
          <w:rFonts w:ascii="宋体" w:hAnsi="宋体" w:cs="宋体"/>
          <w:b/>
          <w:color w:val="000000" w:themeColor="text1"/>
          <w:sz w:val="36"/>
          <w:szCs w:val="36"/>
          <w:highlight w:val="none"/>
          <w14:textFill>
            <w14:solidFill>
              <w14:schemeClr w14:val="tx1"/>
            </w14:solidFill>
          </w14:textFill>
        </w:rPr>
      </w:pPr>
      <w:r>
        <w:rPr>
          <w:rFonts w:hint="eastAsia" w:ascii="宋体" w:hAnsi="宋体" w:cs="宋体"/>
          <w:b/>
          <w:color w:val="000000" w:themeColor="text1"/>
          <w:sz w:val="36"/>
          <w:szCs w:val="36"/>
          <w:highlight w:val="none"/>
          <w14:textFill>
            <w14:solidFill>
              <w14:schemeClr w14:val="tx1"/>
            </w14:solidFill>
          </w14:textFill>
        </w:rPr>
        <w:t>采   购   人：西南林业大学</w:t>
      </w:r>
    </w:p>
    <w:p w14:paraId="1D2226E6">
      <w:pPr>
        <w:pStyle w:val="14"/>
        <w:spacing w:line="600" w:lineRule="auto"/>
        <w:ind w:firstLine="1084" w:firstLineChars="300"/>
        <w:rPr>
          <w:rFonts w:ascii="宋体" w:hAnsi="宋体" w:cs="宋体"/>
          <w:b/>
          <w:color w:val="000000" w:themeColor="text1"/>
          <w:sz w:val="36"/>
          <w:szCs w:val="36"/>
          <w:highlight w:val="none"/>
          <w14:textFill>
            <w14:solidFill>
              <w14:schemeClr w14:val="tx1"/>
            </w14:solidFill>
          </w14:textFill>
        </w:rPr>
      </w:pPr>
      <w:r>
        <w:rPr>
          <w:rFonts w:hint="eastAsia" w:ascii="宋体" w:hAnsi="宋体" w:cs="宋体"/>
          <w:b/>
          <w:color w:val="000000" w:themeColor="text1"/>
          <w:sz w:val="36"/>
          <w:szCs w:val="36"/>
          <w:highlight w:val="none"/>
          <w14:textFill>
            <w14:solidFill>
              <w14:schemeClr w14:val="tx1"/>
            </w14:solidFill>
          </w14:textFill>
        </w:rPr>
        <w:t>采购代理机构：云南元大工程咨询有限责任公司</w:t>
      </w:r>
    </w:p>
    <w:p w14:paraId="7EECDDA7">
      <w:pPr>
        <w:pStyle w:val="14"/>
        <w:spacing w:line="600" w:lineRule="auto"/>
        <w:ind w:firstLine="1084" w:firstLineChars="300"/>
        <w:rPr>
          <w:rFonts w:ascii="宋体" w:hAnsi="宋体" w:cs="宋体"/>
          <w:b/>
          <w:color w:val="000000" w:themeColor="text1"/>
          <w:sz w:val="36"/>
          <w:szCs w:val="36"/>
          <w:highlight w:val="none"/>
          <w14:textFill>
            <w14:solidFill>
              <w14:schemeClr w14:val="tx1"/>
            </w14:solidFill>
          </w14:textFill>
        </w:rPr>
        <w:sectPr>
          <w:headerReference r:id="rId3" w:type="default"/>
          <w:footerReference r:id="rId4" w:type="default"/>
          <w:pgSz w:w="11906" w:h="16838"/>
          <w:pgMar w:top="1440" w:right="1080" w:bottom="1440" w:left="1080" w:header="720" w:footer="720" w:gutter="0"/>
          <w:pgNumType w:fmt="decimalFullWidth"/>
          <w:cols w:space="720" w:num="1"/>
          <w:docGrid w:type="lines" w:linePitch="317" w:charSpace="0"/>
        </w:sectPr>
      </w:pPr>
      <w:r>
        <w:rPr>
          <w:rFonts w:hint="eastAsia" w:ascii="宋体" w:hAnsi="宋体" w:cs="宋体"/>
          <w:b/>
          <w:color w:val="000000" w:themeColor="text1"/>
          <w:sz w:val="36"/>
          <w:szCs w:val="36"/>
          <w:highlight w:val="none"/>
          <w14:textFill>
            <w14:solidFill>
              <w14:schemeClr w14:val="tx1"/>
            </w14:solidFill>
          </w14:textFill>
        </w:rPr>
        <w:t>日        期：2026年5月</w:t>
      </w:r>
    </w:p>
    <w:p w14:paraId="2E1F4049">
      <w:pPr>
        <w:pStyle w:val="14"/>
        <w:spacing w:line="600" w:lineRule="auto"/>
        <w:ind w:firstLine="1325" w:firstLineChars="300"/>
        <w:jc w:val="center"/>
        <w:rPr>
          <w:rFonts w:ascii="宋体" w:hAnsi="宋体" w:cs="宋体"/>
          <w:b/>
          <w:bCs/>
          <w:color w:val="000000" w:themeColor="text1"/>
          <w:sz w:val="44"/>
          <w:szCs w:val="44"/>
          <w:highlight w:val="none"/>
          <w14:textFill>
            <w14:solidFill>
              <w14:schemeClr w14:val="tx1"/>
            </w14:solidFill>
          </w14:textFill>
        </w:rPr>
      </w:pPr>
      <w:r>
        <w:rPr>
          <w:rFonts w:hint="eastAsia" w:ascii="宋体" w:hAnsi="宋体" w:cs="宋体"/>
          <w:b/>
          <w:bCs/>
          <w:color w:val="000000" w:themeColor="text1"/>
          <w:sz w:val="44"/>
          <w:szCs w:val="44"/>
          <w:highlight w:val="none"/>
          <w14:textFill>
            <w14:solidFill>
              <w14:schemeClr w14:val="tx1"/>
            </w14:solidFill>
          </w14:textFill>
        </w:rPr>
        <w:t>目  录</w:t>
      </w:r>
    </w:p>
    <w:p w14:paraId="1E8DCE92">
      <w:pPr>
        <w:pStyle w:val="23"/>
        <w:tabs>
          <w:tab w:val="right" w:leader="dot" w:pos="9746"/>
        </w:tabs>
        <w:rPr>
          <w:color w:val="000000" w:themeColor="text1"/>
          <w:sz w:val="28"/>
          <w:szCs w:val="28"/>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fldChar w:fldCharType="begin"/>
      </w:r>
      <w:r>
        <w:rPr>
          <w:rFonts w:hint="eastAsia" w:ascii="宋体" w:hAnsi="宋体" w:cs="宋体"/>
          <w:color w:val="000000" w:themeColor="text1"/>
          <w:sz w:val="24"/>
          <w:szCs w:val="24"/>
          <w:highlight w:val="none"/>
          <w14:textFill>
            <w14:solidFill>
              <w14:schemeClr w14:val="tx1"/>
            </w14:solidFill>
          </w14:textFill>
        </w:rPr>
        <w:instrText xml:space="preserve">TOC \o "1-3" \h \u </w:instrText>
      </w:r>
      <w:r>
        <w:rPr>
          <w:rFonts w:hint="eastAsia" w:ascii="宋体" w:hAnsi="宋体" w:cs="宋体"/>
          <w:color w:val="000000" w:themeColor="text1"/>
          <w:sz w:val="24"/>
          <w:szCs w:val="24"/>
          <w:highlight w:val="none"/>
          <w14:textFill>
            <w14:solidFill>
              <w14:schemeClr w14:val="tx1"/>
            </w14:solidFill>
          </w14:textFill>
        </w:rPr>
        <w:fldChar w:fldCharType="separate"/>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"_Toc9274" </w:instrText>
      </w:r>
      <w:r>
        <w:rPr>
          <w:color w:val="000000" w:themeColor="text1"/>
          <w:highlight w:val="none"/>
          <w14:textFill>
            <w14:solidFill>
              <w14:schemeClr w14:val="tx1"/>
            </w14:solidFill>
          </w14:textFill>
        </w:rPr>
        <w:fldChar w:fldCharType="separate"/>
      </w:r>
      <w:r>
        <w:rPr>
          <w:rFonts w:hint="eastAsia" w:ascii="宋体" w:hAnsi="宋体" w:cs="宋体"/>
          <w:color w:val="000000" w:themeColor="text1"/>
          <w:sz w:val="28"/>
          <w:szCs w:val="28"/>
          <w:highlight w:val="none"/>
          <w14:textFill>
            <w14:solidFill>
              <w14:schemeClr w14:val="tx1"/>
            </w14:solidFill>
          </w14:textFill>
        </w:rPr>
        <w:t>第一章 招标公告</w:t>
      </w:r>
      <w:r>
        <w:rPr>
          <w:color w:val="000000" w:themeColor="text1"/>
          <w:sz w:val="28"/>
          <w:szCs w:val="28"/>
          <w:highlight w:val="none"/>
          <w14:textFill>
            <w14:solidFill>
              <w14:schemeClr w14:val="tx1"/>
            </w14:solidFill>
          </w14:textFill>
        </w:rPr>
        <w:tab/>
      </w:r>
      <w:r>
        <w:rPr>
          <w:color w:val="000000" w:themeColor="text1"/>
          <w:sz w:val="28"/>
          <w:szCs w:val="28"/>
          <w:highlight w:val="none"/>
          <w14:textFill>
            <w14:solidFill>
              <w14:schemeClr w14:val="tx1"/>
            </w14:solidFill>
          </w14:textFill>
        </w:rPr>
        <w:fldChar w:fldCharType="begin"/>
      </w:r>
      <w:r>
        <w:rPr>
          <w:color w:val="000000" w:themeColor="text1"/>
          <w:sz w:val="28"/>
          <w:szCs w:val="28"/>
          <w:highlight w:val="none"/>
          <w14:textFill>
            <w14:solidFill>
              <w14:schemeClr w14:val="tx1"/>
            </w14:solidFill>
          </w14:textFill>
        </w:rPr>
        <w:instrText xml:space="preserve"> PAGEREF _Toc9274 \h </w:instrText>
      </w:r>
      <w:r>
        <w:rPr>
          <w:color w:val="000000" w:themeColor="text1"/>
          <w:sz w:val="28"/>
          <w:szCs w:val="28"/>
          <w:highlight w:val="none"/>
          <w14:textFill>
            <w14:solidFill>
              <w14:schemeClr w14:val="tx1"/>
            </w14:solidFill>
          </w14:textFill>
        </w:rPr>
        <w:fldChar w:fldCharType="separate"/>
      </w:r>
      <w:r>
        <w:rPr>
          <w:color w:val="000000" w:themeColor="text1"/>
          <w:sz w:val="28"/>
          <w:szCs w:val="28"/>
          <w:highlight w:val="none"/>
          <w14:textFill>
            <w14:solidFill>
              <w14:schemeClr w14:val="tx1"/>
            </w14:solidFill>
          </w14:textFill>
        </w:rPr>
        <w:t>1</w:t>
      </w:r>
      <w:r>
        <w:rPr>
          <w:color w:val="000000" w:themeColor="text1"/>
          <w:sz w:val="28"/>
          <w:szCs w:val="28"/>
          <w:highlight w:val="none"/>
          <w14:textFill>
            <w14:solidFill>
              <w14:schemeClr w14:val="tx1"/>
            </w14:solidFill>
          </w14:textFill>
        </w:rPr>
        <w:fldChar w:fldCharType="end"/>
      </w:r>
      <w:r>
        <w:rPr>
          <w:color w:val="000000" w:themeColor="text1"/>
          <w:sz w:val="28"/>
          <w:szCs w:val="28"/>
          <w:highlight w:val="none"/>
          <w14:textFill>
            <w14:solidFill>
              <w14:schemeClr w14:val="tx1"/>
            </w14:solidFill>
          </w14:textFill>
        </w:rPr>
        <w:fldChar w:fldCharType="end"/>
      </w:r>
    </w:p>
    <w:p w14:paraId="33E41821">
      <w:pPr>
        <w:pStyle w:val="23"/>
        <w:tabs>
          <w:tab w:val="right" w:leader="dot" w:pos="9746"/>
        </w:tabs>
        <w:rPr>
          <w:color w:val="000000" w:themeColor="text1"/>
          <w:sz w:val="28"/>
          <w:szCs w:val="28"/>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"_Toc30239" </w:instrText>
      </w:r>
      <w:r>
        <w:rPr>
          <w:color w:val="000000" w:themeColor="text1"/>
          <w:highlight w:val="none"/>
          <w14:textFill>
            <w14:solidFill>
              <w14:schemeClr w14:val="tx1"/>
            </w14:solidFill>
          </w14:textFill>
        </w:rPr>
        <w:fldChar w:fldCharType="separate"/>
      </w:r>
      <w:r>
        <w:rPr>
          <w:rFonts w:hint="eastAsia" w:ascii="宋体" w:hAnsi="宋体" w:cs="宋体"/>
          <w:color w:val="000000" w:themeColor="text1"/>
          <w:sz w:val="28"/>
          <w:szCs w:val="28"/>
          <w:highlight w:val="none"/>
          <w14:textFill>
            <w14:solidFill>
              <w14:schemeClr w14:val="tx1"/>
            </w14:solidFill>
          </w14:textFill>
        </w:rPr>
        <w:t>第二章 投标人须知</w:t>
      </w:r>
      <w:r>
        <w:rPr>
          <w:color w:val="000000" w:themeColor="text1"/>
          <w:sz w:val="28"/>
          <w:szCs w:val="28"/>
          <w:highlight w:val="none"/>
          <w14:textFill>
            <w14:solidFill>
              <w14:schemeClr w14:val="tx1"/>
            </w14:solidFill>
          </w14:textFill>
        </w:rPr>
        <w:tab/>
      </w:r>
      <w:r>
        <w:rPr>
          <w:color w:val="000000" w:themeColor="text1"/>
          <w:sz w:val="28"/>
          <w:szCs w:val="28"/>
          <w:highlight w:val="none"/>
          <w14:textFill>
            <w14:solidFill>
              <w14:schemeClr w14:val="tx1"/>
            </w14:solidFill>
          </w14:textFill>
        </w:rPr>
        <w:fldChar w:fldCharType="begin"/>
      </w:r>
      <w:r>
        <w:rPr>
          <w:color w:val="000000" w:themeColor="text1"/>
          <w:sz w:val="28"/>
          <w:szCs w:val="28"/>
          <w:highlight w:val="none"/>
          <w14:textFill>
            <w14:solidFill>
              <w14:schemeClr w14:val="tx1"/>
            </w14:solidFill>
          </w14:textFill>
        </w:rPr>
        <w:instrText xml:space="preserve"> PAGEREF _Toc30239 \h </w:instrText>
      </w:r>
      <w:r>
        <w:rPr>
          <w:color w:val="000000" w:themeColor="text1"/>
          <w:sz w:val="28"/>
          <w:szCs w:val="28"/>
          <w:highlight w:val="none"/>
          <w14:textFill>
            <w14:solidFill>
              <w14:schemeClr w14:val="tx1"/>
            </w14:solidFill>
          </w14:textFill>
        </w:rPr>
        <w:fldChar w:fldCharType="separate"/>
      </w:r>
      <w:r>
        <w:rPr>
          <w:color w:val="000000" w:themeColor="text1"/>
          <w:sz w:val="28"/>
          <w:szCs w:val="28"/>
          <w:highlight w:val="none"/>
          <w14:textFill>
            <w14:solidFill>
              <w14:schemeClr w14:val="tx1"/>
            </w14:solidFill>
          </w14:textFill>
        </w:rPr>
        <w:t>5</w:t>
      </w:r>
      <w:r>
        <w:rPr>
          <w:color w:val="000000" w:themeColor="text1"/>
          <w:sz w:val="28"/>
          <w:szCs w:val="28"/>
          <w:highlight w:val="none"/>
          <w14:textFill>
            <w14:solidFill>
              <w14:schemeClr w14:val="tx1"/>
            </w14:solidFill>
          </w14:textFill>
        </w:rPr>
        <w:fldChar w:fldCharType="end"/>
      </w:r>
      <w:r>
        <w:rPr>
          <w:color w:val="000000" w:themeColor="text1"/>
          <w:sz w:val="28"/>
          <w:szCs w:val="28"/>
          <w:highlight w:val="none"/>
          <w14:textFill>
            <w14:solidFill>
              <w14:schemeClr w14:val="tx1"/>
            </w14:solidFill>
          </w14:textFill>
        </w:rPr>
        <w:fldChar w:fldCharType="end"/>
      </w:r>
    </w:p>
    <w:p w14:paraId="74628245">
      <w:pPr>
        <w:pStyle w:val="23"/>
        <w:tabs>
          <w:tab w:val="right" w:leader="dot" w:pos="9746"/>
        </w:tabs>
        <w:rPr>
          <w:color w:val="000000" w:themeColor="text1"/>
          <w:sz w:val="28"/>
          <w:szCs w:val="28"/>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"_Toc30736" </w:instrText>
      </w:r>
      <w:r>
        <w:rPr>
          <w:color w:val="000000" w:themeColor="text1"/>
          <w:highlight w:val="none"/>
          <w14:textFill>
            <w14:solidFill>
              <w14:schemeClr w14:val="tx1"/>
            </w14:solidFill>
          </w14:textFill>
        </w:rPr>
        <w:fldChar w:fldCharType="separate"/>
      </w:r>
      <w:r>
        <w:rPr>
          <w:rFonts w:hint="eastAsia" w:ascii="宋体" w:hAnsi="宋体" w:cs="宋体"/>
          <w:color w:val="000000" w:themeColor="text1"/>
          <w:sz w:val="28"/>
          <w:szCs w:val="28"/>
          <w:highlight w:val="none"/>
          <w14:textFill>
            <w14:solidFill>
              <w14:schemeClr w14:val="tx1"/>
            </w14:solidFill>
          </w14:textFill>
        </w:rPr>
        <w:t>第三章 资格审查</w:t>
      </w:r>
      <w:r>
        <w:rPr>
          <w:color w:val="000000" w:themeColor="text1"/>
          <w:sz w:val="28"/>
          <w:szCs w:val="28"/>
          <w:highlight w:val="none"/>
          <w14:textFill>
            <w14:solidFill>
              <w14:schemeClr w14:val="tx1"/>
            </w14:solidFill>
          </w14:textFill>
        </w:rPr>
        <w:tab/>
      </w:r>
      <w:r>
        <w:rPr>
          <w:color w:val="000000" w:themeColor="text1"/>
          <w:sz w:val="28"/>
          <w:szCs w:val="28"/>
          <w:highlight w:val="none"/>
          <w14:textFill>
            <w14:solidFill>
              <w14:schemeClr w14:val="tx1"/>
            </w14:solidFill>
          </w14:textFill>
        </w:rPr>
        <w:fldChar w:fldCharType="begin"/>
      </w:r>
      <w:r>
        <w:rPr>
          <w:color w:val="000000" w:themeColor="text1"/>
          <w:sz w:val="28"/>
          <w:szCs w:val="28"/>
          <w:highlight w:val="none"/>
          <w14:textFill>
            <w14:solidFill>
              <w14:schemeClr w14:val="tx1"/>
            </w14:solidFill>
          </w14:textFill>
        </w:rPr>
        <w:instrText xml:space="preserve"> PAGEREF _Toc30736 \h </w:instrText>
      </w:r>
      <w:r>
        <w:rPr>
          <w:color w:val="000000" w:themeColor="text1"/>
          <w:sz w:val="28"/>
          <w:szCs w:val="28"/>
          <w:highlight w:val="none"/>
          <w14:textFill>
            <w14:solidFill>
              <w14:schemeClr w14:val="tx1"/>
            </w14:solidFill>
          </w14:textFill>
        </w:rPr>
        <w:fldChar w:fldCharType="separate"/>
      </w:r>
      <w:r>
        <w:rPr>
          <w:color w:val="000000" w:themeColor="text1"/>
          <w:sz w:val="28"/>
          <w:szCs w:val="28"/>
          <w:highlight w:val="none"/>
          <w14:textFill>
            <w14:solidFill>
              <w14:schemeClr w14:val="tx1"/>
            </w14:solidFill>
          </w14:textFill>
        </w:rPr>
        <w:t>27</w:t>
      </w:r>
      <w:r>
        <w:rPr>
          <w:color w:val="000000" w:themeColor="text1"/>
          <w:sz w:val="28"/>
          <w:szCs w:val="28"/>
          <w:highlight w:val="none"/>
          <w14:textFill>
            <w14:solidFill>
              <w14:schemeClr w14:val="tx1"/>
            </w14:solidFill>
          </w14:textFill>
        </w:rPr>
        <w:fldChar w:fldCharType="end"/>
      </w:r>
      <w:r>
        <w:rPr>
          <w:color w:val="000000" w:themeColor="text1"/>
          <w:sz w:val="28"/>
          <w:szCs w:val="28"/>
          <w:highlight w:val="none"/>
          <w14:textFill>
            <w14:solidFill>
              <w14:schemeClr w14:val="tx1"/>
            </w14:solidFill>
          </w14:textFill>
        </w:rPr>
        <w:fldChar w:fldCharType="end"/>
      </w:r>
    </w:p>
    <w:p w14:paraId="50C0AA8B">
      <w:pPr>
        <w:pStyle w:val="23"/>
        <w:tabs>
          <w:tab w:val="right" w:leader="dot" w:pos="9746"/>
        </w:tabs>
        <w:rPr>
          <w:color w:val="000000" w:themeColor="text1"/>
          <w:sz w:val="28"/>
          <w:szCs w:val="28"/>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"_Toc31257" </w:instrText>
      </w:r>
      <w:r>
        <w:rPr>
          <w:color w:val="000000" w:themeColor="text1"/>
          <w:highlight w:val="none"/>
          <w14:textFill>
            <w14:solidFill>
              <w14:schemeClr w14:val="tx1"/>
            </w14:solidFill>
          </w14:textFill>
        </w:rPr>
        <w:fldChar w:fldCharType="separate"/>
      </w:r>
      <w:r>
        <w:rPr>
          <w:rFonts w:hint="eastAsia" w:ascii="宋体" w:hAnsi="宋体" w:cs="宋体"/>
          <w:color w:val="000000" w:themeColor="text1"/>
          <w:sz w:val="28"/>
          <w:szCs w:val="28"/>
          <w:highlight w:val="none"/>
          <w14:textFill>
            <w14:solidFill>
              <w14:schemeClr w14:val="tx1"/>
            </w14:solidFill>
          </w14:textFill>
        </w:rPr>
        <w:t>第四章 评标办法(综合评分法)</w:t>
      </w:r>
      <w:r>
        <w:rPr>
          <w:color w:val="000000" w:themeColor="text1"/>
          <w:sz w:val="28"/>
          <w:szCs w:val="28"/>
          <w:highlight w:val="none"/>
          <w14:textFill>
            <w14:solidFill>
              <w14:schemeClr w14:val="tx1"/>
            </w14:solidFill>
          </w14:textFill>
        </w:rPr>
        <w:tab/>
      </w:r>
      <w:r>
        <w:rPr>
          <w:color w:val="000000" w:themeColor="text1"/>
          <w:sz w:val="28"/>
          <w:szCs w:val="28"/>
          <w:highlight w:val="none"/>
          <w14:textFill>
            <w14:solidFill>
              <w14:schemeClr w14:val="tx1"/>
            </w14:solidFill>
          </w14:textFill>
        </w:rPr>
        <w:fldChar w:fldCharType="begin"/>
      </w:r>
      <w:r>
        <w:rPr>
          <w:color w:val="000000" w:themeColor="text1"/>
          <w:sz w:val="28"/>
          <w:szCs w:val="28"/>
          <w:highlight w:val="none"/>
          <w14:textFill>
            <w14:solidFill>
              <w14:schemeClr w14:val="tx1"/>
            </w14:solidFill>
          </w14:textFill>
        </w:rPr>
        <w:instrText xml:space="preserve"> PAGEREF _Toc31257 \h </w:instrText>
      </w:r>
      <w:r>
        <w:rPr>
          <w:color w:val="000000" w:themeColor="text1"/>
          <w:sz w:val="28"/>
          <w:szCs w:val="28"/>
          <w:highlight w:val="none"/>
          <w14:textFill>
            <w14:solidFill>
              <w14:schemeClr w14:val="tx1"/>
            </w14:solidFill>
          </w14:textFill>
        </w:rPr>
        <w:fldChar w:fldCharType="separate"/>
      </w:r>
      <w:r>
        <w:rPr>
          <w:color w:val="000000" w:themeColor="text1"/>
          <w:sz w:val="28"/>
          <w:szCs w:val="28"/>
          <w:highlight w:val="none"/>
          <w14:textFill>
            <w14:solidFill>
              <w14:schemeClr w14:val="tx1"/>
            </w14:solidFill>
          </w14:textFill>
        </w:rPr>
        <w:t>29</w:t>
      </w:r>
      <w:r>
        <w:rPr>
          <w:color w:val="000000" w:themeColor="text1"/>
          <w:sz w:val="28"/>
          <w:szCs w:val="28"/>
          <w:highlight w:val="none"/>
          <w14:textFill>
            <w14:solidFill>
              <w14:schemeClr w14:val="tx1"/>
            </w14:solidFill>
          </w14:textFill>
        </w:rPr>
        <w:fldChar w:fldCharType="end"/>
      </w:r>
      <w:r>
        <w:rPr>
          <w:color w:val="000000" w:themeColor="text1"/>
          <w:sz w:val="28"/>
          <w:szCs w:val="28"/>
          <w:highlight w:val="none"/>
          <w14:textFill>
            <w14:solidFill>
              <w14:schemeClr w14:val="tx1"/>
            </w14:solidFill>
          </w14:textFill>
        </w:rPr>
        <w:fldChar w:fldCharType="end"/>
      </w:r>
    </w:p>
    <w:p w14:paraId="427A67FB">
      <w:pPr>
        <w:pStyle w:val="23"/>
        <w:tabs>
          <w:tab w:val="right" w:leader="dot" w:pos="9746"/>
        </w:tabs>
        <w:rPr>
          <w:color w:val="000000" w:themeColor="text1"/>
          <w:sz w:val="28"/>
          <w:szCs w:val="28"/>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"_Toc14631" </w:instrText>
      </w:r>
      <w:r>
        <w:rPr>
          <w:color w:val="000000" w:themeColor="text1"/>
          <w:highlight w:val="none"/>
          <w14:textFill>
            <w14:solidFill>
              <w14:schemeClr w14:val="tx1"/>
            </w14:solidFill>
          </w14:textFill>
        </w:rPr>
        <w:fldChar w:fldCharType="separate"/>
      </w:r>
      <w:r>
        <w:rPr>
          <w:rFonts w:hint="eastAsia" w:ascii="宋体" w:hAnsi="宋体" w:cs="宋体"/>
          <w:color w:val="000000" w:themeColor="text1"/>
          <w:sz w:val="28"/>
          <w:szCs w:val="28"/>
          <w:highlight w:val="none"/>
          <w14:textFill>
            <w14:solidFill>
              <w14:schemeClr w14:val="tx1"/>
            </w14:solidFill>
          </w14:textFill>
        </w:rPr>
        <w:t>第五章 合同条款及格式</w:t>
      </w:r>
      <w:r>
        <w:rPr>
          <w:color w:val="000000" w:themeColor="text1"/>
          <w:sz w:val="28"/>
          <w:szCs w:val="28"/>
          <w:highlight w:val="none"/>
          <w14:textFill>
            <w14:solidFill>
              <w14:schemeClr w14:val="tx1"/>
            </w14:solidFill>
          </w14:textFill>
        </w:rPr>
        <w:tab/>
      </w:r>
      <w:r>
        <w:rPr>
          <w:color w:val="000000" w:themeColor="text1"/>
          <w:sz w:val="28"/>
          <w:szCs w:val="28"/>
          <w:highlight w:val="none"/>
          <w14:textFill>
            <w14:solidFill>
              <w14:schemeClr w14:val="tx1"/>
            </w14:solidFill>
          </w14:textFill>
        </w:rPr>
        <w:fldChar w:fldCharType="begin"/>
      </w:r>
      <w:r>
        <w:rPr>
          <w:color w:val="000000" w:themeColor="text1"/>
          <w:sz w:val="28"/>
          <w:szCs w:val="28"/>
          <w:highlight w:val="none"/>
          <w14:textFill>
            <w14:solidFill>
              <w14:schemeClr w14:val="tx1"/>
            </w14:solidFill>
          </w14:textFill>
        </w:rPr>
        <w:instrText xml:space="preserve"> PAGEREF _Toc14631 \h </w:instrText>
      </w:r>
      <w:r>
        <w:rPr>
          <w:color w:val="000000" w:themeColor="text1"/>
          <w:sz w:val="28"/>
          <w:szCs w:val="28"/>
          <w:highlight w:val="none"/>
          <w14:textFill>
            <w14:solidFill>
              <w14:schemeClr w14:val="tx1"/>
            </w14:solidFill>
          </w14:textFill>
        </w:rPr>
        <w:fldChar w:fldCharType="separate"/>
      </w:r>
      <w:r>
        <w:rPr>
          <w:color w:val="000000" w:themeColor="text1"/>
          <w:sz w:val="28"/>
          <w:szCs w:val="28"/>
          <w:highlight w:val="none"/>
          <w14:textFill>
            <w14:solidFill>
              <w14:schemeClr w14:val="tx1"/>
            </w14:solidFill>
          </w14:textFill>
        </w:rPr>
        <w:t>37</w:t>
      </w:r>
      <w:r>
        <w:rPr>
          <w:color w:val="000000" w:themeColor="text1"/>
          <w:sz w:val="28"/>
          <w:szCs w:val="28"/>
          <w:highlight w:val="none"/>
          <w14:textFill>
            <w14:solidFill>
              <w14:schemeClr w14:val="tx1"/>
            </w14:solidFill>
          </w14:textFill>
        </w:rPr>
        <w:fldChar w:fldCharType="end"/>
      </w:r>
      <w:r>
        <w:rPr>
          <w:color w:val="000000" w:themeColor="text1"/>
          <w:sz w:val="28"/>
          <w:szCs w:val="28"/>
          <w:highlight w:val="none"/>
          <w14:textFill>
            <w14:solidFill>
              <w14:schemeClr w14:val="tx1"/>
            </w14:solidFill>
          </w14:textFill>
        </w:rPr>
        <w:fldChar w:fldCharType="end"/>
      </w:r>
    </w:p>
    <w:p w14:paraId="4850F600">
      <w:pPr>
        <w:pStyle w:val="23"/>
        <w:tabs>
          <w:tab w:val="right" w:leader="dot" w:pos="9746"/>
        </w:tabs>
        <w:rPr>
          <w:color w:val="000000" w:themeColor="text1"/>
          <w:sz w:val="28"/>
          <w:szCs w:val="28"/>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"_Toc12852" </w:instrText>
      </w:r>
      <w:r>
        <w:rPr>
          <w:color w:val="000000" w:themeColor="text1"/>
          <w:highlight w:val="none"/>
          <w14:textFill>
            <w14:solidFill>
              <w14:schemeClr w14:val="tx1"/>
            </w14:solidFill>
          </w14:textFill>
        </w:rPr>
        <w:fldChar w:fldCharType="separate"/>
      </w:r>
      <w:r>
        <w:rPr>
          <w:rFonts w:hint="eastAsia" w:ascii="宋体" w:hAnsi="宋体" w:cs="宋体"/>
          <w:color w:val="000000" w:themeColor="text1"/>
          <w:sz w:val="28"/>
          <w:szCs w:val="28"/>
          <w:highlight w:val="none"/>
          <w14:textFill>
            <w14:solidFill>
              <w14:schemeClr w14:val="tx1"/>
            </w14:solidFill>
          </w14:textFill>
        </w:rPr>
        <w:t>第六章 服务内容及要求</w:t>
      </w:r>
      <w:r>
        <w:rPr>
          <w:color w:val="000000" w:themeColor="text1"/>
          <w:sz w:val="28"/>
          <w:szCs w:val="28"/>
          <w:highlight w:val="none"/>
          <w14:textFill>
            <w14:solidFill>
              <w14:schemeClr w14:val="tx1"/>
            </w14:solidFill>
          </w14:textFill>
        </w:rPr>
        <w:tab/>
      </w:r>
      <w:r>
        <w:rPr>
          <w:color w:val="000000" w:themeColor="text1"/>
          <w:sz w:val="28"/>
          <w:szCs w:val="28"/>
          <w:highlight w:val="none"/>
          <w14:textFill>
            <w14:solidFill>
              <w14:schemeClr w14:val="tx1"/>
            </w14:solidFill>
          </w14:textFill>
        </w:rPr>
        <w:fldChar w:fldCharType="begin"/>
      </w:r>
      <w:r>
        <w:rPr>
          <w:color w:val="000000" w:themeColor="text1"/>
          <w:sz w:val="28"/>
          <w:szCs w:val="28"/>
          <w:highlight w:val="none"/>
          <w14:textFill>
            <w14:solidFill>
              <w14:schemeClr w14:val="tx1"/>
            </w14:solidFill>
          </w14:textFill>
        </w:rPr>
        <w:instrText xml:space="preserve"> PAGEREF _Toc12852 \h </w:instrText>
      </w:r>
      <w:r>
        <w:rPr>
          <w:color w:val="000000" w:themeColor="text1"/>
          <w:sz w:val="28"/>
          <w:szCs w:val="28"/>
          <w:highlight w:val="none"/>
          <w14:textFill>
            <w14:solidFill>
              <w14:schemeClr w14:val="tx1"/>
            </w14:solidFill>
          </w14:textFill>
        </w:rPr>
        <w:fldChar w:fldCharType="separate"/>
      </w:r>
      <w:r>
        <w:rPr>
          <w:color w:val="000000" w:themeColor="text1"/>
          <w:sz w:val="28"/>
          <w:szCs w:val="28"/>
          <w:highlight w:val="none"/>
          <w14:textFill>
            <w14:solidFill>
              <w14:schemeClr w14:val="tx1"/>
            </w14:solidFill>
          </w14:textFill>
        </w:rPr>
        <w:t>46</w:t>
      </w:r>
      <w:r>
        <w:rPr>
          <w:color w:val="000000" w:themeColor="text1"/>
          <w:sz w:val="28"/>
          <w:szCs w:val="28"/>
          <w:highlight w:val="none"/>
          <w14:textFill>
            <w14:solidFill>
              <w14:schemeClr w14:val="tx1"/>
            </w14:solidFill>
          </w14:textFill>
        </w:rPr>
        <w:fldChar w:fldCharType="end"/>
      </w:r>
      <w:r>
        <w:rPr>
          <w:color w:val="000000" w:themeColor="text1"/>
          <w:sz w:val="28"/>
          <w:szCs w:val="28"/>
          <w:highlight w:val="none"/>
          <w14:textFill>
            <w14:solidFill>
              <w14:schemeClr w14:val="tx1"/>
            </w14:solidFill>
          </w14:textFill>
        </w:rPr>
        <w:fldChar w:fldCharType="end"/>
      </w:r>
    </w:p>
    <w:p w14:paraId="5E35B65B">
      <w:pPr>
        <w:pStyle w:val="23"/>
        <w:tabs>
          <w:tab w:val="right" w:leader="dot" w:pos="9746"/>
        </w:tabs>
        <w:rPr>
          <w:color w:val="000000" w:themeColor="text1"/>
          <w:sz w:val="28"/>
          <w:szCs w:val="28"/>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"_Toc8646" </w:instrText>
      </w:r>
      <w:r>
        <w:rPr>
          <w:color w:val="000000" w:themeColor="text1"/>
          <w:highlight w:val="none"/>
          <w14:textFill>
            <w14:solidFill>
              <w14:schemeClr w14:val="tx1"/>
            </w14:solidFill>
          </w14:textFill>
        </w:rPr>
        <w:fldChar w:fldCharType="separate"/>
      </w:r>
      <w:r>
        <w:rPr>
          <w:rFonts w:hint="eastAsia" w:ascii="宋体" w:hAnsi="宋体" w:cs="宋体"/>
          <w:color w:val="000000" w:themeColor="text1"/>
          <w:kern w:val="44"/>
          <w:sz w:val="28"/>
          <w:szCs w:val="28"/>
          <w:highlight w:val="none"/>
          <w14:textFill>
            <w14:solidFill>
              <w14:schemeClr w14:val="tx1"/>
            </w14:solidFill>
          </w14:textFill>
        </w:rPr>
        <w:t>第七章 投标文件格式</w:t>
      </w:r>
      <w:r>
        <w:rPr>
          <w:color w:val="000000" w:themeColor="text1"/>
          <w:sz w:val="28"/>
          <w:szCs w:val="28"/>
          <w:highlight w:val="none"/>
          <w14:textFill>
            <w14:solidFill>
              <w14:schemeClr w14:val="tx1"/>
            </w14:solidFill>
          </w14:textFill>
        </w:rPr>
        <w:tab/>
      </w:r>
      <w:r>
        <w:rPr>
          <w:color w:val="000000" w:themeColor="text1"/>
          <w:sz w:val="28"/>
          <w:szCs w:val="28"/>
          <w:highlight w:val="none"/>
          <w14:textFill>
            <w14:solidFill>
              <w14:schemeClr w14:val="tx1"/>
            </w14:solidFill>
          </w14:textFill>
        </w:rPr>
        <w:fldChar w:fldCharType="begin"/>
      </w:r>
      <w:r>
        <w:rPr>
          <w:color w:val="000000" w:themeColor="text1"/>
          <w:sz w:val="28"/>
          <w:szCs w:val="28"/>
          <w:highlight w:val="none"/>
          <w14:textFill>
            <w14:solidFill>
              <w14:schemeClr w14:val="tx1"/>
            </w14:solidFill>
          </w14:textFill>
        </w:rPr>
        <w:instrText xml:space="preserve"> PAGEREF _Toc8646 \h </w:instrText>
      </w:r>
      <w:r>
        <w:rPr>
          <w:color w:val="000000" w:themeColor="text1"/>
          <w:sz w:val="28"/>
          <w:szCs w:val="28"/>
          <w:highlight w:val="none"/>
          <w14:textFill>
            <w14:solidFill>
              <w14:schemeClr w14:val="tx1"/>
            </w14:solidFill>
          </w14:textFill>
        </w:rPr>
        <w:fldChar w:fldCharType="separate"/>
      </w:r>
      <w:r>
        <w:rPr>
          <w:color w:val="000000" w:themeColor="text1"/>
          <w:sz w:val="28"/>
          <w:szCs w:val="28"/>
          <w:highlight w:val="none"/>
          <w14:textFill>
            <w14:solidFill>
              <w14:schemeClr w14:val="tx1"/>
            </w14:solidFill>
          </w14:textFill>
        </w:rPr>
        <w:t>56</w:t>
      </w:r>
      <w:r>
        <w:rPr>
          <w:color w:val="000000" w:themeColor="text1"/>
          <w:sz w:val="28"/>
          <w:szCs w:val="28"/>
          <w:highlight w:val="none"/>
          <w14:textFill>
            <w14:solidFill>
              <w14:schemeClr w14:val="tx1"/>
            </w14:solidFill>
          </w14:textFill>
        </w:rPr>
        <w:fldChar w:fldCharType="end"/>
      </w:r>
      <w:r>
        <w:rPr>
          <w:color w:val="000000" w:themeColor="text1"/>
          <w:sz w:val="28"/>
          <w:szCs w:val="28"/>
          <w:highlight w:val="none"/>
          <w14:textFill>
            <w14:solidFill>
              <w14:schemeClr w14:val="tx1"/>
            </w14:solidFill>
          </w14:textFill>
        </w:rPr>
        <w:fldChar w:fldCharType="end"/>
      </w:r>
    </w:p>
    <w:p w14:paraId="76E641AB">
      <w:pPr>
        <w:pStyle w:val="17"/>
        <w:tabs>
          <w:tab w:val="right" w:leader="dot" w:pos="9746"/>
        </w:tabs>
        <w:rPr>
          <w:color w:val="000000" w:themeColor="text1"/>
          <w:highlight w:val="none"/>
          <w14:textFill>
            <w14:solidFill>
              <w14:schemeClr w14:val="tx1"/>
            </w14:solidFill>
          </w14:textFill>
        </w:rPr>
      </w:pPr>
    </w:p>
    <w:p w14:paraId="6624FFB6">
      <w:pPr>
        <w:spacing w:line="400" w:lineRule="exac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fldChar w:fldCharType="end"/>
      </w:r>
    </w:p>
    <w:p w14:paraId="4645BCC5">
      <w:pPr>
        <w:spacing w:line="400" w:lineRule="exact"/>
        <w:rPr>
          <w:rFonts w:ascii="宋体" w:hAnsi="宋体" w:cs="宋体"/>
          <w:color w:val="000000" w:themeColor="text1"/>
          <w:highlight w:val="none"/>
          <w14:textFill>
            <w14:solidFill>
              <w14:schemeClr w14:val="tx1"/>
            </w14:solidFill>
          </w14:textFill>
        </w:rPr>
        <w:sectPr>
          <w:pgSz w:w="11906" w:h="16838"/>
          <w:pgMar w:top="1440" w:right="1080" w:bottom="1440" w:left="1080" w:header="720" w:footer="720" w:gutter="0"/>
          <w:pgNumType w:fmt="decimalFullWidth"/>
          <w:cols w:space="720" w:num="1"/>
          <w:docGrid w:type="lines" w:linePitch="317" w:charSpace="0"/>
        </w:sectPr>
      </w:pPr>
      <w:bookmarkStart w:id="0" w:name="_Toc12916"/>
      <w:bookmarkEnd w:id="0"/>
      <w:bookmarkStart w:id="1" w:name="_Toc3039"/>
      <w:bookmarkEnd w:id="1"/>
      <w:bookmarkStart w:id="2" w:name="_Toc24776"/>
      <w:bookmarkStart w:id="3" w:name="_Toc5556"/>
    </w:p>
    <w:p w14:paraId="2E5F3738">
      <w:pPr>
        <w:pStyle w:val="2"/>
        <w:spacing w:before="0" w:after="0" w:line="360" w:lineRule="auto"/>
        <w:jc w:val="center"/>
        <w:rPr>
          <w:rFonts w:ascii="宋体" w:hAnsi="宋体" w:cs="宋体"/>
          <w:color w:val="000000" w:themeColor="text1"/>
          <w:highlight w:val="none"/>
          <w14:textFill>
            <w14:solidFill>
              <w14:schemeClr w14:val="tx1"/>
            </w14:solidFill>
          </w14:textFill>
        </w:rPr>
      </w:pPr>
      <w:bookmarkStart w:id="4" w:name="_Toc30957"/>
      <w:bookmarkStart w:id="5" w:name="_Toc9274"/>
      <w:bookmarkStart w:id="6" w:name="_Toc28052"/>
      <w:r>
        <w:rPr>
          <w:rFonts w:hint="eastAsia" w:ascii="宋体" w:hAnsi="宋体" w:cs="宋体"/>
          <w:color w:val="000000" w:themeColor="text1"/>
          <w:highlight w:val="none"/>
          <w14:textFill>
            <w14:solidFill>
              <w14:schemeClr w14:val="tx1"/>
            </w14:solidFill>
          </w14:textFill>
        </w:rPr>
        <w:t>第一章 招标公告</w:t>
      </w:r>
      <w:bookmarkEnd w:id="2"/>
      <w:bookmarkEnd w:id="3"/>
      <w:bookmarkEnd w:id="4"/>
      <w:bookmarkEnd w:id="5"/>
      <w:bookmarkEnd w:id="6"/>
    </w:p>
    <w:p w14:paraId="0D6BEAF0">
      <w:pPr>
        <w:spacing w:line="360" w:lineRule="auto"/>
        <w:jc w:val="center"/>
        <w:rPr>
          <w:rFonts w:ascii="宋体" w:hAnsi="宋体" w:cs="宋体"/>
          <w:b/>
          <w:color w:val="000000" w:themeColor="text1"/>
          <w:sz w:val="36"/>
          <w:szCs w:val="36"/>
          <w:highlight w:val="none"/>
          <w14:textFill>
            <w14:solidFill>
              <w14:schemeClr w14:val="tx1"/>
            </w14:solidFill>
          </w14:textFill>
        </w:rPr>
      </w:pPr>
      <w:bookmarkStart w:id="7" w:name="_Toc498"/>
      <w:r>
        <w:rPr>
          <w:rFonts w:hint="eastAsia" w:ascii="宋体" w:hAnsi="宋体" w:cs="宋体"/>
          <w:b/>
          <w:color w:val="000000" w:themeColor="text1"/>
          <w:sz w:val="36"/>
          <w:szCs w:val="36"/>
          <w:highlight w:val="none"/>
          <w14:textFill>
            <w14:solidFill>
              <w14:schemeClr w14:val="tx1"/>
            </w14:solidFill>
          </w14:textFill>
        </w:rPr>
        <w:t>西南林业大学第二届智华联谊活动舞台灯光音响租赁服务</w:t>
      </w:r>
    </w:p>
    <w:p w14:paraId="3C1A0135">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t>招标公告</w:t>
      </w:r>
    </w:p>
    <w:p w14:paraId="4F567A86">
      <w:pPr>
        <w:widowControl w:val="0"/>
        <w:pBdr>
          <w:top w:val="single" w:color="auto" w:sz="4" w:space="1"/>
          <w:left w:val="single" w:color="auto" w:sz="4" w:space="4"/>
          <w:bottom w:val="single" w:color="auto" w:sz="4" w:space="1"/>
          <w:right w:val="single" w:color="auto" w:sz="4" w:space="4"/>
        </w:pBdr>
        <w:spacing w:line="360" w:lineRule="auto"/>
        <w:ind w:firstLine="480" w:firstLineChars="200"/>
        <w:jc w:val="both"/>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lang w:bidi="ar"/>
          <w14:textFill>
            <w14:solidFill>
              <w14:schemeClr w14:val="tx1"/>
            </w14:solidFill>
          </w14:textFill>
        </w:rPr>
        <w:t>项目概况</w:t>
      </w:r>
    </w:p>
    <w:p w14:paraId="2E575F51">
      <w:pPr>
        <w:widowControl w:val="0"/>
        <w:pBdr>
          <w:top w:val="single" w:color="auto" w:sz="4" w:space="1"/>
          <w:left w:val="single" w:color="auto" w:sz="4" w:space="4"/>
          <w:bottom w:val="single" w:color="auto" w:sz="4" w:space="1"/>
          <w:right w:val="single" w:color="auto" w:sz="4" w:space="4"/>
        </w:pBdr>
        <w:spacing w:line="360" w:lineRule="auto"/>
        <w:ind w:firstLine="480" w:firstLineChars="200"/>
        <w:jc w:val="both"/>
        <w:rPr>
          <w:rFonts w:ascii="宋体" w:hAnsi="宋体" w:cs="宋体"/>
          <w:color w:val="000000" w:themeColor="text1"/>
          <w:sz w:val="24"/>
          <w:szCs w:val="24"/>
          <w:highlight w:val="none"/>
          <w14:textFill>
            <w14:solidFill>
              <w14:schemeClr w14:val="tx1"/>
            </w14:solidFill>
          </w14:textFill>
        </w:rPr>
      </w:pPr>
      <w:bookmarkStart w:id="8" w:name="_Toc29108"/>
      <w:bookmarkEnd w:id="8"/>
      <w:bookmarkStart w:id="9" w:name="_Toc32031"/>
      <w:bookmarkEnd w:id="9"/>
      <w:bookmarkStart w:id="10" w:name="_Toc35393621"/>
      <w:bookmarkStart w:id="11" w:name="_Toc28359002"/>
      <w:bookmarkStart w:id="12" w:name="_Toc35393790"/>
      <w:bookmarkStart w:id="13" w:name="_Toc28359079"/>
      <w:bookmarkStart w:id="14" w:name="_Hlk24379207"/>
      <w:r>
        <w:rPr>
          <w:rFonts w:hint="eastAsia" w:ascii="宋体" w:hAnsi="宋体" w:cs="宋体"/>
          <w:color w:val="000000" w:themeColor="text1"/>
          <w:kern w:val="2"/>
          <w:sz w:val="24"/>
          <w:szCs w:val="24"/>
          <w:highlight w:val="none"/>
          <w:u w:val="single"/>
          <w:lang w:bidi="ar"/>
          <w14:textFill>
            <w14:solidFill>
              <w14:schemeClr w14:val="tx1"/>
            </w14:solidFill>
          </w14:textFill>
        </w:rPr>
        <w:t>西南林业大学第二届智华联谊活动舞台灯光音响租赁服务</w:t>
      </w:r>
      <w:r>
        <w:rPr>
          <w:rFonts w:hint="eastAsia" w:ascii="宋体" w:hAnsi="宋体" w:cs="宋体"/>
          <w:color w:val="000000" w:themeColor="text1"/>
          <w:kern w:val="2"/>
          <w:sz w:val="24"/>
          <w:szCs w:val="24"/>
          <w:highlight w:val="none"/>
          <w:lang w:bidi="ar"/>
          <w14:textFill>
            <w14:solidFill>
              <w14:schemeClr w14:val="tx1"/>
            </w14:solidFill>
          </w14:textFill>
        </w:rPr>
        <w:t>招标项目的潜在投标人应在</w:t>
      </w:r>
      <w:r>
        <w:rPr>
          <w:rFonts w:hint="eastAsia" w:ascii="宋体" w:hAnsi="宋体" w:cs="宋体"/>
          <w:color w:val="000000" w:themeColor="text1"/>
          <w:sz w:val="24"/>
          <w:szCs w:val="24"/>
          <w:highlight w:val="none"/>
          <w:u w:val="single"/>
          <w14:textFill>
            <w14:solidFill>
              <w14:schemeClr w14:val="tx1"/>
            </w14:solidFill>
          </w14:textFill>
        </w:rPr>
        <w:t>政采云平台(https://www.zcygov.cn/)</w:t>
      </w:r>
      <w:r>
        <w:rPr>
          <w:rFonts w:hint="eastAsia" w:ascii="宋体" w:hAnsi="宋体" w:cs="宋体"/>
          <w:color w:val="000000" w:themeColor="text1"/>
          <w:kern w:val="2"/>
          <w:sz w:val="24"/>
          <w:szCs w:val="24"/>
          <w:highlight w:val="none"/>
          <w:lang w:bidi="ar"/>
          <w14:textFill>
            <w14:solidFill>
              <w14:schemeClr w14:val="tx1"/>
            </w14:solidFill>
          </w14:textFill>
        </w:rPr>
        <w:t>获取招标文件，并于</w:t>
      </w:r>
      <w:r>
        <w:rPr>
          <w:rFonts w:hint="eastAsia" w:ascii="宋体" w:hAnsi="宋体" w:cs="宋体"/>
          <w:color w:val="000000" w:themeColor="text1"/>
          <w:kern w:val="2"/>
          <w:sz w:val="24"/>
          <w:szCs w:val="24"/>
          <w:highlight w:val="none"/>
          <w:u w:val="single"/>
          <w:lang w:bidi="ar"/>
          <w14:textFill>
            <w14:solidFill>
              <w14:schemeClr w14:val="tx1"/>
            </w14:solidFill>
          </w14:textFill>
        </w:rPr>
        <w:t>2026</w:t>
      </w:r>
      <w:r>
        <w:rPr>
          <w:rFonts w:hint="eastAsia" w:ascii="宋体" w:hAnsi="宋体" w:cs="宋体"/>
          <w:bCs/>
          <w:color w:val="000000" w:themeColor="text1"/>
          <w:kern w:val="2"/>
          <w:sz w:val="24"/>
          <w:szCs w:val="24"/>
          <w:highlight w:val="none"/>
          <w:u w:val="single"/>
          <w:lang w:bidi="ar"/>
          <w14:textFill>
            <w14:solidFill>
              <w14:schemeClr w14:val="tx1"/>
            </w14:solidFill>
          </w14:textFill>
        </w:rPr>
        <w:t>年</w:t>
      </w:r>
      <w:r>
        <w:rPr>
          <w:rFonts w:hint="eastAsia" w:ascii="宋体" w:hAnsi="宋体" w:cs="宋体"/>
          <w:bCs/>
          <w:color w:val="000000" w:themeColor="text1"/>
          <w:kern w:val="2"/>
          <w:sz w:val="24"/>
          <w:szCs w:val="24"/>
          <w:highlight w:val="none"/>
          <w:u w:val="single"/>
          <w:lang w:val="en-US" w:eastAsia="zh-CN" w:bidi="ar"/>
          <w14:textFill>
            <w14:solidFill>
              <w14:schemeClr w14:val="tx1"/>
            </w14:solidFill>
          </w14:textFill>
        </w:rPr>
        <w:t>6</w:t>
      </w:r>
      <w:r>
        <w:rPr>
          <w:rFonts w:hint="eastAsia" w:ascii="宋体" w:hAnsi="宋体" w:cs="宋体"/>
          <w:bCs/>
          <w:color w:val="000000" w:themeColor="text1"/>
          <w:kern w:val="2"/>
          <w:sz w:val="24"/>
          <w:szCs w:val="24"/>
          <w:highlight w:val="none"/>
          <w:u w:val="single"/>
          <w:lang w:bidi="ar"/>
          <w14:textFill>
            <w14:solidFill>
              <w14:schemeClr w14:val="tx1"/>
            </w14:solidFill>
          </w14:textFill>
        </w:rPr>
        <w:t>月</w:t>
      </w:r>
      <w:r>
        <w:rPr>
          <w:rFonts w:hint="eastAsia" w:ascii="宋体" w:hAnsi="宋体" w:cs="宋体"/>
          <w:bCs/>
          <w:color w:val="000000" w:themeColor="text1"/>
          <w:kern w:val="2"/>
          <w:sz w:val="24"/>
          <w:szCs w:val="24"/>
          <w:highlight w:val="none"/>
          <w:u w:val="single"/>
          <w:lang w:val="en-US" w:eastAsia="zh-CN" w:bidi="ar"/>
          <w14:textFill>
            <w14:solidFill>
              <w14:schemeClr w14:val="tx1"/>
            </w14:solidFill>
          </w14:textFill>
        </w:rPr>
        <w:t>4</w:t>
      </w:r>
      <w:r>
        <w:rPr>
          <w:rFonts w:hint="eastAsia" w:ascii="宋体" w:hAnsi="宋体" w:cs="宋体"/>
          <w:bCs/>
          <w:color w:val="000000" w:themeColor="text1"/>
          <w:kern w:val="2"/>
          <w:sz w:val="24"/>
          <w:szCs w:val="24"/>
          <w:highlight w:val="none"/>
          <w:u w:val="single"/>
          <w:lang w:bidi="ar"/>
          <w14:textFill>
            <w14:solidFill>
              <w14:schemeClr w14:val="tx1"/>
            </w14:solidFill>
          </w14:textFill>
        </w:rPr>
        <w:t>日</w:t>
      </w:r>
      <w:r>
        <w:rPr>
          <w:rFonts w:hint="eastAsia" w:ascii="宋体" w:hAnsi="宋体" w:cs="宋体"/>
          <w:bCs/>
          <w:color w:val="000000" w:themeColor="text1"/>
          <w:kern w:val="2"/>
          <w:sz w:val="24"/>
          <w:szCs w:val="24"/>
          <w:highlight w:val="none"/>
          <w:u w:val="single"/>
          <w:lang w:val="en-US" w:eastAsia="zh-CN" w:bidi="ar"/>
          <w14:textFill>
            <w14:solidFill>
              <w14:schemeClr w14:val="tx1"/>
            </w14:solidFill>
          </w14:textFill>
        </w:rPr>
        <w:t>11</w:t>
      </w:r>
      <w:r>
        <w:rPr>
          <w:rFonts w:hint="eastAsia" w:ascii="宋体" w:hAnsi="宋体" w:cs="宋体"/>
          <w:bCs/>
          <w:color w:val="000000" w:themeColor="text1"/>
          <w:kern w:val="2"/>
          <w:sz w:val="24"/>
          <w:szCs w:val="24"/>
          <w:highlight w:val="none"/>
          <w:u w:val="single"/>
          <w:lang w:bidi="ar"/>
          <w14:textFill>
            <w14:solidFill>
              <w14:schemeClr w14:val="tx1"/>
            </w14:solidFill>
          </w14:textFill>
        </w:rPr>
        <w:t>点</w:t>
      </w:r>
      <w:r>
        <w:rPr>
          <w:rFonts w:hint="eastAsia" w:ascii="宋体" w:hAnsi="宋体" w:cs="宋体"/>
          <w:bCs/>
          <w:color w:val="000000" w:themeColor="text1"/>
          <w:kern w:val="2"/>
          <w:sz w:val="24"/>
          <w:szCs w:val="24"/>
          <w:highlight w:val="none"/>
          <w:u w:val="single"/>
          <w:lang w:val="en-US" w:eastAsia="zh-CN" w:bidi="ar"/>
          <w14:textFill>
            <w14:solidFill>
              <w14:schemeClr w14:val="tx1"/>
            </w14:solidFill>
          </w14:textFill>
        </w:rPr>
        <w:t>00</w:t>
      </w:r>
      <w:r>
        <w:rPr>
          <w:rFonts w:hint="eastAsia" w:ascii="宋体" w:hAnsi="宋体" w:cs="宋体"/>
          <w:bCs/>
          <w:color w:val="000000" w:themeColor="text1"/>
          <w:kern w:val="2"/>
          <w:sz w:val="24"/>
          <w:szCs w:val="24"/>
          <w:highlight w:val="none"/>
          <w:u w:val="single"/>
          <w:lang w:bidi="ar"/>
          <w14:textFill>
            <w14:solidFill>
              <w14:schemeClr w14:val="tx1"/>
            </w14:solidFill>
          </w14:textFill>
        </w:rPr>
        <w:t>分</w:t>
      </w:r>
      <w:r>
        <w:rPr>
          <w:rFonts w:hint="eastAsia" w:ascii="宋体" w:hAnsi="宋体" w:cs="宋体"/>
          <w:bCs/>
          <w:color w:val="000000" w:themeColor="text1"/>
          <w:kern w:val="2"/>
          <w:sz w:val="24"/>
          <w:szCs w:val="24"/>
          <w:highlight w:val="none"/>
          <w:lang w:bidi="ar"/>
          <w14:textFill>
            <w14:solidFill>
              <w14:schemeClr w14:val="tx1"/>
            </w14:solidFill>
          </w14:textFill>
        </w:rPr>
        <w:t>（北京时间）前递交投标文件</w:t>
      </w:r>
      <w:r>
        <w:rPr>
          <w:rFonts w:hint="eastAsia" w:ascii="宋体" w:hAnsi="宋体" w:cs="宋体"/>
          <w:color w:val="000000" w:themeColor="text1"/>
          <w:kern w:val="2"/>
          <w:sz w:val="24"/>
          <w:szCs w:val="24"/>
          <w:highlight w:val="none"/>
          <w:lang w:bidi="ar"/>
          <w14:textFill>
            <w14:solidFill>
              <w14:schemeClr w14:val="tx1"/>
            </w14:solidFill>
          </w14:textFill>
        </w:rPr>
        <w:t>。</w:t>
      </w:r>
    </w:p>
    <w:p w14:paraId="656ECBEA">
      <w:pPr>
        <w:pStyle w:val="3"/>
        <w:widowControl/>
        <w:spacing w:before="0" w:after="0" w:line="360" w:lineRule="auto"/>
        <w:rPr>
          <w:rFonts w:ascii="宋体" w:hAnsi="宋体" w:eastAsia="宋体" w:cs="宋体"/>
          <w:bCs w:val="0"/>
          <w:color w:val="000000" w:themeColor="text1"/>
          <w:sz w:val="24"/>
          <w:szCs w:val="24"/>
          <w:highlight w:val="none"/>
          <w14:textFill>
            <w14:solidFill>
              <w14:schemeClr w14:val="tx1"/>
            </w14:solidFill>
          </w14:textFill>
        </w:rPr>
      </w:pPr>
      <w:bookmarkStart w:id="15" w:name="_Toc11075"/>
      <w:bookmarkStart w:id="16" w:name="_Toc18288"/>
      <w:bookmarkStart w:id="17" w:name="_Toc14078"/>
      <w:r>
        <w:rPr>
          <w:rFonts w:hint="eastAsia" w:ascii="宋体" w:hAnsi="宋体" w:eastAsia="宋体" w:cs="宋体"/>
          <w:bCs w:val="0"/>
          <w:color w:val="000000" w:themeColor="text1"/>
          <w:sz w:val="24"/>
          <w:szCs w:val="24"/>
          <w:highlight w:val="none"/>
          <w14:textFill>
            <w14:solidFill>
              <w14:schemeClr w14:val="tx1"/>
            </w14:solidFill>
          </w14:textFill>
        </w:rPr>
        <w:t>一、项目基本情况</w:t>
      </w:r>
      <w:bookmarkEnd w:id="10"/>
      <w:bookmarkEnd w:id="11"/>
      <w:bookmarkEnd w:id="12"/>
      <w:bookmarkEnd w:id="13"/>
      <w:bookmarkEnd w:id="15"/>
      <w:bookmarkEnd w:id="16"/>
      <w:bookmarkEnd w:id="17"/>
    </w:p>
    <w:p w14:paraId="2AE10D2B">
      <w:pPr>
        <w:widowControl w:val="0"/>
        <w:spacing w:line="360" w:lineRule="auto"/>
        <w:ind w:firstLine="480" w:firstLineChars="200"/>
        <w:jc w:val="both"/>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cs="宋体"/>
          <w:color w:val="000000" w:themeColor="text1"/>
          <w:kern w:val="2"/>
          <w:sz w:val="24"/>
          <w:szCs w:val="24"/>
          <w:highlight w:val="none"/>
          <w:lang w:bidi="ar"/>
          <w14:textFill>
            <w14:solidFill>
              <w14:schemeClr w14:val="tx1"/>
            </w14:solidFill>
          </w14:textFill>
        </w:rPr>
        <w:t>项目编号：</w:t>
      </w:r>
      <w:r>
        <w:rPr>
          <w:rFonts w:hint="eastAsia" w:ascii="宋体" w:hAnsi="宋体" w:cs="宋体"/>
          <w:color w:val="000000" w:themeColor="text1"/>
          <w:kern w:val="2"/>
          <w:sz w:val="24"/>
          <w:szCs w:val="24"/>
          <w:highlight w:val="none"/>
          <w:lang w:eastAsia="zh-CN" w:bidi="ar"/>
          <w14:textFill>
            <w14:solidFill>
              <w14:schemeClr w14:val="tx1"/>
            </w14:solidFill>
          </w14:textFill>
        </w:rPr>
        <w:t>YNZC2026-G3-02356-YYZX-0202</w:t>
      </w:r>
    </w:p>
    <w:p w14:paraId="00B16138">
      <w:pPr>
        <w:widowControl w:val="0"/>
        <w:spacing w:line="360" w:lineRule="auto"/>
        <w:ind w:firstLine="480" w:firstLineChars="200"/>
        <w:jc w:val="both"/>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lang w:bidi="ar"/>
          <w14:textFill>
            <w14:solidFill>
              <w14:schemeClr w14:val="tx1"/>
            </w14:solidFill>
          </w14:textFill>
        </w:rPr>
        <w:t>项目名称：西南林业大学第二届智华联谊活动舞台灯光音响租赁服务</w:t>
      </w:r>
    </w:p>
    <w:bookmarkEnd w:id="14"/>
    <w:p w14:paraId="0800E29A">
      <w:pPr>
        <w:widowControl w:val="0"/>
        <w:spacing w:line="360" w:lineRule="auto"/>
        <w:ind w:firstLine="480" w:firstLineChars="200"/>
        <w:jc w:val="both"/>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lang w:bidi="ar"/>
          <w14:textFill>
            <w14:solidFill>
              <w14:schemeClr w14:val="tx1"/>
            </w14:solidFill>
          </w14:textFill>
        </w:rPr>
        <w:t>预算金额：20.00万元</w:t>
      </w:r>
    </w:p>
    <w:p w14:paraId="4D2FBC1D">
      <w:pPr>
        <w:widowControl w:val="0"/>
        <w:spacing w:line="360" w:lineRule="auto"/>
        <w:ind w:firstLine="480" w:firstLineChars="200"/>
        <w:jc w:val="both"/>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lang w:bidi="ar"/>
          <w14:textFill>
            <w14:solidFill>
              <w14:schemeClr w14:val="tx1"/>
            </w14:solidFill>
          </w14:textFill>
        </w:rPr>
        <w:t>最高限价：20.00万元</w:t>
      </w:r>
      <w:bookmarkStart w:id="459" w:name="_GoBack"/>
      <w:bookmarkEnd w:id="459"/>
    </w:p>
    <w:p w14:paraId="189C2B79">
      <w:pPr>
        <w:widowControl w:val="0"/>
        <w:spacing w:line="360" w:lineRule="auto"/>
        <w:ind w:firstLine="480" w:firstLineChars="200"/>
        <w:jc w:val="both"/>
        <w:rPr>
          <w:rFonts w:ascii="宋体" w:hAnsi="宋体" w:cs="宋体"/>
          <w:color w:val="000000" w:themeColor="text1"/>
          <w:kern w:val="2"/>
          <w:sz w:val="24"/>
          <w:szCs w:val="24"/>
          <w:highlight w:val="none"/>
          <w:lang w:bidi="ar"/>
          <w14:textFill>
            <w14:solidFill>
              <w14:schemeClr w14:val="tx1"/>
            </w14:solidFill>
          </w14:textFill>
        </w:rPr>
      </w:pPr>
      <w:bookmarkStart w:id="18" w:name="_Toc28359080"/>
      <w:bookmarkStart w:id="19" w:name="_Toc35393622"/>
      <w:bookmarkStart w:id="20" w:name="_Toc35393791"/>
      <w:bookmarkStart w:id="21" w:name="_Toc4694"/>
      <w:bookmarkStart w:id="22" w:name="_Toc3881"/>
      <w:bookmarkStart w:id="23" w:name="_Toc28359003"/>
      <w:bookmarkStart w:id="24" w:name="_Toc5850"/>
      <w:r>
        <w:rPr>
          <w:rFonts w:hint="eastAsia" w:ascii="宋体" w:hAnsi="宋体" w:cs="宋体"/>
          <w:color w:val="000000" w:themeColor="text1"/>
          <w:kern w:val="2"/>
          <w:sz w:val="24"/>
          <w:szCs w:val="24"/>
          <w:highlight w:val="none"/>
          <w:lang w:bidi="ar"/>
          <w14:textFill>
            <w14:solidFill>
              <w14:schemeClr w14:val="tx1"/>
            </w14:solidFill>
          </w14:textFill>
        </w:rPr>
        <w:t>采购需求：西南林业大学第二届智华联谊活动舞台灯光音响租赁及相关服务（含设备运输、安装、调试、现场执行、撤场等全部环节），具体要求详见 第六章 服务内容及要求。</w:t>
      </w:r>
    </w:p>
    <w:p w14:paraId="56491FAA">
      <w:pPr>
        <w:widowControl w:val="0"/>
        <w:spacing w:line="360" w:lineRule="auto"/>
        <w:ind w:firstLine="480" w:firstLineChars="200"/>
        <w:jc w:val="both"/>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合同履行期限：合同签订之日起至活动结束。</w:t>
      </w:r>
    </w:p>
    <w:p w14:paraId="261221A6">
      <w:pPr>
        <w:widowControl w:val="0"/>
        <w:spacing w:line="360" w:lineRule="auto"/>
        <w:ind w:firstLine="480" w:firstLineChars="200"/>
        <w:jc w:val="both"/>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lang w:bidi="ar"/>
          <w14:textFill>
            <w14:solidFill>
              <w14:schemeClr w14:val="tx1"/>
            </w14:solidFill>
          </w14:textFill>
        </w:rPr>
        <w:t>本项目（否）接受联合体投标。</w:t>
      </w:r>
    </w:p>
    <w:p w14:paraId="71546D21">
      <w:pPr>
        <w:pStyle w:val="3"/>
        <w:widowControl/>
        <w:spacing w:before="0" w:after="0" w:line="360" w:lineRule="auto"/>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二、申请人的资格要求</w:t>
      </w:r>
      <w:bookmarkEnd w:id="18"/>
      <w:bookmarkEnd w:id="19"/>
      <w:bookmarkEnd w:id="20"/>
      <w:bookmarkEnd w:id="21"/>
      <w:bookmarkEnd w:id="22"/>
      <w:bookmarkEnd w:id="23"/>
      <w:bookmarkEnd w:id="24"/>
    </w:p>
    <w:p w14:paraId="67931F78">
      <w:pPr>
        <w:widowControl w:val="0"/>
        <w:spacing w:line="360" w:lineRule="auto"/>
        <w:ind w:firstLine="480" w:firstLineChars="200"/>
        <w:jc w:val="both"/>
        <w:rPr>
          <w:rFonts w:ascii="宋体" w:hAnsi="宋体" w:cs="宋体"/>
          <w:color w:val="000000" w:themeColor="text1"/>
          <w:kern w:val="2"/>
          <w:sz w:val="24"/>
          <w:szCs w:val="24"/>
          <w:highlight w:val="none"/>
          <w:lang w:bidi="ar"/>
          <w14:textFill>
            <w14:solidFill>
              <w14:schemeClr w14:val="tx1"/>
            </w14:solidFill>
          </w14:textFill>
        </w:rPr>
      </w:pPr>
      <w:bookmarkStart w:id="25" w:name="_Toc12367"/>
      <w:bookmarkStart w:id="26" w:name="_Toc15661"/>
      <w:bookmarkStart w:id="27" w:name="_Toc28359004"/>
      <w:bookmarkStart w:id="28" w:name="_Toc35393792"/>
      <w:bookmarkStart w:id="29" w:name="_Toc27215"/>
      <w:bookmarkStart w:id="30" w:name="_Toc35393623"/>
      <w:bookmarkStart w:id="31" w:name="_Toc28359081"/>
      <w:r>
        <w:rPr>
          <w:rFonts w:hint="eastAsia" w:ascii="宋体" w:hAnsi="宋体" w:cs="宋体"/>
          <w:color w:val="000000" w:themeColor="text1"/>
          <w:kern w:val="2"/>
          <w:sz w:val="24"/>
          <w:szCs w:val="24"/>
          <w:highlight w:val="none"/>
          <w:lang w:bidi="ar"/>
          <w14:textFill>
            <w14:solidFill>
              <w14:schemeClr w14:val="tx1"/>
            </w14:solidFill>
          </w14:textFill>
        </w:rPr>
        <w:t>1.满足《中华人民共和国政府采购法》第二十二条规定；</w:t>
      </w:r>
    </w:p>
    <w:p w14:paraId="1C6CC5FA">
      <w:pPr>
        <w:widowControl w:val="0"/>
        <w:spacing w:line="360" w:lineRule="auto"/>
        <w:ind w:firstLine="480" w:firstLineChars="200"/>
        <w:jc w:val="both"/>
        <w:rPr>
          <w:rFonts w:ascii="宋体" w:hAnsi="宋体" w:cs="宋体"/>
          <w:color w:val="000000" w:themeColor="text1"/>
          <w:kern w:val="2"/>
          <w:sz w:val="24"/>
          <w:szCs w:val="24"/>
          <w:highlight w:val="none"/>
          <w:lang w:bidi="ar"/>
          <w14:textFill>
            <w14:solidFill>
              <w14:schemeClr w14:val="tx1"/>
            </w14:solidFill>
          </w14:textFill>
        </w:rPr>
      </w:pPr>
      <w:r>
        <w:rPr>
          <w:rFonts w:hint="eastAsia" w:ascii="宋体" w:hAnsi="宋体" w:cs="宋体"/>
          <w:color w:val="000000" w:themeColor="text1"/>
          <w:kern w:val="2"/>
          <w:sz w:val="24"/>
          <w:szCs w:val="24"/>
          <w:highlight w:val="none"/>
          <w:lang w:bidi="ar"/>
          <w14:textFill>
            <w14:solidFill>
              <w14:schemeClr w14:val="tx1"/>
            </w14:solidFill>
          </w14:textFill>
        </w:rPr>
        <w:t>1.1具有独立承担民事责任的能力。提供法人或者其他组织的营业执照等证明文件。</w:t>
      </w:r>
    </w:p>
    <w:p w14:paraId="5C32E19A">
      <w:pPr>
        <w:widowControl w:val="0"/>
        <w:spacing w:line="360" w:lineRule="auto"/>
        <w:ind w:firstLine="480" w:firstLineChars="200"/>
        <w:jc w:val="both"/>
        <w:rPr>
          <w:rFonts w:ascii="宋体" w:hAnsi="宋体" w:cs="宋体"/>
          <w:color w:val="000000" w:themeColor="text1"/>
          <w:kern w:val="2"/>
          <w:sz w:val="24"/>
          <w:szCs w:val="24"/>
          <w:highlight w:val="none"/>
          <w:lang w:bidi="ar"/>
          <w14:textFill>
            <w14:solidFill>
              <w14:schemeClr w14:val="tx1"/>
            </w14:solidFill>
          </w14:textFill>
        </w:rPr>
      </w:pPr>
      <w:r>
        <w:rPr>
          <w:rFonts w:hint="eastAsia" w:ascii="宋体" w:hAnsi="宋体" w:cs="宋体"/>
          <w:color w:val="000000" w:themeColor="text1"/>
          <w:kern w:val="2"/>
          <w:sz w:val="24"/>
          <w:szCs w:val="24"/>
          <w:highlight w:val="none"/>
          <w:lang w:bidi="ar"/>
          <w14:textFill>
            <w14:solidFill>
              <w14:schemeClr w14:val="tx1"/>
            </w14:solidFill>
          </w14:textFill>
        </w:rPr>
        <w:t>1.2具有良好的商业信誉和健全的财务会计制度。投标人须提供财务状况报告，内容可为以下两者之一：</w:t>
      </w:r>
    </w:p>
    <w:p w14:paraId="20D462F8">
      <w:pPr>
        <w:widowControl w:val="0"/>
        <w:spacing w:line="360" w:lineRule="auto"/>
        <w:ind w:firstLine="480" w:firstLineChars="200"/>
        <w:jc w:val="both"/>
        <w:rPr>
          <w:rFonts w:ascii="宋体" w:hAnsi="宋体" w:cs="宋体"/>
          <w:color w:val="000000" w:themeColor="text1"/>
          <w:kern w:val="2"/>
          <w:sz w:val="24"/>
          <w:szCs w:val="24"/>
          <w:highlight w:val="none"/>
          <w:lang w:bidi="ar"/>
          <w14:textFill>
            <w14:solidFill>
              <w14:schemeClr w14:val="tx1"/>
            </w14:solidFill>
          </w14:textFill>
        </w:rPr>
      </w:pPr>
      <w:r>
        <w:rPr>
          <w:rFonts w:hint="eastAsia" w:ascii="宋体" w:hAnsi="宋体" w:cs="宋体"/>
          <w:color w:val="000000" w:themeColor="text1"/>
          <w:kern w:val="2"/>
          <w:sz w:val="24"/>
          <w:szCs w:val="24"/>
          <w:highlight w:val="none"/>
          <w:lang w:bidi="ar"/>
          <w14:textFill>
            <w14:solidFill>
              <w14:schemeClr w14:val="tx1"/>
            </w14:solidFill>
          </w14:textFill>
        </w:rPr>
        <w:t>①提供2024年或2025年经审计的财务报告(包括资产负债表、利润表、现金流量表、所有者权益变动表及其附注)，新成立不满1年的投标人提供自成立至今的财务报表；</w:t>
      </w:r>
    </w:p>
    <w:p w14:paraId="72B38EC9">
      <w:pPr>
        <w:widowControl w:val="0"/>
        <w:spacing w:line="360" w:lineRule="auto"/>
        <w:ind w:firstLine="480" w:firstLineChars="200"/>
        <w:jc w:val="both"/>
        <w:rPr>
          <w:rFonts w:ascii="宋体" w:hAnsi="宋体" w:cs="宋体"/>
          <w:color w:val="000000" w:themeColor="text1"/>
          <w:kern w:val="2"/>
          <w:sz w:val="24"/>
          <w:szCs w:val="24"/>
          <w:highlight w:val="none"/>
          <w:lang w:bidi="ar"/>
          <w14:textFill>
            <w14:solidFill>
              <w14:schemeClr w14:val="tx1"/>
            </w14:solidFill>
          </w14:textFill>
        </w:rPr>
      </w:pPr>
      <w:r>
        <w:rPr>
          <w:rFonts w:hint="eastAsia" w:ascii="宋体" w:hAnsi="宋体" w:cs="宋体"/>
          <w:color w:val="000000" w:themeColor="text1"/>
          <w:kern w:val="2"/>
          <w:sz w:val="24"/>
          <w:szCs w:val="24"/>
          <w:highlight w:val="none"/>
          <w:lang w:bidi="ar"/>
          <w14:textFill>
            <w14:solidFill>
              <w14:schemeClr w14:val="tx1"/>
            </w14:solidFill>
          </w14:textFill>
        </w:rPr>
        <w:t>②</w:t>
      </w:r>
      <w:r>
        <w:rPr>
          <w:rFonts w:hint="eastAsia" w:hAnsi="宋体" w:cs="宋体"/>
          <w:color w:val="000000" w:themeColor="text1"/>
          <w:kern w:val="2"/>
          <w:sz w:val="24"/>
          <w:szCs w:val="24"/>
          <w:highlight w:val="none"/>
          <w:lang w:bidi="ar"/>
          <w14:textFill>
            <w14:solidFill>
              <w14:schemeClr w14:val="tx1"/>
            </w14:solidFill>
          </w14:textFill>
        </w:rPr>
        <w:t>提供自投标文件提交截止时间前三个月内基本开户银行出具的资信证明</w:t>
      </w:r>
      <w:r>
        <w:rPr>
          <w:rFonts w:hint="eastAsia" w:ascii="宋体" w:hAnsi="宋体" w:cs="宋体"/>
          <w:color w:val="000000" w:themeColor="text1"/>
          <w:kern w:val="2"/>
          <w:sz w:val="24"/>
          <w:szCs w:val="24"/>
          <w:highlight w:val="none"/>
          <w:lang w:bidi="ar"/>
          <w14:textFill>
            <w14:solidFill>
              <w14:schemeClr w14:val="tx1"/>
            </w14:solidFill>
          </w14:textFill>
        </w:rPr>
        <w:t>。</w:t>
      </w:r>
    </w:p>
    <w:p w14:paraId="2F56CD55">
      <w:pPr>
        <w:widowControl w:val="0"/>
        <w:spacing w:line="360" w:lineRule="auto"/>
        <w:ind w:firstLine="480" w:firstLineChars="200"/>
        <w:jc w:val="both"/>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lang w:bidi="ar"/>
          <w14:textFill>
            <w14:solidFill>
              <w14:schemeClr w14:val="tx1"/>
            </w14:solidFill>
          </w14:textFill>
        </w:rPr>
        <w:t>1.3具有履行合同所必需的设备和专业技术能力。</w:t>
      </w:r>
      <w:r>
        <w:rPr>
          <w:rFonts w:hint="eastAsia" w:ascii="宋体" w:hAnsi="宋体" w:cs="宋体"/>
          <w:color w:val="000000" w:themeColor="text1"/>
          <w:sz w:val="24"/>
          <w:szCs w:val="24"/>
          <w:highlight w:val="none"/>
          <w14:textFill>
            <w14:solidFill>
              <w14:schemeClr w14:val="tx1"/>
            </w14:solidFill>
          </w14:textFill>
        </w:rPr>
        <w:t>提供具备履行合同所必需的设备和专业技术能力的证明材料或承诺。</w:t>
      </w:r>
    </w:p>
    <w:p w14:paraId="6594000B">
      <w:pPr>
        <w:spacing w:line="360" w:lineRule="auto"/>
        <w:ind w:firstLine="480" w:firstLineChars="200"/>
        <w:jc w:val="both"/>
        <w:rPr>
          <w:rFonts w:ascii="宋体" w:hAnsi="宋体" w:cs="宋体"/>
          <w:color w:val="000000" w:themeColor="text1"/>
          <w:kern w:val="2"/>
          <w:sz w:val="24"/>
          <w:szCs w:val="24"/>
          <w:highlight w:val="none"/>
          <w:lang w:bidi="ar"/>
          <w14:textFill>
            <w14:solidFill>
              <w14:schemeClr w14:val="tx1"/>
            </w14:solidFill>
          </w14:textFill>
        </w:rPr>
      </w:pPr>
      <w:r>
        <w:rPr>
          <w:rFonts w:hint="eastAsia" w:ascii="宋体" w:hAnsi="宋体" w:cs="宋体"/>
          <w:color w:val="000000" w:themeColor="text1"/>
          <w:kern w:val="2"/>
          <w:sz w:val="24"/>
          <w:szCs w:val="24"/>
          <w:highlight w:val="none"/>
          <w:lang w:bidi="ar"/>
          <w14:textFill>
            <w14:solidFill>
              <w14:schemeClr w14:val="tx1"/>
            </w14:solidFill>
          </w14:textFill>
        </w:rPr>
        <w:t>1.4有依法缴纳税收和社会保障资金的良好记录：</w:t>
      </w:r>
    </w:p>
    <w:p w14:paraId="12595873">
      <w:pPr>
        <w:spacing w:line="360" w:lineRule="auto"/>
        <w:ind w:firstLine="480" w:firstLineChars="200"/>
        <w:jc w:val="both"/>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1.4.1提供缴税所属时间在2025年1月至本项目投标文件提交截止时间前任意3个月的税务局税收通用缴款书或银行电子缴税（费）凭证或税务局出具纳税情况的相关证明（注：成立未满3个月的投标人提供自成立以来的相关纳税证明或情况说明；依法免税的，应提供依法免税的相关证明文件）；</w:t>
      </w:r>
    </w:p>
    <w:p w14:paraId="4C2ED507">
      <w:pPr>
        <w:spacing w:line="360" w:lineRule="auto"/>
        <w:ind w:firstLine="480" w:firstLineChars="200"/>
        <w:jc w:val="both"/>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1.4.2提供缴费所属时间在2025年1月至本项目投标文件提交截止时间前任意3个月的社会保险费缴款书或银行电子缴税（费）凭证或社保管理部门出具的有效的缴款证明（注：成立未满3个月的投标人提供自成立以来的相关缴款证明或情况说明；依法免缴的，应提供依法免缴的相关证明文件）。</w:t>
      </w:r>
    </w:p>
    <w:p w14:paraId="78420343">
      <w:pPr>
        <w:spacing w:line="360" w:lineRule="auto"/>
        <w:ind w:firstLine="480" w:firstLineChars="200"/>
        <w:jc w:val="both"/>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1.5参加政府采购活动前三年内，在经营活动中没有重大违法记录。提供参加政府采购活动前三年内在经营活动中没有重大违法记录的书面声明</w:t>
      </w:r>
      <w:r>
        <w:rPr>
          <w:rFonts w:hint="eastAsia" w:ascii="宋体" w:hAnsi="宋体"/>
          <w:color w:val="000000" w:themeColor="text1"/>
          <w:sz w:val="24"/>
          <w:szCs w:val="24"/>
          <w:highlight w:val="none"/>
          <w14:textFill>
            <w14:solidFill>
              <w14:schemeClr w14:val="tx1"/>
            </w14:solidFill>
          </w14:textFill>
        </w:rPr>
        <w:t>（重大违法记录是指供应商因违法经营受到刑事处罚或者责令停产停业、吊销许可证或者执照、较大数额</w:t>
      </w:r>
      <w:r>
        <w:rPr>
          <w:rFonts w:hint="eastAsia" w:ascii="宋体" w:hAnsi="宋体" w:cs="宋体"/>
          <w:color w:val="000000" w:themeColor="text1"/>
          <w:sz w:val="24"/>
          <w:szCs w:val="24"/>
          <w:highlight w:val="none"/>
          <w14:textFill>
            <w14:solidFill>
              <w14:schemeClr w14:val="tx1"/>
            </w14:solidFill>
          </w14:textFill>
        </w:rPr>
        <w:t>罚款</w:t>
      </w:r>
      <w:r>
        <w:rPr>
          <w:rFonts w:hint="eastAsia" w:ascii="宋体" w:hAnsi="宋体"/>
          <w:color w:val="000000" w:themeColor="text1"/>
          <w:sz w:val="24"/>
          <w:szCs w:val="24"/>
          <w:highlight w:val="none"/>
          <w14:textFill>
            <w14:solidFill>
              <w14:schemeClr w14:val="tx1"/>
            </w14:solidFill>
          </w14:textFill>
        </w:rPr>
        <w:t>（较大数额罚款是指200万元以上罚款））</w:t>
      </w:r>
      <w:r>
        <w:rPr>
          <w:rFonts w:hint="eastAsia" w:ascii="宋体" w:hAnsi="宋体" w:cs="宋体"/>
          <w:color w:val="000000" w:themeColor="text1"/>
          <w:sz w:val="24"/>
          <w:szCs w:val="24"/>
          <w:highlight w:val="none"/>
          <w14:textFill>
            <w14:solidFill>
              <w14:schemeClr w14:val="tx1"/>
            </w14:solidFill>
          </w14:textFill>
        </w:rPr>
        <w:t>。</w:t>
      </w:r>
    </w:p>
    <w:p w14:paraId="1C8DAC1C">
      <w:pPr>
        <w:spacing w:line="360" w:lineRule="auto"/>
        <w:ind w:firstLine="465"/>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1.6法律、行政法规规定的其他条件。</w:t>
      </w:r>
    </w:p>
    <w:p w14:paraId="3FE65297">
      <w:pPr>
        <w:pStyle w:val="14"/>
        <w:ind w:firstLine="465"/>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1.6.1 单位负责人为同一人或者存在直接控股、管理关系的不同供应商，不得参加同一合同项下的政府采购活动。</w:t>
      </w:r>
    </w:p>
    <w:p w14:paraId="69551CBF">
      <w:pPr>
        <w:pStyle w:val="14"/>
        <w:ind w:firstLine="465"/>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为采购项目提供整体设计、规范编制或者项目管理、监理、检测等服务的供应商，不得再参加该采购项目的其他采购活动。</w:t>
      </w:r>
    </w:p>
    <w:p w14:paraId="57CC6D7F">
      <w:pPr>
        <w:pStyle w:val="14"/>
        <w:ind w:firstLine="48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1.6.2投标人应在“信用中国”网站(www.creditchina.gov.cn)未被列入失信被执行人记录、重大税收违法失信主体且在中国政府采购网(www.ccgp.gov.cn)没有政府采购严重违法失信行为记录，由</w:t>
      </w:r>
      <w:r>
        <w:rPr>
          <w:rFonts w:hint="eastAsia" w:ascii="宋体" w:hAnsi="宋体" w:cs="宋体"/>
          <w:color w:val="000000" w:themeColor="text1"/>
          <w:sz w:val="24"/>
          <w:highlight w:val="none"/>
          <w14:textFill>
            <w14:solidFill>
              <w14:schemeClr w14:val="tx1"/>
            </w14:solidFill>
          </w14:textFill>
        </w:rPr>
        <w:t>采购代理机构通过“信用中国网”、“中国政府采购网”等渠道查询相关主体信用记录</w:t>
      </w:r>
      <w:r>
        <w:rPr>
          <w:rFonts w:hint="eastAsia" w:ascii="宋体" w:hAnsi="宋体" w:cs="宋体"/>
          <w:color w:val="000000" w:themeColor="text1"/>
          <w:kern w:val="0"/>
          <w:sz w:val="24"/>
          <w:highlight w:val="none"/>
          <w14:textFill>
            <w14:solidFill>
              <w14:schemeClr w14:val="tx1"/>
            </w14:solidFill>
          </w14:textFill>
        </w:rPr>
        <w:t>。</w:t>
      </w:r>
    </w:p>
    <w:p w14:paraId="444456DB">
      <w:pPr>
        <w:pStyle w:val="14"/>
        <w:ind w:firstLine="48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2.落实政府采购政策需满足的资格要求：</w:t>
      </w:r>
      <w:r>
        <w:rPr>
          <w:rFonts w:hint="eastAsia" w:ascii="宋体" w:hAnsi="宋体" w:cs="宋体"/>
          <w:color w:val="000000" w:themeColor="text1"/>
          <w:sz w:val="24"/>
          <w:highlight w:val="none"/>
          <w14:textFill>
            <w14:solidFill>
              <w14:schemeClr w14:val="tx1"/>
            </w14:solidFill>
          </w14:textFill>
        </w:rPr>
        <w:t>本项目属于专门面向中小企业采购的项目。投标人按规定提供中小微企业的产品（提供由中小微企业制造的货物），参加本项目响应的中小微企业应当符合</w:t>
      </w:r>
      <w:r>
        <w:rPr>
          <w:rFonts w:hint="eastAsia" w:ascii="宋体" w:hAnsi="宋体" w:cs="宋体"/>
          <w:color w:val="000000" w:themeColor="text1"/>
          <w:sz w:val="24"/>
          <w:highlight w:val="none"/>
          <w:u w:val="single"/>
          <w14:textFill>
            <w14:solidFill>
              <w14:schemeClr w14:val="tx1"/>
            </w14:solidFill>
          </w14:textFill>
        </w:rPr>
        <w:t>租赁和商务服务业</w:t>
      </w:r>
      <w:r>
        <w:rPr>
          <w:rFonts w:hint="eastAsia" w:ascii="宋体" w:hAnsi="宋体" w:cs="宋体"/>
          <w:color w:val="000000" w:themeColor="text1"/>
          <w:sz w:val="24"/>
          <w:highlight w:val="none"/>
          <w14:textFill>
            <w14:solidFill>
              <w14:schemeClr w14:val="tx1"/>
            </w14:solidFill>
          </w14:textFill>
        </w:rPr>
        <w:t>行业的中小企业划分标准，货物生产制造商应为中小微企业，监狱企业、残疾人福利性单位视同为小微企业。本项目执行政府采购促进中小企业发展、支持监狱企业、促进残疾人就业、强制采购和优先采购节能、环保产品等政府采购政策。</w:t>
      </w:r>
    </w:p>
    <w:p w14:paraId="27E75399">
      <w:pPr>
        <w:pStyle w:val="14"/>
        <w:ind w:firstLine="480"/>
        <w:rPr>
          <w:rFonts w:ascii="宋体" w:hAnsi="宋体" w:cs="宋体"/>
          <w:color w:val="000000" w:themeColor="text1"/>
          <w:sz w:val="24"/>
          <w:highlight w:val="none"/>
          <w:lang w:bidi="ar"/>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3.本项目的特定资格要求：本项目不接受联合体投标。</w:t>
      </w:r>
    </w:p>
    <w:p w14:paraId="0A5542D7">
      <w:pPr>
        <w:pStyle w:val="3"/>
        <w:widowControl/>
        <w:spacing w:before="0" w:after="0" w:line="360" w:lineRule="auto"/>
        <w:rPr>
          <w:rFonts w:ascii="宋体" w:hAnsi="宋体" w:eastAsia="宋体" w:cs="宋体"/>
          <w:bCs w:val="0"/>
          <w:color w:val="000000" w:themeColor="text1"/>
          <w:sz w:val="24"/>
          <w:szCs w:val="24"/>
          <w:highlight w:val="none"/>
          <w14:textFill>
            <w14:solidFill>
              <w14:schemeClr w14:val="tx1"/>
            </w14:solidFill>
          </w14:textFill>
        </w:rPr>
      </w:pPr>
      <w:r>
        <w:rPr>
          <w:rFonts w:hint="eastAsia" w:ascii="宋体" w:hAnsi="宋体" w:eastAsia="宋体" w:cs="宋体"/>
          <w:bCs w:val="0"/>
          <w:color w:val="000000" w:themeColor="text1"/>
          <w:sz w:val="24"/>
          <w:szCs w:val="24"/>
          <w:highlight w:val="none"/>
          <w14:textFill>
            <w14:solidFill>
              <w14:schemeClr w14:val="tx1"/>
            </w14:solidFill>
          </w14:textFill>
        </w:rPr>
        <w:t>三、获取招标文件</w:t>
      </w:r>
      <w:bookmarkEnd w:id="25"/>
      <w:bookmarkEnd w:id="26"/>
      <w:bookmarkEnd w:id="27"/>
      <w:bookmarkEnd w:id="28"/>
      <w:bookmarkEnd w:id="29"/>
      <w:bookmarkEnd w:id="30"/>
      <w:bookmarkEnd w:id="31"/>
    </w:p>
    <w:p w14:paraId="34A6365E">
      <w:pPr>
        <w:widowControl w:val="0"/>
        <w:spacing w:line="360" w:lineRule="auto"/>
        <w:ind w:firstLine="540"/>
        <w:jc w:val="both"/>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lang w:bidi="ar"/>
          <w14:textFill>
            <w14:solidFill>
              <w14:schemeClr w14:val="tx1"/>
            </w14:solidFill>
          </w14:textFill>
        </w:rPr>
        <w:t>时间：</w:t>
      </w:r>
      <w:r>
        <w:rPr>
          <w:rFonts w:hint="eastAsia" w:ascii="宋体" w:hAnsi="宋体" w:cs="宋体"/>
          <w:color w:val="000000" w:themeColor="text1"/>
          <w:sz w:val="24"/>
          <w:szCs w:val="24"/>
          <w:highlight w:val="none"/>
          <w:u w:val="single"/>
          <w14:textFill>
            <w14:solidFill>
              <w14:schemeClr w14:val="tx1"/>
            </w14:solidFill>
          </w14:textFill>
        </w:rPr>
        <w:t>2026</w:t>
      </w:r>
      <w:r>
        <w:rPr>
          <w:rFonts w:hint="eastAsia" w:ascii="宋体" w:hAnsi="宋体" w:cs="宋体"/>
          <w:color w:val="000000" w:themeColor="text1"/>
          <w:sz w:val="24"/>
          <w:szCs w:val="24"/>
          <w:highlight w:val="none"/>
          <w14:textFill>
            <w14:solidFill>
              <w14:schemeClr w14:val="tx1"/>
            </w14:solidFill>
          </w14:textFill>
        </w:rPr>
        <w:t>年</w:t>
      </w:r>
      <w:r>
        <w:rPr>
          <w:rFonts w:hint="eastAsia" w:ascii="宋体" w:hAnsi="宋体" w:cs="宋体"/>
          <w:bCs/>
          <w:color w:val="000000" w:themeColor="text1"/>
          <w:kern w:val="2"/>
          <w:sz w:val="24"/>
          <w:szCs w:val="24"/>
          <w:highlight w:val="none"/>
          <w:u w:val="single"/>
          <w:lang w:val="en-US" w:eastAsia="zh-CN" w:bidi="ar"/>
          <w14:textFill>
            <w14:solidFill>
              <w14:schemeClr w14:val="tx1"/>
            </w14:solidFill>
          </w14:textFill>
        </w:rPr>
        <w:t>5</w:t>
      </w:r>
      <w:r>
        <w:rPr>
          <w:rFonts w:hint="eastAsia" w:ascii="宋体" w:hAnsi="宋体" w:cs="宋体"/>
          <w:color w:val="000000" w:themeColor="text1"/>
          <w:sz w:val="24"/>
          <w:szCs w:val="24"/>
          <w:highlight w:val="none"/>
          <w14:textFill>
            <w14:solidFill>
              <w14:schemeClr w14:val="tx1"/>
            </w14:solidFill>
          </w14:textFill>
        </w:rPr>
        <w:t>月</w:t>
      </w:r>
      <w:r>
        <w:rPr>
          <w:rFonts w:hint="eastAsia" w:ascii="宋体" w:hAnsi="宋体" w:cs="宋体"/>
          <w:bCs/>
          <w:color w:val="000000" w:themeColor="text1"/>
          <w:kern w:val="2"/>
          <w:sz w:val="24"/>
          <w:szCs w:val="24"/>
          <w:highlight w:val="none"/>
          <w:u w:val="single"/>
          <w:lang w:val="en-US" w:eastAsia="zh-CN" w:bidi="ar"/>
          <w14:textFill>
            <w14:solidFill>
              <w14:schemeClr w14:val="tx1"/>
            </w14:solidFill>
          </w14:textFill>
        </w:rPr>
        <w:t>14</w:t>
      </w:r>
      <w:r>
        <w:rPr>
          <w:rFonts w:hint="eastAsia" w:ascii="宋体" w:hAnsi="宋体" w:cs="宋体"/>
          <w:color w:val="000000" w:themeColor="text1"/>
          <w:sz w:val="24"/>
          <w:szCs w:val="24"/>
          <w:highlight w:val="none"/>
          <w14:textFill>
            <w14:solidFill>
              <w14:schemeClr w14:val="tx1"/>
            </w14:solidFill>
          </w14:textFill>
        </w:rPr>
        <w:t>日至</w:t>
      </w:r>
      <w:r>
        <w:rPr>
          <w:rFonts w:hint="eastAsia" w:ascii="宋体" w:hAnsi="宋体" w:cs="宋体"/>
          <w:color w:val="000000" w:themeColor="text1"/>
          <w:sz w:val="24"/>
          <w:szCs w:val="24"/>
          <w:highlight w:val="none"/>
          <w:u w:val="single"/>
          <w14:textFill>
            <w14:solidFill>
              <w14:schemeClr w14:val="tx1"/>
            </w14:solidFill>
          </w14:textFill>
        </w:rPr>
        <w:t>2026</w:t>
      </w:r>
      <w:r>
        <w:rPr>
          <w:rFonts w:hint="eastAsia" w:ascii="宋体" w:hAnsi="宋体" w:cs="宋体"/>
          <w:color w:val="000000" w:themeColor="text1"/>
          <w:sz w:val="24"/>
          <w:szCs w:val="24"/>
          <w:highlight w:val="none"/>
          <w14:textFill>
            <w14:solidFill>
              <w14:schemeClr w14:val="tx1"/>
            </w14:solidFill>
          </w14:textFill>
        </w:rPr>
        <w:t>年</w:t>
      </w:r>
      <w:r>
        <w:rPr>
          <w:rFonts w:hint="eastAsia" w:ascii="宋体" w:hAnsi="宋体" w:cs="宋体"/>
          <w:bCs/>
          <w:color w:val="000000" w:themeColor="text1"/>
          <w:kern w:val="2"/>
          <w:sz w:val="24"/>
          <w:szCs w:val="24"/>
          <w:highlight w:val="none"/>
          <w:u w:val="single"/>
          <w:lang w:val="en-US" w:eastAsia="zh-CN" w:bidi="ar"/>
          <w14:textFill>
            <w14:solidFill>
              <w14:schemeClr w14:val="tx1"/>
            </w14:solidFill>
          </w14:textFill>
        </w:rPr>
        <w:t>5</w:t>
      </w:r>
      <w:r>
        <w:rPr>
          <w:rFonts w:hint="eastAsia" w:ascii="宋体" w:hAnsi="宋体" w:cs="宋体"/>
          <w:color w:val="000000" w:themeColor="text1"/>
          <w:sz w:val="24"/>
          <w:szCs w:val="24"/>
          <w:highlight w:val="none"/>
          <w14:textFill>
            <w14:solidFill>
              <w14:schemeClr w14:val="tx1"/>
            </w14:solidFill>
          </w14:textFill>
        </w:rPr>
        <w:t>月</w:t>
      </w:r>
      <w:r>
        <w:rPr>
          <w:rFonts w:hint="eastAsia" w:ascii="宋体" w:hAnsi="宋体" w:cs="宋体"/>
          <w:bCs/>
          <w:color w:val="000000" w:themeColor="text1"/>
          <w:kern w:val="2"/>
          <w:sz w:val="24"/>
          <w:szCs w:val="24"/>
          <w:highlight w:val="none"/>
          <w:u w:val="single"/>
          <w:lang w:val="en-US" w:eastAsia="zh-CN" w:bidi="ar"/>
          <w14:textFill>
            <w14:solidFill>
              <w14:schemeClr w14:val="tx1"/>
            </w14:solidFill>
          </w14:textFill>
        </w:rPr>
        <w:t>21</w:t>
      </w:r>
      <w:r>
        <w:rPr>
          <w:rFonts w:hint="eastAsia" w:ascii="宋体" w:hAnsi="宋体" w:cs="宋体"/>
          <w:color w:val="000000" w:themeColor="text1"/>
          <w:sz w:val="24"/>
          <w:szCs w:val="24"/>
          <w:highlight w:val="none"/>
          <w14:textFill>
            <w14:solidFill>
              <w14:schemeClr w14:val="tx1"/>
            </w14:solidFill>
          </w14:textFill>
        </w:rPr>
        <w:t>日</w:t>
      </w:r>
      <w:r>
        <w:rPr>
          <w:rFonts w:hint="eastAsia" w:ascii="宋体" w:hAnsi="宋体" w:cs="宋体"/>
          <w:color w:val="000000" w:themeColor="text1"/>
          <w:sz w:val="24"/>
          <w:szCs w:val="24"/>
          <w:highlight w:val="none"/>
          <w:lang w:bidi="ar"/>
          <w14:textFill>
            <w14:solidFill>
              <w14:schemeClr w14:val="tx1"/>
            </w14:solidFill>
          </w14:textFill>
        </w:rPr>
        <w:t>，每天上午06:00至12:00，下午12:00至23:59（北京时间，法定节假日除外）。</w:t>
      </w:r>
    </w:p>
    <w:p w14:paraId="584A958D">
      <w:pPr>
        <w:widowControl w:val="0"/>
        <w:spacing w:line="360" w:lineRule="auto"/>
        <w:ind w:firstLine="540"/>
        <w:jc w:val="both"/>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地点：“政采云”平台(http：//www.zcygov.cn)获取采购文件。</w:t>
      </w:r>
    </w:p>
    <w:p w14:paraId="7B8A3A7B">
      <w:pPr>
        <w:widowControl w:val="0"/>
        <w:spacing w:line="360" w:lineRule="auto"/>
        <w:ind w:firstLine="540"/>
        <w:jc w:val="both"/>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方式：有意参加投标的投标人需要在政采云平台办理数字证书(CA)。完成数字证书(CA)办理后，投标人需要在政采云平台绑定数字证书(CA)，并在平台上获取采购文件和其他相关采购资料。注：CA办理链接：http://yzt.ynsmartcert.cn/cms/yztmdkj.html或者https://middle.zcygov.cn/ca/apply/list?_app_=zcy.sys需要注意的是，如果投标人之前已经在云南CA在线数字证书办理网注册并办理了企业数字证书(CA)，则可以直接进行绑定，无需重复办理。此外，投标人在政采云平台办理的其他CA也可以直接使用，无需重复办理。如有问题可拨打政采云客户服务热线95763进行咨询，数字证书问题可咨询0871-67276028(紧急可拨19988166369)。</w:t>
      </w:r>
    </w:p>
    <w:p w14:paraId="4A8C4FE7">
      <w:pPr>
        <w:widowControl w:val="0"/>
        <w:spacing w:line="360" w:lineRule="auto"/>
        <w:ind w:firstLine="540"/>
        <w:jc w:val="both"/>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售价(元)：0</w:t>
      </w:r>
    </w:p>
    <w:p w14:paraId="222A9650">
      <w:pPr>
        <w:pStyle w:val="3"/>
        <w:widowControl/>
        <w:spacing w:before="0" w:after="0" w:line="360" w:lineRule="auto"/>
        <w:rPr>
          <w:rFonts w:ascii="宋体" w:hAnsi="宋体" w:eastAsia="宋体" w:cs="宋体"/>
          <w:bCs w:val="0"/>
          <w:color w:val="000000" w:themeColor="text1"/>
          <w:sz w:val="24"/>
          <w:szCs w:val="24"/>
          <w:highlight w:val="none"/>
          <w14:textFill>
            <w14:solidFill>
              <w14:schemeClr w14:val="tx1"/>
            </w14:solidFill>
          </w14:textFill>
        </w:rPr>
      </w:pPr>
      <w:bookmarkStart w:id="32" w:name="_Toc17079"/>
      <w:bookmarkStart w:id="33" w:name="_Toc13436"/>
      <w:bookmarkStart w:id="34" w:name="_Toc18731"/>
      <w:bookmarkStart w:id="35" w:name="_Toc18932"/>
      <w:r>
        <w:rPr>
          <w:rFonts w:hint="eastAsia" w:ascii="宋体" w:hAnsi="宋体" w:eastAsia="宋体" w:cs="宋体"/>
          <w:bCs w:val="0"/>
          <w:color w:val="000000" w:themeColor="text1"/>
          <w:sz w:val="24"/>
          <w:szCs w:val="24"/>
          <w:highlight w:val="none"/>
          <w14:textFill>
            <w14:solidFill>
              <w14:schemeClr w14:val="tx1"/>
            </w14:solidFill>
          </w14:textFill>
        </w:rPr>
        <w:t>四、提交投标文件截止时间、开标时间和地点</w:t>
      </w:r>
      <w:bookmarkEnd w:id="32"/>
      <w:bookmarkEnd w:id="33"/>
      <w:bookmarkEnd w:id="34"/>
      <w:bookmarkEnd w:id="35"/>
    </w:p>
    <w:p w14:paraId="1E34E3FC">
      <w:pPr>
        <w:widowControl w:val="0"/>
        <w:spacing w:line="360" w:lineRule="auto"/>
        <w:ind w:firstLine="480" w:firstLineChars="200"/>
        <w:jc w:val="both"/>
        <w:rPr>
          <w:rFonts w:ascii="宋体" w:hAnsi="宋体" w:cs="宋体"/>
          <w:bCs/>
          <w:color w:val="000000" w:themeColor="text1"/>
          <w:sz w:val="24"/>
          <w:szCs w:val="24"/>
          <w:highlight w:val="none"/>
          <w14:textFill>
            <w14:solidFill>
              <w14:schemeClr w14:val="tx1"/>
            </w14:solidFill>
          </w14:textFill>
        </w:rPr>
      </w:pPr>
      <w:bookmarkStart w:id="36" w:name="_Toc35393794"/>
      <w:bookmarkStart w:id="37" w:name="_Toc35393625"/>
      <w:bookmarkStart w:id="38" w:name="_Toc13971"/>
      <w:bookmarkStart w:id="39" w:name="_Toc28359084"/>
      <w:bookmarkStart w:id="40" w:name="_Toc28359007"/>
      <w:r>
        <w:rPr>
          <w:rFonts w:hint="eastAsia" w:ascii="宋体" w:hAnsi="宋体" w:cs="宋体"/>
          <w:color w:val="000000" w:themeColor="text1"/>
          <w:sz w:val="24"/>
          <w:szCs w:val="24"/>
          <w:highlight w:val="none"/>
          <w:u w:val="single"/>
          <w:lang w:bidi="ar"/>
          <w14:textFill>
            <w14:solidFill>
              <w14:schemeClr w14:val="tx1"/>
            </w14:solidFill>
          </w14:textFill>
        </w:rPr>
        <w:t>2026</w:t>
      </w:r>
      <w:r>
        <w:rPr>
          <w:rFonts w:hint="eastAsia" w:ascii="宋体" w:hAnsi="宋体" w:cs="宋体"/>
          <w:color w:val="000000" w:themeColor="text1"/>
          <w:sz w:val="24"/>
          <w:szCs w:val="24"/>
          <w:highlight w:val="none"/>
          <w:lang w:bidi="ar"/>
          <w14:textFill>
            <w14:solidFill>
              <w14:schemeClr w14:val="tx1"/>
            </w14:solidFill>
          </w14:textFill>
        </w:rPr>
        <w:t>年</w:t>
      </w:r>
      <w:r>
        <w:rPr>
          <w:rFonts w:hint="eastAsia" w:ascii="宋体" w:hAnsi="宋体" w:cs="宋体"/>
          <w:bCs/>
          <w:color w:val="000000" w:themeColor="text1"/>
          <w:kern w:val="2"/>
          <w:sz w:val="24"/>
          <w:szCs w:val="24"/>
          <w:highlight w:val="none"/>
          <w:u w:val="single"/>
          <w:lang w:val="en-US" w:eastAsia="zh-CN" w:bidi="ar"/>
          <w14:textFill>
            <w14:solidFill>
              <w14:schemeClr w14:val="tx1"/>
            </w14:solidFill>
          </w14:textFill>
        </w:rPr>
        <w:t>6</w:t>
      </w:r>
      <w:r>
        <w:rPr>
          <w:rFonts w:hint="eastAsia" w:ascii="宋体" w:hAnsi="宋体" w:cs="宋体"/>
          <w:color w:val="000000" w:themeColor="text1"/>
          <w:sz w:val="24"/>
          <w:szCs w:val="24"/>
          <w:highlight w:val="none"/>
          <w14:textFill>
            <w14:solidFill>
              <w14:schemeClr w14:val="tx1"/>
            </w14:solidFill>
          </w14:textFill>
        </w:rPr>
        <w:t>月</w:t>
      </w:r>
      <w:r>
        <w:rPr>
          <w:rFonts w:hint="eastAsia" w:ascii="宋体" w:hAnsi="宋体" w:cs="宋体"/>
          <w:bCs/>
          <w:color w:val="000000" w:themeColor="text1"/>
          <w:kern w:val="2"/>
          <w:sz w:val="24"/>
          <w:szCs w:val="24"/>
          <w:highlight w:val="none"/>
          <w:u w:val="single"/>
          <w:lang w:val="en-US" w:eastAsia="zh-CN" w:bidi="ar"/>
          <w14:textFill>
            <w14:solidFill>
              <w14:schemeClr w14:val="tx1"/>
            </w14:solidFill>
          </w14:textFill>
        </w:rPr>
        <w:t>4</w:t>
      </w:r>
      <w:r>
        <w:rPr>
          <w:rFonts w:hint="eastAsia" w:ascii="宋体" w:hAnsi="宋体" w:cs="宋体"/>
          <w:color w:val="000000" w:themeColor="text1"/>
          <w:sz w:val="24"/>
          <w:szCs w:val="24"/>
          <w:highlight w:val="none"/>
          <w14:textFill>
            <w14:solidFill>
              <w14:schemeClr w14:val="tx1"/>
            </w14:solidFill>
          </w14:textFill>
        </w:rPr>
        <w:t>日</w:t>
      </w:r>
      <w:r>
        <w:rPr>
          <w:rFonts w:hint="eastAsia" w:ascii="宋体" w:hAnsi="宋体" w:cs="宋体"/>
          <w:bCs/>
          <w:color w:val="000000" w:themeColor="text1"/>
          <w:kern w:val="2"/>
          <w:sz w:val="24"/>
          <w:szCs w:val="24"/>
          <w:highlight w:val="none"/>
          <w:u w:val="single"/>
          <w:lang w:val="en-US" w:eastAsia="zh-CN" w:bidi="ar"/>
          <w14:textFill>
            <w14:solidFill>
              <w14:schemeClr w14:val="tx1"/>
            </w14:solidFill>
          </w14:textFill>
        </w:rPr>
        <w:t>11:00</w:t>
      </w:r>
      <w:r>
        <w:rPr>
          <w:rFonts w:hint="eastAsia" w:ascii="宋体" w:hAnsi="宋体" w:cs="宋体"/>
          <w:bCs/>
          <w:color w:val="000000" w:themeColor="text1"/>
          <w:kern w:val="2"/>
          <w:sz w:val="24"/>
          <w:szCs w:val="24"/>
          <w:highlight w:val="none"/>
          <w:lang w:bidi="ar"/>
          <w14:textFill>
            <w14:solidFill>
              <w14:schemeClr w14:val="tx1"/>
            </w14:solidFill>
          </w14:textFill>
        </w:rPr>
        <w:t>（北京时间）</w:t>
      </w:r>
    </w:p>
    <w:p w14:paraId="2898267D">
      <w:pPr>
        <w:spacing w:line="360" w:lineRule="auto"/>
        <w:ind w:firstLine="480" w:firstLineChars="200"/>
        <w:rPr>
          <w:rFonts w:ascii="宋体" w:hAnsi="宋体" w:cs="宋体"/>
          <w:bCs/>
          <w:color w:val="000000" w:themeColor="text1"/>
          <w:sz w:val="24"/>
          <w:szCs w:val="24"/>
          <w:highlight w:val="none"/>
          <w:u w:val="singl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地点：“政采云”平台开标大厅。</w:t>
      </w:r>
    </w:p>
    <w:bookmarkEnd w:id="36"/>
    <w:bookmarkEnd w:id="37"/>
    <w:bookmarkEnd w:id="38"/>
    <w:bookmarkEnd w:id="39"/>
    <w:bookmarkEnd w:id="40"/>
    <w:p w14:paraId="5B988B78">
      <w:pPr>
        <w:pStyle w:val="3"/>
        <w:keepNext w:val="0"/>
        <w:keepLines w:val="0"/>
        <w:spacing w:before="0" w:after="0" w:line="360" w:lineRule="auto"/>
        <w:rPr>
          <w:rFonts w:ascii="宋体" w:hAnsi="宋体" w:eastAsia="宋体" w:cs="宋体"/>
          <w:bCs w:val="0"/>
          <w:color w:val="000000" w:themeColor="text1"/>
          <w:sz w:val="24"/>
          <w:szCs w:val="24"/>
          <w:highlight w:val="none"/>
          <w14:textFill>
            <w14:solidFill>
              <w14:schemeClr w14:val="tx1"/>
            </w14:solidFill>
          </w14:textFill>
        </w:rPr>
      </w:pPr>
      <w:bookmarkStart w:id="41" w:name="_Toc18951"/>
      <w:bookmarkStart w:id="42" w:name="_Toc18732"/>
      <w:bookmarkStart w:id="43" w:name="_Toc18072"/>
      <w:bookmarkStart w:id="44" w:name="_Toc28689"/>
      <w:bookmarkStart w:id="45" w:name="_Toc135900604"/>
      <w:bookmarkStart w:id="46" w:name="_Toc135900603"/>
      <w:bookmarkStart w:id="47" w:name="_Toc553"/>
      <w:r>
        <w:rPr>
          <w:rFonts w:hint="eastAsia" w:ascii="宋体" w:hAnsi="宋体" w:eastAsia="宋体" w:cs="宋体"/>
          <w:bCs w:val="0"/>
          <w:color w:val="000000" w:themeColor="text1"/>
          <w:sz w:val="24"/>
          <w:szCs w:val="24"/>
          <w:highlight w:val="none"/>
          <w14:textFill>
            <w14:solidFill>
              <w14:schemeClr w14:val="tx1"/>
            </w14:solidFill>
          </w14:textFill>
        </w:rPr>
        <w:t>五、公告期限</w:t>
      </w:r>
      <w:bookmarkEnd w:id="41"/>
      <w:bookmarkEnd w:id="42"/>
      <w:bookmarkEnd w:id="43"/>
      <w:bookmarkEnd w:id="44"/>
      <w:bookmarkEnd w:id="45"/>
    </w:p>
    <w:p w14:paraId="1101639D">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自本公告发布之日起5个工作日。</w:t>
      </w:r>
    </w:p>
    <w:bookmarkEnd w:id="46"/>
    <w:bookmarkEnd w:id="47"/>
    <w:p w14:paraId="3B0EC692">
      <w:pPr>
        <w:pStyle w:val="3"/>
        <w:widowControl/>
        <w:spacing w:before="0" w:after="0" w:line="360" w:lineRule="auto"/>
        <w:rPr>
          <w:rFonts w:ascii="宋体" w:hAnsi="宋体" w:eastAsia="宋体" w:cs="宋体"/>
          <w:bCs w:val="0"/>
          <w:color w:val="000000" w:themeColor="text1"/>
          <w:sz w:val="24"/>
          <w:szCs w:val="24"/>
          <w:highlight w:val="none"/>
          <w14:textFill>
            <w14:solidFill>
              <w14:schemeClr w14:val="tx1"/>
            </w14:solidFill>
          </w14:textFill>
        </w:rPr>
      </w:pPr>
      <w:bookmarkStart w:id="48" w:name="_Toc35393795"/>
      <w:bookmarkStart w:id="49" w:name="_Toc25052"/>
      <w:bookmarkStart w:id="50" w:name="_Toc18827"/>
      <w:bookmarkStart w:id="51" w:name="_Toc19563"/>
      <w:bookmarkStart w:id="52" w:name="_Toc14132"/>
      <w:bookmarkStart w:id="53" w:name="_Toc30034"/>
      <w:bookmarkStart w:id="54" w:name="_Toc35393626"/>
      <w:bookmarkStart w:id="55" w:name="_Toc35393796"/>
      <w:bookmarkStart w:id="56" w:name="_Toc35393627"/>
      <w:bookmarkStart w:id="57" w:name="_Toc28359008"/>
      <w:bookmarkStart w:id="58" w:name="_Toc28359085"/>
      <w:r>
        <w:rPr>
          <w:rFonts w:hint="eastAsia" w:ascii="宋体" w:hAnsi="宋体" w:eastAsia="宋体" w:cs="宋体"/>
          <w:bCs w:val="0"/>
          <w:color w:val="000000" w:themeColor="text1"/>
          <w:sz w:val="24"/>
          <w:szCs w:val="24"/>
          <w:highlight w:val="none"/>
          <w14:textFill>
            <w14:solidFill>
              <w14:schemeClr w14:val="tx1"/>
            </w14:solidFill>
          </w14:textFill>
        </w:rPr>
        <w:t>六、其他补充事宜</w:t>
      </w:r>
      <w:bookmarkEnd w:id="48"/>
      <w:bookmarkEnd w:id="49"/>
      <w:bookmarkEnd w:id="50"/>
      <w:bookmarkEnd w:id="51"/>
      <w:bookmarkEnd w:id="52"/>
      <w:bookmarkEnd w:id="53"/>
      <w:bookmarkEnd w:id="54"/>
    </w:p>
    <w:p w14:paraId="046B1881">
      <w:pPr>
        <w:widowControl w:val="0"/>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1.开标方式：网上开标。</w:t>
      </w:r>
    </w:p>
    <w:p w14:paraId="6473682B">
      <w:pPr>
        <w:widowControl w:val="0"/>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2.是否需要缴纳投标保证金：否。</w:t>
      </w:r>
    </w:p>
    <w:p w14:paraId="5C6822FF">
      <w:pPr>
        <w:widowControl w:val="0"/>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3.其他：</w:t>
      </w:r>
    </w:p>
    <w:p w14:paraId="1ADBA3F8">
      <w:pPr>
        <w:widowControl w:val="0"/>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3.1本次招标公告在</w:t>
      </w:r>
      <w:r>
        <w:rPr>
          <w:color w:val="000000" w:themeColor="text1"/>
          <w:sz w:val="24"/>
          <w:szCs w:val="24"/>
          <w:highlight w:val="none"/>
          <w14:textFill>
            <w14:solidFill>
              <w14:schemeClr w14:val="tx1"/>
            </w14:solidFill>
          </w14:textFill>
        </w:rPr>
        <w:t>《云南省政府采购网》、《西南林业大学网站》</w:t>
      </w:r>
      <w:r>
        <w:rPr>
          <w:rFonts w:hint="eastAsia" w:ascii="宋体" w:hAnsi="宋体" w:cs="宋体"/>
          <w:color w:val="000000" w:themeColor="text1"/>
          <w:sz w:val="24"/>
          <w:szCs w:val="24"/>
          <w:highlight w:val="none"/>
          <w14:textFill>
            <w14:solidFill>
              <w14:schemeClr w14:val="tx1"/>
            </w14:solidFill>
          </w14:textFill>
        </w:rPr>
        <w:t>上发布，公告内容和时间以</w:t>
      </w:r>
      <w:r>
        <w:rPr>
          <w:color w:val="000000" w:themeColor="text1"/>
          <w:sz w:val="24"/>
          <w:szCs w:val="24"/>
          <w:highlight w:val="none"/>
          <w14:textFill>
            <w14:solidFill>
              <w14:schemeClr w14:val="tx1"/>
            </w14:solidFill>
          </w14:textFill>
        </w:rPr>
        <w:t>《云南省政府采购网》</w:t>
      </w:r>
      <w:r>
        <w:rPr>
          <w:rFonts w:hint="eastAsia" w:ascii="宋体" w:hAnsi="宋体" w:cs="宋体"/>
          <w:color w:val="000000" w:themeColor="text1"/>
          <w:sz w:val="24"/>
          <w:szCs w:val="24"/>
          <w:highlight w:val="none"/>
          <w14:textFill>
            <w14:solidFill>
              <w14:schemeClr w14:val="tx1"/>
            </w14:solidFill>
          </w14:textFill>
        </w:rPr>
        <w:t>发布的信息为准。</w:t>
      </w:r>
    </w:p>
    <w:p w14:paraId="573D113E">
      <w:pPr>
        <w:widowControl w:val="0"/>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3.2本项目执行政府采购促进中小企业发展、支持监狱企业、促进残疾人就业、强制采购和优先采购节能、环保产品等政府采购政策。</w:t>
      </w:r>
    </w:p>
    <w:p w14:paraId="6A31BB43">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3.3本项目为不见面开标，投标人无需到达现场；</w:t>
      </w:r>
    </w:p>
    <w:p w14:paraId="2F794AC6">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3.4本项目实行网上投标，采用电子投标文件；</w:t>
      </w:r>
    </w:p>
    <w:p w14:paraId="710562F7">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3.5因未注册入库、未办理CA数字证书等原因造成无法投标或投标失败等后果由供应商自行承担。</w:t>
      </w:r>
    </w:p>
    <w:p w14:paraId="53B0BAB9">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3.6投标人将政采云电子交易客户端下载、安装完成后，可通过账号密码或CA登录客户端进行投标文件的制作。在使用政采云投标客户端时，建议使用WIN7(64位)及以上操作系统。客户端请至政采云网站(https://edu.zcygov.cn/luban/yunnan-dzjy-gys)进行查看下载，如有问题可拨打政采云客户服务热线400-881-7190进行咨询以及云南壹证通CA操作问题：请致电云南壹证通CA，0871-67276028(紧急可拨19988166369)。如因投标人自身原因导致在规定时间内无法正常解密的(如：浏览器故障、未安装相关驱动、网络故障、加密CA与解密CA不一致等)，代理机构不予异常处理，视为供应商自动弃标。</w:t>
      </w:r>
    </w:p>
    <w:p w14:paraId="6588A99E">
      <w:pPr>
        <w:pStyle w:val="3"/>
        <w:widowControl/>
        <w:spacing w:before="0" w:after="0" w:line="360" w:lineRule="auto"/>
        <w:rPr>
          <w:rFonts w:ascii="宋体" w:hAnsi="宋体" w:eastAsia="宋体" w:cs="宋体"/>
          <w:bCs w:val="0"/>
          <w:color w:val="000000" w:themeColor="text1"/>
          <w:sz w:val="24"/>
          <w:szCs w:val="24"/>
          <w:highlight w:val="none"/>
          <w14:textFill>
            <w14:solidFill>
              <w14:schemeClr w14:val="tx1"/>
            </w14:solidFill>
          </w14:textFill>
        </w:rPr>
      </w:pPr>
      <w:bookmarkStart w:id="59" w:name="_Toc10228"/>
      <w:bookmarkStart w:id="60" w:name="_Toc5458"/>
      <w:bookmarkStart w:id="61" w:name="_Toc24182"/>
      <w:r>
        <w:rPr>
          <w:rFonts w:hint="eastAsia" w:ascii="宋体" w:hAnsi="宋体" w:eastAsia="宋体" w:cs="宋体"/>
          <w:bCs w:val="0"/>
          <w:color w:val="000000" w:themeColor="text1"/>
          <w:sz w:val="24"/>
          <w:szCs w:val="24"/>
          <w:highlight w:val="none"/>
          <w14:textFill>
            <w14:solidFill>
              <w14:schemeClr w14:val="tx1"/>
            </w14:solidFill>
          </w14:textFill>
        </w:rPr>
        <w:t>七、对本次招标提出询问，请按以下方式联系</w:t>
      </w:r>
      <w:bookmarkEnd w:id="55"/>
      <w:bookmarkEnd w:id="56"/>
      <w:bookmarkEnd w:id="57"/>
      <w:bookmarkEnd w:id="58"/>
      <w:bookmarkEnd w:id="59"/>
      <w:bookmarkEnd w:id="60"/>
      <w:bookmarkEnd w:id="61"/>
    </w:p>
    <w:p w14:paraId="737BA7CF">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lang w:bidi="ar"/>
          <w14:textFill>
            <w14:solidFill>
              <w14:schemeClr w14:val="tx1"/>
            </w14:solidFill>
          </w14:textFill>
        </w:rPr>
        <w:t>1.采购人信息</w:t>
      </w:r>
    </w:p>
    <w:p w14:paraId="27203EBB">
      <w:pPr>
        <w:widowControl w:val="0"/>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lang w:bidi="ar"/>
          <w14:textFill>
            <w14:solidFill>
              <w14:schemeClr w14:val="tx1"/>
            </w14:solidFill>
          </w14:textFill>
        </w:rPr>
        <w:t>名称</w:t>
      </w:r>
      <w:r>
        <w:rPr>
          <w:rFonts w:hint="eastAsia" w:ascii="宋体" w:hAnsi="宋体" w:cs="宋体"/>
          <w:color w:val="000000" w:themeColor="text1"/>
          <w:kern w:val="2"/>
          <w:sz w:val="24"/>
          <w:szCs w:val="24"/>
          <w:highlight w:val="none"/>
          <w:lang w:bidi="ar"/>
          <w14:textFill>
            <w14:solidFill>
              <w14:schemeClr w14:val="tx1"/>
            </w14:solidFill>
          </w14:textFill>
        </w:rPr>
        <w:t>：西南林业大学</w:t>
      </w:r>
    </w:p>
    <w:p w14:paraId="7260852A">
      <w:pPr>
        <w:widowControl w:val="0"/>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lang w:bidi="ar"/>
          <w14:textFill>
            <w14:solidFill>
              <w14:schemeClr w14:val="tx1"/>
            </w14:solidFill>
          </w14:textFill>
        </w:rPr>
        <w:t>地址：云南省昆明市盘龙区白龙寺300号</w:t>
      </w:r>
    </w:p>
    <w:p w14:paraId="6F5CC283">
      <w:pPr>
        <w:widowControl w:val="0"/>
        <w:spacing w:line="360" w:lineRule="auto"/>
        <w:ind w:firstLine="480" w:firstLineChars="200"/>
        <w:rPr>
          <w:rFonts w:ascii="宋体" w:hAnsi="宋体" w:cs="宋体"/>
          <w:color w:val="000000" w:themeColor="text1"/>
          <w:sz w:val="24"/>
          <w:szCs w:val="24"/>
          <w:highlight w:val="none"/>
          <w:u w:val="single"/>
          <w14:textFill>
            <w14:solidFill>
              <w14:schemeClr w14:val="tx1"/>
            </w14:solidFill>
          </w14:textFill>
        </w:rPr>
      </w:pPr>
      <w:r>
        <w:rPr>
          <w:rFonts w:hint="eastAsia" w:ascii="宋体" w:hAnsi="宋体" w:cs="宋体"/>
          <w:color w:val="000000" w:themeColor="text1"/>
          <w:kern w:val="2"/>
          <w:sz w:val="24"/>
          <w:szCs w:val="24"/>
          <w:highlight w:val="none"/>
          <w:lang w:bidi="ar"/>
          <w14:textFill>
            <w14:solidFill>
              <w14:schemeClr w14:val="tx1"/>
            </w14:solidFill>
          </w14:textFill>
        </w:rPr>
        <w:t>联系方式：</w:t>
      </w:r>
      <w:bookmarkStart w:id="62" w:name="_Toc28359086"/>
      <w:bookmarkStart w:id="63" w:name="_Toc28359009"/>
      <w:r>
        <w:rPr>
          <w:rFonts w:hint="eastAsia" w:ascii="宋体" w:hAnsi="宋体" w:cs="宋体"/>
          <w:color w:val="000000" w:themeColor="text1"/>
          <w:kern w:val="2"/>
          <w:sz w:val="24"/>
          <w:szCs w:val="24"/>
          <w:highlight w:val="none"/>
          <w:lang w:bidi="ar"/>
          <w14:textFill>
            <w14:solidFill>
              <w14:schemeClr w14:val="tx1"/>
            </w14:solidFill>
          </w14:textFill>
        </w:rPr>
        <w:t>0871-63863192</w:t>
      </w:r>
    </w:p>
    <w:p w14:paraId="54E3475C">
      <w:pPr>
        <w:widowControl w:val="0"/>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lang w:bidi="ar"/>
          <w14:textFill>
            <w14:solidFill>
              <w14:schemeClr w14:val="tx1"/>
            </w14:solidFill>
          </w14:textFill>
        </w:rPr>
        <w:t>2.采购代理机构信息</w:t>
      </w:r>
      <w:bookmarkEnd w:id="62"/>
      <w:bookmarkEnd w:id="63"/>
    </w:p>
    <w:p w14:paraId="6259708C">
      <w:pPr>
        <w:widowControl w:val="0"/>
        <w:spacing w:line="360" w:lineRule="auto"/>
        <w:ind w:firstLine="480" w:firstLineChars="200"/>
        <w:jc w:val="both"/>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lang w:bidi="ar"/>
          <w14:textFill>
            <w14:solidFill>
              <w14:schemeClr w14:val="tx1"/>
            </w14:solidFill>
          </w14:textFill>
        </w:rPr>
        <w:t>名称：云南元大工程咨询有限责任公司</w:t>
      </w:r>
    </w:p>
    <w:p w14:paraId="11D043D2">
      <w:pPr>
        <w:widowControl w:val="0"/>
        <w:spacing w:line="360" w:lineRule="auto"/>
        <w:ind w:left="1199" w:leftChars="228" w:hanging="720" w:hangingChars="300"/>
        <w:jc w:val="both"/>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lang w:bidi="ar"/>
          <w14:textFill>
            <w14:solidFill>
              <w14:schemeClr w14:val="tx1"/>
            </w14:solidFill>
          </w14:textFill>
        </w:rPr>
        <w:t>地址：云南省昆明市盘龙区联盟路与万宏路交汇处万宏嘉园沣苑(地块三)B座15层(奥斯迪商务中心B座15楼)</w:t>
      </w:r>
    </w:p>
    <w:p w14:paraId="5319CECD">
      <w:pPr>
        <w:widowControl w:val="0"/>
        <w:spacing w:line="360" w:lineRule="auto"/>
        <w:ind w:firstLine="480" w:firstLineChars="200"/>
        <w:jc w:val="both"/>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lang w:bidi="ar"/>
          <w14:textFill>
            <w14:solidFill>
              <w14:schemeClr w14:val="tx1"/>
            </w14:solidFill>
          </w14:textFill>
        </w:rPr>
        <w:t>联系方式：</w:t>
      </w:r>
      <w:bookmarkStart w:id="64" w:name="_Toc28359010"/>
      <w:bookmarkStart w:id="65" w:name="_Toc28359087"/>
      <w:r>
        <w:rPr>
          <w:rFonts w:hint="eastAsia" w:ascii="宋体" w:hAnsi="宋体" w:cs="宋体"/>
          <w:color w:val="000000" w:themeColor="text1"/>
          <w:sz w:val="24"/>
          <w:szCs w:val="24"/>
          <w:highlight w:val="none"/>
          <w14:textFill>
            <w14:solidFill>
              <w14:schemeClr w14:val="tx1"/>
            </w14:solidFill>
          </w14:textFill>
        </w:rPr>
        <w:t>张琼、曾桂华</w:t>
      </w:r>
    </w:p>
    <w:p w14:paraId="4E9A6C17">
      <w:pPr>
        <w:widowControl w:val="0"/>
        <w:spacing w:line="360" w:lineRule="auto"/>
        <w:ind w:firstLine="480" w:firstLineChars="200"/>
        <w:jc w:val="both"/>
        <w:rPr>
          <w:rFonts w:ascii="宋体" w:hAnsi="宋体" w:cs="宋体"/>
          <w:color w:val="000000" w:themeColor="text1"/>
          <w:sz w:val="24"/>
          <w:szCs w:val="24"/>
          <w:highlight w:val="none"/>
          <w:u w:val="single"/>
          <w14:textFill>
            <w14:solidFill>
              <w14:schemeClr w14:val="tx1"/>
            </w14:solidFill>
          </w14:textFill>
        </w:rPr>
      </w:pPr>
      <w:r>
        <w:rPr>
          <w:rFonts w:hint="eastAsia" w:ascii="宋体" w:hAnsi="宋体" w:cs="宋体"/>
          <w:color w:val="000000" w:themeColor="text1"/>
          <w:kern w:val="2"/>
          <w:sz w:val="24"/>
          <w:szCs w:val="24"/>
          <w:highlight w:val="none"/>
          <w:lang w:bidi="ar"/>
          <w14:textFill>
            <w14:solidFill>
              <w14:schemeClr w14:val="tx1"/>
            </w14:solidFill>
          </w14:textFill>
        </w:rPr>
        <w:t>3.项目联系方式</w:t>
      </w:r>
      <w:bookmarkEnd w:id="64"/>
      <w:bookmarkEnd w:id="65"/>
    </w:p>
    <w:p w14:paraId="3B056169">
      <w:pPr>
        <w:pStyle w:val="29"/>
        <w:widowControl w:val="0"/>
        <w:spacing w:before="0" w:beforeAutospacing="0" w:after="0" w:afterAutospacing="0" w:line="360" w:lineRule="auto"/>
        <w:ind w:firstLine="480" w:firstLineChars="200"/>
        <w:jc w:val="both"/>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2"/>
          <w:highlight w:val="none"/>
          <w:lang w:bidi="ar"/>
          <w14:textFill>
            <w14:solidFill>
              <w14:schemeClr w14:val="tx1"/>
            </w14:solidFill>
          </w14:textFill>
        </w:rPr>
        <w:t>项目联系人：</w:t>
      </w:r>
      <w:r>
        <w:rPr>
          <w:rFonts w:hint="eastAsia" w:ascii="宋体" w:hAnsi="宋体" w:cs="宋体"/>
          <w:color w:val="000000" w:themeColor="text1"/>
          <w:highlight w:val="none"/>
          <w14:textFill>
            <w14:solidFill>
              <w14:schemeClr w14:val="tx1"/>
            </w14:solidFill>
          </w14:textFill>
        </w:rPr>
        <w:t>张琼、曾桂华</w:t>
      </w:r>
    </w:p>
    <w:p w14:paraId="5996A8ED">
      <w:pPr>
        <w:widowControl w:val="0"/>
        <w:spacing w:line="360" w:lineRule="auto"/>
        <w:ind w:firstLine="480" w:firstLineChars="200"/>
        <w:jc w:val="both"/>
        <w:rPr>
          <w:rFonts w:ascii="宋体" w:hAnsi="宋体" w:cs="宋体"/>
          <w:color w:val="000000" w:themeColor="text1"/>
          <w:sz w:val="24"/>
          <w:szCs w:val="24"/>
          <w:highlight w:val="none"/>
          <w:u w:val="single"/>
          <w14:textFill>
            <w14:solidFill>
              <w14:schemeClr w14:val="tx1"/>
            </w14:solidFill>
          </w14:textFill>
        </w:rPr>
      </w:pPr>
      <w:r>
        <w:rPr>
          <w:rFonts w:hint="eastAsia" w:ascii="宋体" w:hAnsi="宋体" w:cs="宋体"/>
          <w:color w:val="000000" w:themeColor="text1"/>
          <w:kern w:val="2"/>
          <w:sz w:val="24"/>
          <w:szCs w:val="24"/>
          <w:highlight w:val="none"/>
          <w:lang w:bidi="ar"/>
          <w14:textFill>
            <w14:solidFill>
              <w14:schemeClr w14:val="tx1"/>
            </w14:solidFill>
          </w14:textFill>
        </w:rPr>
        <w:t>电话：0871-63335856</w:t>
      </w:r>
    </w:p>
    <w:p w14:paraId="13419C1E">
      <w:pPr>
        <w:pStyle w:val="2"/>
        <w:spacing w:before="0" w:after="0" w:line="360" w:lineRule="auto"/>
        <w:jc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br w:type="page"/>
      </w:r>
      <w:bookmarkEnd w:id="7"/>
      <w:bookmarkStart w:id="66" w:name="_Toc23419"/>
      <w:bookmarkEnd w:id="66"/>
      <w:bookmarkStart w:id="67" w:name="_Toc8120"/>
      <w:bookmarkEnd w:id="67"/>
      <w:bookmarkStart w:id="68" w:name="_Toc29389"/>
      <w:bookmarkStart w:id="69" w:name="_Toc30239"/>
      <w:bookmarkStart w:id="70" w:name="_Toc3402"/>
      <w:bookmarkStart w:id="71" w:name="_Toc18212"/>
      <w:r>
        <w:rPr>
          <w:rFonts w:hint="eastAsia" w:ascii="宋体" w:hAnsi="宋体" w:cs="宋体"/>
          <w:color w:val="000000" w:themeColor="text1"/>
          <w:highlight w:val="none"/>
          <w14:textFill>
            <w14:solidFill>
              <w14:schemeClr w14:val="tx1"/>
            </w14:solidFill>
          </w14:textFill>
        </w:rPr>
        <w:t>第二章 投标人须知</w:t>
      </w:r>
      <w:bookmarkEnd w:id="68"/>
      <w:bookmarkEnd w:id="69"/>
      <w:bookmarkEnd w:id="70"/>
      <w:bookmarkEnd w:id="71"/>
    </w:p>
    <w:p w14:paraId="5E86D2BE">
      <w:pPr>
        <w:pStyle w:val="3"/>
        <w:spacing w:before="0" w:after="0" w:line="360" w:lineRule="auto"/>
        <w:jc w:val="center"/>
        <w:rPr>
          <w:rFonts w:ascii="宋体" w:hAnsi="宋体" w:eastAsia="宋体" w:cs="宋体"/>
          <w:color w:val="000000" w:themeColor="text1"/>
          <w:sz w:val="28"/>
          <w:szCs w:val="28"/>
          <w:highlight w:val="none"/>
          <w14:textFill>
            <w14:solidFill>
              <w14:schemeClr w14:val="tx1"/>
            </w14:solidFill>
          </w14:textFill>
        </w:rPr>
      </w:pPr>
      <w:bookmarkStart w:id="72" w:name="_Toc21714"/>
      <w:bookmarkEnd w:id="72"/>
      <w:bookmarkStart w:id="73" w:name="_Toc13590"/>
      <w:bookmarkEnd w:id="73"/>
      <w:bookmarkStart w:id="74" w:name="_Toc26144"/>
      <w:bookmarkStart w:id="75" w:name="_Toc14712"/>
      <w:bookmarkStart w:id="76" w:name="_Toc7131"/>
      <w:bookmarkStart w:id="77" w:name="_Toc28253"/>
      <w:r>
        <w:rPr>
          <w:rFonts w:hint="eastAsia" w:ascii="宋体" w:hAnsi="宋体" w:eastAsia="宋体" w:cs="宋体"/>
          <w:color w:val="000000" w:themeColor="text1"/>
          <w:sz w:val="28"/>
          <w:szCs w:val="28"/>
          <w:highlight w:val="none"/>
          <w14:textFill>
            <w14:solidFill>
              <w14:schemeClr w14:val="tx1"/>
            </w14:solidFill>
          </w14:textFill>
        </w:rPr>
        <w:t>投标人须知前附表</w:t>
      </w:r>
      <w:bookmarkEnd w:id="74"/>
      <w:bookmarkEnd w:id="75"/>
      <w:bookmarkEnd w:id="76"/>
      <w:bookmarkEnd w:id="77"/>
    </w:p>
    <w:p w14:paraId="5F7ACD9C">
      <w:pPr>
        <w:spacing w:line="200" w:lineRule="exact"/>
        <w:rPr>
          <w:rFonts w:ascii="宋体" w:hAnsi="宋体" w:cs="宋体"/>
          <w:color w:val="000000" w:themeColor="text1"/>
          <w:highlight w:val="none"/>
          <w14:textFill>
            <w14:solidFill>
              <w14:schemeClr w14:val="tx1"/>
            </w14:solidFill>
          </w14:textFill>
        </w:rPr>
      </w:pPr>
    </w:p>
    <w:tbl>
      <w:tblPr>
        <w:tblStyle w:val="34"/>
        <w:tblW w:w="9882" w:type="dxa"/>
        <w:jc w:val="center"/>
        <w:tblLayout w:type="fixed"/>
        <w:tblCellMar>
          <w:top w:w="0" w:type="dxa"/>
          <w:left w:w="0" w:type="dxa"/>
          <w:bottom w:w="0" w:type="dxa"/>
          <w:right w:w="0" w:type="dxa"/>
        </w:tblCellMar>
      </w:tblPr>
      <w:tblGrid>
        <w:gridCol w:w="1059"/>
        <w:gridCol w:w="2024"/>
        <w:gridCol w:w="6799"/>
      </w:tblGrid>
      <w:tr w14:paraId="26752192">
        <w:tblPrEx>
          <w:tblCellMar>
            <w:top w:w="0" w:type="dxa"/>
            <w:left w:w="0" w:type="dxa"/>
            <w:bottom w:w="0" w:type="dxa"/>
            <w:right w:w="0" w:type="dxa"/>
          </w:tblCellMar>
        </w:tblPrEx>
        <w:trPr>
          <w:tblHeader/>
          <w:jc w:val="center"/>
        </w:trPr>
        <w:tc>
          <w:tcPr>
            <w:tcW w:w="1059" w:type="dxa"/>
            <w:tcBorders>
              <w:top w:val="single" w:color="auto" w:sz="8" w:space="0"/>
              <w:left w:val="single" w:color="auto" w:sz="8" w:space="0"/>
              <w:bottom w:val="single" w:color="auto" w:sz="8" w:space="0"/>
              <w:right w:val="single" w:color="auto" w:sz="8" w:space="0"/>
            </w:tcBorders>
            <w:vAlign w:val="center"/>
          </w:tcPr>
          <w:p w14:paraId="1CE9476C">
            <w:pPr>
              <w:spacing w:line="360" w:lineRule="auto"/>
              <w:jc w:val="center"/>
              <w:rPr>
                <w:rFonts w:ascii="宋体" w:hAnsi="宋体" w:cs="宋体"/>
                <w:b/>
                <w:bCs/>
                <w:color w:val="000000" w:themeColor="text1"/>
                <w:kern w:val="2"/>
                <w:sz w:val="24"/>
                <w:szCs w:val="24"/>
                <w:highlight w:val="none"/>
                <w14:textFill>
                  <w14:solidFill>
                    <w14:schemeClr w14:val="tx1"/>
                  </w14:solidFill>
                </w14:textFill>
              </w:rPr>
            </w:pPr>
            <w:r>
              <w:rPr>
                <w:rFonts w:hint="eastAsia" w:ascii="宋体" w:hAnsi="宋体" w:cs="宋体"/>
                <w:b/>
                <w:bCs/>
                <w:color w:val="000000" w:themeColor="text1"/>
                <w:kern w:val="2"/>
                <w:sz w:val="24"/>
                <w:szCs w:val="24"/>
                <w:highlight w:val="none"/>
                <w14:textFill>
                  <w14:solidFill>
                    <w14:schemeClr w14:val="tx1"/>
                  </w14:solidFill>
                </w14:textFill>
              </w:rPr>
              <w:t>条款号</w:t>
            </w:r>
          </w:p>
        </w:tc>
        <w:tc>
          <w:tcPr>
            <w:tcW w:w="2024" w:type="dxa"/>
            <w:tcBorders>
              <w:top w:val="single" w:color="auto" w:sz="8" w:space="0"/>
              <w:left w:val="nil"/>
              <w:bottom w:val="single" w:color="auto" w:sz="8" w:space="0"/>
              <w:right w:val="single" w:color="auto" w:sz="8" w:space="0"/>
            </w:tcBorders>
            <w:vAlign w:val="bottom"/>
          </w:tcPr>
          <w:p w14:paraId="6EE5610B">
            <w:pPr>
              <w:spacing w:line="360" w:lineRule="auto"/>
              <w:jc w:val="center"/>
              <w:rPr>
                <w:rFonts w:ascii="宋体" w:hAnsi="宋体" w:cs="宋体"/>
                <w:b/>
                <w:bCs/>
                <w:color w:val="000000" w:themeColor="text1"/>
                <w:kern w:val="2"/>
                <w:sz w:val="24"/>
                <w:szCs w:val="24"/>
                <w:highlight w:val="none"/>
                <w14:textFill>
                  <w14:solidFill>
                    <w14:schemeClr w14:val="tx1"/>
                  </w14:solidFill>
                </w14:textFill>
              </w:rPr>
            </w:pPr>
            <w:r>
              <w:rPr>
                <w:rFonts w:hint="eastAsia" w:ascii="宋体" w:hAnsi="宋体" w:cs="宋体"/>
                <w:b/>
                <w:bCs/>
                <w:color w:val="000000" w:themeColor="text1"/>
                <w:kern w:val="2"/>
                <w:sz w:val="24"/>
                <w:szCs w:val="24"/>
                <w:highlight w:val="none"/>
                <w14:textFill>
                  <w14:solidFill>
                    <w14:schemeClr w14:val="tx1"/>
                  </w14:solidFill>
                </w14:textFill>
              </w:rPr>
              <w:t>条 款 名 称</w:t>
            </w:r>
          </w:p>
        </w:tc>
        <w:tc>
          <w:tcPr>
            <w:tcW w:w="6799" w:type="dxa"/>
            <w:tcBorders>
              <w:top w:val="single" w:color="auto" w:sz="8" w:space="0"/>
              <w:left w:val="nil"/>
              <w:bottom w:val="single" w:color="auto" w:sz="8" w:space="0"/>
              <w:right w:val="single" w:color="auto" w:sz="8" w:space="0"/>
            </w:tcBorders>
            <w:vAlign w:val="bottom"/>
          </w:tcPr>
          <w:p w14:paraId="6548B73E">
            <w:pPr>
              <w:spacing w:line="360" w:lineRule="auto"/>
              <w:ind w:left="1680"/>
              <w:rPr>
                <w:rFonts w:ascii="宋体" w:hAnsi="宋体" w:cs="宋体"/>
                <w:b/>
                <w:bCs/>
                <w:color w:val="000000" w:themeColor="text1"/>
                <w:kern w:val="2"/>
                <w:sz w:val="24"/>
                <w:szCs w:val="24"/>
                <w:highlight w:val="none"/>
                <w14:textFill>
                  <w14:solidFill>
                    <w14:schemeClr w14:val="tx1"/>
                  </w14:solidFill>
                </w14:textFill>
              </w:rPr>
            </w:pPr>
            <w:r>
              <w:rPr>
                <w:rFonts w:hint="eastAsia" w:ascii="宋体" w:hAnsi="宋体" w:cs="宋体"/>
                <w:b/>
                <w:bCs/>
                <w:color w:val="000000" w:themeColor="text1"/>
                <w:kern w:val="2"/>
                <w:sz w:val="24"/>
                <w:szCs w:val="24"/>
                <w:highlight w:val="none"/>
                <w14:textFill>
                  <w14:solidFill>
                    <w14:schemeClr w14:val="tx1"/>
                  </w14:solidFill>
                </w14:textFill>
              </w:rPr>
              <w:t>编 列 内 容</w:t>
            </w:r>
          </w:p>
        </w:tc>
      </w:tr>
      <w:tr w14:paraId="7942B90C">
        <w:tblPrEx>
          <w:tblCellMar>
            <w:top w:w="0" w:type="dxa"/>
            <w:left w:w="0" w:type="dxa"/>
            <w:bottom w:w="0" w:type="dxa"/>
            <w:right w:w="0" w:type="dxa"/>
          </w:tblCellMar>
        </w:tblPrEx>
        <w:trPr>
          <w:trHeight w:val="516" w:hRule="atLeast"/>
          <w:jc w:val="center"/>
        </w:trPr>
        <w:tc>
          <w:tcPr>
            <w:tcW w:w="1059" w:type="dxa"/>
            <w:tcBorders>
              <w:top w:val="single" w:color="auto" w:sz="8" w:space="0"/>
              <w:left w:val="single" w:color="auto" w:sz="8" w:space="0"/>
              <w:bottom w:val="single" w:color="auto" w:sz="8" w:space="0"/>
              <w:right w:val="single" w:color="auto" w:sz="8" w:space="0"/>
            </w:tcBorders>
            <w:vAlign w:val="center"/>
          </w:tcPr>
          <w:p w14:paraId="571C2E42">
            <w:pPr>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1.1.2</w:t>
            </w:r>
          </w:p>
        </w:tc>
        <w:tc>
          <w:tcPr>
            <w:tcW w:w="2024" w:type="dxa"/>
            <w:tcBorders>
              <w:top w:val="single" w:color="auto" w:sz="8" w:space="0"/>
              <w:left w:val="nil"/>
              <w:bottom w:val="single" w:color="auto" w:sz="8" w:space="0"/>
              <w:right w:val="single" w:color="auto" w:sz="8" w:space="0"/>
            </w:tcBorders>
            <w:vAlign w:val="center"/>
          </w:tcPr>
          <w:p w14:paraId="3FDA1D00">
            <w:pPr>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采购人</w:t>
            </w:r>
          </w:p>
        </w:tc>
        <w:tc>
          <w:tcPr>
            <w:tcW w:w="6799" w:type="dxa"/>
            <w:tcBorders>
              <w:top w:val="single" w:color="auto" w:sz="8" w:space="0"/>
              <w:left w:val="nil"/>
              <w:bottom w:val="single" w:color="auto" w:sz="8" w:space="0"/>
              <w:right w:val="single" w:color="auto" w:sz="8" w:space="0"/>
            </w:tcBorders>
            <w:vAlign w:val="center"/>
          </w:tcPr>
          <w:p w14:paraId="573B9D45">
            <w:pPr>
              <w:spacing w:line="360" w:lineRule="auto"/>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详见第一章“招标公告”</w:t>
            </w:r>
          </w:p>
        </w:tc>
      </w:tr>
      <w:tr w14:paraId="36D32C0F">
        <w:tblPrEx>
          <w:tblCellMar>
            <w:top w:w="0" w:type="dxa"/>
            <w:left w:w="0" w:type="dxa"/>
            <w:bottom w:w="0" w:type="dxa"/>
            <w:right w:w="0" w:type="dxa"/>
          </w:tblCellMar>
        </w:tblPrEx>
        <w:trPr>
          <w:trHeight w:val="466" w:hRule="atLeast"/>
          <w:jc w:val="center"/>
        </w:trPr>
        <w:tc>
          <w:tcPr>
            <w:tcW w:w="1059" w:type="dxa"/>
            <w:tcBorders>
              <w:top w:val="single" w:color="auto" w:sz="8" w:space="0"/>
              <w:left w:val="single" w:color="auto" w:sz="8" w:space="0"/>
              <w:bottom w:val="single" w:color="auto" w:sz="8" w:space="0"/>
              <w:right w:val="single" w:color="auto" w:sz="8" w:space="0"/>
            </w:tcBorders>
            <w:vAlign w:val="center"/>
          </w:tcPr>
          <w:p w14:paraId="468A339D">
            <w:pPr>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1.1.3</w:t>
            </w:r>
          </w:p>
        </w:tc>
        <w:tc>
          <w:tcPr>
            <w:tcW w:w="2024" w:type="dxa"/>
            <w:tcBorders>
              <w:top w:val="single" w:color="auto" w:sz="8" w:space="0"/>
              <w:left w:val="nil"/>
              <w:bottom w:val="single" w:color="auto" w:sz="8" w:space="0"/>
              <w:right w:val="single" w:color="auto" w:sz="8" w:space="0"/>
            </w:tcBorders>
            <w:vAlign w:val="center"/>
          </w:tcPr>
          <w:p w14:paraId="474F3E89">
            <w:pPr>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采购代理机构</w:t>
            </w:r>
          </w:p>
        </w:tc>
        <w:tc>
          <w:tcPr>
            <w:tcW w:w="6799" w:type="dxa"/>
            <w:tcBorders>
              <w:top w:val="single" w:color="auto" w:sz="8" w:space="0"/>
              <w:left w:val="nil"/>
              <w:bottom w:val="single" w:color="auto" w:sz="8" w:space="0"/>
              <w:right w:val="single" w:color="auto" w:sz="8" w:space="0"/>
            </w:tcBorders>
            <w:vAlign w:val="center"/>
          </w:tcPr>
          <w:p w14:paraId="20C31556">
            <w:pPr>
              <w:spacing w:line="360" w:lineRule="auto"/>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详见第一章“招标公告”</w:t>
            </w:r>
          </w:p>
        </w:tc>
      </w:tr>
      <w:tr w14:paraId="01BF1340">
        <w:tblPrEx>
          <w:tblCellMar>
            <w:top w:w="0" w:type="dxa"/>
            <w:left w:w="0" w:type="dxa"/>
            <w:bottom w:w="0" w:type="dxa"/>
            <w:right w:w="0" w:type="dxa"/>
          </w:tblCellMar>
        </w:tblPrEx>
        <w:trPr>
          <w:trHeight w:val="519" w:hRule="atLeast"/>
          <w:jc w:val="center"/>
        </w:trPr>
        <w:tc>
          <w:tcPr>
            <w:tcW w:w="1059" w:type="dxa"/>
            <w:tcBorders>
              <w:top w:val="single" w:color="auto" w:sz="8" w:space="0"/>
              <w:left w:val="single" w:color="auto" w:sz="8" w:space="0"/>
              <w:bottom w:val="single" w:color="auto" w:sz="8" w:space="0"/>
              <w:right w:val="single" w:color="auto" w:sz="8" w:space="0"/>
            </w:tcBorders>
            <w:vAlign w:val="center"/>
          </w:tcPr>
          <w:p w14:paraId="04AEDBC5">
            <w:pPr>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1.1.4</w:t>
            </w:r>
          </w:p>
        </w:tc>
        <w:tc>
          <w:tcPr>
            <w:tcW w:w="2024" w:type="dxa"/>
            <w:tcBorders>
              <w:top w:val="single" w:color="auto" w:sz="8" w:space="0"/>
              <w:left w:val="nil"/>
              <w:bottom w:val="single" w:color="auto" w:sz="8" w:space="0"/>
              <w:right w:val="single" w:color="auto" w:sz="8" w:space="0"/>
            </w:tcBorders>
            <w:vAlign w:val="center"/>
          </w:tcPr>
          <w:p w14:paraId="003BA7D7">
            <w:pPr>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项目名称</w:t>
            </w:r>
          </w:p>
        </w:tc>
        <w:tc>
          <w:tcPr>
            <w:tcW w:w="6799" w:type="dxa"/>
            <w:tcBorders>
              <w:top w:val="single" w:color="auto" w:sz="8" w:space="0"/>
              <w:left w:val="nil"/>
              <w:bottom w:val="single" w:color="auto" w:sz="8" w:space="0"/>
              <w:right w:val="single" w:color="auto" w:sz="8" w:space="0"/>
            </w:tcBorders>
            <w:vAlign w:val="center"/>
          </w:tcPr>
          <w:p w14:paraId="4195A811">
            <w:pPr>
              <w:spacing w:line="360" w:lineRule="auto"/>
              <w:jc w:val="both"/>
              <w:rPr>
                <w:rFonts w:ascii="宋体" w:hAnsi="宋体" w:cs="宋体"/>
                <w:b/>
                <w:bCs/>
                <w:color w:val="000000" w:themeColor="text1"/>
                <w:kern w:val="2"/>
                <w:sz w:val="24"/>
                <w:szCs w:val="24"/>
                <w:highlight w:val="none"/>
                <w:u w:val="singl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详见第一章“招标公告”</w:t>
            </w:r>
          </w:p>
        </w:tc>
      </w:tr>
      <w:tr w14:paraId="7AC082BE">
        <w:tblPrEx>
          <w:tblCellMar>
            <w:top w:w="0" w:type="dxa"/>
            <w:left w:w="0" w:type="dxa"/>
            <w:bottom w:w="0" w:type="dxa"/>
            <w:right w:w="0" w:type="dxa"/>
          </w:tblCellMar>
        </w:tblPrEx>
        <w:trPr>
          <w:trHeight w:val="536" w:hRule="atLeast"/>
          <w:jc w:val="center"/>
        </w:trPr>
        <w:tc>
          <w:tcPr>
            <w:tcW w:w="1059" w:type="dxa"/>
            <w:tcBorders>
              <w:top w:val="single" w:color="auto" w:sz="8" w:space="0"/>
              <w:left w:val="single" w:color="auto" w:sz="8" w:space="0"/>
              <w:bottom w:val="single" w:color="auto" w:sz="8" w:space="0"/>
              <w:right w:val="single" w:color="auto" w:sz="8" w:space="0"/>
            </w:tcBorders>
            <w:vAlign w:val="center"/>
          </w:tcPr>
          <w:p w14:paraId="6A79B176">
            <w:pPr>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1.2.1</w:t>
            </w:r>
          </w:p>
        </w:tc>
        <w:tc>
          <w:tcPr>
            <w:tcW w:w="2024" w:type="dxa"/>
            <w:tcBorders>
              <w:top w:val="single" w:color="auto" w:sz="8" w:space="0"/>
              <w:left w:val="nil"/>
              <w:bottom w:val="single" w:color="auto" w:sz="8" w:space="0"/>
              <w:right w:val="single" w:color="auto" w:sz="8" w:space="0"/>
            </w:tcBorders>
            <w:vAlign w:val="center"/>
          </w:tcPr>
          <w:p w14:paraId="7FBF2B08">
            <w:pPr>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资金落实情况</w:t>
            </w:r>
          </w:p>
        </w:tc>
        <w:tc>
          <w:tcPr>
            <w:tcW w:w="6799" w:type="dxa"/>
            <w:tcBorders>
              <w:top w:val="single" w:color="auto" w:sz="8" w:space="0"/>
              <w:left w:val="nil"/>
              <w:bottom w:val="single" w:color="auto" w:sz="8" w:space="0"/>
              <w:right w:val="single" w:color="auto" w:sz="8" w:space="0"/>
            </w:tcBorders>
            <w:vAlign w:val="center"/>
          </w:tcPr>
          <w:p w14:paraId="4581BDFB">
            <w:pPr>
              <w:spacing w:line="360" w:lineRule="auto"/>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已落实</w:t>
            </w:r>
          </w:p>
        </w:tc>
      </w:tr>
      <w:tr w14:paraId="50F340D3">
        <w:tblPrEx>
          <w:tblCellMar>
            <w:top w:w="0" w:type="dxa"/>
            <w:left w:w="0" w:type="dxa"/>
            <w:bottom w:w="0" w:type="dxa"/>
            <w:right w:w="0" w:type="dxa"/>
          </w:tblCellMar>
        </w:tblPrEx>
        <w:trPr>
          <w:trHeight w:val="519" w:hRule="atLeast"/>
          <w:jc w:val="center"/>
        </w:trPr>
        <w:tc>
          <w:tcPr>
            <w:tcW w:w="1059" w:type="dxa"/>
            <w:tcBorders>
              <w:top w:val="single" w:color="auto" w:sz="8" w:space="0"/>
              <w:left w:val="single" w:color="auto" w:sz="8" w:space="0"/>
              <w:bottom w:val="single" w:color="auto" w:sz="8" w:space="0"/>
              <w:right w:val="single" w:color="auto" w:sz="8" w:space="0"/>
            </w:tcBorders>
            <w:vAlign w:val="center"/>
          </w:tcPr>
          <w:p w14:paraId="6FBFD3E8">
            <w:pPr>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1.2.2</w:t>
            </w:r>
          </w:p>
        </w:tc>
        <w:tc>
          <w:tcPr>
            <w:tcW w:w="2024" w:type="dxa"/>
            <w:tcBorders>
              <w:top w:val="single" w:color="auto" w:sz="8" w:space="0"/>
              <w:left w:val="nil"/>
              <w:bottom w:val="single" w:color="auto" w:sz="8" w:space="0"/>
              <w:right w:val="single" w:color="auto" w:sz="8" w:space="0"/>
            </w:tcBorders>
            <w:vAlign w:val="center"/>
          </w:tcPr>
          <w:p w14:paraId="542661F6">
            <w:pPr>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预算金额</w:t>
            </w:r>
          </w:p>
        </w:tc>
        <w:tc>
          <w:tcPr>
            <w:tcW w:w="6799" w:type="dxa"/>
            <w:tcBorders>
              <w:top w:val="single" w:color="auto" w:sz="8" w:space="0"/>
              <w:left w:val="nil"/>
              <w:bottom w:val="single" w:color="auto" w:sz="8" w:space="0"/>
              <w:right w:val="single" w:color="auto" w:sz="8" w:space="0"/>
            </w:tcBorders>
            <w:vAlign w:val="center"/>
          </w:tcPr>
          <w:p w14:paraId="16D7D28C">
            <w:pPr>
              <w:spacing w:line="360" w:lineRule="auto"/>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详见第一章“招标公告”</w:t>
            </w:r>
          </w:p>
        </w:tc>
      </w:tr>
      <w:tr w14:paraId="56DBA161">
        <w:tblPrEx>
          <w:tblCellMar>
            <w:top w:w="0" w:type="dxa"/>
            <w:left w:w="0" w:type="dxa"/>
            <w:bottom w:w="0" w:type="dxa"/>
            <w:right w:w="0" w:type="dxa"/>
          </w:tblCellMar>
        </w:tblPrEx>
        <w:trPr>
          <w:trHeight w:val="588" w:hRule="atLeast"/>
          <w:jc w:val="center"/>
        </w:trPr>
        <w:tc>
          <w:tcPr>
            <w:tcW w:w="1059" w:type="dxa"/>
            <w:tcBorders>
              <w:top w:val="single" w:color="auto" w:sz="8" w:space="0"/>
              <w:left w:val="single" w:color="auto" w:sz="8" w:space="0"/>
              <w:bottom w:val="single" w:color="auto" w:sz="8" w:space="0"/>
              <w:right w:val="single" w:color="auto" w:sz="8" w:space="0"/>
            </w:tcBorders>
            <w:vAlign w:val="center"/>
          </w:tcPr>
          <w:p w14:paraId="34B96882">
            <w:pPr>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1.3.1</w:t>
            </w:r>
          </w:p>
        </w:tc>
        <w:tc>
          <w:tcPr>
            <w:tcW w:w="2024" w:type="dxa"/>
            <w:tcBorders>
              <w:top w:val="single" w:color="auto" w:sz="8" w:space="0"/>
              <w:left w:val="nil"/>
              <w:bottom w:val="single" w:color="auto" w:sz="8" w:space="0"/>
              <w:right w:val="single" w:color="auto" w:sz="8" w:space="0"/>
            </w:tcBorders>
            <w:vAlign w:val="center"/>
          </w:tcPr>
          <w:p w14:paraId="22720F88">
            <w:pPr>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服务内容</w:t>
            </w:r>
          </w:p>
        </w:tc>
        <w:tc>
          <w:tcPr>
            <w:tcW w:w="6799" w:type="dxa"/>
            <w:tcBorders>
              <w:top w:val="single" w:color="auto" w:sz="8" w:space="0"/>
              <w:left w:val="nil"/>
              <w:bottom w:val="single" w:color="auto" w:sz="8" w:space="0"/>
              <w:right w:val="single" w:color="auto" w:sz="8" w:space="0"/>
            </w:tcBorders>
            <w:vAlign w:val="center"/>
          </w:tcPr>
          <w:p w14:paraId="116CD094">
            <w:pPr>
              <w:spacing w:line="360" w:lineRule="auto"/>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详见第六章《服务内容及要求》的具体内容</w:t>
            </w:r>
          </w:p>
        </w:tc>
      </w:tr>
      <w:tr w14:paraId="66DEEA21">
        <w:tblPrEx>
          <w:tblCellMar>
            <w:top w:w="0" w:type="dxa"/>
            <w:left w:w="0" w:type="dxa"/>
            <w:bottom w:w="0" w:type="dxa"/>
            <w:right w:w="0" w:type="dxa"/>
          </w:tblCellMar>
        </w:tblPrEx>
        <w:trPr>
          <w:trHeight w:val="518" w:hRule="atLeast"/>
          <w:jc w:val="center"/>
        </w:trPr>
        <w:tc>
          <w:tcPr>
            <w:tcW w:w="1059" w:type="dxa"/>
            <w:tcBorders>
              <w:top w:val="single" w:color="auto" w:sz="8" w:space="0"/>
              <w:left w:val="single" w:color="auto" w:sz="8" w:space="0"/>
              <w:bottom w:val="single" w:color="auto" w:sz="8" w:space="0"/>
              <w:right w:val="single" w:color="auto" w:sz="8" w:space="0"/>
            </w:tcBorders>
            <w:vAlign w:val="center"/>
          </w:tcPr>
          <w:p w14:paraId="19CEDE8D">
            <w:pPr>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1.3.2</w:t>
            </w:r>
          </w:p>
        </w:tc>
        <w:tc>
          <w:tcPr>
            <w:tcW w:w="2024" w:type="dxa"/>
            <w:tcBorders>
              <w:top w:val="single" w:color="auto" w:sz="8" w:space="0"/>
              <w:left w:val="nil"/>
              <w:bottom w:val="single" w:color="auto" w:sz="8" w:space="0"/>
              <w:right w:val="single" w:color="auto" w:sz="8" w:space="0"/>
            </w:tcBorders>
            <w:vAlign w:val="center"/>
          </w:tcPr>
          <w:p w14:paraId="409225EA">
            <w:pPr>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服务期限</w:t>
            </w:r>
          </w:p>
        </w:tc>
        <w:tc>
          <w:tcPr>
            <w:tcW w:w="6799" w:type="dxa"/>
            <w:tcBorders>
              <w:top w:val="single" w:color="auto" w:sz="8" w:space="0"/>
              <w:left w:val="nil"/>
              <w:bottom w:val="single" w:color="auto" w:sz="8" w:space="0"/>
              <w:right w:val="single" w:color="auto" w:sz="8" w:space="0"/>
            </w:tcBorders>
            <w:vAlign w:val="center"/>
          </w:tcPr>
          <w:p w14:paraId="1E4A90E5">
            <w:pPr>
              <w:spacing w:line="360" w:lineRule="auto"/>
              <w:jc w:val="both"/>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合同签订之日起至活动结束。</w:t>
            </w:r>
          </w:p>
        </w:tc>
      </w:tr>
      <w:tr w14:paraId="34B85ECE">
        <w:tblPrEx>
          <w:tblCellMar>
            <w:top w:w="0" w:type="dxa"/>
            <w:left w:w="0" w:type="dxa"/>
            <w:bottom w:w="0" w:type="dxa"/>
            <w:right w:w="0" w:type="dxa"/>
          </w:tblCellMar>
        </w:tblPrEx>
        <w:trPr>
          <w:jc w:val="center"/>
        </w:trPr>
        <w:tc>
          <w:tcPr>
            <w:tcW w:w="1059" w:type="dxa"/>
            <w:tcBorders>
              <w:top w:val="single" w:color="auto" w:sz="8" w:space="0"/>
              <w:left w:val="single" w:color="auto" w:sz="8" w:space="0"/>
              <w:bottom w:val="single" w:color="auto" w:sz="8" w:space="0"/>
              <w:right w:val="single" w:color="auto" w:sz="8" w:space="0"/>
            </w:tcBorders>
            <w:vAlign w:val="center"/>
          </w:tcPr>
          <w:p w14:paraId="5AF17E83">
            <w:pPr>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1.3.3</w:t>
            </w:r>
          </w:p>
        </w:tc>
        <w:tc>
          <w:tcPr>
            <w:tcW w:w="2024" w:type="dxa"/>
            <w:tcBorders>
              <w:top w:val="single" w:color="auto" w:sz="8" w:space="0"/>
              <w:left w:val="nil"/>
              <w:bottom w:val="single" w:color="auto" w:sz="8" w:space="0"/>
              <w:right w:val="single" w:color="auto" w:sz="8" w:space="0"/>
            </w:tcBorders>
            <w:vAlign w:val="center"/>
          </w:tcPr>
          <w:p w14:paraId="62D6713E">
            <w:pPr>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服务地点</w:t>
            </w:r>
          </w:p>
        </w:tc>
        <w:tc>
          <w:tcPr>
            <w:tcW w:w="6799" w:type="dxa"/>
            <w:tcBorders>
              <w:top w:val="single" w:color="auto" w:sz="8" w:space="0"/>
              <w:left w:val="nil"/>
              <w:bottom w:val="single" w:color="auto" w:sz="8" w:space="0"/>
              <w:right w:val="single" w:color="auto" w:sz="8" w:space="0"/>
            </w:tcBorders>
            <w:vAlign w:val="center"/>
          </w:tcPr>
          <w:p w14:paraId="179D74C1">
            <w:pPr>
              <w:spacing w:line="360" w:lineRule="auto"/>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西南林业大学</w:t>
            </w:r>
          </w:p>
        </w:tc>
      </w:tr>
      <w:tr w14:paraId="4926D948">
        <w:tblPrEx>
          <w:tblCellMar>
            <w:top w:w="0" w:type="dxa"/>
            <w:left w:w="0" w:type="dxa"/>
            <w:bottom w:w="0" w:type="dxa"/>
            <w:right w:w="0" w:type="dxa"/>
          </w:tblCellMar>
        </w:tblPrEx>
        <w:trPr>
          <w:jc w:val="center"/>
        </w:trPr>
        <w:tc>
          <w:tcPr>
            <w:tcW w:w="1059" w:type="dxa"/>
            <w:tcBorders>
              <w:top w:val="single" w:color="auto" w:sz="8" w:space="0"/>
              <w:left w:val="single" w:color="auto" w:sz="8" w:space="0"/>
              <w:bottom w:val="single" w:color="auto" w:sz="8" w:space="0"/>
              <w:right w:val="single" w:color="auto" w:sz="8" w:space="0"/>
            </w:tcBorders>
            <w:vAlign w:val="center"/>
          </w:tcPr>
          <w:p w14:paraId="3DE3C0C7">
            <w:pPr>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1.4.1</w:t>
            </w:r>
          </w:p>
        </w:tc>
        <w:tc>
          <w:tcPr>
            <w:tcW w:w="2024" w:type="dxa"/>
            <w:tcBorders>
              <w:top w:val="single" w:color="auto" w:sz="8" w:space="0"/>
              <w:left w:val="nil"/>
              <w:bottom w:val="single" w:color="auto" w:sz="8" w:space="0"/>
              <w:right w:val="single" w:color="auto" w:sz="8" w:space="0"/>
            </w:tcBorders>
            <w:vAlign w:val="center"/>
          </w:tcPr>
          <w:p w14:paraId="3114506C">
            <w:pPr>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投标人资格要求</w:t>
            </w:r>
          </w:p>
        </w:tc>
        <w:tc>
          <w:tcPr>
            <w:tcW w:w="6799" w:type="dxa"/>
            <w:tcBorders>
              <w:top w:val="single" w:color="auto" w:sz="8" w:space="0"/>
              <w:left w:val="nil"/>
              <w:bottom w:val="single" w:color="auto" w:sz="8" w:space="0"/>
              <w:right w:val="single" w:color="auto" w:sz="8" w:space="0"/>
            </w:tcBorders>
            <w:vAlign w:val="center"/>
          </w:tcPr>
          <w:p w14:paraId="535C8892">
            <w:pPr>
              <w:spacing w:line="360" w:lineRule="auto"/>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详见</w:t>
            </w:r>
            <w:r>
              <w:rPr>
                <w:rFonts w:hint="eastAsia" w:ascii="宋体" w:hAnsi="宋体" w:cs="宋体"/>
                <w:color w:val="000000" w:themeColor="text1"/>
                <w:kern w:val="2"/>
                <w:sz w:val="24"/>
                <w:szCs w:val="24"/>
                <w:highlight w:val="none"/>
                <w14:textFill>
                  <w14:solidFill>
                    <w14:schemeClr w14:val="tx1"/>
                  </w14:solidFill>
                </w14:textFill>
              </w:rPr>
              <w:t>“第一章 招标公告 二、申请人的资格要求”</w:t>
            </w:r>
          </w:p>
        </w:tc>
      </w:tr>
      <w:tr w14:paraId="7DD26B21">
        <w:tblPrEx>
          <w:tblCellMar>
            <w:top w:w="0" w:type="dxa"/>
            <w:left w:w="0" w:type="dxa"/>
            <w:bottom w:w="0" w:type="dxa"/>
            <w:right w:w="0" w:type="dxa"/>
          </w:tblCellMar>
        </w:tblPrEx>
        <w:trPr>
          <w:trHeight w:val="758" w:hRule="atLeast"/>
          <w:jc w:val="center"/>
        </w:trPr>
        <w:tc>
          <w:tcPr>
            <w:tcW w:w="1059" w:type="dxa"/>
            <w:tcBorders>
              <w:top w:val="single" w:color="auto" w:sz="8" w:space="0"/>
              <w:left w:val="single" w:color="auto" w:sz="8" w:space="0"/>
              <w:bottom w:val="single" w:color="auto" w:sz="8" w:space="0"/>
              <w:right w:val="single" w:color="auto" w:sz="8" w:space="0"/>
            </w:tcBorders>
            <w:vAlign w:val="center"/>
          </w:tcPr>
          <w:p w14:paraId="47AF92E4">
            <w:pPr>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1.4.2</w:t>
            </w:r>
          </w:p>
        </w:tc>
        <w:tc>
          <w:tcPr>
            <w:tcW w:w="2024" w:type="dxa"/>
            <w:tcBorders>
              <w:top w:val="single" w:color="auto" w:sz="8" w:space="0"/>
              <w:left w:val="nil"/>
              <w:bottom w:val="single" w:color="auto" w:sz="8" w:space="0"/>
              <w:right w:val="single" w:color="auto" w:sz="8" w:space="0"/>
            </w:tcBorders>
            <w:vAlign w:val="center"/>
          </w:tcPr>
          <w:p w14:paraId="361E9319">
            <w:pPr>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是否接受联合体投标</w:t>
            </w:r>
          </w:p>
        </w:tc>
        <w:tc>
          <w:tcPr>
            <w:tcW w:w="6799" w:type="dxa"/>
            <w:tcBorders>
              <w:top w:val="single" w:color="auto" w:sz="8" w:space="0"/>
              <w:left w:val="nil"/>
              <w:bottom w:val="single" w:color="auto" w:sz="8" w:space="0"/>
              <w:right w:val="single" w:color="auto" w:sz="8" w:space="0"/>
            </w:tcBorders>
            <w:vAlign w:val="center"/>
          </w:tcPr>
          <w:p w14:paraId="6147079F">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不接受</w:t>
            </w:r>
          </w:p>
        </w:tc>
      </w:tr>
      <w:tr w14:paraId="05A989A8">
        <w:tblPrEx>
          <w:tblCellMar>
            <w:top w:w="0" w:type="dxa"/>
            <w:left w:w="0" w:type="dxa"/>
            <w:bottom w:w="0" w:type="dxa"/>
            <w:right w:w="0" w:type="dxa"/>
          </w:tblCellMar>
        </w:tblPrEx>
        <w:trPr>
          <w:jc w:val="center"/>
        </w:trPr>
        <w:tc>
          <w:tcPr>
            <w:tcW w:w="1059" w:type="dxa"/>
            <w:tcBorders>
              <w:top w:val="single" w:color="auto" w:sz="8" w:space="0"/>
              <w:left w:val="single" w:color="auto" w:sz="8" w:space="0"/>
              <w:bottom w:val="single" w:color="auto" w:sz="8" w:space="0"/>
              <w:right w:val="single" w:color="auto" w:sz="8" w:space="0"/>
            </w:tcBorders>
            <w:vAlign w:val="center"/>
          </w:tcPr>
          <w:p w14:paraId="1C7F5E30">
            <w:pPr>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1.9.1</w:t>
            </w:r>
          </w:p>
        </w:tc>
        <w:tc>
          <w:tcPr>
            <w:tcW w:w="2024" w:type="dxa"/>
            <w:tcBorders>
              <w:top w:val="single" w:color="auto" w:sz="8" w:space="0"/>
              <w:left w:val="nil"/>
              <w:bottom w:val="single" w:color="auto" w:sz="8" w:space="0"/>
              <w:right w:val="single" w:color="auto" w:sz="8" w:space="0"/>
            </w:tcBorders>
            <w:vAlign w:val="center"/>
          </w:tcPr>
          <w:p w14:paraId="742A6C73">
            <w:pPr>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现场考察</w:t>
            </w:r>
          </w:p>
        </w:tc>
        <w:tc>
          <w:tcPr>
            <w:tcW w:w="6799" w:type="dxa"/>
            <w:tcBorders>
              <w:top w:val="single" w:color="auto" w:sz="8" w:space="0"/>
              <w:left w:val="nil"/>
              <w:bottom w:val="single" w:color="auto" w:sz="8" w:space="0"/>
              <w:right w:val="single" w:color="auto" w:sz="8" w:space="0"/>
            </w:tcBorders>
            <w:vAlign w:val="center"/>
          </w:tcPr>
          <w:p w14:paraId="4359B94E">
            <w:pPr>
              <w:pStyle w:val="13"/>
              <w:topLinePunct/>
              <w:spacing w:line="380" w:lineRule="exact"/>
              <w:rPr>
                <w:rFonts w:hAnsi="宋体" w:cs="宋体"/>
                <w:color w:val="000000" w:themeColor="text1"/>
                <w:kern w:val="2"/>
                <w:highlight w:val="none"/>
                <w14:textFill>
                  <w14:solidFill>
                    <w14:schemeClr w14:val="tx1"/>
                  </w14:solidFill>
                </w14:textFill>
              </w:rPr>
            </w:pPr>
            <w:r>
              <w:rPr>
                <w:rFonts w:hint="eastAsia" w:hAnsi="宋体" w:cs="宋体"/>
                <w:color w:val="000000" w:themeColor="text1"/>
                <w:kern w:val="2"/>
                <w:highlight w:val="none"/>
                <w14:textFill>
                  <w14:solidFill>
                    <w14:schemeClr w14:val="tx1"/>
                  </w14:solidFill>
                </w14:textFill>
              </w:rPr>
              <w:t>不组织</w:t>
            </w:r>
          </w:p>
        </w:tc>
      </w:tr>
      <w:tr w14:paraId="1DE4DA20">
        <w:tblPrEx>
          <w:tblCellMar>
            <w:top w:w="0" w:type="dxa"/>
            <w:left w:w="0" w:type="dxa"/>
            <w:bottom w:w="0" w:type="dxa"/>
            <w:right w:w="0" w:type="dxa"/>
          </w:tblCellMar>
        </w:tblPrEx>
        <w:trPr>
          <w:jc w:val="center"/>
        </w:trPr>
        <w:tc>
          <w:tcPr>
            <w:tcW w:w="1059" w:type="dxa"/>
            <w:tcBorders>
              <w:top w:val="single" w:color="auto" w:sz="8" w:space="0"/>
              <w:left w:val="single" w:color="auto" w:sz="8" w:space="0"/>
              <w:bottom w:val="single" w:color="auto" w:sz="8" w:space="0"/>
              <w:right w:val="single" w:color="auto" w:sz="8" w:space="0"/>
            </w:tcBorders>
            <w:vAlign w:val="center"/>
          </w:tcPr>
          <w:p w14:paraId="1C81B644">
            <w:pPr>
              <w:spacing w:line="380" w:lineRule="exact"/>
              <w:jc w:val="center"/>
              <w:rPr>
                <w:rFonts w:ascii="宋体" w:hAnsi="宋体" w:cs="宋体"/>
                <w:color w:val="000000" w:themeColor="text1"/>
                <w:kern w:val="2"/>
                <w:sz w:val="24"/>
                <w:szCs w:val="24"/>
                <w:highlight w:val="none"/>
                <w14:textFill>
                  <w14:solidFill>
                    <w14:schemeClr w14:val="tx1"/>
                  </w14:solidFill>
                </w14:textFill>
              </w:rPr>
            </w:pPr>
            <w:bookmarkStart w:id="78" w:name="page17"/>
            <w:bookmarkEnd w:id="78"/>
            <w:r>
              <w:rPr>
                <w:rFonts w:hint="eastAsia" w:ascii="宋体" w:hAnsi="宋体" w:cs="宋体"/>
                <w:color w:val="000000" w:themeColor="text1"/>
                <w:kern w:val="2"/>
                <w:sz w:val="24"/>
                <w:szCs w:val="24"/>
                <w:highlight w:val="none"/>
                <w14:textFill>
                  <w14:solidFill>
                    <w14:schemeClr w14:val="tx1"/>
                  </w14:solidFill>
                </w14:textFill>
              </w:rPr>
              <w:t>2.2.4</w:t>
            </w:r>
          </w:p>
        </w:tc>
        <w:tc>
          <w:tcPr>
            <w:tcW w:w="2024" w:type="dxa"/>
            <w:tcBorders>
              <w:top w:val="single" w:color="auto" w:sz="8" w:space="0"/>
              <w:left w:val="nil"/>
              <w:bottom w:val="single" w:color="auto" w:sz="8" w:space="0"/>
              <w:right w:val="single" w:color="auto" w:sz="8" w:space="0"/>
            </w:tcBorders>
            <w:vAlign w:val="center"/>
          </w:tcPr>
          <w:p w14:paraId="62697C70">
            <w:pPr>
              <w:pStyle w:val="67"/>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投标人确认收到招标文件澄清或者修改</w:t>
            </w:r>
          </w:p>
        </w:tc>
        <w:tc>
          <w:tcPr>
            <w:tcW w:w="6799" w:type="dxa"/>
            <w:tcBorders>
              <w:top w:val="single" w:color="auto" w:sz="8" w:space="0"/>
              <w:left w:val="nil"/>
              <w:bottom w:val="single" w:color="auto" w:sz="8" w:space="0"/>
              <w:right w:val="single" w:color="auto" w:sz="8" w:space="0"/>
            </w:tcBorders>
            <w:vAlign w:val="center"/>
          </w:tcPr>
          <w:p w14:paraId="05F7B13E">
            <w:pPr>
              <w:pStyle w:val="67"/>
              <w:spacing w:line="360" w:lineRule="auto"/>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供应商应在递交投标文件截止时间前及时登录“政采云”平台中查看有关该服务招标文件的答疑、补遗内容，无须回复。</w:t>
            </w:r>
          </w:p>
        </w:tc>
      </w:tr>
      <w:tr w14:paraId="706A39B0">
        <w:tblPrEx>
          <w:tblCellMar>
            <w:top w:w="0" w:type="dxa"/>
            <w:left w:w="0" w:type="dxa"/>
            <w:bottom w:w="0" w:type="dxa"/>
            <w:right w:w="0" w:type="dxa"/>
          </w:tblCellMar>
        </w:tblPrEx>
        <w:trPr>
          <w:jc w:val="center"/>
        </w:trPr>
        <w:tc>
          <w:tcPr>
            <w:tcW w:w="1059" w:type="dxa"/>
            <w:tcBorders>
              <w:top w:val="single" w:color="auto" w:sz="8" w:space="0"/>
              <w:left w:val="single" w:color="auto" w:sz="8" w:space="0"/>
              <w:bottom w:val="single" w:color="auto" w:sz="8" w:space="0"/>
              <w:right w:val="single" w:color="auto" w:sz="8" w:space="0"/>
            </w:tcBorders>
            <w:vAlign w:val="center"/>
          </w:tcPr>
          <w:p w14:paraId="21F43900">
            <w:pPr>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3.2.3</w:t>
            </w:r>
          </w:p>
        </w:tc>
        <w:tc>
          <w:tcPr>
            <w:tcW w:w="2024" w:type="dxa"/>
            <w:tcBorders>
              <w:top w:val="single" w:color="auto" w:sz="8" w:space="0"/>
              <w:left w:val="nil"/>
              <w:bottom w:val="single" w:color="auto" w:sz="8" w:space="0"/>
              <w:right w:val="single" w:color="auto" w:sz="8" w:space="0"/>
            </w:tcBorders>
            <w:vAlign w:val="center"/>
          </w:tcPr>
          <w:p w14:paraId="2F9CA82B">
            <w:pPr>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最高投标限价</w:t>
            </w:r>
          </w:p>
        </w:tc>
        <w:tc>
          <w:tcPr>
            <w:tcW w:w="6799" w:type="dxa"/>
            <w:tcBorders>
              <w:top w:val="single" w:color="auto" w:sz="8" w:space="0"/>
              <w:left w:val="nil"/>
              <w:bottom w:val="single" w:color="auto" w:sz="8" w:space="0"/>
              <w:right w:val="single" w:color="auto" w:sz="8" w:space="0"/>
            </w:tcBorders>
            <w:vAlign w:val="center"/>
          </w:tcPr>
          <w:p w14:paraId="39E0B802">
            <w:pPr>
              <w:pStyle w:val="67"/>
              <w:spacing w:line="360" w:lineRule="auto"/>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最高投标限价：详见第一章“招标公告”。</w:t>
            </w:r>
          </w:p>
          <w:p w14:paraId="008D065B">
            <w:pPr>
              <w:pStyle w:val="67"/>
              <w:spacing w:line="360" w:lineRule="auto"/>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投标人的投标总报价超过最高投标限价的为不合格投标人，按投标被否决处理。</w:t>
            </w:r>
          </w:p>
        </w:tc>
      </w:tr>
      <w:tr w14:paraId="78BE394B">
        <w:tblPrEx>
          <w:tblCellMar>
            <w:top w:w="0" w:type="dxa"/>
            <w:left w:w="0" w:type="dxa"/>
            <w:bottom w:w="0" w:type="dxa"/>
            <w:right w:w="0" w:type="dxa"/>
          </w:tblCellMar>
        </w:tblPrEx>
        <w:trPr>
          <w:jc w:val="center"/>
        </w:trPr>
        <w:tc>
          <w:tcPr>
            <w:tcW w:w="1059" w:type="dxa"/>
            <w:tcBorders>
              <w:top w:val="single" w:color="auto" w:sz="8" w:space="0"/>
              <w:left w:val="single" w:color="auto" w:sz="8" w:space="0"/>
              <w:bottom w:val="single" w:color="auto" w:sz="8" w:space="0"/>
              <w:right w:val="single" w:color="auto" w:sz="8" w:space="0"/>
            </w:tcBorders>
            <w:vAlign w:val="center"/>
          </w:tcPr>
          <w:p w14:paraId="0149AFB2">
            <w:pPr>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3.2.4</w:t>
            </w:r>
          </w:p>
        </w:tc>
        <w:tc>
          <w:tcPr>
            <w:tcW w:w="2024" w:type="dxa"/>
            <w:tcBorders>
              <w:top w:val="single" w:color="auto" w:sz="8" w:space="0"/>
              <w:left w:val="nil"/>
              <w:bottom w:val="single" w:color="auto" w:sz="8" w:space="0"/>
              <w:right w:val="single" w:color="auto" w:sz="8" w:space="0"/>
            </w:tcBorders>
            <w:vAlign w:val="center"/>
          </w:tcPr>
          <w:p w14:paraId="6524C118">
            <w:pPr>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投标报价的其他要求</w:t>
            </w:r>
          </w:p>
        </w:tc>
        <w:tc>
          <w:tcPr>
            <w:tcW w:w="6799" w:type="dxa"/>
            <w:tcBorders>
              <w:top w:val="single" w:color="auto" w:sz="8" w:space="0"/>
              <w:left w:val="nil"/>
              <w:bottom w:val="single" w:color="auto" w:sz="8" w:space="0"/>
              <w:right w:val="single" w:color="auto" w:sz="8" w:space="0"/>
            </w:tcBorders>
            <w:vAlign w:val="center"/>
          </w:tcPr>
          <w:p w14:paraId="3828FD87">
            <w:pPr>
              <w:pStyle w:val="67"/>
              <w:numPr>
                <w:ilvl w:val="0"/>
                <w:numId w:val="4"/>
              </w:numPr>
              <w:spacing w:line="360" w:lineRule="auto"/>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本次投标报价为综合报价，报价应为人民币含税价(元)，包括但不仅限于设备租赁、人员服务、运输、安装、调试、撤场、服务内容及技术支持、必要的保险费用和各项税金、服务费、管理费、利润等一切费用，该报价应考虑市场风险、政策性风险、汇率风险等因素，并能保证投标人完成履行合同所需的全部工作，此价格在合同签订后不得调整。</w:t>
            </w:r>
          </w:p>
          <w:p w14:paraId="6E7E1B25">
            <w:pPr>
              <w:pStyle w:val="67"/>
              <w:spacing w:line="360" w:lineRule="auto"/>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(2)投标人应承担所有与参加投标有关的自身的所有费用，不论采购的结果如何，采购代理机构和采购人在任何情况下均无义务和责任承担这些费用。</w:t>
            </w:r>
          </w:p>
          <w:p w14:paraId="6F372302">
            <w:pPr>
              <w:autoSpaceDE w:val="0"/>
              <w:autoSpaceDN w:val="0"/>
              <w:spacing w:line="420" w:lineRule="exact"/>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(3)中标服务费收费标准：以本项目中标价为计费基数，参照原国家计委《关于印发&lt;招标代理服务收费管理暂行办法&gt;的通知》(计价格[2002]1980号)中服务类收费标准计算后下浮25%，代理费不足2000元的按2000元计算，由中标人向云南元大工程咨询有限责任公司交纳。</w:t>
            </w:r>
          </w:p>
          <w:p w14:paraId="343258BF">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招标代理服务收费标准</w:t>
            </w:r>
          </w:p>
          <w:tbl>
            <w:tblPr>
              <w:tblStyle w:val="34"/>
              <w:tblW w:w="6493" w:type="dxa"/>
              <w:tblInd w:w="1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43"/>
              <w:gridCol w:w="1279"/>
              <w:gridCol w:w="1346"/>
              <w:gridCol w:w="1125"/>
            </w:tblGrid>
            <w:tr w14:paraId="1C73E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9" w:hRule="atLeast"/>
              </w:trPr>
              <w:tc>
                <w:tcPr>
                  <w:tcW w:w="2743" w:type="dxa"/>
                </w:tcPr>
                <w:p w14:paraId="3F13C91E">
                  <w:pPr>
                    <w:ind w:firstLine="1205" w:firstLineChars="500"/>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383540</wp:posOffset>
                            </wp:positionH>
                            <wp:positionV relativeFrom="paragraph">
                              <wp:posOffset>8255</wp:posOffset>
                            </wp:positionV>
                            <wp:extent cx="1285875" cy="1226820"/>
                            <wp:effectExtent l="3175" t="3175" r="6350" b="8255"/>
                            <wp:wrapNone/>
                            <wp:docPr id="3" name="直接连接符 4"/>
                            <wp:cNvGraphicFramePr/>
                            <a:graphic xmlns:a="http://schemas.openxmlformats.org/drawingml/2006/main">
                              <a:graphicData uri="http://schemas.microsoft.com/office/word/2010/wordprocessingShape">
                                <wps:wsp>
                                  <wps:cNvCnPr/>
                                  <wps:spPr>
                                    <a:xfrm>
                                      <a:off x="0" y="0"/>
                                      <a:ext cx="1285875" cy="122682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直接连接符 4" o:spid="_x0000_s1026" o:spt="32" type="#_x0000_t32" style="position:absolute;left:0pt;margin-left:30.2pt;margin-top:0.65pt;height:96.6pt;width:101.25pt;z-index:251661312;mso-width-relative:page;mso-height-relative:page;" filled="f" stroked="t" coordsize="21600,21600" o:gfxdata="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ZC1VMNcAAAAIAQAADwAAAAAAAAABACAAAAAiAAAAZHJzL2Rvd25yZXYu&#10;eG1sUEsBAhQAFAAAAAgAh07iQEnZnMH8AQAA7AMAAA4AAAAAAAAAAQAgAAAAJgEAAGRycy9lMm9E&#10;b2MueG1sUEsFBgAAAAAGAAYAWQEAAJQFAAAAAA==&#10;">
                            <v:fill on="f" focussize="0,0"/>
                            <v:stroke color="#000000" joinstyle="round"/>
                            <v:imagedata o:title=""/>
                            <o:lock v:ext="edit" aspectratio="f"/>
                          </v:shape>
                        </w:pict>
                      </mc:Fallback>
                    </mc:AlternateContent>
                  </w:r>
                  <w:r>
                    <w:rPr>
                      <w:color w:val="000000" w:themeColor="text1"/>
                      <w:highlight w:val="none"/>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-6350</wp:posOffset>
                            </wp:positionV>
                            <wp:extent cx="635" cy="0"/>
                            <wp:effectExtent l="0" t="4445" r="0" b="5080"/>
                            <wp:wrapNone/>
                            <wp:docPr id="1" name="直线连接符 1"/>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连接符 1" o:spid="_x0000_s1026" o:spt="20" style="position:absolute;left:0pt;margin-left:-9pt;margin-top:-0.5pt;height:0pt;width:0.05pt;z-index:251659264;mso-width-relative:page;mso-height-relative:page;" filled="f" stroked="t" coordsize="21600,21600" o:gfxdata="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rkdN+&#10;1QAAAAkBAAAPAAAAAAAAAAEAIAAAACIAAABkcnMvZG93bnJldi54bWxQSwECFAAUAAAACACHTuJA&#10;EH1Y2+sBAADUAwAADgAAAAAAAAABACAAAAAkAQAAZHJzL2Uyb0RvYy54bWxQSwUGAAAAAAYABgBZ&#10;AQAAgQUAAAAA&#10;">
                            <v:fill on="f" focussize="0,0"/>
                            <v:stroke color="#000000" joinstyle="round"/>
                            <v:imagedata o:title=""/>
                            <o:lock v:ext="edit" aspectratio="f"/>
                          </v:line>
                        </w:pict>
                      </mc:Fallback>
                    </mc:AlternateContent>
                  </w:r>
                  <w:r>
                    <w:rPr>
                      <w:rFonts w:hint="eastAsia" w:ascii="宋体" w:hAnsi="宋体" w:cs="宋体"/>
                      <w:b/>
                      <w:bCs/>
                      <w:color w:val="000000" w:themeColor="text1"/>
                      <w:sz w:val="24"/>
                      <w:szCs w:val="24"/>
                      <w:highlight w:val="none"/>
                      <w14:textFill>
                        <w14:solidFill>
                          <w14:schemeClr w14:val="tx1"/>
                        </w14:solidFill>
                      </w14:textFill>
                    </w:rPr>
                    <w:t>服</w:t>
                  </w:r>
                </w:p>
                <w:p w14:paraId="55074647">
                  <w:pPr>
                    <w:ind w:firstLine="241" w:firstLineChars="100"/>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费　　　　 务</w:t>
                  </w:r>
                </w:p>
                <w:p w14:paraId="05A849A7">
                  <w:pPr>
                    <w:ind w:firstLine="1205" w:firstLineChars="500"/>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-73660</wp:posOffset>
                            </wp:positionH>
                            <wp:positionV relativeFrom="paragraph">
                              <wp:posOffset>63500</wp:posOffset>
                            </wp:positionV>
                            <wp:extent cx="1683385" cy="732790"/>
                            <wp:effectExtent l="1905" t="4445" r="10160" b="5715"/>
                            <wp:wrapNone/>
                            <wp:docPr id="2" name="直接连接符 14"/>
                            <wp:cNvGraphicFramePr/>
                            <a:graphic xmlns:a="http://schemas.openxmlformats.org/drawingml/2006/main">
                              <a:graphicData uri="http://schemas.microsoft.com/office/word/2010/wordprocessingShape">
                                <wps:wsp>
                                  <wps:cNvCnPr/>
                                  <wps:spPr>
                                    <a:xfrm>
                                      <a:off x="0" y="0"/>
                                      <a:ext cx="1683385" cy="73279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直接连接符 14" o:spid="_x0000_s1026" o:spt="32" type="#_x0000_t32" style="position:absolute;left:0pt;margin-left:-5.8pt;margin-top:5pt;height:57.7pt;width:132.55pt;z-index:251660288;mso-width-relative:page;mso-height-relative:page;" filled="f" stroked="t" coordsize="21600,21600" o:gfxdata="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3xuRw2AAAAAoBAAAPAAAAAAAAAAEAIAAAACIAAABkcnMvZG93bnJl&#10;di54bWxQSwECFAAUAAAACACHTuJANCzlav0BAADsAwAADgAAAAAAAAABACAAAAAnAQAAZHJzL2Uy&#10;b0RvYy54bWxQSwUGAAAAAAYABgBZAQAAlgUAAAAA&#10;">
                            <v:fill on="f" focussize="0,0"/>
                            <v:stroke color="#000000" joinstyle="round"/>
                            <v:imagedata o:title=""/>
                            <o:lock v:ext="edit" aspectratio="f"/>
                          </v:shape>
                        </w:pict>
                      </mc:Fallback>
                    </mc:AlternateContent>
                  </w:r>
                  <w:r>
                    <w:rPr>
                      <w:rFonts w:hint="eastAsia" w:ascii="宋体" w:hAnsi="宋体" w:cs="宋体"/>
                      <w:b/>
                      <w:bCs/>
                      <w:color w:val="000000" w:themeColor="text1"/>
                      <w:sz w:val="24"/>
                      <w:szCs w:val="24"/>
                      <w:highlight w:val="none"/>
                      <w14:textFill>
                        <w14:solidFill>
                          <w14:schemeClr w14:val="tx1"/>
                        </w14:solidFill>
                      </w14:textFill>
                    </w:rPr>
                    <w:t xml:space="preserve">      类</w:t>
                  </w:r>
                </w:p>
                <w:p w14:paraId="43BE0620">
                  <w:pPr>
                    <w:ind w:firstLine="1205" w:firstLineChars="500"/>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率　　   型</w:t>
                  </w:r>
                </w:p>
                <w:p w14:paraId="29078932">
                  <w:pP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中标金额</w:t>
                  </w:r>
                </w:p>
                <w:p w14:paraId="084842D7">
                  <w:pP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（万元）</w:t>
                  </w:r>
                </w:p>
              </w:tc>
              <w:tc>
                <w:tcPr>
                  <w:tcW w:w="1279" w:type="dxa"/>
                  <w:vAlign w:val="center"/>
                </w:tcPr>
                <w:p w14:paraId="50CB9F6F">
                  <w:pPr>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货物招标</w:t>
                  </w:r>
                </w:p>
              </w:tc>
              <w:tc>
                <w:tcPr>
                  <w:tcW w:w="1346" w:type="dxa"/>
                  <w:vAlign w:val="center"/>
                </w:tcPr>
                <w:p w14:paraId="35604BC7">
                  <w:pPr>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服务招标</w:t>
                  </w:r>
                </w:p>
              </w:tc>
              <w:tc>
                <w:tcPr>
                  <w:tcW w:w="1125" w:type="dxa"/>
                  <w:vAlign w:val="center"/>
                </w:tcPr>
                <w:p w14:paraId="62BD8D3F">
                  <w:pPr>
                    <w:ind w:right="-149" w:rightChars="-71"/>
                    <w:jc w:val="both"/>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工程招标</w:t>
                  </w:r>
                </w:p>
              </w:tc>
            </w:tr>
            <w:tr w14:paraId="01614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3" w:type="dxa"/>
                </w:tcPr>
                <w:p w14:paraId="21D4033E">
                  <w:pPr>
                    <w:spacing w:line="360" w:lineRule="exact"/>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100以下</w:t>
                  </w:r>
                </w:p>
              </w:tc>
              <w:tc>
                <w:tcPr>
                  <w:tcW w:w="1279" w:type="dxa"/>
                </w:tcPr>
                <w:p w14:paraId="5AC32597">
                  <w:pPr>
                    <w:spacing w:line="360" w:lineRule="exact"/>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1.5%</w:t>
                  </w:r>
                </w:p>
              </w:tc>
              <w:tc>
                <w:tcPr>
                  <w:tcW w:w="1346" w:type="dxa"/>
                </w:tcPr>
                <w:p w14:paraId="2CE371DC">
                  <w:pPr>
                    <w:spacing w:line="360" w:lineRule="exact"/>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1.5%</w:t>
                  </w:r>
                </w:p>
              </w:tc>
              <w:tc>
                <w:tcPr>
                  <w:tcW w:w="1125" w:type="dxa"/>
                </w:tcPr>
                <w:p w14:paraId="38FBF540">
                  <w:pPr>
                    <w:spacing w:line="360" w:lineRule="exact"/>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1.0%</w:t>
                  </w:r>
                </w:p>
              </w:tc>
            </w:tr>
            <w:tr w14:paraId="745E9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3" w:type="dxa"/>
                </w:tcPr>
                <w:p w14:paraId="47398CDF">
                  <w:pPr>
                    <w:spacing w:line="360" w:lineRule="exact"/>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100-500</w:t>
                  </w:r>
                </w:p>
              </w:tc>
              <w:tc>
                <w:tcPr>
                  <w:tcW w:w="1279" w:type="dxa"/>
                </w:tcPr>
                <w:p w14:paraId="0648F53D">
                  <w:pPr>
                    <w:spacing w:line="360" w:lineRule="exact"/>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1.1%</w:t>
                  </w:r>
                </w:p>
              </w:tc>
              <w:tc>
                <w:tcPr>
                  <w:tcW w:w="1346" w:type="dxa"/>
                </w:tcPr>
                <w:p w14:paraId="59F8B847">
                  <w:pPr>
                    <w:spacing w:line="360" w:lineRule="exact"/>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0.8%</w:t>
                  </w:r>
                </w:p>
              </w:tc>
              <w:tc>
                <w:tcPr>
                  <w:tcW w:w="1125" w:type="dxa"/>
                </w:tcPr>
                <w:p w14:paraId="79ABCA9E">
                  <w:pPr>
                    <w:spacing w:line="360" w:lineRule="exact"/>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0.7%</w:t>
                  </w:r>
                </w:p>
              </w:tc>
            </w:tr>
            <w:tr w14:paraId="0D995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3" w:type="dxa"/>
                </w:tcPr>
                <w:p w14:paraId="2CCB85D0">
                  <w:pPr>
                    <w:spacing w:line="360" w:lineRule="exact"/>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500-1000</w:t>
                  </w:r>
                </w:p>
              </w:tc>
              <w:tc>
                <w:tcPr>
                  <w:tcW w:w="1279" w:type="dxa"/>
                </w:tcPr>
                <w:p w14:paraId="70F24F57">
                  <w:pPr>
                    <w:spacing w:line="360" w:lineRule="exact"/>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0.8%</w:t>
                  </w:r>
                </w:p>
              </w:tc>
              <w:tc>
                <w:tcPr>
                  <w:tcW w:w="1346" w:type="dxa"/>
                </w:tcPr>
                <w:p w14:paraId="78A691DC">
                  <w:pPr>
                    <w:spacing w:line="360" w:lineRule="exact"/>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0.45%</w:t>
                  </w:r>
                </w:p>
              </w:tc>
              <w:tc>
                <w:tcPr>
                  <w:tcW w:w="1125" w:type="dxa"/>
                </w:tcPr>
                <w:p w14:paraId="01EEE0FE">
                  <w:pPr>
                    <w:spacing w:line="360" w:lineRule="exact"/>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0.55%</w:t>
                  </w:r>
                </w:p>
              </w:tc>
            </w:tr>
            <w:tr w14:paraId="44B59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3" w:type="dxa"/>
                </w:tcPr>
                <w:p w14:paraId="3C967B50">
                  <w:pPr>
                    <w:spacing w:line="360" w:lineRule="exact"/>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1000-5000</w:t>
                  </w:r>
                </w:p>
              </w:tc>
              <w:tc>
                <w:tcPr>
                  <w:tcW w:w="1279" w:type="dxa"/>
                </w:tcPr>
                <w:p w14:paraId="7A87524C">
                  <w:pPr>
                    <w:spacing w:line="360" w:lineRule="exact"/>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0.5%</w:t>
                  </w:r>
                </w:p>
              </w:tc>
              <w:tc>
                <w:tcPr>
                  <w:tcW w:w="1346" w:type="dxa"/>
                </w:tcPr>
                <w:p w14:paraId="0BC14A90">
                  <w:pPr>
                    <w:spacing w:line="360" w:lineRule="exact"/>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0.25%</w:t>
                  </w:r>
                </w:p>
              </w:tc>
              <w:tc>
                <w:tcPr>
                  <w:tcW w:w="1125" w:type="dxa"/>
                </w:tcPr>
                <w:p w14:paraId="5E0F12DE">
                  <w:pPr>
                    <w:spacing w:line="360" w:lineRule="exact"/>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0.35%</w:t>
                  </w:r>
                </w:p>
              </w:tc>
            </w:tr>
            <w:tr w14:paraId="36C43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3" w:type="dxa"/>
                </w:tcPr>
                <w:p w14:paraId="1E9E84D2">
                  <w:pPr>
                    <w:spacing w:line="360" w:lineRule="exact"/>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5000-10000</w:t>
                  </w:r>
                </w:p>
              </w:tc>
              <w:tc>
                <w:tcPr>
                  <w:tcW w:w="1279" w:type="dxa"/>
                </w:tcPr>
                <w:p w14:paraId="7DDB5DBE">
                  <w:pPr>
                    <w:spacing w:line="360" w:lineRule="exact"/>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0.25%</w:t>
                  </w:r>
                </w:p>
              </w:tc>
              <w:tc>
                <w:tcPr>
                  <w:tcW w:w="1346" w:type="dxa"/>
                </w:tcPr>
                <w:p w14:paraId="5F293EB7">
                  <w:pPr>
                    <w:spacing w:line="360" w:lineRule="exact"/>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0.1%</w:t>
                  </w:r>
                </w:p>
              </w:tc>
              <w:tc>
                <w:tcPr>
                  <w:tcW w:w="1125" w:type="dxa"/>
                </w:tcPr>
                <w:p w14:paraId="21DE6FF0">
                  <w:pPr>
                    <w:spacing w:line="360" w:lineRule="exact"/>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0.2%</w:t>
                  </w:r>
                </w:p>
              </w:tc>
            </w:tr>
            <w:tr w14:paraId="0A5B2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3" w:type="dxa"/>
                </w:tcPr>
                <w:p w14:paraId="0B0109D2">
                  <w:pPr>
                    <w:spacing w:line="360" w:lineRule="exact"/>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10000-100000</w:t>
                  </w:r>
                </w:p>
              </w:tc>
              <w:tc>
                <w:tcPr>
                  <w:tcW w:w="1279" w:type="dxa"/>
                </w:tcPr>
                <w:p w14:paraId="0E15645A">
                  <w:pPr>
                    <w:spacing w:line="360" w:lineRule="exact"/>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0.05%</w:t>
                  </w:r>
                </w:p>
              </w:tc>
              <w:tc>
                <w:tcPr>
                  <w:tcW w:w="1346" w:type="dxa"/>
                </w:tcPr>
                <w:p w14:paraId="7CEEB91A">
                  <w:pPr>
                    <w:spacing w:line="360" w:lineRule="exact"/>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0.05%</w:t>
                  </w:r>
                </w:p>
              </w:tc>
              <w:tc>
                <w:tcPr>
                  <w:tcW w:w="1125" w:type="dxa"/>
                </w:tcPr>
                <w:p w14:paraId="10D0A629">
                  <w:pPr>
                    <w:spacing w:line="360" w:lineRule="exact"/>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0.05%</w:t>
                  </w:r>
                </w:p>
              </w:tc>
            </w:tr>
            <w:tr w14:paraId="49CD1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3" w:type="dxa"/>
                </w:tcPr>
                <w:p w14:paraId="50375080">
                  <w:pPr>
                    <w:spacing w:line="360" w:lineRule="exact"/>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1000000以上</w:t>
                  </w:r>
                </w:p>
              </w:tc>
              <w:tc>
                <w:tcPr>
                  <w:tcW w:w="1279" w:type="dxa"/>
                </w:tcPr>
                <w:p w14:paraId="3259B97A">
                  <w:pPr>
                    <w:spacing w:line="360" w:lineRule="exact"/>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0.01%</w:t>
                  </w:r>
                </w:p>
              </w:tc>
              <w:tc>
                <w:tcPr>
                  <w:tcW w:w="1346" w:type="dxa"/>
                </w:tcPr>
                <w:p w14:paraId="7C98391C">
                  <w:pPr>
                    <w:spacing w:line="360" w:lineRule="exact"/>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0.01%</w:t>
                  </w:r>
                </w:p>
              </w:tc>
              <w:tc>
                <w:tcPr>
                  <w:tcW w:w="1125" w:type="dxa"/>
                </w:tcPr>
                <w:p w14:paraId="1FCC4CAE">
                  <w:pPr>
                    <w:spacing w:line="360" w:lineRule="exact"/>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0.01%</w:t>
                  </w:r>
                </w:p>
              </w:tc>
            </w:tr>
          </w:tbl>
          <w:p w14:paraId="3F5A1912">
            <w:pPr>
              <w:snapToGrid w:val="0"/>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注：招标代理服务收费按差额定率累进法计算。例如：某工程招标代理业务中标金额为6000万元，计算招标代理服务收费额如下：</w:t>
            </w:r>
          </w:p>
          <w:p w14:paraId="5ECCF05B">
            <w:pPr>
              <w:snapToGrid w:val="0"/>
              <w:spacing w:line="360" w:lineRule="auto"/>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100万元×1.0%=1万元</w:t>
            </w:r>
          </w:p>
          <w:p w14:paraId="7B9034DF">
            <w:pPr>
              <w:snapToGrid w:val="0"/>
              <w:spacing w:line="360" w:lineRule="auto"/>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（500-100）万元×0.7%=2.8万元</w:t>
            </w:r>
          </w:p>
          <w:p w14:paraId="660536D4">
            <w:pPr>
              <w:snapToGrid w:val="0"/>
              <w:spacing w:line="360" w:lineRule="auto"/>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（1000-500）×0.55%=2.75万元</w:t>
            </w:r>
          </w:p>
          <w:p w14:paraId="24C6DC63">
            <w:pPr>
              <w:snapToGrid w:val="0"/>
              <w:spacing w:line="360" w:lineRule="auto"/>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（5000-1000）×0.35%=14万元</w:t>
            </w:r>
          </w:p>
          <w:p w14:paraId="15959FFC">
            <w:pPr>
              <w:snapToGrid w:val="0"/>
              <w:spacing w:line="360" w:lineRule="auto"/>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（6000-5000）×0.2%=2万元</w:t>
            </w:r>
          </w:p>
          <w:p w14:paraId="2BC641E0">
            <w:pPr>
              <w:spacing w:line="360" w:lineRule="auto"/>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合计收费=（1+2.8+2.75+14+2）*（1-25%）=16.9125（万元）</w:t>
            </w:r>
          </w:p>
          <w:p w14:paraId="52E28B7C">
            <w:pPr>
              <w:autoSpaceDE w:val="0"/>
              <w:autoSpaceDN w:val="0"/>
              <w:spacing w:line="360" w:lineRule="auto"/>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(4)中标服务费收费方式：银行转账、电汇。</w:t>
            </w:r>
          </w:p>
          <w:p w14:paraId="2A990FCE">
            <w:pPr>
              <w:pStyle w:val="67"/>
              <w:spacing w:line="360" w:lineRule="auto"/>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账户名称：云南元大工程咨询有限责任公司</w:t>
            </w:r>
          </w:p>
          <w:p w14:paraId="2457A78E">
            <w:pPr>
              <w:pStyle w:val="67"/>
              <w:spacing w:line="360" w:lineRule="auto"/>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开户银行：中国工商银行股份有限公司昆明汇通支行</w:t>
            </w:r>
          </w:p>
          <w:p w14:paraId="0696EAA5">
            <w:pPr>
              <w:pStyle w:val="67"/>
              <w:spacing w:line="360" w:lineRule="auto"/>
              <w:rPr>
                <w:rFonts w:ascii="宋体" w:hAnsi="宋体" w:cs="宋体"/>
                <w:b/>
                <w:bCs/>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账    号：</w:t>
            </w:r>
            <w:r>
              <w:rPr>
                <w:rFonts w:hint="eastAsia" w:ascii="宋体" w:hAnsi="宋体" w:cs="宋体"/>
                <w:b/>
                <w:bCs/>
                <w:color w:val="000000" w:themeColor="text1"/>
                <w:kern w:val="2"/>
                <w:sz w:val="24"/>
                <w:szCs w:val="24"/>
                <w:highlight w:val="none"/>
                <w14:textFill>
                  <w14:solidFill>
                    <w14:schemeClr w14:val="tx1"/>
                  </w14:solidFill>
                </w14:textFill>
              </w:rPr>
              <w:t>2502038009024579141</w:t>
            </w:r>
          </w:p>
          <w:p w14:paraId="7A8B7736">
            <w:pPr>
              <w:pStyle w:val="67"/>
              <w:spacing w:line="360" w:lineRule="auto"/>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财务电话：(0871)63338592</w:t>
            </w:r>
          </w:p>
        </w:tc>
      </w:tr>
      <w:tr w14:paraId="659DD3E8">
        <w:tblPrEx>
          <w:tblCellMar>
            <w:top w:w="0" w:type="dxa"/>
            <w:left w:w="0" w:type="dxa"/>
            <w:bottom w:w="0" w:type="dxa"/>
            <w:right w:w="0" w:type="dxa"/>
          </w:tblCellMar>
        </w:tblPrEx>
        <w:trPr>
          <w:jc w:val="center"/>
        </w:trPr>
        <w:tc>
          <w:tcPr>
            <w:tcW w:w="1059" w:type="dxa"/>
            <w:tcBorders>
              <w:top w:val="single" w:color="auto" w:sz="8" w:space="0"/>
              <w:left w:val="single" w:color="auto" w:sz="8" w:space="0"/>
              <w:bottom w:val="single" w:color="auto" w:sz="8" w:space="0"/>
              <w:right w:val="single" w:color="auto" w:sz="8" w:space="0"/>
            </w:tcBorders>
            <w:vAlign w:val="center"/>
          </w:tcPr>
          <w:p w14:paraId="21C3DA22">
            <w:pPr>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3.3.1</w:t>
            </w:r>
          </w:p>
        </w:tc>
        <w:tc>
          <w:tcPr>
            <w:tcW w:w="2024" w:type="dxa"/>
            <w:tcBorders>
              <w:top w:val="single" w:color="auto" w:sz="8" w:space="0"/>
              <w:left w:val="nil"/>
              <w:bottom w:val="single" w:color="auto" w:sz="8" w:space="0"/>
              <w:right w:val="single" w:color="auto" w:sz="8" w:space="0"/>
            </w:tcBorders>
            <w:vAlign w:val="center"/>
          </w:tcPr>
          <w:p w14:paraId="5FE42EBD">
            <w:pPr>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投标有效期</w:t>
            </w:r>
          </w:p>
        </w:tc>
        <w:tc>
          <w:tcPr>
            <w:tcW w:w="6799" w:type="dxa"/>
            <w:tcBorders>
              <w:top w:val="single" w:color="auto" w:sz="8" w:space="0"/>
              <w:left w:val="nil"/>
              <w:bottom w:val="single" w:color="auto" w:sz="8" w:space="0"/>
              <w:right w:val="single" w:color="auto" w:sz="8" w:space="0"/>
            </w:tcBorders>
            <w:vAlign w:val="center"/>
          </w:tcPr>
          <w:p w14:paraId="5FC4054C">
            <w:pPr>
              <w:pStyle w:val="67"/>
              <w:spacing w:line="360" w:lineRule="auto"/>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投标有效期为90日历天</w:t>
            </w:r>
            <w:r>
              <w:rPr>
                <w:rFonts w:hint="eastAsia" w:ascii="宋体" w:hAnsi="宋体" w:cs="宋体"/>
                <w:color w:val="000000" w:themeColor="text1"/>
                <w:sz w:val="24"/>
                <w:szCs w:val="24"/>
                <w:highlight w:val="none"/>
                <w14:textFill>
                  <w14:solidFill>
                    <w14:schemeClr w14:val="tx1"/>
                  </w14:solidFill>
                </w14:textFill>
              </w:rPr>
              <w:t>(从投标截止之日算起)</w:t>
            </w:r>
            <w:r>
              <w:rPr>
                <w:rFonts w:hint="eastAsia" w:ascii="宋体" w:hAnsi="宋体" w:cs="宋体"/>
                <w:color w:val="000000" w:themeColor="text1"/>
                <w:kern w:val="2"/>
                <w:sz w:val="24"/>
                <w:szCs w:val="24"/>
                <w:highlight w:val="none"/>
                <w14:textFill>
                  <w14:solidFill>
                    <w14:schemeClr w14:val="tx1"/>
                  </w14:solidFill>
                </w14:textFill>
              </w:rPr>
              <w:t>。</w:t>
            </w:r>
          </w:p>
        </w:tc>
      </w:tr>
      <w:tr w14:paraId="516AC0D4">
        <w:tblPrEx>
          <w:tblCellMar>
            <w:top w:w="0" w:type="dxa"/>
            <w:left w:w="0" w:type="dxa"/>
            <w:bottom w:w="0" w:type="dxa"/>
            <w:right w:w="0" w:type="dxa"/>
          </w:tblCellMar>
        </w:tblPrEx>
        <w:trPr>
          <w:jc w:val="center"/>
        </w:trPr>
        <w:tc>
          <w:tcPr>
            <w:tcW w:w="1059" w:type="dxa"/>
            <w:tcBorders>
              <w:top w:val="single" w:color="auto" w:sz="8" w:space="0"/>
              <w:left w:val="single" w:color="auto" w:sz="8" w:space="0"/>
              <w:bottom w:val="single" w:color="auto" w:sz="8" w:space="0"/>
              <w:right w:val="single" w:color="auto" w:sz="8" w:space="0"/>
            </w:tcBorders>
            <w:vAlign w:val="center"/>
          </w:tcPr>
          <w:p w14:paraId="775ACEF8">
            <w:pPr>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3.4.1</w:t>
            </w:r>
          </w:p>
        </w:tc>
        <w:tc>
          <w:tcPr>
            <w:tcW w:w="2024" w:type="dxa"/>
            <w:tcBorders>
              <w:top w:val="single" w:color="auto" w:sz="8" w:space="0"/>
              <w:left w:val="nil"/>
              <w:bottom w:val="single" w:color="auto" w:sz="8" w:space="0"/>
              <w:right w:val="single" w:color="auto" w:sz="8" w:space="0"/>
            </w:tcBorders>
            <w:vAlign w:val="center"/>
          </w:tcPr>
          <w:p w14:paraId="20739179">
            <w:pPr>
              <w:spacing w:line="380" w:lineRule="exact"/>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投标保证金</w:t>
            </w:r>
          </w:p>
        </w:tc>
        <w:tc>
          <w:tcPr>
            <w:tcW w:w="6799" w:type="dxa"/>
            <w:tcBorders>
              <w:top w:val="single" w:color="auto" w:sz="8" w:space="0"/>
              <w:left w:val="nil"/>
              <w:bottom w:val="single" w:color="auto" w:sz="8" w:space="0"/>
              <w:right w:val="single" w:color="auto" w:sz="8" w:space="0"/>
            </w:tcBorders>
            <w:vAlign w:val="center"/>
          </w:tcPr>
          <w:p w14:paraId="6EE837C1">
            <w:pPr>
              <w:autoSpaceDE w:val="0"/>
              <w:autoSpaceDN w:val="0"/>
              <w:spacing w:line="360" w:lineRule="auto"/>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不要求</w:t>
            </w:r>
          </w:p>
        </w:tc>
      </w:tr>
      <w:tr w14:paraId="4E81FE55">
        <w:tblPrEx>
          <w:tblCellMar>
            <w:top w:w="0" w:type="dxa"/>
            <w:left w:w="0" w:type="dxa"/>
            <w:bottom w:w="0" w:type="dxa"/>
            <w:right w:w="0" w:type="dxa"/>
          </w:tblCellMar>
        </w:tblPrEx>
        <w:trPr>
          <w:jc w:val="center"/>
        </w:trPr>
        <w:tc>
          <w:tcPr>
            <w:tcW w:w="1059" w:type="dxa"/>
            <w:tcBorders>
              <w:top w:val="single" w:color="auto" w:sz="8" w:space="0"/>
              <w:left w:val="single" w:color="auto" w:sz="8" w:space="0"/>
              <w:bottom w:val="single" w:color="auto" w:sz="8" w:space="0"/>
              <w:right w:val="single" w:color="auto" w:sz="8" w:space="0"/>
            </w:tcBorders>
            <w:vAlign w:val="center"/>
          </w:tcPr>
          <w:p w14:paraId="7ACCC7BC">
            <w:pPr>
              <w:widowControl w:val="0"/>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b/>
                <w:bCs/>
                <w:color w:val="000000" w:themeColor="text1"/>
                <w:kern w:val="2"/>
                <w:sz w:val="24"/>
                <w:szCs w:val="24"/>
                <w:highlight w:val="none"/>
                <w14:textFill>
                  <w14:solidFill>
                    <w14:schemeClr w14:val="tx1"/>
                  </w14:solidFill>
                </w14:textFill>
              </w:rPr>
              <w:t>3.5.2</w:t>
            </w:r>
          </w:p>
        </w:tc>
        <w:tc>
          <w:tcPr>
            <w:tcW w:w="2024" w:type="dxa"/>
            <w:tcBorders>
              <w:top w:val="single" w:color="auto" w:sz="8" w:space="0"/>
              <w:left w:val="nil"/>
              <w:bottom w:val="single" w:color="auto" w:sz="8" w:space="0"/>
              <w:right w:val="single" w:color="auto" w:sz="8" w:space="0"/>
            </w:tcBorders>
            <w:vAlign w:val="center"/>
          </w:tcPr>
          <w:p w14:paraId="6E5BFC32">
            <w:pPr>
              <w:widowControl w:val="0"/>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投标文件编制的其他要求</w:t>
            </w:r>
          </w:p>
        </w:tc>
        <w:tc>
          <w:tcPr>
            <w:tcW w:w="6799" w:type="dxa"/>
            <w:tcBorders>
              <w:top w:val="single" w:color="auto" w:sz="8" w:space="0"/>
              <w:left w:val="nil"/>
              <w:bottom w:val="single" w:color="auto" w:sz="8" w:space="0"/>
              <w:right w:val="single" w:color="auto" w:sz="8" w:space="0"/>
            </w:tcBorders>
            <w:vAlign w:val="center"/>
          </w:tcPr>
          <w:p w14:paraId="1BEF1C23">
            <w:pPr>
              <w:widowControl w:val="0"/>
              <w:spacing w:line="360" w:lineRule="auto"/>
              <w:jc w:val="both"/>
              <w:rPr>
                <w:rFonts w:ascii="宋体" w:hAnsi="宋体" w:cs="宋体"/>
                <w:b/>
                <w:bCs/>
                <w:color w:val="000000" w:themeColor="text1"/>
                <w:kern w:val="2"/>
                <w:sz w:val="24"/>
                <w:szCs w:val="24"/>
                <w:highlight w:val="none"/>
                <w14:textFill>
                  <w14:solidFill>
                    <w14:schemeClr w14:val="tx1"/>
                  </w14:solidFill>
                </w14:textFill>
              </w:rPr>
            </w:pPr>
            <w:r>
              <w:rPr>
                <w:rFonts w:hint="eastAsia" w:ascii="宋体" w:hAnsi="宋体" w:cs="宋体"/>
                <w:b/>
                <w:bCs/>
                <w:color w:val="000000" w:themeColor="text1"/>
                <w:kern w:val="2"/>
                <w:sz w:val="24"/>
                <w:szCs w:val="24"/>
                <w:highlight w:val="none"/>
                <w14:textFill>
                  <w14:solidFill>
                    <w14:schemeClr w14:val="tx1"/>
                  </w14:solidFill>
                </w14:textFill>
              </w:rPr>
              <w:t>（1）投标文件全部采用电子文档，投标人应安装客户端软件—“政采云电子交易客户端”，并按照招标文件和政采云电子交易平台的要求编制，编制后应进行电子签章、签名及加密；</w:t>
            </w:r>
          </w:p>
          <w:p w14:paraId="30E8B9D7">
            <w:pPr>
              <w:widowControl w:val="0"/>
              <w:spacing w:line="360" w:lineRule="auto"/>
              <w:jc w:val="both"/>
              <w:rPr>
                <w:rFonts w:ascii="宋体" w:hAnsi="宋体" w:cs="宋体"/>
                <w:b/>
                <w:bCs/>
                <w:color w:val="000000" w:themeColor="text1"/>
                <w:kern w:val="2"/>
                <w:sz w:val="24"/>
                <w:szCs w:val="24"/>
                <w:highlight w:val="none"/>
                <w14:textFill>
                  <w14:solidFill>
                    <w14:schemeClr w14:val="tx1"/>
                  </w14:solidFill>
                </w14:textFill>
              </w:rPr>
            </w:pPr>
            <w:r>
              <w:rPr>
                <w:rFonts w:hint="eastAsia" w:ascii="宋体" w:hAnsi="宋体" w:cs="宋体"/>
                <w:b/>
                <w:bCs/>
                <w:color w:val="000000" w:themeColor="text1"/>
                <w:kern w:val="2"/>
                <w:sz w:val="24"/>
                <w:szCs w:val="24"/>
                <w:highlight w:val="none"/>
                <w14:textFill>
                  <w14:solidFill>
                    <w14:schemeClr w14:val="tx1"/>
                  </w14:solidFill>
                </w14:textFill>
              </w:rPr>
              <w:t>（2）如投标人提交的电子标书未按招标文件要求或开标时无法读取导入或解密，其投标文件将不予受理；</w:t>
            </w:r>
          </w:p>
          <w:p w14:paraId="78C9BD78">
            <w:pPr>
              <w:widowControl w:val="0"/>
              <w:spacing w:line="360" w:lineRule="auto"/>
              <w:jc w:val="both"/>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b/>
                <w:bCs/>
                <w:color w:val="000000" w:themeColor="text1"/>
                <w:kern w:val="2"/>
                <w:sz w:val="24"/>
                <w:szCs w:val="24"/>
                <w:highlight w:val="none"/>
                <w14:textFill>
                  <w14:solidFill>
                    <w14:schemeClr w14:val="tx1"/>
                  </w14:solidFill>
                </w14:textFill>
              </w:rPr>
              <w:t>(3)投标文件中提供的资料(原件扫描件)，内容必须清晰可辨，若内容模糊，无法辨识，均视为未提供。</w:t>
            </w:r>
          </w:p>
        </w:tc>
      </w:tr>
      <w:tr w14:paraId="43F1A674">
        <w:tblPrEx>
          <w:tblCellMar>
            <w:top w:w="0" w:type="dxa"/>
            <w:left w:w="0" w:type="dxa"/>
            <w:bottom w:w="0" w:type="dxa"/>
            <w:right w:w="0" w:type="dxa"/>
          </w:tblCellMar>
        </w:tblPrEx>
        <w:trPr>
          <w:jc w:val="center"/>
        </w:trPr>
        <w:tc>
          <w:tcPr>
            <w:tcW w:w="1059" w:type="dxa"/>
            <w:tcBorders>
              <w:top w:val="single" w:color="auto" w:sz="8" w:space="0"/>
              <w:left w:val="single" w:color="auto" w:sz="8" w:space="0"/>
              <w:bottom w:val="single" w:color="auto" w:sz="8" w:space="0"/>
              <w:right w:val="single" w:color="auto" w:sz="8" w:space="0"/>
            </w:tcBorders>
            <w:vAlign w:val="center"/>
          </w:tcPr>
          <w:p w14:paraId="3F703149">
            <w:pPr>
              <w:widowControl w:val="0"/>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4.1</w:t>
            </w:r>
          </w:p>
        </w:tc>
        <w:tc>
          <w:tcPr>
            <w:tcW w:w="2024" w:type="dxa"/>
            <w:tcBorders>
              <w:top w:val="single" w:color="auto" w:sz="8" w:space="0"/>
              <w:left w:val="nil"/>
              <w:bottom w:val="single" w:color="auto" w:sz="8" w:space="0"/>
              <w:right w:val="single" w:color="auto" w:sz="8" w:space="0"/>
            </w:tcBorders>
            <w:vAlign w:val="center"/>
          </w:tcPr>
          <w:p w14:paraId="793470CF">
            <w:pPr>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投标文件的加密</w:t>
            </w:r>
          </w:p>
        </w:tc>
        <w:tc>
          <w:tcPr>
            <w:tcW w:w="6799" w:type="dxa"/>
            <w:tcBorders>
              <w:top w:val="single" w:color="auto" w:sz="8" w:space="0"/>
              <w:left w:val="nil"/>
              <w:bottom w:val="single" w:color="auto" w:sz="8" w:space="0"/>
              <w:right w:val="single" w:color="auto" w:sz="8" w:space="0"/>
            </w:tcBorders>
            <w:vAlign w:val="center"/>
          </w:tcPr>
          <w:p w14:paraId="11AEF3D5">
            <w:pPr>
              <w:spacing w:line="360" w:lineRule="auto"/>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(1)投标人进行电子交易应安装客户端软件—“政采云电子交易客户端”，并按照招标文件和电子交易平台的要求编制并加密投标文件。投标人未按规定加密的投标文件，电子交易平台将拒收并提示；</w:t>
            </w:r>
          </w:p>
          <w:p w14:paraId="5B00ED28">
            <w:pPr>
              <w:spacing w:line="360" w:lineRule="auto"/>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(2)使用“政采云电子交易客户端”需要提前申领 CA 数字证书，申领流程见该项目采购公告附件；</w:t>
            </w:r>
          </w:p>
          <w:p w14:paraId="74121717">
            <w:pPr>
              <w:spacing w:line="360" w:lineRule="auto"/>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(3)为确保网上操作合法、有效和安全，投标人应当在投标文件提交截止时间前完成在“政府采购云 平台”的身份认证，确保在电子交易过程中能够对相关数据电文进行加密和使用电子签名。</w:t>
            </w:r>
          </w:p>
        </w:tc>
      </w:tr>
      <w:tr w14:paraId="1159FD34">
        <w:tblPrEx>
          <w:tblCellMar>
            <w:top w:w="0" w:type="dxa"/>
            <w:left w:w="0" w:type="dxa"/>
            <w:bottom w:w="0" w:type="dxa"/>
            <w:right w:w="0" w:type="dxa"/>
          </w:tblCellMar>
        </w:tblPrEx>
        <w:trPr>
          <w:jc w:val="center"/>
        </w:trPr>
        <w:tc>
          <w:tcPr>
            <w:tcW w:w="1059" w:type="dxa"/>
            <w:tcBorders>
              <w:top w:val="single" w:color="auto" w:sz="8" w:space="0"/>
              <w:left w:val="single" w:color="auto" w:sz="8" w:space="0"/>
              <w:bottom w:val="single" w:color="auto" w:sz="8" w:space="0"/>
              <w:right w:val="single" w:color="auto" w:sz="8" w:space="0"/>
            </w:tcBorders>
            <w:vAlign w:val="center"/>
          </w:tcPr>
          <w:p w14:paraId="6C8B2A6C">
            <w:pPr>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4.2.1</w:t>
            </w:r>
          </w:p>
        </w:tc>
        <w:tc>
          <w:tcPr>
            <w:tcW w:w="2024" w:type="dxa"/>
            <w:tcBorders>
              <w:top w:val="single" w:color="auto" w:sz="8" w:space="0"/>
              <w:left w:val="nil"/>
              <w:bottom w:val="single" w:color="auto" w:sz="8" w:space="0"/>
              <w:right w:val="single" w:color="auto" w:sz="8" w:space="0"/>
            </w:tcBorders>
            <w:vAlign w:val="center"/>
          </w:tcPr>
          <w:p w14:paraId="2EB1BE60">
            <w:pPr>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投标截止时间</w:t>
            </w:r>
          </w:p>
        </w:tc>
        <w:tc>
          <w:tcPr>
            <w:tcW w:w="6799" w:type="dxa"/>
            <w:tcBorders>
              <w:top w:val="single" w:color="auto" w:sz="8" w:space="0"/>
              <w:left w:val="nil"/>
              <w:bottom w:val="single" w:color="auto" w:sz="8" w:space="0"/>
              <w:right w:val="single" w:color="auto" w:sz="8" w:space="0"/>
            </w:tcBorders>
            <w:vAlign w:val="center"/>
          </w:tcPr>
          <w:p w14:paraId="3ED3EA20">
            <w:pPr>
              <w:spacing w:line="360" w:lineRule="auto"/>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详见第一章 “招标公告”</w:t>
            </w:r>
          </w:p>
        </w:tc>
      </w:tr>
      <w:tr w14:paraId="69D916DC">
        <w:tblPrEx>
          <w:tblCellMar>
            <w:top w:w="0" w:type="dxa"/>
            <w:left w:w="0" w:type="dxa"/>
            <w:bottom w:w="0" w:type="dxa"/>
            <w:right w:w="0" w:type="dxa"/>
          </w:tblCellMar>
        </w:tblPrEx>
        <w:trPr>
          <w:jc w:val="center"/>
        </w:trPr>
        <w:tc>
          <w:tcPr>
            <w:tcW w:w="1059" w:type="dxa"/>
            <w:tcBorders>
              <w:top w:val="single" w:color="auto" w:sz="8" w:space="0"/>
              <w:left w:val="single" w:color="auto" w:sz="8" w:space="0"/>
              <w:bottom w:val="single" w:color="auto" w:sz="8" w:space="0"/>
              <w:right w:val="single" w:color="auto" w:sz="8" w:space="0"/>
            </w:tcBorders>
            <w:vAlign w:val="center"/>
          </w:tcPr>
          <w:p w14:paraId="3F93C9A7">
            <w:pPr>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4.2.2</w:t>
            </w:r>
          </w:p>
        </w:tc>
        <w:tc>
          <w:tcPr>
            <w:tcW w:w="2024" w:type="dxa"/>
            <w:tcBorders>
              <w:top w:val="single" w:color="auto" w:sz="8" w:space="0"/>
              <w:left w:val="nil"/>
              <w:bottom w:val="single" w:color="auto" w:sz="8" w:space="0"/>
              <w:right w:val="single" w:color="auto" w:sz="8" w:space="0"/>
            </w:tcBorders>
            <w:vAlign w:val="center"/>
          </w:tcPr>
          <w:p w14:paraId="16BF0CA4">
            <w:pPr>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投标文件递交时间和地点</w:t>
            </w:r>
          </w:p>
        </w:tc>
        <w:tc>
          <w:tcPr>
            <w:tcW w:w="6799" w:type="dxa"/>
            <w:tcBorders>
              <w:top w:val="single" w:color="auto" w:sz="8" w:space="0"/>
              <w:left w:val="nil"/>
              <w:bottom w:val="single" w:color="auto" w:sz="8" w:space="0"/>
              <w:right w:val="single" w:color="auto" w:sz="8" w:space="0"/>
            </w:tcBorders>
            <w:vAlign w:val="center"/>
          </w:tcPr>
          <w:p w14:paraId="6ED23A94">
            <w:pPr>
              <w:spacing w:line="360" w:lineRule="auto"/>
              <w:jc w:val="both"/>
              <w:rPr>
                <w:rFonts w:ascii="宋体" w:hAnsi="宋体" w:cs="宋体"/>
                <w:color w:val="000000" w:themeColor="text1"/>
                <w:kern w:val="2"/>
                <w:sz w:val="24"/>
                <w:szCs w:val="24"/>
                <w:highlight w:val="none"/>
                <w:u w:val="singl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详见第一章 “招标公告”</w:t>
            </w:r>
          </w:p>
        </w:tc>
      </w:tr>
      <w:tr w14:paraId="7A0FD555">
        <w:tblPrEx>
          <w:tblCellMar>
            <w:top w:w="0" w:type="dxa"/>
            <w:left w:w="0" w:type="dxa"/>
            <w:bottom w:w="0" w:type="dxa"/>
            <w:right w:w="0" w:type="dxa"/>
          </w:tblCellMar>
        </w:tblPrEx>
        <w:trPr>
          <w:jc w:val="center"/>
        </w:trPr>
        <w:tc>
          <w:tcPr>
            <w:tcW w:w="1059" w:type="dxa"/>
            <w:tcBorders>
              <w:top w:val="single" w:color="auto" w:sz="8" w:space="0"/>
              <w:left w:val="single" w:color="auto" w:sz="8" w:space="0"/>
              <w:bottom w:val="single" w:color="auto" w:sz="8" w:space="0"/>
              <w:right w:val="single" w:color="auto" w:sz="8" w:space="0"/>
            </w:tcBorders>
            <w:vAlign w:val="center"/>
          </w:tcPr>
          <w:p w14:paraId="4D0654AF">
            <w:pPr>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5.2</w:t>
            </w:r>
          </w:p>
        </w:tc>
        <w:tc>
          <w:tcPr>
            <w:tcW w:w="2024" w:type="dxa"/>
            <w:tcBorders>
              <w:top w:val="single" w:color="auto" w:sz="8" w:space="0"/>
              <w:left w:val="nil"/>
              <w:bottom w:val="single" w:color="auto" w:sz="8" w:space="0"/>
              <w:right w:val="single" w:color="auto" w:sz="8" w:space="0"/>
            </w:tcBorders>
            <w:vAlign w:val="center"/>
          </w:tcPr>
          <w:p w14:paraId="72B47EC1">
            <w:pPr>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开标时间和地点</w:t>
            </w:r>
          </w:p>
        </w:tc>
        <w:tc>
          <w:tcPr>
            <w:tcW w:w="6799" w:type="dxa"/>
            <w:tcBorders>
              <w:top w:val="single" w:color="auto" w:sz="8" w:space="0"/>
              <w:left w:val="nil"/>
              <w:bottom w:val="single" w:color="auto" w:sz="8" w:space="0"/>
              <w:right w:val="single" w:color="auto" w:sz="8" w:space="0"/>
            </w:tcBorders>
            <w:vAlign w:val="center"/>
          </w:tcPr>
          <w:p w14:paraId="7E826950">
            <w:pPr>
              <w:spacing w:line="360" w:lineRule="auto"/>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开标时间：同投标截止时间</w:t>
            </w:r>
          </w:p>
          <w:p w14:paraId="45FD7335">
            <w:pPr>
              <w:spacing w:line="360" w:lineRule="auto"/>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开标地点：同投标文件递交地点</w:t>
            </w:r>
          </w:p>
        </w:tc>
      </w:tr>
      <w:tr w14:paraId="034A66E1">
        <w:tblPrEx>
          <w:tblCellMar>
            <w:top w:w="0" w:type="dxa"/>
            <w:left w:w="0" w:type="dxa"/>
            <w:bottom w:w="0" w:type="dxa"/>
            <w:right w:w="0" w:type="dxa"/>
          </w:tblCellMar>
        </w:tblPrEx>
        <w:trPr>
          <w:jc w:val="center"/>
        </w:trPr>
        <w:tc>
          <w:tcPr>
            <w:tcW w:w="1059" w:type="dxa"/>
            <w:tcBorders>
              <w:top w:val="single" w:color="auto" w:sz="8" w:space="0"/>
              <w:left w:val="single" w:color="auto" w:sz="8" w:space="0"/>
              <w:bottom w:val="single" w:color="auto" w:sz="8" w:space="0"/>
              <w:right w:val="single" w:color="auto" w:sz="8" w:space="0"/>
            </w:tcBorders>
            <w:vAlign w:val="center"/>
          </w:tcPr>
          <w:p w14:paraId="0D95C403">
            <w:pPr>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5.5</w:t>
            </w:r>
          </w:p>
        </w:tc>
        <w:tc>
          <w:tcPr>
            <w:tcW w:w="2024" w:type="dxa"/>
            <w:tcBorders>
              <w:top w:val="single" w:color="auto" w:sz="8" w:space="0"/>
              <w:left w:val="nil"/>
              <w:bottom w:val="single" w:color="auto" w:sz="8" w:space="0"/>
              <w:right w:val="single" w:color="auto" w:sz="8" w:space="0"/>
            </w:tcBorders>
            <w:vAlign w:val="center"/>
          </w:tcPr>
          <w:p w14:paraId="518A2A0D">
            <w:pPr>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开标程序</w:t>
            </w:r>
          </w:p>
        </w:tc>
        <w:tc>
          <w:tcPr>
            <w:tcW w:w="6799" w:type="dxa"/>
            <w:tcBorders>
              <w:top w:val="single" w:color="auto" w:sz="8" w:space="0"/>
              <w:left w:val="nil"/>
              <w:bottom w:val="single" w:color="auto" w:sz="8" w:space="0"/>
              <w:right w:val="single" w:color="auto" w:sz="8" w:space="0"/>
            </w:tcBorders>
            <w:vAlign w:val="center"/>
          </w:tcPr>
          <w:p w14:paraId="5B54E544">
            <w:pPr>
              <w:widowControl w:val="0"/>
              <w:spacing w:line="360" w:lineRule="auto"/>
              <w:jc w:val="both"/>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(1)采购代理机构将在“投标人须知前附表”规定的开启时间通过电子交易平台组织投标文件开启，采购代理机构依托电子交易平台发起开始解密指令，投标人的法定代表人或其委托代理人须携带加密时所用的CA锁按平台提示和招标文件的规定登录到“政采云”平台电子开标大厅签到，并在发起解密指令之时起60分钟内完成对电子投标文件在线解密。发起解密指令之时起5分钟内供应商还未进行解密的，采购代理机构可通知投标人，投标人没预留联系方式或预留联系方式无效，导致代理机构无法联系到投标人进行解密的，视为撤回投标文件。 如投标人成功解密投标文件，但未在“政采云”电子开标大厅参加开标的，视同认可开标过程和结果，由此产生的后果由投标人自行负责。</w:t>
            </w:r>
          </w:p>
          <w:p w14:paraId="7DDCF905">
            <w:pPr>
              <w:widowControl w:val="0"/>
              <w:spacing w:line="360" w:lineRule="auto"/>
              <w:jc w:val="both"/>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(2)电子交易活动的中止</w:t>
            </w:r>
          </w:p>
          <w:p w14:paraId="76B7C9B5">
            <w:pPr>
              <w:widowControl w:val="0"/>
              <w:spacing w:line="360" w:lineRule="auto"/>
              <w:jc w:val="both"/>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采购过程中出现以下情形，导致电子交易平台无法正常运行，或者无法保证电子交易的公平、公正和安全时，采购代理机构可中止电子交易活动：</w:t>
            </w:r>
          </w:p>
          <w:p w14:paraId="549C8F45">
            <w:pPr>
              <w:widowControl w:val="0"/>
              <w:spacing w:line="360" w:lineRule="auto"/>
              <w:jc w:val="both"/>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1)电子交易平台发生故障而无法登录访问的；</w:t>
            </w:r>
          </w:p>
          <w:p w14:paraId="1FF5AC15">
            <w:pPr>
              <w:widowControl w:val="0"/>
              <w:spacing w:line="360" w:lineRule="auto"/>
              <w:jc w:val="both"/>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2)电子交易平台应用或数据库出现错误，不能进行正常操作的；</w:t>
            </w:r>
          </w:p>
          <w:p w14:paraId="6D733652">
            <w:pPr>
              <w:widowControl w:val="0"/>
              <w:spacing w:line="360" w:lineRule="auto"/>
              <w:jc w:val="both"/>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3)电子交易平台发现严重安全漏洞，有潜在泄密危险的；</w:t>
            </w:r>
          </w:p>
          <w:p w14:paraId="27479E4F">
            <w:pPr>
              <w:widowControl w:val="0"/>
              <w:spacing w:line="360" w:lineRule="auto"/>
              <w:jc w:val="both"/>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4)病毒发作导致不能进行正常操作的；</w:t>
            </w:r>
          </w:p>
          <w:p w14:paraId="7392DD4C">
            <w:pPr>
              <w:spacing w:line="360" w:lineRule="auto"/>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5)其他无法保证电子交易的公平、公正和安全的情况。</w:t>
            </w:r>
          </w:p>
        </w:tc>
      </w:tr>
      <w:tr w14:paraId="1CD05FDB">
        <w:tblPrEx>
          <w:tblCellMar>
            <w:top w:w="0" w:type="dxa"/>
            <w:left w:w="0" w:type="dxa"/>
            <w:bottom w:w="0" w:type="dxa"/>
            <w:right w:w="0" w:type="dxa"/>
          </w:tblCellMar>
        </w:tblPrEx>
        <w:trPr>
          <w:trHeight w:val="966" w:hRule="atLeast"/>
          <w:jc w:val="center"/>
        </w:trPr>
        <w:tc>
          <w:tcPr>
            <w:tcW w:w="1059" w:type="dxa"/>
            <w:tcBorders>
              <w:top w:val="single" w:color="auto" w:sz="8" w:space="0"/>
              <w:left w:val="single" w:color="auto" w:sz="8" w:space="0"/>
              <w:bottom w:val="single" w:color="auto" w:sz="8" w:space="0"/>
              <w:right w:val="single" w:color="auto" w:sz="8" w:space="0"/>
            </w:tcBorders>
            <w:vAlign w:val="center"/>
          </w:tcPr>
          <w:p w14:paraId="66ABBE63">
            <w:pPr>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7.1.1</w:t>
            </w:r>
          </w:p>
        </w:tc>
        <w:tc>
          <w:tcPr>
            <w:tcW w:w="2024" w:type="dxa"/>
            <w:tcBorders>
              <w:top w:val="single" w:color="auto" w:sz="8" w:space="0"/>
              <w:left w:val="nil"/>
              <w:bottom w:val="single" w:color="auto" w:sz="8" w:space="0"/>
              <w:right w:val="single" w:color="auto" w:sz="8" w:space="0"/>
            </w:tcBorders>
            <w:vAlign w:val="center"/>
          </w:tcPr>
          <w:p w14:paraId="791188C8">
            <w:pPr>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评标委员会的组建</w:t>
            </w:r>
          </w:p>
        </w:tc>
        <w:tc>
          <w:tcPr>
            <w:tcW w:w="6799" w:type="dxa"/>
            <w:tcBorders>
              <w:top w:val="single" w:color="auto" w:sz="8" w:space="0"/>
              <w:left w:val="nil"/>
              <w:bottom w:val="single" w:color="auto" w:sz="8" w:space="0"/>
              <w:right w:val="single" w:color="auto" w:sz="8" w:space="0"/>
            </w:tcBorders>
            <w:vAlign w:val="center"/>
          </w:tcPr>
          <w:p w14:paraId="7CD61BA7">
            <w:pPr>
              <w:spacing w:line="360" w:lineRule="auto"/>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评标委员会由采购人代表和评审专家组成，成员人数为5人以上单数。</w:t>
            </w:r>
          </w:p>
        </w:tc>
      </w:tr>
      <w:tr w14:paraId="68DF5C7B">
        <w:tblPrEx>
          <w:tblCellMar>
            <w:top w:w="0" w:type="dxa"/>
            <w:left w:w="0" w:type="dxa"/>
            <w:bottom w:w="0" w:type="dxa"/>
            <w:right w:w="0" w:type="dxa"/>
          </w:tblCellMar>
        </w:tblPrEx>
        <w:trPr>
          <w:jc w:val="center"/>
        </w:trPr>
        <w:tc>
          <w:tcPr>
            <w:tcW w:w="1059" w:type="dxa"/>
            <w:tcBorders>
              <w:top w:val="single" w:color="auto" w:sz="8" w:space="0"/>
              <w:left w:val="single" w:color="auto" w:sz="8" w:space="0"/>
              <w:bottom w:val="single" w:color="auto" w:sz="8" w:space="0"/>
              <w:right w:val="single" w:color="auto" w:sz="8" w:space="0"/>
            </w:tcBorders>
            <w:vAlign w:val="center"/>
          </w:tcPr>
          <w:p w14:paraId="54EB6D2C">
            <w:pPr>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7.3.2</w:t>
            </w:r>
          </w:p>
        </w:tc>
        <w:tc>
          <w:tcPr>
            <w:tcW w:w="2024" w:type="dxa"/>
            <w:tcBorders>
              <w:top w:val="single" w:color="auto" w:sz="8" w:space="0"/>
              <w:left w:val="nil"/>
              <w:bottom w:val="single" w:color="auto" w:sz="8" w:space="0"/>
              <w:right w:val="single" w:color="auto" w:sz="8" w:space="0"/>
            </w:tcBorders>
            <w:vAlign w:val="center"/>
          </w:tcPr>
          <w:p w14:paraId="5285DE66">
            <w:pPr>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评标委员会推荐中标候选人的人数</w:t>
            </w:r>
          </w:p>
        </w:tc>
        <w:tc>
          <w:tcPr>
            <w:tcW w:w="6799" w:type="dxa"/>
            <w:tcBorders>
              <w:top w:val="single" w:color="auto" w:sz="8" w:space="0"/>
              <w:left w:val="nil"/>
              <w:bottom w:val="single" w:color="auto" w:sz="8" w:space="0"/>
              <w:right w:val="single" w:color="auto" w:sz="8" w:space="0"/>
            </w:tcBorders>
            <w:vAlign w:val="center"/>
          </w:tcPr>
          <w:p w14:paraId="24A51943">
            <w:pPr>
              <w:pStyle w:val="67"/>
              <w:spacing w:line="360" w:lineRule="auto"/>
              <w:jc w:val="both"/>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3名</w:t>
            </w:r>
          </w:p>
        </w:tc>
      </w:tr>
      <w:tr w14:paraId="3D6C7062">
        <w:tblPrEx>
          <w:tblCellMar>
            <w:top w:w="0" w:type="dxa"/>
            <w:left w:w="0" w:type="dxa"/>
            <w:bottom w:w="0" w:type="dxa"/>
            <w:right w:w="0" w:type="dxa"/>
          </w:tblCellMar>
        </w:tblPrEx>
        <w:trPr>
          <w:trHeight w:val="888" w:hRule="atLeast"/>
          <w:jc w:val="center"/>
        </w:trPr>
        <w:tc>
          <w:tcPr>
            <w:tcW w:w="1059" w:type="dxa"/>
            <w:tcBorders>
              <w:top w:val="single" w:color="auto" w:sz="8" w:space="0"/>
              <w:left w:val="single" w:color="auto" w:sz="8" w:space="0"/>
              <w:bottom w:val="single" w:color="auto" w:sz="8" w:space="0"/>
              <w:right w:val="single" w:color="auto" w:sz="8" w:space="0"/>
            </w:tcBorders>
            <w:vAlign w:val="center"/>
          </w:tcPr>
          <w:p w14:paraId="2FFB0833">
            <w:pPr>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8.1</w:t>
            </w:r>
          </w:p>
        </w:tc>
        <w:tc>
          <w:tcPr>
            <w:tcW w:w="2024" w:type="dxa"/>
            <w:tcBorders>
              <w:top w:val="single" w:color="auto" w:sz="8" w:space="0"/>
              <w:left w:val="nil"/>
              <w:bottom w:val="single" w:color="auto" w:sz="8" w:space="0"/>
              <w:right w:val="single" w:color="auto" w:sz="8" w:space="0"/>
            </w:tcBorders>
            <w:vAlign w:val="center"/>
          </w:tcPr>
          <w:p w14:paraId="302BC5A4">
            <w:pPr>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是否授权评标委员会确定中标人</w:t>
            </w:r>
          </w:p>
        </w:tc>
        <w:tc>
          <w:tcPr>
            <w:tcW w:w="6799" w:type="dxa"/>
            <w:tcBorders>
              <w:top w:val="single" w:color="auto" w:sz="8" w:space="0"/>
              <w:left w:val="nil"/>
              <w:bottom w:val="single" w:color="auto" w:sz="8" w:space="0"/>
              <w:right w:val="single" w:color="auto" w:sz="8" w:space="0"/>
            </w:tcBorders>
            <w:vAlign w:val="center"/>
          </w:tcPr>
          <w:p w14:paraId="37541E4E">
            <w:pPr>
              <w:spacing w:line="360" w:lineRule="auto"/>
              <w:jc w:val="both"/>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否</w:t>
            </w:r>
          </w:p>
        </w:tc>
      </w:tr>
      <w:tr w14:paraId="787202D2">
        <w:tblPrEx>
          <w:tblCellMar>
            <w:top w:w="0" w:type="dxa"/>
            <w:left w:w="0" w:type="dxa"/>
            <w:bottom w:w="0" w:type="dxa"/>
            <w:right w:w="0" w:type="dxa"/>
          </w:tblCellMar>
        </w:tblPrEx>
        <w:trPr>
          <w:jc w:val="center"/>
        </w:trPr>
        <w:tc>
          <w:tcPr>
            <w:tcW w:w="1059" w:type="dxa"/>
            <w:tcBorders>
              <w:top w:val="single" w:color="auto" w:sz="8" w:space="0"/>
              <w:left w:val="single" w:color="auto" w:sz="8" w:space="0"/>
              <w:bottom w:val="single" w:color="auto" w:sz="8" w:space="0"/>
              <w:right w:val="single" w:color="auto" w:sz="8" w:space="0"/>
            </w:tcBorders>
            <w:vAlign w:val="center"/>
          </w:tcPr>
          <w:p w14:paraId="0D62034E">
            <w:pPr>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8.2</w:t>
            </w:r>
          </w:p>
        </w:tc>
        <w:tc>
          <w:tcPr>
            <w:tcW w:w="2024" w:type="dxa"/>
            <w:tcBorders>
              <w:top w:val="single" w:color="auto" w:sz="8" w:space="0"/>
              <w:left w:val="nil"/>
              <w:bottom w:val="single" w:color="auto" w:sz="8" w:space="0"/>
              <w:right w:val="single" w:color="auto" w:sz="8" w:space="0"/>
            </w:tcBorders>
            <w:vAlign w:val="center"/>
          </w:tcPr>
          <w:p w14:paraId="4AAF4DB3">
            <w:pPr>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中标公告媒介及期限</w:t>
            </w:r>
          </w:p>
        </w:tc>
        <w:tc>
          <w:tcPr>
            <w:tcW w:w="6799" w:type="dxa"/>
            <w:tcBorders>
              <w:top w:val="single" w:color="auto" w:sz="8" w:space="0"/>
              <w:left w:val="nil"/>
              <w:bottom w:val="single" w:color="auto" w:sz="8" w:space="0"/>
              <w:right w:val="single" w:color="auto" w:sz="8" w:space="0"/>
            </w:tcBorders>
            <w:vAlign w:val="center"/>
          </w:tcPr>
          <w:p w14:paraId="3E0A4120">
            <w:pPr>
              <w:spacing w:line="360" w:lineRule="auto"/>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公告媒介：同发布招标公告的媒介</w:t>
            </w:r>
          </w:p>
          <w:p w14:paraId="79DCF9C0">
            <w:pPr>
              <w:spacing w:line="360" w:lineRule="auto"/>
              <w:rPr>
                <w:rFonts w:ascii="宋体" w:hAnsi="宋体" w:cs="宋体"/>
                <w:color w:val="000000" w:themeColor="text1"/>
                <w:kern w:val="2"/>
                <w:sz w:val="24"/>
                <w:szCs w:val="24"/>
                <w:highlight w:val="none"/>
                <w:u w:val="singl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公告期限：1个工作日</w:t>
            </w:r>
          </w:p>
        </w:tc>
      </w:tr>
      <w:tr w14:paraId="014B46CF">
        <w:tblPrEx>
          <w:tblCellMar>
            <w:top w:w="0" w:type="dxa"/>
            <w:left w:w="0" w:type="dxa"/>
            <w:bottom w:w="0" w:type="dxa"/>
            <w:right w:w="0" w:type="dxa"/>
          </w:tblCellMar>
        </w:tblPrEx>
        <w:trPr>
          <w:trHeight w:val="632" w:hRule="atLeast"/>
          <w:jc w:val="center"/>
        </w:trPr>
        <w:tc>
          <w:tcPr>
            <w:tcW w:w="1059" w:type="dxa"/>
            <w:tcBorders>
              <w:top w:val="single" w:color="auto" w:sz="8" w:space="0"/>
              <w:left w:val="single" w:color="auto" w:sz="8" w:space="0"/>
              <w:bottom w:val="single" w:color="auto" w:sz="8" w:space="0"/>
              <w:right w:val="single" w:color="auto" w:sz="8" w:space="0"/>
            </w:tcBorders>
            <w:vAlign w:val="center"/>
          </w:tcPr>
          <w:p w14:paraId="7524E077">
            <w:pPr>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8.4.1</w:t>
            </w:r>
          </w:p>
        </w:tc>
        <w:tc>
          <w:tcPr>
            <w:tcW w:w="2024" w:type="dxa"/>
            <w:tcBorders>
              <w:top w:val="single" w:color="auto" w:sz="8" w:space="0"/>
              <w:left w:val="nil"/>
              <w:bottom w:val="single" w:color="auto" w:sz="8" w:space="0"/>
              <w:right w:val="single" w:color="auto" w:sz="8" w:space="0"/>
            </w:tcBorders>
            <w:vAlign w:val="center"/>
          </w:tcPr>
          <w:p w14:paraId="66BD063C">
            <w:pPr>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履约保证金</w:t>
            </w:r>
          </w:p>
        </w:tc>
        <w:tc>
          <w:tcPr>
            <w:tcW w:w="6799" w:type="dxa"/>
            <w:tcBorders>
              <w:top w:val="single" w:color="auto" w:sz="8" w:space="0"/>
              <w:left w:val="nil"/>
              <w:bottom w:val="single" w:color="auto" w:sz="8" w:space="0"/>
              <w:right w:val="single" w:color="auto" w:sz="8" w:space="0"/>
            </w:tcBorders>
            <w:vAlign w:val="center"/>
          </w:tcPr>
          <w:p w14:paraId="20B95EE5">
            <w:pPr>
              <w:spacing w:line="360" w:lineRule="auto"/>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不要求</w:t>
            </w:r>
          </w:p>
        </w:tc>
      </w:tr>
      <w:tr w14:paraId="51642C91">
        <w:tblPrEx>
          <w:tblCellMar>
            <w:top w:w="0" w:type="dxa"/>
            <w:left w:w="0" w:type="dxa"/>
            <w:bottom w:w="0" w:type="dxa"/>
            <w:right w:w="0" w:type="dxa"/>
          </w:tblCellMar>
        </w:tblPrEx>
        <w:trPr>
          <w:jc w:val="center"/>
        </w:trPr>
        <w:tc>
          <w:tcPr>
            <w:tcW w:w="1059" w:type="dxa"/>
            <w:tcBorders>
              <w:top w:val="single" w:color="auto" w:sz="8" w:space="0"/>
              <w:left w:val="single" w:color="auto" w:sz="8" w:space="0"/>
              <w:bottom w:val="single" w:color="auto" w:sz="8" w:space="0"/>
              <w:right w:val="single" w:color="auto" w:sz="8" w:space="0"/>
            </w:tcBorders>
            <w:vAlign w:val="center"/>
          </w:tcPr>
          <w:p w14:paraId="60643766">
            <w:pPr>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12</w:t>
            </w:r>
          </w:p>
        </w:tc>
        <w:tc>
          <w:tcPr>
            <w:tcW w:w="8823" w:type="dxa"/>
            <w:gridSpan w:val="2"/>
            <w:tcBorders>
              <w:top w:val="single" w:color="auto" w:sz="8" w:space="0"/>
              <w:left w:val="nil"/>
              <w:bottom w:val="single" w:color="auto" w:sz="8" w:space="0"/>
              <w:right w:val="single" w:color="auto" w:sz="8" w:space="0"/>
            </w:tcBorders>
            <w:vAlign w:val="center"/>
          </w:tcPr>
          <w:p w14:paraId="63BF5144">
            <w:pPr>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b/>
                <w:bCs/>
                <w:color w:val="000000" w:themeColor="text1"/>
                <w:kern w:val="2"/>
                <w:sz w:val="24"/>
                <w:szCs w:val="24"/>
                <w:highlight w:val="none"/>
                <w14:textFill>
                  <w14:solidFill>
                    <w14:schemeClr w14:val="tx1"/>
                  </w14:solidFill>
                </w14:textFill>
              </w:rPr>
              <w:t>需要补充的其他内容</w:t>
            </w:r>
          </w:p>
        </w:tc>
      </w:tr>
      <w:tr w14:paraId="3EF20DAE">
        <w:tblPrEx>
          <w:tblCellMar>
            <w:top w:w="0" w:type="dxa"/>
            <w:left w:w="0" w:type="dxa"/>
            <w:bottom w:w="0" w:type="dxa"/>
            <w:right w:w="0" w:type="dxa"/>
          </w:tblCellMar>
        </w:tblPrEx>
        <w:trPr>
          <w:jc w:val="center"/>
        </w:trPr>
        <w:tc>
          <w:tcPr>
            <w:tcW w:w="1059" w:type="dxa"/>
            <w:tcBorders>
              <w:top w:val="single" w:color="auto" w:sz="8" w:space="0"/>
              <w:left w:val="single" w:color="auto" w:sz="8" w:space="0"/>
              <w:bottom w:val="single" w:color="auto" w:sz="8" w:space="0"/>
              <w:right w:val="single" w:color="auto" w:sz="8" w:space="0"/>
            </w:tcBorders>
            <w:vAlign w:val="center"/>
          </w:tcPr>
          <w:p w14:paraId="10167EBD">
            <w:pPr>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12.1</w:t>
            </w:r>
          </w:p>
        </w:tc>
        <w:tc>
          <w:tcPr>
            <w:tcW w:w="2024" w:type="dxa"/>
            <w:tcBorders>
              <w:top w:val="single" w:color="auto" w:sz="8" w:space="0"/>
              <w:left w:val="nil"/>
              <w:bottom w:val="single" w:color="auto" w:sz="8" w:space="0"/>
              <w:right w:val="single" w:color="auto" w:sz="8" w:space="0"/>
            </w:tcBorders>
            <w:vAlign w:val="center"/>
          </w:tcPr>
          <w:p w14:paraId="56ED768A">
            <w:pPr>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评标方法</w:t>
            </w:r>
          </w:p>
        </w:tc>
        <w:tc>
          <w:tcPr>
            <w:tcW w:w="6799" w:type="dxa"/>
            <w:tcBorders>
              <w:top w:val="single" w:color="auto" w:sz="8" w:space="0"/>
              <w:left w:val="nil"/>
              <w:bottom w:val="single" w:color="auto" w:sz="8" w:space="0"/>
              <w:right w:val="single" w:color="auto" w:sz="8" w:space="0"/>
            </w:tcBorders>
            <w:vAlign w:val="center"/>
          </w:tcPr>
          <w:p w14:paraId="121FB04E">
            <w:pPr>
              <w:spacing w:line="360" w:lineRule="auto"/>
              <w:jc w:val="both"/>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综合评分法</w:t>
            </w:r>
          </w:p>
        </w:tc>
      </w:tr>
      <w:tr w14:paraId="068F6603">
        <w:tblPrEx>
          <w:tblCellMar>
            <w:top w:w="0" w:type="dxa"/>
            <w:left w:w="0" w:type="dxa"/>
            <w:bottom w:w="0" w:type="dxa"/>
            <w:right w:w="0" w:type="dxa"/>
          </w:tblCellMar>
        </w:tblPrEx>
        <w:trPr>
          <w:jc w:val="center"/>
        </w:trPr>
        <w:tc>
          <w:tcPr>
            <w:tcW w:w="1059" w:type="dxa"/>
            <w:tcBorders>
              <w:top w:val="single" w:color="auto" w:sz="8" w:space="0"/>
              <w:left w:val="single" w:color="auto" w:sz="8" w:space="0"/>
              <w:bottom w:val="single" w:color="auto" w:sz="8" w:space="0"/>
              <w:right w:val="single" w:color="auto" w:sz="8" w:space="0"/>
            </w:tcBorders>
            <w:vAlign w:val="center"/>
          </w:tcPr>
          <w:p w14:paraId="3E9AB899">
            <w:pPr>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12.2</w:t>
            </w:r>
          </w:p>
        </w:tc>
        <w:tc>
          <w:tcPr>
            <w:tcW w:w="2024" w:type="dxa"/>
            <w:tcBorders>
              <w:top w:val="single" w:color="auto" w:sz="8" w:space="0"/>
              <w:left w:val="nil"/>
              <w:bottom w:val="single" w:color="auto" w:sz="8" w:space="0"/>
              <w:right w:val="single" w:color="auto" w:sz="8" w:space="0"/>
            </w:tcBorders>
            <w:vAlign w:val="center"/>
          </w:tcPr>
          <w:p w14:paraId="370C2F0A">
            <w:pPr>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追加合同金额</w:t>
            </w:r>
          </w:p>
        </w:tc>
        <w:tc>
          <w:tcPr>
            <w:tcW w:w="6799" w:type="dxa"/>
            <w:tcBorders>
              <w:top w:val="single" w:color="auto" w:sz="8" w:space="0"/>
              <w:left w:val="nil"/>
              <w:bottom w:val="single" w:color="auto" w:sz="8" w:space="0"/>
              <w:right w:val="single" w:color="auto" w:sz="8" w:space="0"/>
            </w:tcBorders>
            <w:vAlign w:val="center"/>
          </w:tcPr>
          <w:p w14:paraId="3C581D01">
            <w:pPr>
              <w:spacing w:line="360" w:lineRule="auto"/>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政府采购合同履行中，采购人需追加与合同标的相同的服务的，</w:t>
            </w:r>
            <w:r>
              <w:rPr>
                <w:rFonts w:hint="eastAsia" w:ascii="宋体" w:hAnsi="宋体" w:cs="宋体"/>
                <w:color w:val="000000" w:themeColor="text1"/>
                <w:sz w:val="24"/>
                <w:highlight w:val="none"/>
                <w14:textFill>
                  <w14:solidFill>
                    <w14:schemeClr w14:val="tx1"/>
                  </w14:solidFill>
                </w14:textFill>
              </w:rPr>
              <w:t>在不改变合同其他条款的前提下，可以与中标投标人签订补充合同，但所有补充合同的采购金额变更不得超过原合同采购金额的10%，其中金额增加需办理合同追加手续。</w:t>
            </w:r>
          </w:p>
        </w:tc>
      </w:tr>
      <w:tr w14:paraId="786EFE31">
        <w:tblPrEx>
          <w:tblCellMar>
            <w:top w:w="0" w:type="dxa"/>
            <w:left w:w="0" w:type="dxa"/>
            <w:bottom w:w="0" w:type="dxa"/>
            <w:right w:w="0" w:type="dxa"/>
          </w:tblCellMar>
        </w:tblPrEx>
        <w:trPr>
          <w:jc w:val="center"/>
        </w:trPr>
        <w:tc>
          <w:tcPr>
            <w:tcW w:w="1059" w:type="dxa"/>
            <w:tcBorders>
              <w:top w:val="single" w:color="auto" w:sz="8" w:space="0"/>
              <w:left w:val="single" w:color="auto" w:sz="8" w:space="0"/>
              <w:bottom w:val="single" w:color="auto" w:sz="8" w:space="0"/>
              <w:right w:val="single" w:color="auto" w:sz="8" w:space="0"/>
            </w:tcBorders>
            <w:vAlign w:val="center"/>
          </w:tcPr>
          <w:p w14:paraId="6E423C53">
            <w:pPr>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12.3</w:t>
            </w:r>
          </w:p>
        </w:tc>
        <w:tc>
          <w:tcPr>
            <w:tcW w:w="2024" w:type="dxa"/>
            <w:tcBorders>
              <w:top w:val="single" w:color="auto" w:sz="8" w:space="0"/>
              <w:left w:val="nil"/>
              <w:bottom w:val="single" w:color="auto" w:sz="8" w:space="0"/>
              <w:right w:val="single" w:color="auto" w:sz="8" w:space="0"/>
            </w:tcBorders>
            <w:vAlign w:val="center"/>
          </w:tcPr>
          <w:p w14:paraId="5179DB51">
            <w:pPr>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信用查询具体要求</w:t>
            </w:r>
          </w:p>
        </w:tc>
        <w:tc>
          <w:tcPr>
            <w:tcW w:w="6799" w:type="dxa"/>
            <w:tcBorders>
              <w:top w:val="single" w:color="auto" w:sz="8" w:space="0"/>
              <w:left w:val="nil"/>
              <w:bottom w:val="single" w:color="auto" w:sz="8" w:space="0"/>
              <w:right w:val="single" w:color="auto" w:sz="8" w:space="0"/>
            </w:tcBorders>
            <w:vAlign w:val="center"/>
          </w:tcPr>
          <w:p w14:paraId="70C8B229">
            <w:pPr>
              <w:widowControl w:val="0"/>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本项目将执行在政府采购活动中查询及使用信用记录的规定，具体要求为：</w:t>
            </w:r>
          </w:p>
          <w:p w14:paraId="1E86F8CB">
            <w:pPr>
              <w:widowControl w:val="0"/>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投标人应在“信用中国”网站(www.creditchina.gov.cn)未被列入失信被执行人记录、重大税收违法失信主体且在中国政府采购网(www.ccgp.gov.cn)没有政府采购严重违法失信行为记录(被禁止在一定期限内参加政府采购活动但期限届满的除外)；</w:t>
            </w:r>
          </w:p>
          <w:p w14:paraId="632095D3">
            <w:pPr>
              <w:widowControl w:val="0"/>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(2)信用信息查询的截止时点：投标截止时间当天评标前；</w:t>
            </w:r>
          </w:p>
          <w:p w14:paraId="2FAAE747">
            <w:pPr>
              <w:widowControl w:val="0"/>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(3)信用信息查询渠道：“信用中国”网、“中国政府采购网”；</w:t>
            </w:r>
          </w:p>
          <w:p w14:paraId="1D97608C">
            <w:pPr>
              <w:widowControl w:val="0"/>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(4)信用信息查询记录和证据留存具体方式：采购代理机构将经查询存在不良信用记录的潜在投标人查询结果证明材料作为查询记录和证据，与其他采购文件一并保存；</w:t>
            </w:r>
          </w:p>
          <w:p w14:paraId="74406723">
            <w:pPr>
              <w:widowControl w:val="0"/>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(5)信用信息的使用规则：本政府采购项目的投标人在信用信息查询截止时点(含)之前被列入失信被执行人、重大税收违法失信主体、政府采购严重违法失信行为记录名单及其他不符合《中华人民共和国政府采购法》第二十二条规定条件的投标人，其投标无效；</w:t>
            </w:r>
          </w:p>
          <w:p w14:paraId="2E36C385">
            <w:pPr>
              <w:pStyle w:val="14"/>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(6)采购代理机构通过“信用中国”网、“中国政府采购网”等渠道查询相关主体信用记录，若投标人存在被列入失信被执行人、重大税收违法失信主体、政府采购严重违法失信行为记录名单，则投标无效。</w:t>
            </w:r>
          </w:p>
        </w:tc>
      </w:tr>
      <w:tr w14:paraId="3D1FB684">
        <w:tblPrEx>
          <w:tblCellMar>
            <w:top w:w="0" w:type="dxa"/>
            <w:left w:w="0" w:type="dxa"/>
            <w:bottom w:w="0" w:type="dxa"/>
            <w:right w:w="0" w:type="dxa"/>
          </w:tblCellMar>
        </w:tblPrEx>
        <w:trPr>
          <w:jc w:val="center"/>
        </w:trPr>
        <w:tc>
          <w:tcPr>
            <w:tcW w:w="1059" w:type="dxa"/>
            <w:tcBorders>
              <w:top w:val="single" w:color="auto" w:sz="8" w:space="0"/>
              <w:left w:val="single" w:color="auto" w:sz="8" w:space="0"/>
              <w:bottom w:val="single" w:color="auto" w:sz="8" w:space="0"/>
              <w:right w:val="single" w:color="auto" w:sz="8" w:space="0"/>
            </w:tcBorders>
            <w:vAlign w:val="center"/>
          </w:tcPr>
          <w:p w14:paraId="64DD52A9">
            <w:pPr>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12.4</w:t>
            </w:r>
          </w:p>
        </w:tc>
        <w:tc>
          <w:tcPr>
            <w:tcW w:w="2024" w:type="dxa"/>
            <w:tcBorders>
              <w:top w:val="single" w:color="auto" w:sz="8" w:space="0"/>
              <w:left w:val="nil"/>
              <w:bottom w:val="single" w:color="auto" w:sz="8" w:space="0"/>
              <w:right w:val="single" w:color="auto" w:sz="8" w:space="0"/>
            </w:tcBorders>
            <w:vAlign w:val="center"/>
          </w:tcPr>
          <w:p w14:paraId="7170DFFF">
            <w:pPr>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补充1</w:t>
            </w:r>
          </w:p>
        </w:tc>
        <w:tc>
          <w:tcPr>
            <w:tcW w:w="6799" w:type="dxa"/>
            <w:tcBorders>
              <w:top w:val="single" w:color="auto" w:sz="8" w:space="0"/>
              <w:left w:val="nil"/>
              <w:bottom w:val="single" w:color="auto" w:sz="8" w:space="0"/>
              <w:right w:val="single" w:color="auto" w:sz="8" w:space="0"/>
            </w:tcBorders>
            <w:vAlign w:val="center"/>
          </w:tcPr>
          <w:p w14:paraId="22D1C037">
            <w:pPr>
              <w:widowControl w:val="0"/>
              <w:spacing w:line="360" w:lineRule="auto"/>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依据《政府采购促进中小企业发展管理办法》(财库〔2020〕46号)规定享受扶持政策获得政府采购合同的，小微企业不得将合同分包给大中型企业，中型企业不得将合同分包给大型企业。</w:t>
            </w:r>
          </w:p>
        </w:tc>
      </w:tr>
      <w:tr w14:paraId="12A5CEA4">
        <w:tblPrEx>
          <w:tblCellMar>
            <w:top w:w="0" w:type="dxa"/>
            <w:left w:w="0" w:type="dxa"/>
            <w:bottom w:w="0" w:type="dxa"/>
            <w:right w:w="0" w:type="dxa"/>
          </w:tblCellMar>
        </w:tblPrEx>
        <w:trPr>
          <w:jc w:val="center"/>
        </w:trPr>
        <w:tc>
          <w:tcPr>
            <w:tcW w:w="1059" w:type="dxa"/>
            <w:tcBorders>
              <w:top w:val="single" w:color="auto" w:sz="8" w:space="0"/>
              <w:left w:val="single" w:color="auto" w:sz="8" w:space="0"/>
              <w:bottom w:val="single" w:color="auto" w:sz="8" w:space="0"/>
              <w:right w:val="single" w:color="auto" w:sz="8" w:space="0"/>
            </w:tcBorders>
            <w:vAlign w:val="center"/>
          </w:tcPr>
          <w:p w14:paraId="6DBA1FAC">
            <w:pPr>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12.5</w:t>
            </w:r>
          </w:p>
        </w:tc>
        <w:tc>
          <w:tcPr>
            <w:tcW w:w="2024" w:type="dxa"/>
            <w:tcBorders>
              <w:top w:val="single" w:color="auto" w:sz="8" w:space="0"/>
              <w:left w:val="nil"/>
              <w:bottom w:val="single" w:color="auto" w:sz="8" w:space="0"/>
              <w:right w:val="single" w:color="auto" w:sz="8" w:space="0"/>
            </w:tcBorders>
            <w:vAlign w:val="center"/>
          </w:tcPr>
          <w:p w14:paraId="27C0A201">
            <w:pPr>
              <w:spacing w:line="360" w:lineRule="auto"/>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补充2</w:t>
            </w:r>
          </w:p>
        </w:tc>
        <w:tc>
          <w:tcPr>
            <w:tcW w:w="6799" w:type="dxa"/>
            <w:tcBorders>
              <w:top w:val="single" w:color="auto" w:sz="8" w:space="0"/>
              <w:left w:val="nil"/>
              <w:bottom w:val="single" w:color="auto" w:sz="8" w:space="0"/>
              <w:right w:val="single" w:color="auto" w:sz="8" w:space="0"/>
            </w:tcBorders>
            <w:vAlign w:val="center"/>
          </w:tcPr>
          <w:p w14:paraId="71E3053E">
            <w:pPr>
              <w:widowControl w:val="0"/>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为支持和促进中小企业发展，进一步发挥政府采购政策功能，鼓励投标人使用电子保险/保函替代投标、履约保证金，支持中标人基于成交项目进行合同融资。申请人可登录【云南省政府采购金融支撑服务平台】进行了解办理，或致电95763，如您有紧急需求的可联系13732226998(谢工)。直达链接:https://jinrong.zcygov.cn/luban/finance/yunnan。</w:t>
            </w:r>
          </w:p>
        </w:tc>
      </w:tr>
      <w:tr w14:paraId="4C7B44A0">
        <w:tblPrEx>
          <w:tblCellMar>
            <w:top w:w="0" w:type="dxa"/>
            <w:left w:w="0" w:type="dxa"/>
            <w:bottom w:w="0" w:type="dxa"/>
            <w:right w:w="0" w:type="dxa"/>
          </w:tblCellMar>
        </w:tblPrEx>
        <w:trPr>
          <w:trHeight w:val="606" w:hRule="atLeast"/>
          <w:jc w:val="center"/>
        </w:trPr>
        <w:tc>
          <w:tcPr>
            <w:tcW w:w="1059" w:type="dxa"/>
            <w:tcBorders>
              <w:top w:val="single" w:color="auto" w:sz="8" w:space="0"/>
              <w:left w:val="single" w:color="auto" w:sz="8" w:space="0"/>
              <w:bottom w:val="single" w:color="auto" w:sz="8" w:space="0"/>
              <w:right w:val="single" w:color="auto" w:sz="8" w:space="0"/>
            </w:tcBorders>
            <w:vAlign w:val="center"/>
          </w:tcPr>
          <w:p w14:paraId="0C57D9F3">
            <w:pPr>
              <w:spacing w:line="400" w:lineRule="exact"/>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12.6</w:t>
            </w:r>
          </w:p>
        </w:tc>
        <w:tc>
          <w:tcPr>
            <w:tcW w:w="2024" w:type="dxa"/>
            <w:tcBorders>
              <w:top w:val="single" w:color="auto" w:sz="8" w:space="0"/>
              <w:left w:val="nil"/>
              <w:bottom w:val="single" w:color="auto" w:sz="8" w:space="0"/>
              <w:right w:val="single" w:color="auto" w:sz="8" w:space="0"/>
            </w:tcBorders>
            <w:vAlign w:val="center"/>
          </w:tcPr>
          <w:p w14:paraId="2D9FC322">
            <w:pPr>
              <w:spacing w:line="400" w:lineRule="exact"/>
              <w:jc w:val="center"/>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付款方式</w:t>
            </w:r>
          </w:p>
        </w:tc>
        <w:tc>
          <w:tcPr>
            <w:tcW w:w="6799" w:type="dxa"/>
            <w:tcBorders>
              <w:top w:val="single" w:color="auto" w:sz="8" w:space="0"/>
              <w:left w:val="nil"/>
              <w:bottom w:val="single" w:color="auto" w:sz="8" w:space="0"/>
              <w:right w:val="single" w:color="auto" w:sz="8" w:space="0"/>
            </w:tcBorders>
            <w:vAlign w:val="center"/>
          </w:tcPr>
          <w:p w14:paraId="59E63D53">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本项目无预付款，甲方在按合同验收标准验收合格，乙方提供符合税务机关要求的正规增值税发票，并履行完相关财务报销手续，财务审核通过后的10个工作日内完成款项支付。</w:t>
            </w:r>
          </w:p>
          <w:p w14:paraId="6280127A">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若因乙方未通过验收或提交不符合甲方及税务机关要求的正规增值税发票导致无法正常付款的，相关责任及后果由乙方自行承担。</w:t>
            </w:r>
          </w:p>
          <w:p w14:paraId="567AA486">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根据事业单位财务规定，甲方付款至乙方基本账户。</w:t>
            </w:r>
          </w:p>
          <w:p w14:paraId="5C76EF61">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乙方提供基本账户信息如下：</w:t>
            </w:r>
          </w:p>
          <w:p w14:paraId="50081D11">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开户名：</w:t>
            </w:r>
          </w:p>
          <w:p w14:paraId="6E856EA2">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开户银行：</w:t>
            </w:r>
          </w:p>
          <w:p w14:paraId="7A65CC9B">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账    号：</w:t>
            </w:r>
          </w:p>
          <w:p w14:paraId="056CA6CA">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统一社会信用代码：</w:t>
            </w:r>
          </w:p>
          <w:p w14:paraId="06841DC9">
            <w:pPr>
              <w:spacing w:line="360" w:lineRule="auto"/>
              <w:rPr>
                <w:rFonts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乙方保证提供的基本账户信息准确无误。如乙方提供的基本账户信息有问题导致付款出错由乙方对产生的后果负责。</w:t>
            </w:r>
          </w:p>
        </w:tc>
      </w:tr>
    </w:tbl>
    <w:p w14:paraId="2BB9041B">
      <w:pPr>
        <w:pStyle w:val="3"/>
        <w:spacing w:before="0" w:after="0" w:line="360" w:lineRule="auto"/>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br w:type="page"/>
      </w:r>
      <w:bookmarkStart w:id="79" w:name="_Toc27064"/>
      <w:bookmarkEnd w:id="79"/>
      <w:bookmarkStart w:id="80" w:name="_Toc20589"/>
      <w:bookmarkEnd w:id="80"/>
      <w:bookmarkStart w:id="81" w:name="_Toc20272"/>
      <w:bookmarkStart w:id="82" w:name="_Toc4193"/>
      <w:bookmarkStart w:id="83" w:name="_Toc19039"/>
      <w:bookmarkStart w:id="84" w:name="_Toc13664"/>
      <w:r>
        <w:rPr>
          <w:rFonts w:hint="eastAsia" w:ascii="宋体" w:hAnsi="宋体" w:eastAsia="宋体" w:cs="宋体"/>
          <w:color w:val="000000" w:themeColor="text1"/>
          <w:sz w:val="28"/>
          <w:szCs w:val="28"/>
          <w:highlight w:val="none"/>
          <w14:textFill>
            <w14:solidFill>
              <w14:schemeClr w14:val="tx1"/>
            </w14:solidFill>
          </w14:textFill>
        </w:rPr>
        <w:t>1.总则</w:t>
      </w:r>
      <w:bookmarkEnd w:id="81"/>
      <w:bookmarkEnd w:id="82"/>
      <w:bookmarkEnd w:id="83"/>
      <w:bookmarkEnd w:id="84"/>
    </w:p>
    <w:p w14:paraId="78BA6476">
      <w:pPr>
        <w:spacing w:line="360" w:lineRule="auto"/>
        <w:rPr>
          <w:rFonts w:ascii="宋体" w:hAnsi="宋体" w:cs="宋体"/>
          <w:b/>
          <w:color w:val="000000" w:themeColor="text1"/>
          <w:sz w:val="24"/>
          <w:szCs w:val="24"/>
          <w:highlight w:val="none"/>
          <w14:textFill>
            <w14:solidFill>
              <w14:schemeClr w14:val="tx1"/>
            </w14:solidFill>
          </w14:textFill>
        </w:rPr>
      </w:pPr>
      <w:bookmarkStart w:id="85" w:name="_Toc31335"/>
      <w:bookmarkEnd w:id="85"/>
      <w:bookmarkStart w:id="86" w:name="_Toc700"/>
      <w:r>
        <w:rPr>
          <w:rFonts w:hint="eastAsia" w:ascii="宋体" w:hAnsi="宋体" w:cs="宋体"/>
          <w:b/>
          <w:color w:val="000000" w:themeColor="text1"/>
          <w:sz w:val="24"/>
          <w:szCs w:val="24"/>
          <w:highlight w:val="none"/>
          <w14:textFill>
            <w14:solidFill>
              <w14:schemeClr w14:val="tx1"/>
            </w14:solidFill>
          </w14:textFill>
        </w:rPr>
        <w:t>1.1 项目概况</w:t>
      </w:r>
      <w:bookmarkEnd w:id="86"/>
    </w:p>
    <w:p w14:paraId="08006651">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1.1.1根据《中华人民共和国政府采购法》《中华人民共和国政府采购法实施条例》《政府采购货物和服务招标投标管理办法》(财政部令第87号)等有关法律、法规和规章的规定，本招标项目已具备招标条件，现对本项目进行招标。</w:t>
      </w:r>
    </w:p>
    <w:p w14:paraId="1C8DD98E">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1.1.2 采购人：见投标人须知前附表。</w:t>
      </w:r>
    </w:p>
    <w:p w14:paraId="443566FA">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1.1.3 采购代理机构：见投标人须知前附表。</w:t>
      </w:r>
    </w:p>
    <w:p w14:paraId="7DCA2C52">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1.1.4 项目名称：见投标人须知前附表。</w:t>
      </w:r>
    </w:p>
    <w:p w14:paraId="646A0C52">
      <w:pPr>
        <w:spacing w:line="360" w:lineRule="auto"/>
        <w:rPr>
          <w:rFonts w:ascii="宋体" w:hAnsi="宋体" w:cs="宋体"/>
          <w:b/>
          <w:color w:val="000000" w:themeColor="text1"/>
          <w:sz w:val="24"/>
          <w:szCs w:val="24"/>
          <w:highlight w:val="none"/>
          <w14:textFill>
            <w14:solidFill>
              <w14:schemeClr w14:val="tx1"/>
            </w14:solidFill>
          </w14:textFill>
        </w:rPr>
      </w:pPr>
      <w:bookmarkStart w:id="87" w:name="_Toc27395"/>
      <w:bookmarkEnd w:id="87"/>
      <w:bookmarkStart w:id="88" w:name="_Toc28747"/>
      <w:r>
        <w:rPr>
          <w:rFonts w:hint="eastAsia" w:ascii="宋体" w:hAnsi="宋体" w:cs="宋体"/>
          <w:b/>
          <w:color w:val="000000" w:themeColor="text1"/>
          <w:sz w:val="24"/>
          <w:szCs w:val="24"/>
          <w:highlight w:val="none"/>
          <w14:textFill>
            <w14:solidFill>
              <w14:schemeClr w14:val="tx1"/>
            </w14:solidFill>
          </w14:textFill>
        </w:rPr>
        <w:t>1.2 招标项目的资金情况</w:t>
      </w:r>
      <w:bookmarkEnd w:id="88"/>
      <w:r>
        <w:rPr>
          <w:rFonts w:hint="eastAsia" w:ascii="宋体" w:hAnsi="宋体" w:cs="宋体"/>
          <w:b/>
          <w:color w:val="000000" w:themeColor="text1"/>
          <w:sz w:val="24"/>
          <w:szCs w:val="24"/>
          <w:highlight w:val="none"/>
          <w14:textFill>
            <w14:solidFill>
              <w14:schemeClr w14:val="tx1"/>
            </w14:solidFill>
          </w14:textFill>
        </w:rPr>
        <w:t>、预算金额</w:t>
      </w:r>
    </w:p>
    <w:p w14:paraId="125E5D95">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1.2.1 资金落实情况：见投标人须知前附表。</w:t>
      </w:r>
    </w:p>
    <w:p w14:paraId="17431DFB">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1.2.2 预算金额：见投标人须知前附表。</w:t>
      </w:r>
    </w:p>
    <w:p w14:paraId="580BFBAC">
      <w:pPr>
        <w:spacing w:line="360" w:lineRule="auto"/>
        <w:rPr>
          <w:rFonts w:ascii="宋体" w:hAnsi="宋体" w:cs="宋体"/>
          <w:b/>
          <w:color w:val="000000" w:themeColor="text1"/>
          <w:sz w:val="24"/>
          <w:szCs w:val="24"/>
          <w:highlight w:val="none"/>
          <w14:textFill>
            <w14:solidFill>
              <w14:schemeClr w14:val="tx1"/>
            </w14:solidFill>
          </w14:textFill>
        </w:rPr>
      </w:pPr>
      <w:bookmarkStart w:id="89" w:name="_Toc16064"/>
      <w:bookmarkEnd w:id="89"/>
      <w:bookmarkStart w:id="90" w:name="_Toc16202"/>
      <w:bookmarkEnd w:id="90"/>
      <w:bookmarkStart w:id="91" w:name="_Toc9179"/>
      <w:r>
        <w:rPr>
          <w:rFonts w:hint="eastAsia" w:ascii="宋体" w:hAnsi="宋体" w:cs="宋体"/>
          <w:b/>
          <w:color w:val="000000" w:themeColor="text1"/>
          <w:sz w:val="24"/>
          <w:szCs w:val="24"/>
          <w:highlight w:val="none"/>
          <w14:textFill>
            <w14:solidFill>
              <w14:schemeClr w14:val="tx1"/>
            </w14:solidFill>
          </w14:textFill>
        </w:rPr>
        <w:t>1.3服务内容、服务期限、</w:t>
      </w:r>
      <w:bookmarkEnd w:id="91"/>
      <w:r>
        <w:rPr>
          <w:rFonts w:hint="eastAsia" w:ascii="宋体" w:hAnsi="宋体" w:cs="宋体"/>
          <w:b/>
          <w:color w:val="000000" w:themeColor="text1"/>
          <w:sz w:val="24"/>
          <w:szCs w:val="24"/>
          <w:highlight w:val="none"/>
          <w14:textFill>
            <w14:solidFill>
              <w14:schemeClr w14:val="tx1"/>
            </w14:solidFill>
          </w14:textFill>
        </w:rPr>
        <w:t>服务地点</w:t>
      </w:r>
    </w:p>
    <w:p w14:paraId="1B3944F9">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1.3.1 服务内容：见投标人须知前附表。</w:t>
      </w:r>
    </w:p>
    <w:p w14:paraId="0FEC1F27">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1.3.2 服务期限：见投标人须知前附表。</w:t>
      </w:r>
    </w:p>
    <w:p w14:paraId="39E9CD26">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1.3.3 服务地点：见投标人须知前附表。</w:t>
      </w:r>
    </w:p>
    <w:p w14:paraId="45750B96">
      <w:pPr>
        <w:spacing w:line="360" w:lineRule="auto"/>
        <w:rPr>
          <w:rFonts w:ascii="宋体" w:hAnsi="宋体" w:cs="宋体"/>
          <w:b/>
          <w:color w:val="000000" w:themeColor="text1"/>
          <w:sz w:val="24"/>
          <w:szCs w:val="24"/>
          <w:highlight w:val="none"/>
          <w14:textFill>
            <w14:solidFill>
              <w14:schemeClr w14:val="tx1"/>
            </w14:solidFill>
          </w14:textFill>
        </w:rPr>
      </w:pPr>
      <w:bookmarkStart w:id="92" w:name="_Toc17694"/>
      <w:bookmarkEnd w:id="92"/>
      <w:bookmarkStart w:id="93" w:name="_Toc10611"/>
      <w:r>
        <w:rPr>
          <w:rFonts w:hint="eastAsia" w:ascii="宋体" w:hAnsi="宋体" w:cs="宋体"/>
          <w:b/>
          <w:color w:val="000000" w:themeColor="text1"/>
          <w:sz w:val="24"/>
          <w:szCs w:val="24"/>
          <w:highlight w:val="none"/>
          <w14:textFill>
            <w14:solidFill>
              <w14:schemeClr w14:val="tx1"/>
            </w14:solidFill>
          </w14:textFill>
        </w:rPr>
        <w:t>1.4 投标人资格要求</w:t>
      </w:r>
      <w:bookmarkEnd w:id="93"/>
    </w:p>
    <w:p w14:paraId="7D1DCDB1">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1.4.1 投标人应具备承担本项目的资格条件。</w:t>
      </w:r>
    </w:p>
    <w:p w14:paraId="444069FC">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1.4.2 投标人须知前附表规定接受联合体投标的，联合体除应符合本章第1.4.1项和投标人须知前附表的要求外，还应遵守以下规定：</w:t>
      </w:r>
    </w:p>
    <w:p w14:paraId="12202E56">
      <w:pPr>
        <w:spacing w:line="360" w:lineRule="auto"/>
        <w:ind w:firstLine="540" w:firstLineChars="225"/>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(1)联合体各方应按招标文件提供的格式签订联合体协议书，明确联合体牵头人和各方权利义务，并承诺就中标项目向采购人承担连带责任；</w:t>
      </w:r>
    </w:p>
    <w:p w14:paraId="57C2735E">
      <w:pPr>
        <w:spacing w:line="360" w:lineRule="auto"/>
        <w:ind w:firstLine="540" w:firstLineChars="225"/>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(2)联合体中有同类资质的投标人按照联合体分工承担相同工作的，应当按照资质等级较低的投标人确定资质等级；</w:t>
      </w:r>
    </w:p>
    <w:p w14:paraId="71E73672">
      <w:pPr>
        <w:spacing w:line="360" w:lineRule="auto"/>
        <w:ind w:firstLine="540" w:firstLineChars="225"/>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(3)以联合体形式参加政府采购活动的，联合体各方不得再单独参加或者与其他投标人另外组成联合体参加同一合同项下的政府采购活动。</w:t>
      </w:r>
    </w:p>
    <w:p w14:paraId="21B08859">
      <w:pPr>
        <w:spacing w:line="360" w:lineRule="auto"/>
        <w:rPr>
          <w:rFonts w:ascii="宋体" w:hAnsi="宋体" w:cs="宋体"/>
          <w:b/>
          <w:color w:val="000000" w:themeColor="text1"/>
          <w:sz w:val="24"/>
          <w:szCs w:val="24"/>
          <w:highlight w:val="none"/>
          <w14:textFill>
            <w14:solidFill>
              <w14:schemeClr w14:val="tx1"/>
            </w14:solidFill>
          </w14:textFill>
        </w:rPr>
      </w:pPr>
      <w:bookmarkStart w:id="94" w:name="_Toc27960"/>
      <w:bookmarkEnd w:id="94"/>
      <w:bookmarkStart w:id="95" w:name="_Toc18144"/>
      <w:r>
        <w:rPr>
          <w:rFonts w:hint="eastAsia" w:ascii="宋体" w:hAnsi="宋体" w:cs="宋体"/>
          <w:b/>
          <w:color w:val="000000" w:themeColor="text1"/>
          <w:sz w:val="24"/>
          <w:szCs w:val="24"/>
          <w:highlight w:val="none"/>
          <w14:textFill>
            <w14:solidFill>
              <w14:schemeClr w14:val="tx1"/>
            </w14:solidFill>
          </w14:textFill>
        </w:rPr>
        <w:t>1.5 费用承担</w:t>
      </w:r>
      <w:bookmarkEnd w:id="95"/>
    </w:p>
    <w:p w14:paraId="167FBE28">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投标人准备和参加投标活动发生的费用自理。</w:t>
      </w:r>
    </w:p>
    <w:p w14:paraId="4C718300">
      <w:pPr>
        <w:spacing w:line="360" w:lineRule="auto"/>
        <w:rPr>
          <w:rFonts w:ascii="宋体" w:hAnsi="宋体" w:cs="宋体"/>
          <w:b/>
          <w:color w:val="000000" w:themeColor="text1"/>
          <w:sz w:val="24"/>
          <w:szCs w:val="24"/>
          <w:highlight w:val="none"/>
          <w14:textFill>
            <w14:solidFill>
              <w14:schemeClr w14:val="tx1"/>
            </w14:solidFill>
          </w14:textFill>
        </w:rPr>
      </w:pPr>
      <w:bookmarkStart w:id="96" w:name="_Toc6230"/>
      <w:bookmarkEnd w:id="96"/>
      <w:bookmarkStart w:id="97" w:name="_Toc16680"/>
      <w:r>
        <w:rPr>
          <w:rFonts w:hint="eastAsia" w:ascii="宋体" w:hAnsi="宋体" w:cs="宋体"/>
          <w:b/>
          <w:color w:val="000000" w:themeColor="text1"/>
          <w:sz w:val="24"/>
          <w:szCs w:val="24"/>
          <w:highlight w:val="none"/>
          <w14:textFill>
            <w14:solidFill>
              <w14:schemeClr w14:val="tx1"/>
            </w14:solidFill>
          </w14:textFill>
        </w:rPr>
        <w:t>1.6 保密</w:t>
      </w:r>
      <w:bookmarkEnd w:id="97"/>
    </w:p>
    <w:p w14:paraId="2D80E926">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参与招标投标活动的各方应对招标文件和投标文件中的商业和技术等秘密保密，则应承担相应的法律责任。</w:t>
      </w:r>
    </w:p>
    <w:p w14:paraId="7541EDF1">
      <w:pPr>
        <w:spacing w:line="360" w:lineRule="auto"/>
        <w:rPr>
          <w:rFonts w:ascii="宋体" w:hAnsi="宋体" w:cs="宋体"/>
          <w:b/>
          <w:color w:val="000000" w:themeColor="text1"/>
          <w:sz w:val="24"/>
          <w:szCs w:val="24"/>
          <w:highlight w:val="none"/>
          <w14:textFill>
            <w14:solidFill>
              <w14:schemeClr w14:val="tx1"/>
            </w14:solidFill>
          </w14:textFill>
        </w:rPr>
      </w:pPr>
      <w:bookmarkStart w:id="98" w:name="_Toc31781"/>
      <w:bookmarkEnd w:id="98"/>
      <w:bookmarkStart w:id="99" w:name="_Toc787"/>
      <w:r>
        <w:rPr>
          <w:rFonts w:hint="eastAsia" w:ascii="宋体" w:hAnsi="宋体" w:cs="宋体"/>
          <w:b/>
          <w:color w:val="000000" w:themeColor="text1"/>
          <w:sz w:val="24"/>
          <w:szCs w:val="24"/>
          <w:highlight w:val="none"/>
          <w14:textFill>
            <w14:solidFill>
              <w14:schemeClr w14:val="tx1"/>
            </w14:solidFill>
          </w14:textFill>
        </w:rPr>
        <w:t>1.7 语言文字</w:t>
      </w:r>
      <w:bookmarkEnd w:id="99"/>
    </w:p>
    <w:p w14:paraId="1C57707F">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招标投标文件使用的语言文字为中文。专用术语使用外文的，应附有中文注释。</w:t>
      </w:r>
    </w:p>
    <w:p w14:paraId="0BB45FEA">
      <w:pPr>
        <w:spacing w:line="360" w:lineRule="auto"/>
        <w:rPr>
          <w:rFonts w:ascii="宋体" w:hAnsi="宋体" w:cs="宋体"/>
          <w:b/>
          <w:color w:val="000000" w:themeColor="text1"/>
          <w:sz w:val="24"/>
          <w:szCs w:val="24"/>
          <w:highlight w:val="none"/>
          <w14:textFill>
            <w14:solidFill>
              <w14:schemeClr w14:val="tx1"/>
            </w14:solidFill>
          </w14:textFill>
        </w:rPr>
      </w:pPr>
      <w:bookmarkStart w:id="100" w:name="_Toc29423"/>
      <w:bookmarkEnd w:id="100"/>
      <w:bookmarkStart w:id="101" w:name="_Toc29116"/>
      <w:r>
        <w:rPr>
          <w:rFonts w:hint="eastAsia" w:ascii="宋体" w:hAnsi="宋体" w:cs="宋体"/>
          <w:b/>
          <w:color w:val="000000" w:themeColor="text1"/>
          <w:sz w:val="24"/>
          <w:szCs w:val="24"/>
          <w:highlight w:val="none"/>
          <w14:textFill>
            <w14:solidFill>
              <w14:schemeClr w14:val="tx1"/>
            </w14:solidFill>
          </w14:textFill>
        </w:rPr>
        <w:t>1.8 计量单位</w:t>
      </w:r>
      <w:bookmarkEnd w:id="101"/>
    </w:p>
    <w:p w14:paraId="6216E8B1">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所有计量均采用中华人民共和国法定计量单位。</w:t>
      </w:r>
    </w:p>
    <w:p w14:paraId="596C7213">
      <w:pPr>
        <w:spacing w:line="360" w:lineRule="auto"/>
        <w:rPr>
          <w:rFonts w:ascii="宋体" w:hAnsi="宋体" w:cs="宋体"/>
          <w:b/>
          <w:color w:val="000000" w:themeColor="text1"/>
          <w:sz w:val="24"/>
          <w:szCs w:val="24"/>
          <w:highlight w:val="none"/>
          <w14:textFill>
            <w14:solidFill>
              <w14:schemeClr w14:val="tx1"/>
            </w14:solidFill>
          </w14:textFill>
        </w:rPr>
      </w:pPr>
      <w:bookmarkStart w:id="102" w:name="_Toc247513962"/>
      <w:bookmarkEnd w:id="102"/>
      <w:bookmarkStart w:id="103" w:name="_Toc29812"/>
      <w:bookmarkEnd w:id="103"/>
      <w:bookmarkStart w:id="104" w:name="_Toc152042315"/>
      <w:bookmarkEnd w:id="104"/>
      <w:bookmarkStart w:id="105" w:name="_Toc247527563"/>
      <w:bookmarkEnd w:id="105"/>
      <w:bookmarkStart w:id="106" w:name="_Toc296602429"/>
      <w:bookmarkEnd w:id="106"/>
      <w:bookmarkStart w:id="107" w:name="_Toc247592876"/>
      <w:bookmarkEnd w:id="107"/>
      <w:bookmarkStart w:id="108" w:name="_Toc152045539"/>
      <w:bookmarkEnd w:id="108"/>
      <w:bookmarkStart w:id="109" w:name="_Toc144974507"/>
      <w:bookmarkEnd w:id="109"/>
      <w:bookmarkStart w:id="110" w:name="_Toc29408"/>
      <w:r>
        <w:rPr>
          <w:rFonts w:hint="eastAsia" w:ascii="宋体" w:hAnsi="宋体" w:cs="宋体"/>
          <w:b/>
          <w:color w:val="000000" w:themeColor="text1"/>
          <w:sz w:val="24"/>
          <w:szCs w:val="24"/>
          <w:highlight w:val="none"/>
          <w14:textFill>
            <w14:solidFill>
              <w14:schemeClr w14:val="tx1"/>
            </w14:solidFill>
          </w14:textFill>
        </w:rPr>
        <w:t>1.9 现场</w:t>
      </w:r>
      <w:bookmarkEnd w:id="110"/>
      <w:r>
        <w:rPr>
          <w:rFonts w:hint="eastAsia" w:ascii="宋体" w:hAnsi="宋体" w:cs="宋体"/>
          <w:b/>
          <w:color w:val="000000" w:themeColor="text1"/>
          <w:sz w:val="24"/>
          <w:szCs w:val="24"/>
          <w:highlight w:val="none"/>
          <w14:textFill>
            <w14:solidFill>
              <w14:schemeClr w14:val="tx1"/>
            </w14:solidFill>
          </w14:textFill>
        </w:rPr>
        <w:t>考察</w:t>
      </w:r>
    </w:p>
    <w:p w14:paraId="39BCDCE1">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1.9.1 投标人须知前附表规定组织现场考察的，采购人按投标人须知前附表规定的时间、地点组织投标人考察项目现场。</w:t>
      </w:r>
    </w:p>
    <w:p w14:paraId="5A87A283">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1.9.2 投标人考察现场发生的费用自理。</w:t>
      </w:r>
    </w:p>
    <w:p w14:paraId="47DF581F">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1.9.3 除采购人的原因外，投标人自行负责在考察现场中所发生的人员伤亡和财产损失。</w:t>
      </w:r>
    </w:p>
    <w:p w14:paraId="7E8840B6">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1.9.4 采购人在考察现场中介绍的项目场地和相关的周边环境情况，供投标人在编制投标文件时参考，采购人不对投标人据此作出的判断和决策负责。</w:t>
      </w:r>
    </w:p>
    <w:p w14:paraId="02C5D83E">
      <w:pPr>
        <w:pStyle w:val="3"/>
        <w:spacing w:before="0" w:after="0" w:line="360" w:lineRule="auto"/>
        <w:rPr>
          <w:rFonts w:ascii="宋体" w:hAnsi="宋体" w:eastAsia="宋体" w:cs="宋体"/>
          <w:color w:val="000000" w:themeColor="text1"/>
          <w:sz w:val="28"/>
          <w:szCs w:val="28"/>
          <w:highlight w:val="none"/>
          <w14:textFill>
            <w14:solidFill>
              <w14:schemeClr w14:val="tx1"/>
            </w14:solidFill>
          </w14:textFill>
        </w:rPr>
      </w:pPr>
      <w:bookmarkStart w:id="111" w:name="_Toc31848"/>
      <w:bookmarkEnd w:id="111"/>
      <w:bookmarkStart w:id="112" w:name="_Toc32012"/>
      <w:bookmarkEnd w:id="112"/>
      <w:bookmarkStart w:id="113" w:name="_Toc31795"/>
      <w:bookmarkEnd w:id="113"/>
      <w:bookmarkStart w:id="114" w:name="_Toc587"/>
      <w:bookmarkEnd w:id="114"/>
      <w:bookmarkStart w:id="115" w:name="_Toc31733"/>
      <w:bookmarkStart w:id="116" w:name="_Toc257"/>
      <w:bookmarkStart w:id="117" w:name="_Toc1833"/>
      <w:bookmarkStart w:id="118" w:name="_Toc27327"/>
      <w:r>
        <w:rPr>
          <w:rFonts w:hint="eastAsia" w:ascii="宋体" w:hAnsi="宋体" w:eastAsia="宋体" w:cs="宋体"/>
          <w:color w:val="000000" w:themeColor="text1"/>
          <w:sz w:val="28"/>
          <w:szCs w:val="28"/>
          <w:highlight w:val="none"/>
          <w14:textFill>
            <w14:solidFill>
              <w14:schemeClr w14:val="tx1"/>
            </w14:solidFill>
          </w14:textFill>
        </w:rPr>
        <w:t>2.招标文件</w:t>
      </w:r>
      <w:bookmarkEnd w:id="115"/>
      <w:bookmarkEnd w:id="116"/>
      <w:bookmarkEnd w:id="117"/>
      <w:bookmarkEnd w:id="118"/>
    </w:p>
    <w:p w14:paraId="3A8433CF">
      <w:pPr>
        <w:spacing w:line="360" w:lineRule="auto"/>
        <w:rPr>
          <w:rFonts w:ascii="宋体" w:hAnsi="宋体" w:cs="宋体"/>
          <w:b/>
          <w:color w:val="000000" w:themeColor="text1"/>
          <w:sz w:val="24"/>
          <w:szCs w:val="24"/>
          <w:highlight w:val="none"/>
          <w14:textFill>
            <w14:solidFill>
              <w14:schemeClr w14:val="tx1"/>
            </w14:solidFill>
          </w14:textFill>
        </w:rPr>
      </w:pPr>
      <w:bookmarkStart w:id="119" w:name="_Toc21536"/>
      <w:bookmarkEnd w:id="119"/>
      <w:bookmarkStart w:id="120" w:name="_Toc16596"/>
      <w:r>
        <w:rPr>
          <w:rFonts w:hint="eastAsia" w:ascii="宋体" w:hAnsi="宋体" w:cs="宋体"/>
          <w:b/>
          <w:color w:val="000000" w:themeColor="text1"/>
          <w:sz w:val="24"/>
          <w:szCs w:val="24"/>
          <w:highlight w:val="none"/>
          <w14:textFill>
            <w14:solidFill>
              <w14:schemeClr w14:val="tx1"/>
            </w14:solidFill>
          </w14:textFill>
        </w:rPr>
        <w:t>2.1 招标文件的组成</w:t>
      </w:r>
      <w:bookmarkEnd w:id="120"/>
    </w:p>
    <w:p w14:paraId="784371E4">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本招标文件包括：</w:t>
      </w:r>
    </w:p>
    <w:p w14:paraId="20410963">
      <w:pPr>
        <w:spacing w:line="360" w:lineRule="auto"/>
        <w:ind w:firstLine="540" w:firstLineChars="225"/>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(1)招标公告；</w:t>
      </w:r>
    </w:p>
    <w:p w14:paraId="103C75BD">
      <w:pPr>
        <w:spacing w:line="360" w:lineRule="auto"/>
        <w:ind w:firstLine="540" w:firstLineChars="225"/>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(2)投标人须知；</w:t>
      </w:r>
    </w:p>
    <w:p w14:paraId="0FDC3ADE">
      <w:pPr>
        <w:spacing w:line="360" w:lineRule="auto"/>
        <w:ind w:firstLine="540" w:firstLineChars="225"/>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(3)资格审查；</w:t>
      </w:r>
    </w:p>
    <w:p w14:paraId="408A8A81">
      <w:pPr>
        <w:spacing w:line="360" w:lineRule="auto"/>
        <w:ind w:firstLine="540" w:firstLineChars="225"/>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(4)评标办法（综合评分法）；</w:t>
      </w:r>
    </w:p>
    <w:p w14:paraId="2FA8E535">
      <w:pPr>
        <w:spacing w:line="360" w:lineRule="auto"/>
        <w:ind w:firstLine="540" w:firstLineChars="225"/>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(5)合同条款及格式；</w:t>
      </w:r>
    </w:p>
    <w:p w14:paraId="1C766E73">
      <w:pPr>
        <w:spacing w:line="360" w:lineRule="auto"/>
        <w:ind w:firstLine="540" w:firstLineChars="225"/>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(6)服务内容及要求；</w:t>
      </w:r>
    </w:p>
    <w:p w14:paraId="6F36FDAF">
      <w:pPr>
        <w:spacing w:line="360" w:lineRule="auto"/>
        <w:ind w:firstLine="540" w:firstLineChars="225"/>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(7)投标文件格式；</w:t>
      </w:r>
    </w:p>
    <w:p w14:paraId="03AA5B96">
      <w:pPr>
        <w:spacing w:line="360" w:lineRule="auto"/>
        <w:ind w:firstLine="540" w:firstLineChars="225"/>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(8)投标人须知前附表规定的其他材料。</w:t>
      </w:r>
    </w:p>
    <w:p w14:paraId="13DE0BE3">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根据本章第2.2款对招标文件所作的澄清、修改，构成招标文件的组成部分。</w:t>
      </w:r>
    </w:p>
    <w:p w14:paraId="59F13113">
      <w:pPr>
        <w:spacing w:line="360" w:lineRule="auto"/>
        <w:rPr>
          <w:rFonts w:ascii="宋体" w:hAnsi="宋体" w:cs="宋体"/>
          <w:b/>
          <w:color w:val="000000" w:themeColor="text1"/>
          <w:sz w:val="24"/>
          <w:szCs w:val="24"/>
          <w:highlight w:val="none"/>
          <w14:textFill>
            <w14:solidFill>
              <w14:schemeClr w14:val="tx1"/>
            </w14:solidFill>
          </w14:textFill>
        </w:rPr>
      </w:pPr>
      <w:bookmarkStart w:id="121" w:name="_Toc23003"/>
      <w:bookmarkEnd w:id="121"/>
      <w:bookmarkStart w:id="122" w:name="_Toc515904805"/>
      <w:bookmarkStart w:id="123" w:name="_Toc520356148"/>
      <w:bookmarkStart w:id="124" w:name="_Toc532473456"/>
      <w:bookmarkStart w:id="125" w:name="_Toc9232"/>
      <w:bookmarkStart w:id="126" w:name="_Toc26044"/>
      <w:bookmarkStart w:id="127" w:name="_Toc2582270"/>
      <w:r>
        <w:rPr>
          <w:rFonts w:hint="eastAsia" w:ascii="宋体" w:hAnsi="宋体" w:cs="宋体"/>
          <w:b/>
          <w:color w:val="000000" w:themeColor="text1"/>
          <w:sz w:val="24"/>
          <w:szCs w:val="24"/>
          <w:highlight w:val="none"/>
          <w14:textFill>
            <w14:solidFill>
              <w14:schemeClr w14:val="tx1"/>
            </w14:solidFill>
          </w14:textFill>
        </w:rPr>
        <w:t>2.2 招标文件的澄清</w:t>
      </w:r>
      <w:bookmarkEnd w:id="122"/>
      <w:bookmarkEnd w:id="123"/>
      <w:r>
        <w:rPr>
          <w:rFonts w:hint="eastAsia" w:ascii="宋体" w:hAnsi="宋体" w:cs="宋体"/>
          <w:b/>
          <w:color w:val="000000" w:themeColor="text1"/>
          <w:sz w:val="24"/>
          <w:szCs w:val="24"/>
          <w:highlight w:val="none"/>
          <w14:textFill>
            <w14:solidFill>
              <w14:schemeClr w14:val="tx1"/>
            </w14:solidFill>
          </w14:textFill>
        </w:rPr>
        <w:t>与修改</w:t>
      </w:r>
      <w:bookmarkEnd w:id="124"/>
      <w:bookmarkEnd w:id="125"/>
      <w:bookmarkEnd w:id="126"/>
      <w:bookmarkEnd w:id="127"/>
    </w:p>
    <w:p w14:paraId="32E20B98">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2.2.1投标人应仔细阅读和检查招标文件的全部内容。如发现缺页或附件不全，应及时向采购代理机构提出，以便补齐。</w:t>
      </w:r>
    </w:p>
    <w:p w14:paraId="24FA4CB1">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2.2.2采购人、采购代理机构可以对已发出的招标文件等进行必要的澄清或者修改。澄清或者修改的内容为招标文件的组成部分。澄清或者修改应当在原公告发布媒体上发布更正公告并以书面形式通知所有获取招标文件的潜在投标人。</w:t>
      </w:r>
    </w:p>
    <w:p w14:paraId="6BEF5AA8">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2.2.3招标文件的澄清或者修改以投标人须知前附表规定的形式发给所有获取招标文件的投标人，但不指明澄清问题的来源。澄清或者修改发出的时间距本章第4.2.1项规定的投标截止时间不足15日的，并且澄清或者修改内容可能影响投标文件编制的，将相应延长投标截止时间。</w:t>
      </w:r>
    </w:p>
    <w:p w14:paraId="68DF2265">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2.2.4投标人在收到澄清通知或者修改通知后，应按投标人须知前附表规定的时间和形式，确认收到该澄清或者修改。</w:t>
      </w:r>
    </w:p>
    <w:p w14:paraId="164A12D4">
      <w:pPr>
        <w:spacing w:line="360" w:lineRule="auto"/>
        <w:ind w:firstLine="480" w:firstLineChars="200"/>
        <w:rPr>
          <w:rFonts w:ascii="宋体" w:hAnsi="宋体" w:cs="宋体"/>
          <w:b/>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2.2.5招标文件中有不一致的，有澄清的部分以最终的澄清更正内容为准；未澄清的，以投标人须知前附表为准；投标人须知前附表不涉及的内容，以编排在后的最后描述为准。</w:t>
      </w:r>
    </w:p>
    <w:p w14:paraId="4B4A5A9A">
      <w:pPr>
        <w:pStyle w:val="3"/>
        <w:spacing w:before="0" w:after="0" w:line="360" w:lineRule="auto"/>
        <w:rPr>
          <w:rFonts w:ascii="宋体" w:hAnsi="宋体" w:eastAsia="宋体" w:cs="宋体"/>
          <w:color w:val="000000" w:themeColor="text1"/>
          <w:sz w:val="28"/>
          <w:szCs w:val="28"/>
          <w:highlight w:val="none"/>
          <w14:textFill>
            <w14:solidFill>
              <w14:schemeClr w14:val="tx1"/>
            </w14:solidFill>
          </w14:textFill>
        </w:rPr>
      </w:pPr>
      <w:bookmarkStart w:id="128" w:name="_Toc24916"/>
      <w:bookmarkEnd w:id="128"/>
      <w:bookmarkStart w:id="129" w:name="_Toc29741"/>
      <w:bookmarkEnd w:id="129"/>
      <w:bookmarkStart w:id="130" w:name="_Toc16663"/>
      <w:bookmarkEnd w:id="130"/>
      <w:bookmarkStart w:id="131" w:name="_Toc31605"/>
      <w:bookmarkStart w:id="132" w:name="_Toc27781"/>
      <w:bookmarkStart w:id="133" w:name="_Toc24768"/>
      <w:bookmarkStart w:id="134" w:name="_Toc10158"/>
      <w:r>
        <w:rPr>
          <w:rFonts w:hint="eastAsia" w:ascii="宋体" w:hAnsi="宋体" w:eastAsia="宋体" w:cs="宋体"/>
          <w:color w:val="000000" w:themeColor="text1"/>
          <w:sz w:val="28"/>
          <w:szCs w:val="28"/>
          <w:highlight w:val="none"/>
          <w14:textFill>
            <w14:solidFill>
              <w14:schemeClr w14:val="tx1"/>
            </w14:solidFill>
          </w14:textFill>
        </w:rPr>
        <w:t>3.投标文件</w:t>
      </w:r>
      <w:bookmarkEnd w:id="131"/>
      <w:bookmarkEnd w:id="132"/>
      <w:bookmarkEnd w:id="133"/>
      <w:bookmarkEnd w:id="134"/>
    </w:p>
    <w:p w14:paraId="540B0130">
      <w:pPr>
        <w:spacing w:line="360" w:lineRule="auto"/>
        <w:rPr>
          <w:rFonts w:ascii="宋体" w:hAnsi="宋体" w:cs="宋体"/>
          <w:b/>
          <w:color w:val="000000" w:themeColor="text1"/>
          <w:sz w:val="24"/>
          <w:szCs w:val="24"/>
          <w:highlight w:val="none"/>
          <w14:textFill>
            <w14:solidFill>
              <w14:schemeClr w14:val="tx1"/>
            </w14:solidFill>
          </w14:textFill>
        </w:rPr>
      </w:pPr>
      <w:bookmarkStart w:id="135" w:name="_Toc2432"/>
      <w:bookmarkEnd w:id="135"/>
      <w:bookmarkStart w:id="136" w:name="_Toc4962"/>
      <w:r>
        <w:rPr>
          <w:rFonts w:hint="eastAsia" w:ascii="宋体" w:hAnsi="宋体" w:cs="宋体"/>
          <w:b/>
          <w:color w:val="000000" w:themeColor="text1"/>
          <w:sz w:val="24"/>
          <w:szCs w:val="24"/>
          <w:highlight w:val="none"/>
          <w14:textFill>
            <w14:solidFill>
              <w14:schemeClr w14:val="tx1"/>
            </w14:solidFill>
          </w14:textFill>
        </w:rPr>
        <w:t>3.1 投标文件的组成</w:t>
      </w:r>
      <w:bookmarkEnd w:id="136"/>
    </w:p>
    <w:p w14:paraId="32BF0392">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3.1.1 投标文件资格审查部分详见第七章“投标文件格式”资格审查部分中的内容。</w:t>
      </w:r>
    </w:p>
    <w:p w14:paraId="10A51105">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3.1.2 投标文件商务技术部分详见第七章“投标文件格式”商务技术部分中的内容。</w:t>
      </w:r>
    </w:p>
    <w:p w14:paraId="6DADF4F9">
      <w:pPr>
        <w:spacing w:line="360" w:lineRule="auto"/>
        <w:ind w:firstLine="540" w:firstLineChars="225"/>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投标人在评标过程中作出的符合法律法规和招标文件规定的澄清确认，构成投标文件的组成部分。</w:t>
      </w:r>
    </w:p>
    <w:p w14:paraId="16C8F536">
      <w:pPr>
        <w:spacing w:line="360" w:lineRule="auto"/>
        <w:ind w:firstLine="540" w:firstLineChars="225"/>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3.1.3 投标人须知前附表未要求提交投标保证金的，投标文件不包括第七章“投标文件格式”商务技术部分中所指的投标保证金。</w:t>
      </w:r>
    </w:p>
    <w:p w14:paraId="34A3B036">
      <w:pPr>
        <w:spacing w:line="360" w:lineRule="auto"/>
        <w:rPr>
          <w:rFonts w:ascii="宋体" w:hAnsi="宋体" w:cs="宋体"/>
          <w:b/>
          <w:color w:val="000000" w:themeColor="text1"/>
          <w:sz w:val="24"/>
          <w:szCs w:val="24"/>
          <w:highlight w:val="none"/>
          <w14:textFill>
            <w14:solidFill>
              <w14:schemeClr w14:val="tx1"/>
            </w14:solidFill>
          </w14:textFill>
        </w:rPr>
      </w:pPr>
      <w:bookmarkStart w:id="137" w:name="_Toc3252"/>
      <w:bookmarkEnd w:id="137"/>
      <w:bookmarkStart w:id="138" w:name="_Toc21369"/>
      <w:r>
        <w:rPr>
          <w:rFonts w:hint="eastAsia" w:ascii="宋体" w:hAnsi="宋体" w:cs="宋体"/>
          <w:b/>
          <w:color w:val="000000" w:themeColor="text1"/>
          <w:sz w:val="24"/>
          <w:szCs w:val="24"/>
          <w:highlight w:val="none"/>
          <w14:textFill>
            <w14:solidFill>
              <w14:schemeClr w14:val="tx1"/>
            </w14:solidFill>
          </w14:textFill>
        </w:rPr>
        <w:t>3.2 投标报价</w:t>
      </w:r>
      <w:bookmarkEnd w:id="138"/>
    </w:p>
    <w:p w14:paraId="12F2624B">
      <w:pPr>
        <w:spacing w:line="360" w:lineRule="auto"/>
        <w:ind w:firstLine="540" w:firstLineChars="225"/>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3.2.1 投标人应按第七章“投标文件格式”的要求在投标函中进行报价表。</w:t>
      </w:r>
    </w:p>
    <w:p w14:paraId="61A30CB9">
      <w:pPr>
        <w:spacing w:line="360" w:lineRule="auto"/>
        <w:ind w:firstLine="540" w:firstLineChars="225"/>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3.2.2 投标人应充分了解该项目的总体情况以及影响投标报价的其他要素。</w:t>
      </w:r>
    </w:p>
    <w:p w14:paraId="68A1235A">
      <w:pPr>
        <w:spacing w:line="360" w:lineRule="auto"/>
        <w:ind w:firstLine="540" w:firstLineChars="225"/>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3.2.3 投标人的投标报价不得超过预算金额，若采购人还设有最高投标限价的，投标人的投标报价还应当不得超过最高投标限价。</w:t>
      </w:r>
      <w:r>
        <w:rPr>
          <w:rFonts w:hint="eastAsia" w:ascii="宋体" w:hAnsi="宋体" w:cs="宋体"/>
          <w:color w:val="000000" w:themeColor="text1"/>
          <w:kern w:val="2"/>
          <w:sz w:val="24"/>
          <w:szCs w:val="24"/>
          <w:highlight w:val="none"/>
          <w14:textFill>
            <w14:solidFill>
              <w14:schemeClr w14:val="tx1"/>
            </w14:solidFill>
          </w14:textFill>
        </w:rPr>
        <w:t>投标人的投标报价超过上述价格的为不合格投标人，按投标被否决处理。</w:t>
      </w:r>
      <w:r>
        <w:rPr>
          <w:rFonts w:hint="eastAsia" w:ascii="宋体" w:hAnsi="宋体" w:cs="宋体"/>
          <w:color w:val="000000" w:themeColor="text1"/>
          <w:sz w:val="24"/>
          <w:szCs w:val="24"/>
          <w:highlight w:val="none"/>
          <w14:textFill>
            <w14:solidFill>
              <w14:schemeClr w14:val="tx1"/>
            </w14:solidFill>
          </w14:textFill>
        </w:rPr>
        <w:t>最高投标限价在投标人须知前附表中载明。</w:t>
      </w:r>
    </w:p>
    <w:p w14:paraId="3711EB7C">
      <w:pPr>
        <w:spacing w:line="360" w:lineRule="auto"/>
        <w:ind w:firstLine="540" w:firstLineChars="225"/>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3.2.4 投标报价的其他要求见投标人须知前附表。</w:t>
      </w:r>
    </w:p>
    <w:p w14:paraId="58FFBAA2">
      <w:pPr>
        <w:spacing w:line="360" w:lineRule="auto"/>
        <w:rPr>
          <w:rFonts w:ascii="宋体" w:hAnsi="宋体" w:cs="宋体"/>
          <w:b/>
          <w:color w:val="000000" w:themeColor="text1"/>
          <w:sz w:val="24"/>
          <w:szCs w:val="24"/>
          <w:highlight w:val="none"/>
          <w14:textFill>
            <w14:solidFill>
              <w14:schemeClr w14:val="tx1"/>
            </w14:solidFill>
          </w14:textFill>
        </w:rPr>
      </w:pPr>
      <w:bookmarkStart w:id="139" w:name="_Toc12995"/>
      <w:bookmarkEnd w:id="139"/>
      <w:bookmarkStart w:id="140" w:name="_Toc14190"/>
      <w:r>
        <w:rPr>
          <w:rFonts w:hint="eastAsia" w:ascii="宋体" w:hAnsi="宋体" w:cs="宋体"/>
          <w:b/>
          <w:color w:val="000000" w:themeColor="text1"/>
          <w:sz w:val="24"/>
          <w:szCs w:val="24"/>
          <w:highlight w:val="none"/>
          <w14:textFill>
            <w14:solidFill>
              <w14:schemeClr w14:val="tx1"/>
            </w14:solidFill>
          </w14:textFill>
        </w:rPr>
        <w:t>3.3 投标有效期</w:t>
      </w:r>
      <w:bookmarkEnd w:id="140"/>
    </w:p>
    <w:p w14:paraId="2AC2510A">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3.3.1投标有效期见投标人须知前附表。</w:t>
      </w:r>
    </w:p>
    <w:p w14:paraId="57E597DC">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3.3.2在投标有效期内，投标人撤销或修改其投标文件的，应承担招标文件和法律规定的责任。</w:t>
      </w:r>
    </w:p>
    <w:p w14:paraId="44CEE5F6">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3.3.3 出现特殊情况需要延长投标有效期的，采购人以书面形式通知所有投标人延长投标有效期。投标人应予以书面答复，同意延长的，应相应延长其投标保证金的有效期，但不得要求或被允许修改其投标文件；投标人拒绝延长的，其投标失效，但投标人有权收回其投标保证金。</w:t>
      </w:r>
    </w:p>
    <w:p w14:paraId="5C95B6B9">
      <w:pPr>
        <w:spacing w:line="360" w:lineRule="auto"/>
        <w:rPr>
          <w:rFonts w:ascii="宋体" w:hAnsi="宋体" w:cs="宋体"/>
          <w:b/>
          <w:color w:val="000000" w:themeColor="text1"/>
          <w:sz w:val="24"/>
          <w:szCs w:val="24"/>
          <w:highlight w:val="none"/>
          <w14:textFill>
            <w14:solidFill>
              <w14:schemeClr w14:val="tx1"/>
            </w14:solidFill>
          </w14:textFill>
        </w:rPr>
      </w:pPr>
      <w:bookmarkStart w:id="141" w:name="_Toc1543"/>
      <w:bookmarkEnd w:id="141"/>
      <w:bookmarkStart w:id="142" w:name="_Toc23125"/>
      <w:r>
        <w:rPr>
          <w:rFonts w:hint="eastAsia" w:ascii="宋体" w:hAnsi="宋体" w:cs="宋体"/>
          <w:b/>
          <w:color w:val="000000" w:themeColor="text1"/>
          <w:sz w:val="24"/>
          <w:szCs w:val="24"/>
          <w:highlight w:val="none"/>
          <w14:textFill>
            <w14:solidFill>
              <w14:schemeClr w14:val="tx1"/>
            </w14:solidFill>
          </w14:textFill>
        </w:rPr>
        <w:t>3.4 投标保证金</w:t>
      </w:r>
      <w:bookmarkEnd w:id="142"/>
    </w:p>
    <w:p w14:paraId="1D08F250">
      <w:pPr>
        <w:spacing w:line="360" w:lineRule="auto"/>
        <w:ind w:left="479" w:leftChars="228"/>
        <w:rPr>
          <w:rFonts w:ascii="宋体" w:hAnsi="宋体" w:cs="宋体"/>
          <w:color w:val="000000" w:themeColor="text1"/>
          <w:sz w:val="24"/>
          <w:szCs w:val="24"/>
          <w:highlight w:val="none"/>
          <w14:textFill>
            <w14:solidFill>
              <w14:schemeClr w14:val="tx1"/>
            </w14:solidFill>
          </w14:textFill>
        </w:rPr>
      </w:pPr>
      <w:bookmarkStart w:id="143" w:name="_Toc4859"/>
      <w:r>
        <w:rPr>
          <w:rFonts w:hint="eastAsia" w:ascii="宋体" w:hAnsi="宋体" w:cs="宋体"/>
          <w:color w:val="000000" w:themeColor="text1"/>
          <w:sz w:val="24"/>
          <w:szCs w:val="24"/>
          <w:highlight w:val="none"/>
          <w14:textFill>
            <w14:solidFill>
              <w14:schemeClr w14:val="tx1"/>
            </w14:solidFill>
          </w14:textFill>
        </w:rPr>
        <w:t>不要求。</w:t>
      </w:r>
    </w:p>
    <w:bookmarkEnd w:id="143"/>
    <w:p w14:paraId="5133AD7B">
      <w:pPr>
        <w:spacing w:line="360" w:lineRule="auto"/>
        <w:rPr>
          <w:rFonts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3.5投标文件的编制</w:t>
      </w:r>
    </w:p>
    <w:p w14:paraId="667B0DBC">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3.5.1 投标文件应按第七章“投标文件格式”进行编写。</w:t>
      </w:r>
    </w:p>
    <w:p w14:paraId="66984361">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3.5.2投标文件编制的其他要求见投标人须知前附表。</w:t>
      </w:r>
    </w:p>
    <w:p w14:paraId="6709236C">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3.5.3电子投标文件的格式见投标人须知前附表。</w:t>
      </w:r>
    </w:p>
    <w:p w14:paraId="69D924ED">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3.5.4如投标人提交的电子标书开标时无法读取导入或解密，其投标文件将不予受理。</w:t>
      </w:r>
    </w:p>
    <w:p w14:paraId="3CE0F23E">
      <w:pPr>
        <w:pStyle w:val="3"/>
        <w:spacing w:before="0" w:after="0" w:line="360" w:lineRule="auto"/>
        <w:rPr>
          <w:rFonts w:ascii="宋体" w:hAnsi="宋体" w:eastAsia="宋体" w:cs="宋体"/>
          <w:color w:val="000000" w:themeColor="text1"/>
          <w:sz w:val="28"/>
          <w:szCs w:val="28"/>
          <w:highlight w:val="none"/>
          <w14:textFill>
            <w14:solidFill>
              <w14:schemeClr w14:val="tx1"/>
            </w14:solidFill>
          </w14:textFill>
        </w:rPr>
      </w:pPr>
      <w:bookmarkStart w:id="144" w:name="_Toc13757"/>
      <w:bookmarkEnd w:id="144"/>
      <w:bookmarkStart w:id="145" w:name="_Toc1490"/>
      <w:bookmarkEnd w:id="145"/>
      <w:bookmarkStart w:id="146" w:name="_Toc27754"/>
      <w:bookmarkEnd w:id="146"/>
      <w:bookmarkStart w:id="147" w:name="_Toc26040"/>
      <w:bookmarkEnd w:id="147"/>
      <w:bookmarkStart w:id="148" w:name="_Toc22898"/>
      <w:bookmarkStart w:id="149" w:name="_Toc7149"/>
      <w:bookmarkStart w:id="150" w:name="_Toc21399"/>
      <w:bookmarkStart w:id="151" w:name="_Toc25405"/>
      <w:bookmarkStart w:id="152" w:name="_Toc297"/>
      <w:bookmarkStart w:id="153" w:name="_Toc9468"/>
      <w:bookmarkStart w:id="154" w:name="_Toc30133"/>
      <w:r>
        <w:rPr>
          <w:rFonts w:hint="eastAsia" w:ascii="宋体" w:hAnsi="宋体" w:eastAsia="宋体" w:cs="宋体"/>
          <w:color w:val="000000" w:themeColor="text1"/>
          <w:sz w:val="28"/>
          <w:szCs w:val="28"/>
          <w:highlight w:val="none"/>
          <w14:textFill>
            <w14:solidFill>
              <w14:schemeClr w14:val="tx1"/>
            </w14:solidFill>
          </w14:textFill>
        </w:rPr>
        <w:t>4.投标</w:t>
      </w:r>
      <w:bookmarkEnd w:id="148"/>
      <w:bookmarkEnd w:id="149"/>
      <w:bookmarkEnd w:id="150"/>
      <w:bookmarkEnd w:id="151"/>
      <w:bookmarkEnd w:id="152"/>
      <w:bookmarkEnd w:id="153"/>
    </w:p>
    <w:p w14:paraId="5AF557AE">
      <w:pPr>
        <w:spacing w:line="360" w:lineRule="auto"/>
        <w:rPr>
          <w:rFonts w:ascii="宋体" w:hAnsi="宋体" w:cs="宋体"/>
          <w:b/>
          <w:color w:val="000000" w:themeColor="text1"/>
          <w:sz w:val="24"/>
          <w:szCs w:val="24"/>
          <w:highlight w:val="none"/>
          <w14:textFill>
            <w14:solidFill>
              <w14:schemeClr w14:val="tx1"/>
            </w14:solidFill>
          </w14:textFill>
        </w:rPr>
      </w:pPr>
      <w:bookmarkStart w:id="155" w:name="_Toc1523"/>
      <w:bookmarkEnd w:id="155"/>
      <w:bookmarkStart w:id="156" w:name="_Toc25497"/>
      <w:r>
        <w:rPr>
          <w:rFonts w:hint="eastAsia" w:ascii="宋体" w:hAnsi="宋体" w:cs="宋体"/>
          <w:b/>
          <w:color w:val="000000" w:themeColor="text1"/>
          <w:sz w:val="24"/>
          <w:szCs w:val="24"/>
          <w:highlight w:val="none"/>
          <w14:textFill>
            <w14:solidFill>
              <w14:schemeClr w14:val="tx1"/>
            </w14:solidFill>
          </w14:textFill>
        </w:rPr>
        <w:t xml:space="preserve">4.1 </w:t>
      </w:r>
      <w:bookmarkEnd w:id="156"/>
      <w:r>
        <w:rPr>
          <w:rFonts w:hint="eastAsia" w:ascii="宋体" w:hAnsi="宋体" w:cs="宋体"/>
          <w:b/>
          <w:color w:val="000000" w:themeColor="text1"/>
          <w:sz w:val="24"/>
          <w:szCs w:val="24"/>
          <w:highlight w:val="none"/>
          <w14:textFill>
            <w14:solidFill>
              <w14:schemeClr w14:val="tx1"/>
            </w14:solidFill>
          </w14:textFill>
        </w:rPr>
        <w:t>投标文件加密要求</w:t>
      </w:r>
    </w:p>
    <w:p w14:paraId="0E9AF896">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bookmarkStart w:id="157" w:name="_Toc27596"/>
      <w:bookmarkEnd w:id="157"/>
      <w:bookmarkStart w:id="158" w:name="_Toc9134"/>
      <w:r>
        <w:rPr>
          <w:rFonts w:hint="eastAsia" w:ascii="宋体" w:hAnsi="宋体" w:cs="宋体"/>
          <w:color w:val="000000" w:themeColor="text1"/>
          <w:sz w:val="24"/>
          <w:szCs w:val="24"/>
          <w:highlight w:val="none"/>
          <w14:textFill>
            <w14:solidFill>
              <w14:schemeClr w14:val="tx1"/>
            </w14:solidFill>
          </w14:textFill>
        </w:rPr>
        <w:t>投标文件的加密要求见投标人须知前附表。</w:t>
      </w:r>
    </w:p>
    <w:p w14:paraId="58F19E67">
      <w:pPr>
        <w:spacing w:line="360" w:lineRule="auto"/>
        <w:rPr>
          <w:rFonts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4.2 投标文件的递交</w:t>
      </w:r>
      <w:bookmarkEnd w:id="158"/>
    </w:p>
    <w:p w14:paraId="09991FDC">
      <w:pPr>
        <w:spacing w:line="360" w:lineRule="auto"/>
        <w:ind w:firstLine="540" w:firstLineChars="225"/>
        <w:rPr>
          <w:rFonts w:ascii="宋体" w:hAnsi="宋体" w:cs="宋体"/>
          <w:color w:val="000000" w:themeColor="text1"/>
          <w:sz w:val="24"/>
          <w:szCs w:val="24"/>
          <w:highlight w:val="none"/>
          <w14:textFill>
            <w14:solidFill>
              <w14:schemeClr w14:val="tx1"/>
            </w14:solidFill>
          </w14:textFill>
        </w:rPr>
      </w:pPr>
      <w:bookmarkStart w:id="159" w:name="_Toc21133"/>
      <w:bookmarkEnd w:id="159"/>
      <w:r>
        <w:rPr>
          <w:rFonts w:hint="eastAsia" w:ascii="宋体" w:hAnsi="宋体" w:cs="宋体"/>
          <w:color w:val="000000" w:themeColor="text1"/>
          <w:sz w:val="24"/>
          <w:szCs w:val="24"/>
          <w:highlight w:val="none"/>
          <w14:textFill>
            <w14:solidFill>
              <w14:schemeClr w14:val="tx1"/>
            </w14:solidFill>
          </w14:textFill>
        </w:rPr>
        <w:t>4.2.1 投标人应在投标人须知前附表规定的投标截止时间前递交投标文件。</w:t>
      </w:r>
    </w:p>
    <w:p w14:paraId="61348865">
      <w:pPr>
        <w:spacing w:line="360" w:lineRule="auto"/>
        <w:ind w:firstLine="540" w:firstLineChars="225"/>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4.2.2 投标人递交投标文件的时间和地点：见投标人须知前附表。</w:t>
      </w:r>
    </w:p>
    <w:p w14:paraId="4F241B98">
      <w:pPr>
        <w:spacing w:line="360" w:lineRule="auto"/>
        <w:ind w:firstLine="540" w:firstLineChars="225"/>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4.2.3 投标人所递交的投标文件不予退还。</w:t>
      </w:r>
    </w:p>
    <w:p w14:paraId="5C7CDEB1">
      <w:pPr>
        <w:spacing w:line="360" w:lineRule="auto"/>
        <w:rPr>
          <w:rFonts w:ascii="宋体" w:hAnsi="宋体" w:cs="宋体"/>
          <w:b/>
          <w:color w:val="000000" w:themeColor="text1"/>
          <w:sz w:val="24"/>
          <w:szCs w:val="24"/>
          <w:highlight w:val="none"/>
          <w14:textFill>
            <w14:solidFill>
              <w14:schemeClr w14:val="tx1"/>
            </w14:solidFill>
          </w14:textFill>
        </w:rPr>
      </w:pPr>
      <w:bookmarkStart w:id="160" w:name="_Toc8975"/>
      <w:bookmarkEnd w:id="160"/>
      <w:bookmarkStart w:id="161" w:name="_Toc5071"/>
      <w:r>
        <w:rPr>
          <w:rFonts w:hint="eastAsia" w:ascii="宋体" w:hAnsi="宋体" w:cs="宋体"/>
          <w:b/>
          <w:color w:val="000000" w:themeColor="text1"/>
          <w:sz w:val="24"/>
          <w:szCs w:val="24"/>
          <w:highlight w:val="none"/>
          <w14:textFill>
            <w14:solidFill>
              <w14:schemeClr w14:val="tx1"/>
            </w14:solidFill>
          </w14:textFill>
        </w:rPr>
        <w:t>4.3 投标文件的修改与撤回</w:t>
      </w:r>
      <w:bookmarkEnd w:id="161"/>
    </w:p>
    <w:p w14:paraId="6CF5251D">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4.3.1在投标截止时间前，投标人可以撤回在网上已递交的投标文件，修改后重新递交。</w:t>
      </w:r>
    </w:p>
    <w:p w14:paraId="02111ABE">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4.3.2修改的投标文件应按照规定进行编制、加密和递交。</w:t>
      </w:r>
    </w:p>
    <w:p w14:paraId="7DD6EB13">
      <w:pPr>
        <w:pStyle w:val="3"/>
        <w:spacing w:before="0" w:after="0" w:line="360" w:lineRule="auto"/>
        <w:rPr>
          <w:rFonts w:ascii="宋体" w:hAnsi="宋体" w:eastAsia="宋体" w:cs="宋体"/>
          <w:color w:val="000000" w:themeColor="text1"/>
          <w:sz w:val="28"/>
          <w:szCs w:val="28"/>
          <w:highlight w:val="none"/>
          <w14:textFill>
            <w14:solidFill>
              <w14:schemeClr w14:val="tx1"/>
            </w14:solidFill>
          </w14:textFill>
        </w:rPr>
      </w:pPr>
      <w:bookmarkStart w:id="162" w:name="_Toc9271"/>
      <w:bookmarkEnd w:id="162"/>
      <w:bookmarkStart w:id="163" w:name="_Toc14362"/>
      <w:bookmarkEnd w:id="163"/>
      <w:bookmarkStart w:id="164" w:name="_Toc2249"/>
      <w:bookmarkStart w:id="165" w:name="_Toc29738"/>
      <w:bookmarkStart w:id="166" w:name="_Toc10222"/>
      <w:bookmarkStart w:id="167" w:name="_Toc12110"/>
      <w:bookmarkStart w:id="168" w:name="_Toc707"/>
      <w:bookmarkStart w:id="169" w:name="_Toc1784"/>
      <w:bookmarkStart w:id="170" w:name="_Toc9143"/>
      <w:r>
        <w:rPr>
          <w:rFonts w:hint="eastAsia" w:ascii="宋体" w:hAnsi="宋体" w:eastAsia="宋体" w:cs="宋体"/>
          <w:color w:val="000000" w:themeColor="text1"/>
          <w:sz w:val="28"/>
          <w:szCs w:val="28"/>
          <w:highlight w:val="none"/>
          <w14:textFill>
            <w14:solidFill>
              <w14:schemeClr w14:val="tx1"/>
            </w14:solidFill>
          </w14:textFill>
        </w:rPr>
        <w:t>5.开标</w:t>
      </w:r>
      <w:bookmarkEnd w:id="164"/>
      <w:bookmarkEnd w:id="165"/>
      <w:bookmarkEnd w:id="166"/>
      <w:bookmarkEnd w:id="167"/>
      <w:bookmarkEnd w:id="168"/>
      <w:bookmarkEnd w:id="169"/>
    </w:p>
    <w:bookmarkEnd w:id="170"/>
    <w:p w14:paraId="02F48E0C">
      <w:pPr>
        <w:spacing w:line="360" w:lineRule="auto"/>
        <w:ind w:firstLine="540" w:firstLineChars="225"/>
        <w:rPr>
          <w:rFonts w:ascii="宋体" w:hAnsi="宋体" w:cs="宋体"/>
          <w:color w:val="000000" w:themeColor="text1"/>
          <w:sz w:val="24"/>
          <w:szCs w:val="24"/>
          <w:highlight w:val="none"/>
          <w14:textFill>
            <w14:solidFill>
              <w14:schemeClr w14:val="tx1"/>
            </w14:solidFill>
          </w14:textFill>
        </w:rPr>
      </w:pPr>
      <w:bookmarkStart w:id="171" w:name="_Toc28600"/>
      <w:bookmarkStart w:id="172" w:name="_Toc9800"/>
      <w:bookmarkStart w:id="173" w:name="_Toc10484"/>
      <w:r>
        <w:rPr>
          <w:rFonts w:hint="eastAsia" w:ascii="宋体" w:hAnsi="宋体" w:cs="宋体"/>
          <w:color w:val="000000" w:themeColor="text1"/>
          <w:sz w:val="24"/>
          <w:szCs w:val="24"/>
          <w:highlight w:val="none"/>
          <w14:textFill>
            <w14:solidFill>
              <w14:schemeClr w14:val="tx1"/>
            </w14:solidFill>
          </w14:textFill>
        </w:rPr>
        <w:t>5.1各投标人在开标前应确保成为政府采购云平台投标人，并完成CA数字证书申领。因未注册入库、未办理CA数字证书等原因造成无法投标或投标失败等后果由投标人自行承担。</w:t>
      </w:r>
    </w:p>
    <w:p w14:paraId="496DA912">
      <w:pPr>
        <w:spacing w:line="360" w:lineRule="auto"/>
        <w:ind w:firstLine="540" w:firstLineChars="225"/>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5.2采购代理机构将在“投标人须知前附表”规定的时间和地点进行开标。</w:t>
      </w:r>
    </w:p>
    <w:p w14:paraId="47EDD26E">
      <w:pPr>
        <w:spacing w:line="360" w:lineRule="auto"/>
        <w:ind w:firstLine="540" w:firstLineChars="225"/>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5.3投标截止后投标人不足3家的，不得开标。</w:t>
      </w:r>
    </w:p>
    <w:p w14:paraId="3444A0E2">
      <w:pPr>
        <w:spacing w:line="360" w:lineRule="auto"/>
        <w:ind w:firstLine="540" w:firstLineChars="225"/>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5.4开标时，投标人登录政府采购云平台完成远程解密、查看开标一览表等相关操作。本项目解密时间会在政采云系统显示，若投标人未在规定时间完成所有投标文件解密，则视为无效投标，不再进入评审阶段。</w:t>
      </w:r>
    </w:p>
    <w:p w14:paraId="303F68C7">
      <w:pPr>
        <w:spacing w:line="360" w:lineRule="auto"/>
        <w:ind w:firstLine="540" w:firstLineChars="225"/>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5.5开标程序：</w:t>
      </w:r>
    </w:p>
    <w:p w14:paraId="4EB988B1">
      <w:pPr>
        <w:spacing w:line="360" w:lineRule="auto"/>
        <w:ind w:firstLine="540" w:firstLineChars="225"/>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开标会由采购代理机构主持，具体流程如下：</w:t>
      </w:r>
    </w:p>
    <w:p w14:paraId="6231D38E">
      <w:pPr>
        <w:spacing w:line="360" w:lineRule="auto"/>
        <w:ind w:firstLine="540" w:firstLineChars="225"/>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采购代理机构依托电子交易平台发起开始解密指令，投标人须使用加密时所用的CA锁按平台提示和招标文件的规定登录到政府采购云平台电子开标大厅，并在发起解密指令之时起60分钟内完成对电子投标文件在线解密。</w:t>
      </w:r>
    </w:p>
    <w:p w14:paraId="0BF1C507">
      <w:pPr>
        <w:spacing w:line="360" w:lineRule="auto"/>
        <w:ind w:firstLine="540" w:firstLineChars="225"/>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（2）如投标人成功解密投标文件，但未在政府采购云平台电子开标大厅参加开标的，视同认可开标过程和结果，由此产生的后果由投标人自行负责。</w:t>
      </w:r>
    </w:p>
    <w:p w14:paraId="36CD3E07">
      <w:pPr>
        <w:spacing w:line="360" w:lineRule="auto"/>
        <w:ind w:firstLine="540" w:firstLineChars="225"/>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（3）开标过程中如有问题，可以在线提出异议，由代理机构给予回复。在规定的异议询问时间内未提出异议的，则视为对开标结果无异议。</w:t>
      </w:r>
    </w:p>
    <w:p w14:paraId="22D9DF85">
      <w:pPr>
        <w:spacing w:line="360" w:lineRule="auto"/>
        <w:ind w:firstLine="540" w:firstLineChars="225"/>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5.6开标工作人员将做开标记录。</w:t>
      </w:r>
    </w:p>
    <w:p w14:paraId="00E37B10">
      <w:pPr>
        <w:spacing w:line="360" w:lineRule="auto"/>
        <w:ind w:firstLine="540" w:firstLineChars="225"/>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5.7投标人代表对开标过程和开标记录有疑义，以及认为采购人、采购代理机构相关工作人员有需要回避的情形的，应在线提出询问或者回避申请。采购人、采购代理机构对投标人代表提出的询问或者回避申请应当及时处理。</w:t>
      </w:r>
    </w:p>
    <w:p w14:paraId="4CDF529B">
      <w:pPr>
        <w:pStyle w:val="3"/>
        <w:spacing w:before="0" w:after="0" w:line="360" w:lineRule="auto"/>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6.资格审查</w:t>
      </w:r>
      <w:bookmarkEnd w:id="154"/>
      <w:bookmarkEnd w:id="171"/>
      <w:bookmarkEnd w:id="172"/>
      <w:bookmarkEnd w:id="173"/>
    </w:p>
    <w:p w14:paraId="77FCC3FD">
      <w:pPr>
        <w:spacing w:line="360" w:lineRule="auto"/>
        <w:ind w:firstLine="540" w:firstLineChars="225"/>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公开招标采购项目开标结束后，采购代理机构应当依法对投标人的资格进行审查。</w:t>
      </w:r>
    </w:p>
    <w:p w14:paraId="727459B2">
      <w:pPr>
        <w:spacing w:line="360" w:lineRule="auto"/>
        <w:ind w:firstLine="540" w:firstLineChars="225"/>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合格投标人不足3家的，不得评标。</w:t>
      </w:r>
    </w:p>
    <w:p w14:paraId="6D975C1B">
      <w:pPr>
        <w:pStyle w:val="3"/>
        <w:spacing w:before="0" w:after="0" w:line="360" w:lineRule="auto"/>
        <w:rPr>
          <w:rFonts w:ascii="宋体" w:hAnsi="宋体" w:eastAsia="宋体" w:cs="宋体"/>
          <w:color w:val="000000" w:themeColor="text1"/>
          <w:sz w:val="28"/>
          <w:szCs w:val="28"/>
          <w:highlight w:val="none"/>
          <w14:textFill>
            <w14:solidFill>
              <w14:schemeClr w14:val="tx1"/>
            </w14:solidFill>
          </w14:textFill>
        </w:rPr>
      </w:pPr>
      <w:bookmarkStart w:id="174" w:name="_Toc11518"/>
      <w:bookmarkEnd w:id="174"/>
      <w:bookmarkStart w:id="175" w:name="_Toc25563"/>
      <w:bookmarkEnd w:id="175"/>
      <w:bookmarkStart w:id="176" w:name="_Toc28237"/>
      <w:bookmarkEnd w:id="176"/>
      <w:bookmarkStart w:id="177" w:name="_Toc22781"/>
      <w:bookmarkStart w:id="178" w:name="_Toc29087"/>
      <w:bookmarkStart w:id="179" w:name="_Toc3756"/>
      <w:bookmarkStart w:id="180" w:name="_Toc2399"/>
      <w:bookmarkStart w:id="181" w:name="_Toc16301"/>
      <w:bookmarkStart w:id="182" w:name="_Toc6336"/>
      <w:r>
        <w:rPr>
          <w:rFonts w:hint="eastAsia" w:ascii="宋体" w:hAnsi="宋体" w:eastAsia="宋体" w:cs="宋体"/>
          <w:color w:val="000000" w:themeColor="text1"/>
          <w:sz w:val="28"/>
          <w:szCs w:val="28"/>
          <w:highlight w:val="none"/>
          <w14:textFill>
            <w14:solidFill>
              <w14:schemeClr w14:val="tx1"/>
            </w14:solidFill>
          </w14:textFill>
        </w:rPr>
        <w:t>7.评标</w:t>
      </w:r>
      <w:bookmarkEnd w:id="177"/>
      <w:bookmarkEnd w:id="178"/>
      <w:bookmarkEnd w:id="179"/>
      <w:bookmarkEnd w:id="180"/>
      <w:bookmarkEnd w:id="181"/>
    </w:p>
    <w:p w14:paraId="5A1A4072">
      <w:pPr>
        <w:spacing w:line="360" w:lineRule="auto"/>
        <w:rPr>
          <w:rFonts w:ascii="宋体" w:hAnsi="宋体" w:cs="宋体"/>
          <w:b/>
          <w:color w:val="000000" w:themeColor="text1"/>
          <w:sz w:val="24"/>
          <w:szCs w:val="24"/>
          <w:highlight w:val="none"/>
          <w14:textFill>
            <w14:solidFill>
              <w14:schemeClr w14:val="tx1"/>
            </w14:solidFill>
          </w14:textFill>
        </w:rPr>
      </w:pPr>
      <w:bookmarkStart w:id="183" w:name="_Toc11207"/>
      <w:bookmarkEnd w:id="183"/>
      <w:bookmarkStart w:id="184" w:name="_Toc4770"/>
      <w:r>
        <w:rPr>
          <w:rFonts w:hint="eastAsia" w:ascii="宋体" w:hAnsi="宋体" w:cs="宋体"/>
          <w:b/>
          <w:color w:val="000000" w:themeColor="text1"/>
          <w:sz w:val="24"/>
          <w:szCs w:val="24"/>
          <w:highlight w:val="none"/>
          <w14:textFill>
            <w14:solidFill>
              <w14:schemeClr w14:val="tx1"/>
            </w14:solidFill>
          </w14:textFill>
        </w:rPr>
        <w:t>7.1 评标委员会</w:t>
      </w:r>
      <w:bookmarkEnd w:id="184"/>
    </w:p>
    <w:p w14:paraId="0D884C33">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7.1.1 评标由采购人依法组建的评标委员会负责。评标委员会成员人数见投标人须知前附表。</w:t>
      </w:r>
    </w:p>
    <w:p w14:paraId="07CB0248">
      <w:pPr>
        <w:widowControl w:val="0"/>
        <w:spacing w:line="360" w:lineRule="auto"/>
        <w:ind w:firstLine="540" w:firstLineChars="225"/>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7.1.2 评标中因评标委员会成员缺席、回避或者健康等特殊原因导致评标委员会组成不符合《政府采购货物和服务招标投标管理办法》(财政部令第87号)规定的，采购人或者采购代理机构应当依法补足后继续评标。被更换的评标委员会成员所作出的评标意见无效。无法及时补足评标委员会成员的，采购人或者采购代理机构应当停止评标活动，封存所有投标文件和开标、评标资料，依法重新组建评标委员会进行评标。原评标委员会所作出的评标意见无效。采购人或者采购代理机构应当将变更、重新组建评标委员会的情况予以记录，并随招标文件一并存档。</w:t>
      </w:r>
    </w:p>
    <w:p w14:paraId="2E707CE2">
      <w:pPr>
        <w:spacing w:line="360" w:lineRule="auto"/>
        <w:rPr>
          <w:rFonts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7.2 评标原则</w:t>
      </w:r>
      <w:bookmarkEnd w:id="182"/>
    </w:p>
    <w:p w14:paraId="2E180F62">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评标活动遵循公平、公正、科学和择优的原则。</w:t>
      </w:r>
    </w:p>
    <w:p w14:paraId="51EED6A3">
      <w:pPr>
        <w:spacing w:line="360" w:lineRule="auto"/>
        <w:rPr>
          <w:rFonts w:ascii="宋体" w:hAnsi="宋体" w:cs="宋体"/>
          <w:b/>
          <w:color w:val="000000" w:themeColor="text1"/>
          <w:sz w:val="24"/>
          <w:szCs w:val="24"/>
          <w:highlight w:val="none"/>
          <w14:textFill>
            <w14:solidFill>
              <w14:schemeClr w14:val="tx1"/>
            </w14:solidFill>
          </w14:textFill>
        </w:rPr>
      </w:pPr>
      <w:bookmarkStart w:id="185" w:name="_Toc10442"/>
      <w:bookmarkEnd w:id="185"/>
      <w:bookmarkStart w:id="186" w:name="_Toc5282"/>
      <w:r>
        <w:rPr>
          <w:rFonts w:hint="eastAsia" w:ascii="宋体" w:hAnsi="宋体" w:cs="宋体"/>
          <w:b/>
          <w:color w:val="000000" w:themeColor="text1"/>
          <w:sz w:val="24"/>
          <w:szCs w:val="24"/>
          <w:highlight w:val="none"/>
          <w14:textFill>
            <w14:solidFill>
              <w14:schemeClr w14:val="tx1"/>
            </w14:solidFill>
          </w14:textFill>
        </w:rPr>
        <w:t>7.3 评标</w:t>
      </w:r>
      <w:bookmarkEnd w:id="186"/>
    </w:p>
    <w:p w14:paraId="3BF378B8">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7.3.1 评标委员会按照第四章“评标办法”规定的方法、评审因素、标准和程序对投标文件进行评审。第四章“评标办法”没有规定的方法、评审因素和标准，不作为评标依据。</w:t>
      </w:r>
    </w:p>
    <w:p w14:paraId="00AEE32D">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7.3.2 评标完成后，评标委员会应当向采购人提交书面评标报告和中标候选人名单。评标委员会推荐中标候选人的人数见投标人须知前附表。</w:t>
      </w:r>
    </w:p>
    <w:p w14:paraId="1F73CDE5">
      <w:pPr>
        <w:pStyle w:val="3"/>
        <w:spacing w:before="0" w:after="0" w:line="360" w:lineRule="auto"/>
        <w:rPr>
          <w:rFonts w:ascii="宋体" w:hAnsi="宋体" w:eastAsia="宋体" w:cs="宋体"/>
          <w:color w:val="000000" w:themeColor="text1"/>
          <w:sz w:val="28"/>
          <w:szCs w:val="28"/>
          <w:highlight w:val="none"/>
          <w14:textFill>
            <w14:solidFill>
              <w14:schemeClr w14:val="tx1"/>
            </w14:solidFill>
          </w14:textFill>
        </w:rPr>
      </w:pPr>
      <w:bookmarkStart w:id="187" w:name="_Toc30483"/>
      <w:bookmarkEnd w:id="187"/>
      <w:bookmarkStart w:id="188" w:name="_Toc6003"/>
      <w:bookmarkEnd w:id="188"/>
      <w:bookmarkStart w:id="189" w:name="_Toc25208"/>
      <w:bookmarkStart w:id="190" w:name="_Toc22840"/>
      <w:bookmarkStart w:id="191" w:name="_Toc32132"/>
      <w:bookmarkStart w:id="192" w:name="_Toc2342"/>
      <w:r>
        <w:rPr>
          <w:rFonts w:hint="eastAsia" w:ascii="宋体" w:hAnsi="宋体" w:eastAsia="宋体" w:cs="宋体"/>
          <w:color w:val="000000" w:themeColor="text1"/>
          <w:sz w:val="28"/>
          <w:szCs w:val="28"/>
          <w:highlight w:val="none"/>
          <w14:textFill>
            <w14:solidFill>
              <w14:schemeClr w14:val="tx1"/>
            </w14:solidFill>
          </w14:textFill>
        </w:rPr>
        <w:t>8.中标和合同</w:t>
      </w:r>
      <w:bookmarkEnd w:id="189"/>
      <w:bookmarkEnd w:id="190"/>
      <w:bookmarkEnd w:id="191"/>
      <w:bookmarkEnd w:id="192"/>
    </w:p>
    <w:p w14:paraId="1B62F424">
      <w:pPr>
        <w:spacing w:line="360" w:lineRule="auto"/>
        <w:rPr>
          <w:rFonts w:ascii="宋体" w:hAnsi="宋体" w:cs="宋体"/>
          <w:b/>
          <w:color w:val="000000" w:themeColor="text1"/>
          <w:sz w:val="24"/>
          <w:szCs w:val="24"/>
          <w:highlight w:val="none"/>
          <w14:textFill>
            <w14:solidFill>
              <w14:schemeClr w14:val="tx1"/>
            </w14:solidFill>
          </w14:textFill>
        </w:rPr>
      </w:pPr>
      <w:bookmarkStart w:id="193" w:name="_Toc18219"/>
      <w:bookmarkEnd w:id="193"/>
      <w:bookmarkStart w:id="194" w:name="_Toc31217"/>
      <w:r>
        <w:rPr>
          <w:rFonts w:hint="eastAsia" w:ascii="宋体" w:hAnsi="宋体" w:cs="宋体"/>
          <w:b/>
          <w:color w:val="000000" w:themeColor="text1"/>
          <w:sz w:val="24"/>
          <w:szCs w:val="24"/>
          <w:highlight w:val="none"/>
          <w14:textFill>
            <w14:solidFill>
              <w14:schemeClr w14:val="tx1"/>
            </w14:solidFill>
          </w14:textFill>
        </w:rPr>
        <w:t>8.1 定标</w:t>
      </w:r>
      <w:bookmarkEnd w:id="194"/>
    </w:p>
    <w:p w14:paraId="226B5696">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按照投标人须知前附表的规定，采购人或采购人授权的评标委员会依法确定中标人。</w:t>
      </w:r>
    </w:p>
    <w:p w14:paraId="423F071C">
      <w:pPr>
        <w:spacing w:line="360" w:lineRule="auto"/>
        <w:rPr>
          <w:rFonts w:ascii="宋体" w:hAnsi="宋体" w:cs="宋体"/>
          <w:b/>
          <w:color w:val="000000" w:themeColor="text1"/>
          <w:sz w:val="24"/>
          <w:szCs w:val="24"/>
          <w:highlight w:val="none"/>
          <w14:textFill>
            <w14:solidFill>
              <w14:schemeClr w14:val="tx1"/>
            </w14:solidFill>
          </w14:textFill>
        </w:rPr>
      </w:pPr>
      <w:bookmarkStart w:id="195" w:name="_Toc18811"/>
      <w:bookmarkEnd w:id="195"/>
      <w:bookmarkStart w:id="196" w:name="_Toc18115"/>
      <w:r>
        <w:rPr>
          <w:rFonts w:hint="eastAsia" w:ascii="宋体" w:hAnsi="宋体" w:cs="宋体"/>
          <w:b/>
          <w:color w:val="000000" w:themeColor="text1"/>
          <w:sz w:val="24"/>
          <w:szCs w:val="24"/>
          <w:highlight w:val="none"/>
          <w14:textFill>
            <w14:solidFill>
              <w14:schemeClr w14:val="tx1"/>
            </w14:solidFill>
          </w14:textFill>
        </w:rPr>
        <w:t>8.2中标公告</w:t>
      </w:r>
      <w:bookmarkEnd w:id="196"/>
    </w:p>
    <w:p w14:paraId="428B7260">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采购人或者采购代理机构应当自中标人确定之日起2个工作日内，按照投标人须知前附表规定的媒介和期限公告中标结果，招标文件应当随中标结果同时公告。</w:t>
      </w:r>
    </w:p>
    <w:p w14:paraId="62F1D90A">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中标公告期限详见投标人须知前附表。</w:t>
      </w:r>
    </w:p>
    <w:p w14:paraId="7E82295D">
      <w:pPr>
        <w:spacing w:line="360" w:lineRule="auto"/>
        <w:rPr>
          <w:rFonts w:ascii="宋体" w:hAnsi="宋体" w:cs="宋体"/>
          <w:b/>
          <w:color w:val="000000" w:themeColor="text1"/>
          <w:sz w:val="24"/>
          <w:szCs w:val="24"/>
          <w:highlight w:val="none"/>
          <w14:textFill>
            <w14:solidFill>
              <w14:schemeClr w14:val="tx1"/>
            </w14:solidFill>
          </w14:textFill>
        </w:rPr>
      </w:pPr>
      <w:bookmarkStart w:id="197" w:name="_Toc8411"/>
      <w:bookmarkEnd w:id="197"/>
      <w:bookmarkStart w:id="198" w:name="_Toc16495"/>
      <w:bookmarkEnd w:id="198"/>
      <w:bookmarkStart w:id="199" w:name="_Toc3833"/>
      <w:r>
        <w:rPr>
          <w:rFonts w:hint="eastAsia" w:ascii="宋体" w:hAnsi="宋体" w:cs="宋体"/>
          <w:b/>
          <w:color w:val="000000" w:themeColor="text1"/>
          <w:sz w:val="24"/>
          <w:szCs w:val="24"/>
          <w:highlight w:val="none"/>
          <w14:textFill>
            <w14:solidFill>
              <w14:schemeClr w14:val="tx1"/>
            </w14:solidFill>
          </w14:textFill>
        </w:rPr>
        <w:t>8.3中标通知</w:t>
      </w:r>
      <w:bookmarkEnd w:id="199"/>
    </w:p>
    <w:p w14:paraId="4BCBD592">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在本章第3.3款规定的投标有效期内，在公告中标结果的同时，采购人或者采购代理机构应当向中标人发出中标通知书。</w:t>
      </w:r>
    </w:p>
    <w:p w14:paraId="6431CB74">
      <w:pPr>
        <w:spacing w:line="360" w:lineRule="auto"/>
        <w:rPr>
          <w:rFonts w:ascii="宋体" w:hAnsi="宋体" w:cs="宋体"/>
          <w:b/>
          <w:color w:val="000000" w:themeColor="text1"/>
          <w:sz w:val="24"/>
          <w:szCs w:val="24"/>
          <w:highlight w:val="none"/>
          <w14:textFill>
            <w14:solidFill>
              <w14:schemeClr w14:val="tx1"/>
            </w14:solidFill>
          </w14:textFill>
        </w:rPr>
      </w:pPr>
      <w:bookmarkStart w:id="200" w:name="_Toc13042"/>
      <w:bookmarkEnd w:id="200"/>
      <w:bookmarkStart w:id="201" w:name="_Toc7193"/>
      <w:r>
        <w:rPr>
          <w:rFonts w:hint="eastAsia" w:ascii="宋体" w:hAnsi="宋体" w:cs="宋体"/>
          <w:b/>
          <w:color w:val="000000" w:themeColor="text1"/>
          <w:sz w:val="24"/>
          <w:szCs w:val="24"/>
          <w:highlight w:val="none"/>
          <w14:textFill>
            <w14:solidFill>
              <w14:schemeClr w14:val="tx1"/>
            </w14:solidFill>
          </w14:textFill>
        </w:rPr>
        <w:t>8.4 履约保证金</w:t>
      </w:r>
      <w:bookmarkEnd w:id="201"/>
    </w:p>
    <w:p w14:paraId="603F50BD">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不要求。</w:t>
      </w:r>
    </w:p>
    <w:p w14:paraId="2EC7B89F">
      <w:pPr>
        <w:spacing w:line="360" w:lineRule="auto"/>
        <w:rPr>
          <w:rFonts w:ascii="宋体" w:hAnsi="宋体" w:cs="宋体"/>
          <w:b/>
          <w:color w:val="000000" w:themeColor="text1"/>
          <w:sz w:val="24"/>
          <w:szCs w:val="24"/>
          <w:highlight w:val="none"/>
          <w14:textFill>
            <w14:solidFill>
              <w14:schemeClr w14:val="tx1"/>
            </w14:solidFill>
          </w14:textFill>
        </w:rPr>
      </w:pPr>
      <w:bookmarkStart w:id="202" w:name="_Toc6413"/>
      <w:bookmarkEnd w:id="202"/>
      <w:bookmarkStart w:id="203" w:name="_Toc18519"/>
      <w:r>
        <w:rPr>
          <w:rFonts w:hint="eastAsia" w:ascii="宋体" w:hAnsi="宋体" w:cs="宋体"/>
          <w:b/>
          <w:color w:val="000000" w:themeColor="text1"/>
          <w:sz w:val="24"/>
          <w:szCs w:val="24"/>
          <w:highlight w:val="none"/>
          <w14:textFill>
            <w14:solidFill>
              <w14:schemeClr w14:val="tx1"/>
            </w14:solidFill>
          </w14:textFill>
        </w:rPr>
        <w:t>8.5 签订合同</w:t>
      </w:r>
      <w:bookmarkEnd w:id="203"/>
    </w:p>
    <w:p w14:paraId="7BDFBEEC">
      <w:pPr>
        <w:widowControl w:val="0"/>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8.5.1 采购人应当自中标通知书发出之日起30日内，按照招标文件和中标人投标文件的规定，与中标人签订书面合同。所签订的合同不得对招标文件确定的事项和中标人投标文件作实质性修改。采购人不得向中标人提出任何不合理的要求作为签订合同的条件。</w:t>
      </w:r>
    </w:p>
    <w:p w14:paraId="11104BD0">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8.5.2 中标通知书发出后，采购人不得违法改变中标结果，中标人无正当理由不得放弃中标。</w:t>
      </w:r>
    </w:p>
    <w:p w14:paraId="2B5D3001">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8.5.3联合体中标的，联合体各方应当共同与采购人签订合同，就中标项目向采购人承担连带责任。</w:t>
      </w:r>
    </w:p>
    <w:p w14:paraId="5F6F1943">
      <w:pPr>
        <w:pStyle w:val="3"/>
        <w:spacing w:before="0" w:after="0" w:line="360" w:lineRule="auto"/>
        <w:rPr>
          <w:rFonts w:ascii="宋体" w:hAnsi="宋体" w:eastAsia="宋体" w:cs="宋体"/>
          <w:color w:val="000000" w:themeColor="text1"/>
          <w:sz w:val="28"/>
          <w:szCs w:val="28"/>
          <w:highlight w:val="none"/>
          <w14:textFill>
            <w14:solidFill>
              <w14:schemeClr w14:val="tx1"/>
            </w14:solidFill>
          </w14:textFill>
        </w:rPr>
      </w:pPr>
      <w:bookmarkStart w:id="204" w:name="_Toc3720"/>
      <w:bookmarkStart w:id="205" w:name="_Toc15876"/>
      <w:r>
        <w:rPr>
          <w:rFonts w:hint="eastAsia" w:ascii="宋体" w:hAnsi="宋体" w:eastAsia="宋体" w:cs="宋体"/>
          <w:color w:val="000000" w:themeColor="text1"/>
          <w:sz w:val="28"/>
          <w:szCs w:val="28"/>
          <w:highlight w:val="none"/>
          <w14:textFill>
            <w14:solidFill>
              <w14:schemeClr w14:val="tx1"/>
            </w14:solidFill>
          </w14:textFill>
        </w:rPr>
        <w:t>9.询问与答复</w:t>
      </w:r>
      <w:bookmarkEnd w:id="204"/>
      <w:bookmarkEnd w:id="205"/>
    </w:p>
    <w:p w14:paraId="13050191">
      <w:pPr>
        <w:pStyle w:val="14"/>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凡对本次招标采购活动事项有疑问的，可以向采购代理机构提出询问，采购代理机构将及时作出答复，但答复的内容不得涉及商业秘密。</w:t>
      </w:r>
    </w:p>
    <w:p w14:paraId="22A0FB9A">
      <w:pPr>
        <w:pStyle w:val="3"/>
        <w:numPr>
          <w:ilvl w:val="0"/>
          <w:numId w:val="5"/>
        </w:numPr>
        <w:spacing w:before="0" w:after="0" w:line="360" w:lineRule="auto"/>
        <w:rPr>
          <w:rFonts w:ascii="宋体" w:hAnsi="宋体" w:eastAsia="宋体" w:cs="宋体"/>
          <w:color w:val="000000" w:themeColor="text1"/>
          <w:sz w:val="28"/>
          <w:szCs w:val="28"/>
          <w:highlight w:val="none"/>
          <w14:textFill>
            <w14:solidFill>
              <w14:schemeClr w14:val="tx1"/>
            </w14:solidFill>
          </w14:textFill>
        </w:rPr>
      </w:pPr>
      <w:bookmarkStart w:id="206" w:name="_Toc28528"/>
      <w:bookmarkStart w:id="207" w:name="_Toc28520"/>
      <w:r>
        <w:rPr>
          <w:rFonts w:hint="eastAsia" w:ascii="宋体" w:hAnsi="宋体" w:eastAsia="宋体" w:cs="宋体"/>
          <w:color w:val="000000" w:themeColor="text1"/>
          <w:sz w:val="28"/>
          <w:szCs w:val="28"/>
          <w:highlight w:val="none"/>
          <w14:textFill>
            <w14:solidFill>
              <w14:schemeClr w14:val="tx1"/>
            </w14:solidFill>
          </w14:textFill>
        </w:rPr>
        <w:t>质疑接收、回复</w:t>
      </w:r>
      <w:bookmarkEnd w:id="206"/>
      <w:bookmarkEnd w:id="207"/>
    </w:p>
    <w:p w14:paraId="7E3CD2B4">
      <w:pPr>
        <w:spacing w:line="360" w:lineRule="auto"/>
        <w:ind w:firstLine="482" w:firstLineChars="200"/>
        <w:rPr>
          <w:rFonts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10.1质疑接收</w:t>
      </w:r>
    </w:p>
    <w:p w14:paraId="2E3BB24C">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10.1.1 投标人认为招标文件、招标过程和中标结果使自己的权益受到损害的，可以根据《中华人民共和国政府采购法》《中华人民共和国政府采购法实施条例》和《政府采购质疑和投诉办法》的有关规定，依法向采购人或其委托的采购代理机构提出质疑。</w:t>
      </w:r>
    </w:p>
    <w:p w14:paraId="1BCB00B4">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10.1.2 质疑供应商应按照财政部制定的《政府采购质疑函范本》格式和《政府采购质疑和投诉办法》的要求，在法定质疑期内书面形式提出质疑，针对同一采购程序环节的质疑应一次性提出。</w:t>
      </w:r>
    </w:p>
    <w:p w14:paraId="727FCB78">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超出法定质疑期的、重复提出的、分次提出的或内容、形式不符合《政府采购质疑和投诉办法》的，质疑供应商将依法承担不利后果。</w:t>
      </w:r>
    </w:p>
    <w:p w14:paraId="7CD3886D">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10.1.3采购代理机构接收质疑函的方式、联系部门、联系电话和通讯地址。</w:t>
      </w:r>
    </w:p>
    <w:p w14:paraId="0DD7FE07">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接收质疑函的方式：质疑函采取书面递交形式。</w:t>
      </w:r>
    </w:p>
    <w:p w14:paraId="636579FC">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供应商可以委托代理人进行质疑。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7B29C6E2">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代理人提出质疑，应当提交供应商签署的授权委托书。</w:t>
      </w:r>
    </w:p>
    <w:p w14:paraId="580650FD">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联系部门：云南元大工程咨询有限责任公司业务二部项目九组。</w:t>
      </w:r>
    </w:p>
    <w:p w14:paraId="665DB565">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联系电话：(0871)63335856</w:t>
      </w:r>
    </w:p>
    <w:p w14:paraId="1A93448E">
      <w:pPr>
        <w:pStyle w:val="14"/>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通讯地址：云南省昆明市盘龙区联盟路与万宏路交汇处万宏嘉园沣苑(地块三)B座15层（奥斯迪商务中心B座15楼）</w:t>
      </w:r>
    </w:p>
    <w:p w14:paraId="13E2B46A">
      <w:pPr>
        <w:pStyle w:val="14"/>
        <w:ind w:firstLine="482"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b/>
          <w:color w:val="000000" w:themeColor="text1"/>
          <w:kern w:val="0"/>
          <w:sz w:val="24"/>
          <w:highlight w:val="none"/>
          <w14:textFill>
            <w14:solidFill>
              <w14:schemeClr w14:val="tx1"/>
            </w14:solidFill>
          </w14:textFill>
        </w:rPr>
        <w:t>10.1.4不按上述要求提出的，采购人和采购代理机构将不予受理。</w:t>
      </w:r>
    </w:p>
    <w:p w14:paraId="06E67AF0">
      <w:pPr>
        <w:spacing w:line="360" w:lineRule="auto"/>
        <w:ind w:firstLine="482" w:firstLineChars="200"/>
        <w:rPr>
          <w:rFonts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10.2质疑回复</w:t>
      </w:r>
    </w:p>
    <w:p w14:paraId="15701BD6">
      <w:pPr>
        <w:spacing w:line="360" w:lineRule="auto"/>
        <w:ind w:firstLine="480" w:firstLineChars="200"/>
        <w:rPr>
          <w:rFonts w:ascii="宋体" w:hAnsi="宋体" w:cs="宋体"/>
          <w:color w:val="000000" w:themeColor="text1"/>
          <w:szCs w:val="22"/>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采购人或者招标代理机构应在收到质疑函后7个工作日内作出答复，并以书面形式通知质疑投标人和其他有关投标人，质疑答复的内容不得涉及商业秘密。</w:t>
      </w:r>
    </w:p>
    <w:p w14:paraId="4F588900">
      <w:pPr>
        <w:pStyle w:val="3"/>
        <w:keepNext w:val="0"/>
        <w:spacing w:before="0" w:after="0" w:line="360" w:lineRule="auto"/>
        <w:rPr>
          <w:rFonts w:ascii="宋体" w:hAnsi="宋体" w:eastAsia="宋体" w:cs="宋体"/>
          <w:color w:val="000000" w:themeColor="text1"/>
          <w:sz w:val="28"/>
          <w:szCs w:val="28"/>
          <w:highlight w:val="none"/>
          <w14:textFill>
            <w14:solidFill>
              <w14:schemeClr w14:val="tx1"/>
            </w14:solidFill>
          </w14:textFill>
        </w:rPr>
      </w:pPr>
      <w:bookmarkStart w:id="208" w:name="_Toc30615"/>
      <w:bookmarkStart w:id="209" w:name="_Toc15358"/>
      <w:r>
        <w:rPr>
          <w:rFonts w:hint="eastAsia" w:ascii="宋体" w:hAnsi="宋体" w:eastAsia="宋体" w:cs="宋体"/>
          <w:color w:val="000000" w:themeColor="text1"/>
          <w:sz w:val="28"/>
          <w:szCs w:val="28"/>
          <w:highlight w:val="none"/>
          <w14:textFill>
            <w14:solidFill>
              <w14:schemeClr w14:val="tx1"/>
            </w14:solidFill>
          </w14:textFill>
        </w:rPr>
        <w:t>11.纪律和监督</w:t>
      </w:r>
      <w:bookmarkEnd w:id="208"/>
      <w:bookmarkEnd w:id="209"/>
    </w:p>
    <w:p w14:paraId="6F429EEB">
      <w:pPr>
        <w:spacing w:line="360" w:lineRule="auto"/>
        <w:rPr>
          <w:rFonts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11.1 对采购人的纪律要求</w:t>
      </w:r>
    </w:p>
    <w:p w14:paraId="2BEDFB81">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(1)按照《政府采购货物和服务招标投标管理办法》(财政部令第87号)的规定编制采购需求；</w:t>
      </w:r>
    </w:p>
    <w:p w14:paraId="5387B628">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(2)采购人不得向供应商索要或者接受其给予的赠品、回扣或者与采购无关的其他商品、服务；</w:t>
      </w:r>
    </w:p>
    <w:p w14:paraId="57E8BB7B">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(3)在规定时间内确定中标人；</w:t>
      </w:r>
    </w:p>
    <w:p w14:paraId="4F5A5CBE">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(4)不得向中标人提出不合理要求作为签订合同条件。</w:t>
      </w:r>
    </w:p>
    <w:p w14:paraId="698EF438">
      <w:pPr>
        <w:spacing w:line="360" w:lineRule="auto"/>
        <w:rPr>
          <w:rFonts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11.2 对投标人的纪律要求</w:t>
      </w:r>
    </w:p>
    <w:p w14:paraId="627C31FB">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投标人不得相互串通投标或者与采购人串通投标，不得向采购人或者评标委员会成员行贿谋取中标，不得以他人名义投标或者以其它方式弄虚作假骗取中标；投标人不得以任何方式干扰、影响评标工作。</w:t>
      </w:r>
    </w:p>
    <w:p w14:paraId="22E26B91">
      <w:pPr>
        <w:spacing w:line="360" w:lineRule="auto"/>
        <w:rPr>
          <w:rFonts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11.3 对评标委员会成员的纪律要求</w:t>
      </w:r>
    </w:p>
    <w:p w14:paraId="3E253441">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评标委员会及其成员不得有下列行为：</w:t>
      </w:r>
    </w:p>
    <w:p w14:paraId="16279D94">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(1)确定参与评标至评标结束前私自接触投标人；</w:t>
      </w:r>
    </w:p>
    <w:p w14:paraId="50A52539">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(2)接受投标人提出的与投标文件不一致的澄清或者说明；</w:t>
      </w:r>
    </w:p>
    <w:p w14:paraId="1CA66933">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(3)违反评标纪律发表倾向性意见或者征询采购人的倾向性意见；</w:t>
      </w:r>
    </w:p>
    <w:p w14:paraId="1A75F270">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(4)对需要专业判断的主观评审因素协商评分；</w:t>
      </w:r>
    </w:p>
    <w:p w14:paraId="772214E6">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(5)在评标过程中擅离职守，影响评标程序正常进行的；</w:t>
      </w:r>
    </w:p>
    <w:p w14:paraId="4FAD67A0">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(6)记录、复制或者带走任何评标资料；</w:t>
      </w:r>
    </w:p>
    <w:p w14:paraId="202E1826">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(7)其他不遵守评标纪律的行为。</w:t>
      </w:r>
    </w:p>
    <w:p w14:paraId="0B9A4DB8">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评标委员会成员有前款第(1)至(7)项行为之一的，其评审意见无效，并不得获取评审劳务报酬和报销异地评审差旅费。</w:t>
      </w:r>
    </w:p>
    <w:p w14:paraId="1073E9AA">
      <w:pPr>
        <w:spacing w:line="360" w:lineRule="auto"/>
        <w:rPr>
          <w:rFonts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11.4 对与评标活动有关的工作人员的纪律要求</w:t>
      </w:r>
    </w:p>
    <w:p w14:paraId="2ADF80E3">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14:paraId="16846BF5">
      <w:pPr>
        <w:spacing w:line="360" w:lineRule="auto"/>
        <w:rPr>
          <w:rFonts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11.5廉洁自律规定</w:t>
      </w:r>
    </w:p>
    <w:p w14:paraId="21C8D455">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（1）采购代理机构工作人员不得以不正当手段获取政府采购代理业务，不得与采购人、供应商恶意串通操纵政府采购活动。</w:t>
      </w:r>
    </w:p>
    <w:p w14:paraId="4410C73C">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（2）采购代理机构工作人员不得接受采购人或者供应商组织的宴请、旅游、娱乐，不得收受礼品、现金、有价证券等，不得向采购人或者供应商报销应当由个人承担的费用。</w:t>
      </w:r>
    </w:p>
    <w:p w14:paraId="7AC5D08F">
      <w:pPr>
        <w:pStyle w:val="3"/>
        <w:keepNext w:val="0"/>
        <w:spacing w:before="0" w:after="0" w:line="360" w:lineRule="auto"/>
        <w:rPr>
          <w:rFonts w:ascii="宋体" w:hAnsi="宋体" w:eastAsia="宋体" w:cs="宋体"/>
          <w:color w:val="000000" w:themeColor="text1"/>
          <w:sz w:val="28"/>
          <w:szCs w:val="28"/>
          <w:highlight w:val="none"/>
          <w14:textFill>
            <w14:solidFill>
              <w14:schemeClr w14:val="tx1"/>
            </w14:solidFill>
          </w14:textFill>
        </w:rPr>
      </w:pPr>
      <w:bookmarkStart w:id="210" w:name="_Toc307"/>
      <w:bookmarkStart w:id="211" w:name="_Toc26534"/>
      <w:r>
        <w:rPr>
          <w:rFonts w:hint="eastAsia" w:ascii="宋体" w:hAnsi="宋体" w:eastAsia="宋体" w:cs="宋体"/>
          <w:color w:val="000000" w:themeColor="text1"/>
          <w:sz w:val="28"/>
          <w:szCs w:val="28"/>
          <w:highlight w:val="none"/>
          <w14:textFill>
            <w14:solidFill>
              <w14:schemeClr w14:val="tx1"/>
            </w14:solidFill>
          </w14:textFill>
        </w:rPr>
        <w:t>12.需要补充的其他内容</w:t>
      </w:r>
      <w:bookmarkEnd w:id="210"/>
      <w:bookmarkEnd w:id="211"/>
    </w:p>
    <w:p w14:paraId="070548E5">
      <w:pPr>
        <w:widowControl w:val="0"/>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需要补充的其他内容：见投标人须知前附表。</w:t>
      </w:r>
    </w:p>
    <w:p w14:paraId="32EE9FB2">
      <w:pPr>
        <w:pStyle w:val="3"/>
        <w:spacing w:before="0" w:after="0" w:line="360" w:lineRule="auto"/>
        <w:rPr>
          <w:rFonts w:ascii="宋体" w:hAnsi="宋体" w:eastAsia="宋体" w:cs="宋体"/>
          <w:color w:val="000000" w:themeColor="text1"/>
          <w:sz w:val="28"/>
          <w:szCs w:val="28"/>
          <w:highlight w:val="none"/>
          <w14:textFill>
            <w14:solidFill>
              <w14:schemeClr w14:val="tx1"/>
            </w14:solidFill>
          </w14:textFill>
        </w:rPr>
      </w:pPr>
      <w:bookmarkStart w:id="212" w:name="_Toc20692"/>
      <w:bookmarkEnd w:id="212"/>
      <w:bookmarkStart w:id="213" w:name="_Toc31137"/>
      <w:bookmarkEnd w:id="213"/>
      <w:bookmarkStart w:id="214" w:name="_Toc11854"/>
      <w:bookmarkEnd w:id="214"/>
      <w:bookmarkStart w:id="215" w:name="_Toc128152724"/>
      <w:bookmarkStart w:id="216" w:name="_Toc92998100"/>
      <w:bookmarkStart w:id="217" w:name="_Toc114909465"/>
      <w:bookmarkStart w:id="218" w:name="_Toc93564616"/>
      <w:bookmarkStart w:id="219" w:name="_Toc97624853"/>
      <w:bookmarkStart w:id="220" w:name="_Toc115016243"/>
      <w:bookmarkStart w:id="221" w:name="_Toc97623387"/>
      <w:bookmarkStart w:id="222" w:name="_Toc7651"/>
      <w:bookmarkStart w:id="223" w:name="_Toc22383"/>
      <w:bookmarkStart w:id="224" w:name="_Toc1773"/>
      <w:bookmarkStart w:id="225" w:name="_Toc13313"/>
      <w:bookmarkStart w:id="226" w:name="_Toc23519"/>
      <w:bookmarkStart w:id="227" w:name="_Toc18495"/>
      <w:bookmarkStart w:id="228" w:name="_Toc12117"/>
      <w:bookmarkStart w:id="229" w:name="_Toc8633"/>
      <w:r>
        <w:rPr>
          <w:rFonts w:hint="eastAsia" w:ascii="宋体" w:hAnsi="宋体" w:eastAsia="宋体" w:cs="宋体"/>
          <w:color w:val="000000" w:themeColor="text1"/>
          <w:sz w:val="28"/>
          <w:szCs w:val="28"/>
          <w:highlight w:val="none"/>
          <w14:textFill>
            <w14:solidFill>
              <w14:schemeClr w14:val="tx1"/>
            </w14:solidFill>
          </w14:textFill>
        </w:rPr>
        <w:t>13.</w:t>
      </w:r>
      <w:bookmarkEnd w:id="215"/>
      <w:bookmarkEnd w:id="216"/>
      <w:bookmarkEnd w:id="217"/>
      <w:bookmarkEnd w:id="218"/>
      <w:bookmarkEnd w:id="219"/>
      <w:bookmarkEnd w:id="220"/>
      <w:bookmarkEnd w:id="221"/>
      <w:r>
        <w:rPr>
          <w:rFonts w:hint="eastAsia" w:ascii="宋体" w:hAnsi="宋体" w:eastAsia="宋体" w:cs="宋体"/>
          <w:color w:val="000000" w:themeColor="text1"/>
          <w:sz w:val="28"/>
          <w:szCs w:val="28"/>
          <w:highlight w:val="none"/>
          <w14:textFill>
            <w14:solidFill>
              <w14:schemeClr w14:val="tx1"/>
            </w14:solidFill>
          </w14:textFill>
        </w:rPr>
        <w:t>中小企业、监狱企业及残疾人福利性单位</w:t>
      </w:r>
      <w:bookmarkEnd w:id="222"/>
      <w:bookmarkEnd w:id="223"/>
      <w:bookmarkEnd w:id="224"/>
    </w:p>
    <w:p w14:paraId="6EDF95FF">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13.1关于中小企业</w:t>
      </w:r>
    </w:p>
    <w:p w14:paraId="4343F3BC">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13.1.1根据《关于印发&lt;政府采购促进中小企业发展管理办法&gt;的通知》（财库〔2020〕46 号） 的规定，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14:paraId="569085E9">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13.1.2在政府采购活动中，供应商提供的货物、工程或者服务符合下列情形的，享受中小企业扶持政策：</w:t>
      </w:r>
    </w:p>
    <w:p w14:paraId="2FE368CD">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（一）在货物采购项目中，货物由中小企业制造，即货物由中小企业生产且使用该中小企业商号或者注册商标；</w:t>
      </w:r>
    </w:p>
    <w:p w14:paraId="7C3FE5B9">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（二）在工程采购项目中，工程由中小企业承建，即工程施工单位为中小企业；</w:t>
      </w:r>
    </w:p>
    <w:p w14:paraId="4A01C4D0">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（三）在服务采购项目中，服务由中小企业承接，即提供服务的人员为中小企业依照《中华人民共和国劳动合同法》订立劳动合同的从业人员。</w:t>
      </w:r>
    </w:p>
    <w:p w14:paraId="59940DAF">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在货物采购项目中，供应商提供的货物既有中小企业制造货物，也有大型企业制造货物的，不享受本办法规定的中小企业扶持政策。</w:t>
      </w:r>
    </w:p>
    <w:p w14:paraId="58480F9F">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以联合体形式参加政府采购活动，联合体各方均为中小企业的，联合体视同中小企业。其中，联合体各方均为小微企业的，联合体视同小微企业。</w:t>
      </w:r>
    </w:p>
    <w:p w14:paraId="49039825">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13.1.3依据《政府采购促进中小企业发展管理办法》（财库〔2020〕46号）规定享受扶持政策获得政府采购合同的，小微企业不得将合同分包给大中型企业，中型企业不得将合同分包给大型企业。</w:t>
      </w:r>
    </w:p>
    <w:p w14:paraId="4EFB1A76">
      <w:pPr>
        <w:pStyle w:val="9"/>
        <w:spacing w:line="480" w:lineRule="exact"/>
        <w:ind w:firstLine="48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13.1.4中小企业参加政府采购活动，符合条件的投标人应根据下表所属行业填写《中小企业声明函》，否则不得享受相关中小企业扶持政策。</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78"/>
        <w:gridCol w:w="5973"/>
        <w:gridCol w:w="2686"/>
      </w:tblGrid>
      <w:tr w14:paraId="7C3EB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9" w:hRule="exact"/>
          <w:jc w:val="center"/>
        </w:trPr>
        <w:tc>
          <w:tcPr>
            <w:tcW w:w="412" w:type="pct"/>
            <w:shd w:val="clear" w:color="auto" w:fill="D7D7D7"/>
            <w:tcMar>
              <w:top w:w="15" w:type="dxa"/>
              <w:left w:w="15" w:type="dxa"/>
              <w:right w:w="15" w:type="dxa"/>
            </w:tcMar>
            <w:vAlign w:val="center"/>
          </w:tcPr>
          <w:p w14:paraId="2E7C6EFF">
            <w:pPr>
              <w:spacing w:line="480" w:lineRule="exact"/>
              <w:jc w:val="center"/>
              <w:rPr>
                <w:rFonts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序号</w:t>
            </w:r>
          </w:p>
        </w:tc>
        <w:tc>
          <w:tcPr>
            <w:tcW w:w="3164" w:type="pct"/>
            <w:shd w:val="clear" w:color="auto" w:fill="D7D7D7"/>
            <w:tcMar>
              <w:top w:w="15" w:type="dxa"/>
              <w:left w:w="15" w:type="dxa"/>
              <w:right w:w="15" w:type="dxa"/>
            </w:tcMar>
            <w:vAlign w:val="center"/>
          </w:tcPr>
          <w:p w14:paraId="11F256C3">
            <w:pPr>
              <w:spacing w:line="480" w:lineRule="exact"/>
              <w:jc w:val="center"/>
              <w:rPr>
                <w:rFonts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标的名称</w:t>
            </w:r>
          </w:p>
        </w:tc>
        <w:tc>
          <w:tcPr>
            <w:tcW w:w="1423" w:type="pct"/>
            <w:shd w:val="clear" w:color="auto" w:fill="D7D7D7"/>
            <w:tcMar>
              <w:top w:w="15" w:type="dxa"/>
              <w:left w:w="15" w:type="dxa"/>
              <w:right w:w="15" w:type="dxa"/>
            </w:tcMar>
            <w:vAlign w:val="center"/>
          </w:tcPr>
          <w:p w14:paraId="03075F6E">
            <w:pPr>
              <w:spacing w:line="480" w:lineRule="exact"/>
              <w:jc w:val="center"/>
              <w:rPr>
                <w:rFonts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所属行业</w:t>
            </w:r>
          </w:p>
        </w:tc>
      </w:tr>
      <w:tr w14:paraId="11810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5" w:hRule="exact"/>
          <w:jc w:val="center"/>
        </w:trPr>
        <w:tc>
          <w:tcPr>
            <w:tcW w:w="412" w:type="pct"/>
            <w:tcMar>
              <w:top w:w="15" w:type="dxa"/>
              <w:left w:w="15" w:type="dxa"/>
              <w:right w:w="15" w:type="dxa"/>
            </w:tcMar>
            <w:vAlign w:val="center"/>
          </w:tcPr>
          <w:p w14:paraId="70408AE4">
            <w:pPr>
              <w:spacing w:line="480" w:lineRule="exact"/>
              <w:jc w:val="center"/>
              <w:textAlignment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w:t>
            </w:r>
          </w:p>
        </w:tc>
        <w:tc>
          <w:tcPr>
            <w:tcW w:w="3164" w:type="pct"/>
            <w:tcMar>
              <w:top w:w="15" w:type="dxa"/>
              <w:left w:w="15" w:type="dxa"/>
              <w:right w:w="15" w:type="dxa"/>
            </w:tcMar>
            <w:vAlign w:val="center"/>
          </w:tcPr>
          <w:p w14:paraId="5A96DCE6">
            <w:pPr>
              <w:jc w:val="center"/>
              <w:textAlignment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第二届智华联谊活动舞台灯光音响租赁服务</w:t>
            </w:r>
          </w:p>
        </w:tc>
        <w:tc>
          <w:tcPr>
            <w:tcW w:w="1423" w:type="pct"/>
            <w:tcMar>
              <w:top w:w="15" w:type="dxa"/>
              <w:left w:w="15" w:type="dxa"/>
              <w:right w:w="15" w:type="dxa"/>
            </w:tcMar>
          </w:tcPr>
          <w:p w14:paraId="37FECAAA">
            <w:pPr>
              <w:spacing w:line="480" w:lineRule="exact"/>
              <w:jc w:val="center"/>
              <w:textAlignment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租赁和商务服务业</w:t>
            </w:r>
          </w:p>
        </w:tc>
      </w:tr>
    </w:tbl>
    <w:p w14:paraId="52EB7E8A">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13.1.5根据《关于进一步加大政府采购支持中小企业力度的通知》（财库〔2022〕19号），本项目针对小微企业报价给予评审中价格扣除，用扣除后的价格参与评审。若投标人同时属于小型或微型企业、监狱企业、残疾人福利性单位中的两种及以上，将不重复享受小微企业价格扣减的优惠政策。</w:t>
      </w:r>
    </w:p>
    <w:p w14:paraId="2C7519C5">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13.2关于残疾人福利性单位：</w:t>
      </w:r>
    </w:p>
    <w:p w14:paraId="015469A7">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13.2.1根据《关于促进残疾人就业政府采购政策的通知》（财库〔2017〕141号）的规定，享受政府采购支持政策的残疾人福利性单位应当同时满足以下条件：</w:t>
      </w:r>
    </w:p>
    <w:p w14:paraId="2F7B2A56">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（一）安置的残疾人占本单位在职职工人数的比例不低于25%（含25%），并且安置的残疾人人数不少于10人（含10人）；</w:t>
      </w:r>
    </w:p>
    <w:p w14:paraId="3800D26B">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（二）依法与安置的每位残疾人签订了一年以上（含一年）的劳动合同或服务协议；</w:t>
      </w:r>
    </w:p>
    <w:p w14:paraId="2CDEB56A">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（三）为安置的每位残疾人按月足额缴纳了基本养老保险、基本医疗保险、失业保险、工伤保险和生育保险等社会保险费；</w:t>
      </w:r>
    </w:p>
    <w:p w14:paraId="145B10CD">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（四）通过银行等金融机构向安置的每位残疾人，按月支付了不低于单位所在区县适用的经省级人民政府批准的月最低工资标准的工资；</w:t>
      </w:r>
    </w:p>
    <w:p w14:paraId="003084B3">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（五）提供本单位制造的货物、承担的工程或者服务（以下简称产品），或者提供其他残疾人福利性单位制造的货物（不包括使用非残疾人福利性单位注册商标的货物）。</w:t>
      </w:r>
    </w:p>
    <w:p w14:paraId="705B4B8D">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56906345">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13.2.2符合条件的残疾人福利性单位在参加政府采购活动时，应当按《三部门联合发布关于促进残疾人就业政府采购政策的通知》（财库〔2017〕141号）提供规定的《残疾人福利性单位声明函》，并对声明的真实性负责。</w:t>
      </w:r>
    </w:p>
    <w:p w14:paraId="71F7E2AC">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13.2.3在政府采购活动中，残疾人福利性单位视同小型、微型企业，享受预留份额、评审中价格扣除等促进中小企业发展的政府采购政策。</w:t>
      </w:r>
    </w:p>
    <w:p w14:paraId="4B103C02">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13.3关于监狱企业：</w:t>
      </w:r>
    </w:p>
    <w:p w14:paraId="10766631">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13.3.1 依照&lt;财政部、司法部关于政府采购支持监狱企业发展有关问题的通知&gt;（财库〔2014〕68号）之规定，监狱企业应当符合以下条件：</w:t>
      </w:r>
    </w:p>
    <w:p w14:paraId="3B540D3A">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13.3.2 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58E401A4">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13.3.3 监狱企业参加政府采购活动时，视同小型、微型企业，应当提供由省级以上监狱管理局、戒毒管理局（含新疆生产建设兵团）出具的属于监狱企业的证明文件。</w:t>
      </w:r>
    </w:p>
    <w:p w14:paraId="3066348B">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13.3.4在政府采购活动中，监狱企业视同小型、微型企业，享受</w:t>
      </w:r>
      <w:r>
        <w:rPr>
          <w:rFonts w:hint="eastAsia" w:ascii="宋体" w:hAnsi="宋体" w:cs="宋体"/>
          <w:color w:val="000000" w:themeColor="text1"/>
          <w:sz w:val="24"/>
          <w:highlight w:val="none"/>
          <w14:textFill>
            <w14:solidFill>
              <w14:schemeClr w14:val="tx1"/>
            </w14:solidFill>
          </w14:textFill>
        </w:rPr>
        <w:t>预留份额、</w:t>
      </w:r>
      <w:r>
        <w:rPr>
          <w:rFonts w:hint="eastAsia" w:ascii="宋体" w:hAnsi="宋体" w:cs="宋体"/>
          <w:color w:val="000000" w:themeColor="text1"/>
          <w:sz w:val="24"/>
          <w:szCs w:val="24"/>
          <w:highlight w:val="none"/>
          <w14:textFill>
            <w14:solidFill>
              <w14:schemeClr w14:val="tx1"/>
            </w14:solidFill>
          </w14:textFill>
        </w:rPr>
        <w:t>评审中价格扣除等政府采购促进中小企业发展的政府采购政策。</w:t>
      </w:r>
    </w:p>
    <w:p w14:paraId="77098470">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13.4本项目是否专门面向中小企业预留采购份额见第一章《招标公告》。</w:t>
      </w:r>
    </w:p>
    <w:p w14:paraId="05B834C6">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13.5中小企业划型标准，详见《附件：中小企业划型标准规定》。</w:t>
      </w:r>
    </w:p>
    <w:p w14:paraId="0D59EF2B">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13.6落实政府采购政策的价格调整：只有符合规定情形的，可以享受中小企业扶持政策，用扣除后的价格参加评审；否则，评标时价格不予扣除。</w:t>
      </w:r>
    </w:p>
    <w:p w14:paraId="001076C1">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13.6.1对于未预留份额专门面向中小企业采购的采购项目，以及预留份额项目中的非预留部分采购包，对小微企业报价给予</w:t>
      </w:r>
      <w:r>
        <w:rPr>
          <w:rFonts w:hint="eastAsia" w:ascii="宋体" w:hAnsi="宋体" w:cs="宋体"/>
          <w:color w:val="000000" w:themeColor="text1"/>
          <w:sz w:val="24"/>
          <w:szCs w:val="24"/>
          <w:highlight w:val="none"/>
          <w:u w:val="single"/>
          <w14:textFill>
            <w14:solidFill>
              <w14:schemeClr w14:val="tx1"/>
            </w14:solidFill>
          </w14:textFill>
        </w:rPr>
        <w:t>10</w:t>
      </w:r>
      <w:r>
        <w:rPr>
          <w:rFonts w:hint="eastAsia" w:ascii="宋体" w:hAnsi="宋体" w:cs="宋体"/>
          <w:color w:val="000000" w:themeColor="text1"/>
          <w:sz w:val="24"/>
          <w:szCs w:val="24"/>
          <w:highlight w:val="none"/>
          <w14:textFill>
            <w14:solidFill>
              <w14:schemeClr w14:val="tx1"/>
            </w14:solidFill>
          </w14:textFill>
        </w:rPr>
        <w:t>%的扣除，用扣除后的价格参加评审。</w:t>
      </w:r>
    </w:p>
    <w:p w14:paraId="08F04790">
      <w:pPr>
        <w:spacing w:line="360" w:lineRule="auto"/>
        <w:ind w:firstLine="422" w:firstLineChars="200"/>
        <w:rPr>
          <w:rFonts w:ascii="宋体" w:hAnsi="宋体" w:cs="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br w:type="page"/>
      </w:r>
      <w:r>
        <w:rPr>
          <w:rFonts w:hint="eastAsia" w:ascii="宋体" w:hAnsi="宋体" w:cs="宋体"/>
          <w:b/>
          <w:bCs/>
          <w:color w:val="000000" w:themeColor="text1"/>
          <w:highlight w:val="none"/>
          <w14:textFill>
            <w14:solidFill>
              <w14:schemeClr w14:val="tx1"/>
            </w14:solidFill>
          </w14:textFill>
        </w:rPr>
        <w:t>附件：中小企业划型标准规定</w:t>
      </w:r>
      <w:r>
        <w:rPr>
          <w:rFonts w:hint="eastAsia" w:ascii="宋体" w:hAnsi="宋体" w:cs="宋体"/>
          <w:b/>
          <w:bCs/>
          <w:color w:val="000000" w:themeColor="text1"/>
          <w:highlight w:val="none"/>
          <w14:textFill>
            <w14:solidFill>
              <w14:schemeClr w14:val="tx1"/>
            </w14:solidFill>
          </w14:textFill>
        </w:rPr>
        <w:drawing>
          <wp:inline distT="0" distB="0" distL="114300" distR="114300">
            <wp:extent cx="6184265" cy="8278495"/>
            <wp:effectExtent l="0" t="0" r="6985" b="8255"/>
            <wp:docPr id="5" name="图片 16" descr="中小企业划型标准规定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 descr="中小企业划型标准规定_01"/>
                    <pic:cNvPicPr>
                      <a:picLocks noChangeAspect="1"/>
                    </pic:cNvPicPr>
                  </pic:nvPicPr>
                  <pic:blipFill>
                    <a:blip r:embed="rId20"/>
                    <a:srcRect t="5344"/>
                    <a:stretch>
                      <a:fillRect/>
                    </a:stretch>
                  </pic:blipFill>
                  <pic:spPr>
                    <a:xfrm>
                      <a:off x="0" y="0"/>
                      <a:ext cx="6184265" cy="8278495"/>
                    </a:xfrm>
                    <a:prstGeom prst="rect">
                      <a:avLst/>
                    </a:prstGeom>
                    <a:noFill/>
                    <a:ln>
                      <a:noFill/>
                    </a:ln>
                  </pic:spPr>
                </pic:pic>
              </a:graphicData>
            </a:graphic>
          </wp:inline>
        </w:drawing>
      </w:r>
      <w:r>
        <w:rPr>
          <w:rFonts w:hint="eastAsia" w:ascii="宋体" w:hAnsi="宋体" w:cs="宋体"/>
          <w:b/>
          <w:bCs/>
          <w:color w:val="000000" w:themeColor="text1"/>
          <w:highlight w:val="none"/>
          <w14:textFill>
            <w14:solidFill>
              <w14:schemeClr w14:val="tx1"/>
            </w14:solidFill>
          </w14:textFill>
        </w:rPr>
        <w:drawing>
          <wp:inline distT="0" distB="0" distL="114300" distR="114300">
            <wp:extent cx="6184265" cy="8745855"/>
            <wp:effectExtent l="0" t="0" r="6985" b="17145"/>
            <wp:docPr id="6" name="图片 17" descr="中小企业划型标准规定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7" descr="中小企业划型标准规定_02"/>
                    <pic:cNvPicPr>
                      <a:picLocks noChangeAspect="1"/>
                    </pic:cNvPicPr>
                  </pic:nvPicPr>
                  <pic:blipFill>
                    <a:blip r:embed="rId21"/>
                    <a:stretch>
                      <a:fillRect/>
                    </a:stretch>
                  </pic:blipFill>
                  <pic:spPr>
                    <a:xfrm>
                      <a:off x="0" y="0"/>
                      <a:ext cx="6184265" cy="8745855"/>
                    </a:xfrm>
                    <a:prstGeom prst="rect">
                      <a:avLst/>
                    </a:prstGeom>
                    <a:noFill/>
                    <a:ln>
                      <a:noFill/>
                    </a:ln>
                  </pic:spPr>
                </pic:pic>
              </a:graphicData>
            </a:graphic>
          </wp:inline>
        </w:drawing>
      </w:r>
      <w:r>
        <w:rPr>
          <w:rFonts w:hint="eastAsia" w:ascii="宋体" w:hAnsi="宋体" w:cs="宋体"/>
          <w:b/>
          <w:bCs/>
          <w:color w:val="000000" w:themeColor="text1"/>
          <w:highlight w:val="none"/>
          <w14:textFill>
            <w14:solidFill>
              <w14:schemeClr w14:val="tx1"/>
            </w14:solidFill>
          </w14:textFill>
        </w:rPr>
        <w:drawing>
          <wp:inline distT="0" distB="0" distL="114300" distR="114300">
            <wp:extent cx="6184265" cy="8745855"/>
            <wp:effectExtent l="0" t="0" r="6985" b="17145"/>
            <wp:docPr id="7" name="图片 18" descr="中小企业划型标准规定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8" descr="中小企业划型标准规定_03"/>
                    <pic:cNvPicPr>
                      <a:picLocks noChangeAspect="1"/>
                    </pic:cNvPicPr>
                  </pic:nvPicPr>
                  <pic:blipFill>
                    <a:blip r:embed="rId22"/>
                    <a:stretch>
                      <a:fillRect/>
                    </a:stretch>
                  </pic:blipFill>
                  <pic:spPr>
                    <a:xfrm>
                      <a:off x="0" y="0"/>
                      <a:ext cx="6184265" cy="8745855"/>
                    </a:xfrm>
                    <a:prstGeom prst="rect">
                      <a:avLst/>
                    </a:prstGeom>
                    <a:noFill/>
                    <a:ln>
                      <a:noFill/>
                    </a:ln>
                  </pic:spPr>
                </pic:pic>
              </a:graphicData>
            </a:graphic>
          </wp:inline>
        </w:drawing>
      </w:r>
      <w:r>
        <w:rPr>
          <w:rFonts w:hint="eastAsia" w:ascii="宋体" w:hAnsi="宋体" w:cs="宋体"/>
          <w:b/>
          <w:bCs/>
          <w:color w:val="000000" w:themeColor="text1"/>
          <w:highlight w:val="none"/>
          <w14:textFill>
            <w14:solidFill>
              <w14:schemeClr w14:val="tx1"/>
            </w14:solidFill>
          </w14:textFill>
        </w:rPr>
        <w:drawing>
          <wp:inline distT="0" distB="0" distL="114300" distR="114300">
            <wp:extent cx="6184265" cy="8745855"/>
            <wp:effectExtent l="0" t="0" r="6985" b="17145"/>
            <wp:docPr id="8" name="图片 19" descr="中小企业划型标准规定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小企业划型标准规定_04"/>
                    <pic:cNvPicPr>
                      <a:picLocks noChangeAspect="1"/>
                    </pic:cNvPicPr>
                  </pic:nvPicPr>
                  <pic:blipFill>
                    <a:blip r:embed="rId23"/>
                    <a:stretch>
                      <a:fillRect/>
                    </a:stretch>
                  </pic:blipFill>
                  <pic:spPr>
                    <a:xfrm>
                      <a:off x="0" y="0"/>
                      <a:ext cx="6184265" cy="8745855"/>
                    </a:xfrm>
                    <a:prstGeom prst="rect">
                      <a:avLst/>
                    </a:prstGeom>
                    <a:noFill/>
                    <a:ln>
                      <a:noFill/>
                    </a:ln>
                  </pic:spPr>
                </pic:pic>
              </a:graphicData>
            </a:graphic>
          </wp:inline>
        </w:drawing>
      </w:r>
    </w:p>
    <w:p w14:paraId="36DC1B17">
      <w:pPr>
        <w:spacing w:line="360" w:lineRule="auto"/>
        <w:ind w:firstLine="422" w:firstLineChars="200"/>
        <w:rPr>
          <w:rFonts w:ascii="宋体" w:hAnsi="宋体" w:cs="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br w:type="page"/>
      </w:r>
    </w:p>
    <w:p w14:paraId="7BAEEDF4">
      <w:pPr>
        <w:pStyle w:val="3"/>
        <w:spacing w:before="0" w:after="0" w:line="360" w:lineRule="auto"/>
        <w:rPr>
          <w:rFonts w:ascii="宋体" w:hAnsi="宋体" w:eastAsia="宋体" w:cs="宋体"/>
          <w:color w:val="000000" w:themeColor="text1"/>
          <w:sz w:val="24"/>
          <w:szCs w:val="24"/>
          <w:highlight w:val="none"/>
          <w14:textFill>
            <w14:solidFill>
              <w14:schemeClr w14:val="tx1"/>
            </w14:solidFill>
          </w14:textFill>
        </w:rPr>
      </w:pPr>
      <w:bookmarkStart w:id="230" w:name="_Toc29360"/>
      <w:bookmarkStart w:id="231" w:name="_Toc21677"/>
      <w:bookmarkStart w:id="232" w:name="_Toc13280"/>
      <w:r>
        <w:rPr>
          <w:rFonts w:hint="eastAsia" w:ascii="宋体" w:hAnsi="宋体" w:eastAsia="宋体" w:cs="宋体"/>
          <w:color w:val="000000" w:themeColor="text1"/>
          <w:sz w:val="28"/>
          <w:szCs w:val="28"/>
          <w:highlight w:val="none"/>
          <w14:textFill>
            <w14:solidFill>
              <w14:schemeClr w14:val="tx1"/>
            </w14:solidFill>
          </w14:textFill>
        </w:rPr>
        <w:t>14.政府采购节能产品、环境标志产品</w:t>
      </w:r>
      <w:bookmarkEnd w:id="230"/>
      <w:bookmarkEnd w:id="231"/>
      <w:bookmarkEnd w:id="232"/>
    </w:p>
    <w:p w14:paraId="6C2664D6">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14.1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0F8F4A2E">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 xml:space="preserve">14.2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号）。 </w:t>
      </w:r>
    </w:p>
    <w:p w14:paraId="7BFFDA8C">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14.3如本项目采购产品属于实施政府强制采购品目清单范围的节能产品，则投标人所报产品必须获得国家确定的认证机构出具的、处于有效期之内的节能产品认证证书，否则投标无效；</w:t>
      </w:r>
    </w:p>
    <w:p w14:paraId="233D0894">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14.4非政府强制采购的节能产品或环境标志产品，依据品目清单和认证证书实施政府优先采购。</w:t>
      </w:r>
    </w:p>
    <w:p w14:paraId="6C4EF41C">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若投标人在投标文件中未提供或未按要求提供产品经国家确定的参与实施政府采购节能产品认证机构或参与实施政府采购环境标志产品认证机构出具的、处于有效期之内的节能产品、环境标志产品认证证书，评标委员会在评审过程中将不予认可，由此造成的一切后果投标人自行承担。</w:t>
      </w:r>
    </w:p>
    <w:p w14:paraId="661B70B1">
      <w:pPr>
        <w:spacing w:line="360" w:lineRule="auto"/>
        <w:ind w:firstLine="480" w:firstLineChars="200"/>
        <w:rPr>
          <w:rFonts w:ascii="宋体" w:hAnsi="宋体" w:cs="宋体"/>
          <w:b/>
          <w:bCs/>
          <w:color w:val="000000" w:themeColor="text1"/>
          <w:highlight w:val="none"/>
          <w14:textFill>
            <w14:solidFill>
              <w14:schemeClr w14:val="tx1"/>
            </w14:solidFill>
          </w14:textFill>
        </w:rPr>
        <w:sectPr>
          <w:headerReference r:id="rId6" w:type="first"/>
          <w:footerReference r:id="rId8" w:type="first"/>
          <w:headerReference r:id="rId5" w:type="default"/>
          <w:footerReference r:id="rId7" w:type="default"/>
          <w:pgSz w:w="11906" w:h="16838"/>
          <w:pgMar w:top="1191" w:right="1191" w:bottom="1191" w:left="1304" w:header="720" w:footer="408" w:gutter="0"/>
          <w:pgNumType w:start="1"/>
          <w:cols w:space="720" w:num="1"/>
          <w:titlePg/>
          <w:docGrid w:type="lines" w:linePitch="317" w:charSpace="0"/>
        </w:sectPr>
      </w:pPr>
      <w:r>
        <w:rPr>
          <w:rFonts w:hint="eastAsia" w:ascii="宋体" w:hAnsi="宋体" w:cs="宋体"/>
          <w:color w:val="000000" w:themeColor="text1"/>
          <w:sz w:val="24"/>
          <w:szCs w:val="24"/>
          <w:highlight w:val="none"/>
          <w14:textFill>
            <w14:solidFill>
              <w14:schemeClr w14:val="tx1"/>
            </w14:solidFill>
          </w14:textFill>
        </w:rPr>
        <w:t>14.5《节能产品政府采购品目清单》及《环境标志产品政府采购品目清单》可通过中国政府采购网（http://www.ccgp.gov.cn/ ）查阅、下载。</w:t>
      </w:r>
    </w:p>
    <w:bookmarkEnd w:id="225"/>
    <w:bookmarkEnd w:id="226"/>
    <w:bookmarkEnd w:id="227"/>
    <w:bookmarkEnd w:id="228"/>
    <w:bookmarkEnd w:id="229"/>
    <w:p w14:paraId="0C422175">
      <w:pPr>
        <w:pStyle w:val="2"/>
        <w:spacing w:before="0" w:after="0" w:line="360" w:lineRule="auto"/>
        <w:jc w:val="center"/>
        <w:rPr>
          <w:rFonts w:ascii="宋体" w:hAnsi="宋体" w:cs="宋体"/>
          <w:color w:val="000000" w:themeColor="text1"/>
          <w:highlight w:val="none"/>
          <w14:textFill>
            <w14:solidFill>
              <w14:schemeClr w14:val="tx1"/>
            </w14:solidFill>
          </w14:textFill>
        </w:rPr>
      </w:pPr>
      <w:bookmarkStart w:id="233" w:name="_Toc23327"/>
      <w:bookmarkStart w:id="234" w:name="_Toc30736"/>
      <w:bookmarkStart w:id="235" w:name="_Toc2885"/>
      <w:bookmarkStart w:id="236" w:name="_Toc32052"/>
      <w:r>
        <w:rPr>
          <w:rFonts w:hint="eastAsia" w:ascii="宋体" w:hAnsi="宋体" w:cs="宋体"/>
          <w:color w:val="000000" w:themeColor="text1"/>
          <w:highlight w:val="none"/>
          <w14:textFill>
            <w14:solidFill>
              <w14:schemeClr w14:val="tx1"/>
            </w14:solidFill>
          </w14:textFill>
        </w:rPr>
        <w:t>第三章 资格审查</w:t>
      </w:r>
      <w:bookmarkEnd w:id="233"/>
      <w:bookmarkEnd w:id="234"/>
      <w:bookmarkEnd w:id="235"/>
      <w:bookmarkEnd w:id="236"/>
    </w:p>
    <w:p w14:paraId="20615247">
      <w:pPr>
        <w:pStyle w:val="29"/>
        <w:spacing w:before="0" w:beforeAutospacing="0" w:after="0" w:afterAutospacing="0" w:line="360" w:lineRule="auto"/>
        <w:ind w:firstLine="480" w:firstLineChars="200"/>
        <w:jc w:val="both"/>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公开招标采购项目开标结束后，采购代理机构依法对投标人的资格进行审查。合格投标人不足3家的，不得评标。</w:t>
      </w:r>
    </w:p>
    <w:p w14:paraId="2C2C2C66">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资格审查：采购代理机构依据法律法规和招标文件的规定，对投标文件中“证明投标人的资格文件”进行审查，以确定投标人是否具备投标资格。只有通过资格审查的投标文件才能进入评标。</w:t>
      </w:r>
    </w:p>
    <w:p w14:paraId="243797E0">
      <w:pPr>
        <w:spacing w:line="360" w:lineRule="auto"/>
        <w:jc w:val="center"/>
        <w:rPr>
          <w:rFonts w:ascii="宋体" w:hAnsi="宋体" w:cs="宋体"/>
          <w:b/>
          <w:bCs/>
          <w:color w:val="000000" w:themeColor="text1"/>
          <w:sz w:val="28"/>
          <w:szCs w:val="28"/>
          <w:highlight w:val="none"/>
          <w14:textFill>
            <w14:solidFill>
              <w14:schemeClr w14:val="tx1"/>
            </w14:solidFill>
          </w14:textFill>
        </w:rPr>
      </w:pPr>
      <w:r>
        <w:rPr>
          <w:rFonts w:hint="eastAsia" w:ascii="宋体" w:hAnsi="宋体" w:cs="宋体"/>
          <w:b/>
          <w:bCs/>
          <w:color w:val="000000" w:themeColor="text1"/>
          <w:sz w:val="28"/>
          <w:szCs w:val="28"/>
          <w:highlight w:val="none"/>
          <w14:textFill>
            <w14:solidFill>
              <w14:schemeClr w14:val="tx1"/>
            </w14:solidFill>
          </w14:textFill>
        </w:rPr>
        <w:t>资格审查标准</w:t>
      </w:r>
    </w:p>
    <w:p w14:paraId="305D5F1A">
      <w:pPr>
        <w:widowControl w:val="0"/>
        <w:spacing w:line="360" w:lineRule="auto"/>
        <w:ind w:firstLine="480" w:firstLineChars="200"/>
        <w:jc w:val="both"/>
        <w:rPr>
          <w:rFonts w:ascii="宋体" w:hAnsi="宋体" w:cs="宋体"/>
          <w:color w:val="000000" w:themeColor="text1"/>
          <w:kern w:val="2"/>
          <w:sz w:val="24"/>
          <w:szCs w:val="24"/>
          <w:highlight w:val="none"/>
          <w:lang w:bidi="ar"/>
          <w14:textFill>
            <w14:solidFill>
              <w14:schemeClr w14:val="tx1"/>
            </w14:solidFill>
          </w14:textFill>
        </w:rPr>
      </w:pPr>
      <w:r>
        <w:rPr>
          <w:rFonts w:hint="eastAsia" w:ascii="宋体" w:hAnsi="宋体" w:cs="宋体"/>
          <w:color w:val="000000" w:themeColor="text1"/>
          <w:kern w:val="2"/>
          <w:sz w:val="24"/>
          <w:szCs w:val="24"/>
          <w:highlight w:val="none"/>
          <w:lang w:bidi="ar"/>
          <w14:textFill>
            <w14:solidFill>
              <w14:schemeClr w14:val="tx1"/>
            </w14:solidFill>
          </w14:textFill>
        </w:rPr>
        <w:t>1.满足《中华人民共和国政府采购法》第二十二条规定；</w:t>
      </w:r>
    </w:p>
    <w:p w14:paraId="46E2245D">
      <w:pPr>
        <w:widowControl w:val="0"/>
        <w:spacing w:line="360" w:lineRule="auto"/>
        <w:ind w:firstLine="480" w:firstLineChars="200"/>
        <w:jc w:val="both"/>
        <w:rPr>
          <w:rFonts w:ascii="宋体" w:hAnsi="宋体" w:cs="宋体"/>
          <w:color w:val="000000" w:themeColor="text1"/>
          <w:kern w:val="2"/>
          <w:sz w:val="24"/>
          <w:szCs w:val="24"/>
          <w:highlight w:val="none"/>
          <w:lang w:bidi="ar"/>
          <w14:textFill>
            <w14:solidFill>
              <w14:schemeClr w14:val="tx1"/>
            </w14:solidFill>
          </w14:textFill>
        </w:rPr>
      </w:pPr>
      <w:r>
        <w:rPr>
          <w:rFonts w:hint="eastAsia" w:ascii="宋体" w:hAnsi="宋体" w:cs="宋体"/>
          <w:color w:val="000000" w:themeColor="text1"/>
          <w:kern w:val="2"/>
          <w:sz w:val="24"/>
          <w:szCs w:val="24"/>
          <w:highlight w:val="none"/>
          <w:lang w:bidi="ar"/>
          <w14:textFill>
            <w14:solidFill>
              <w14:schemeClr w14:val="tx1"/>
            </w14:solidFill>
          </w14:textFill>
        </w:rPr>
        <w:t>1.1具有独立承担民事责任的能力。提供法人或者其他组织的营业执照等证明文件。</w:t>
      </w:r>
    </w:p>
    <w:p w14:paraId="7856BD76">
      <w:pPr>
        <w:widowControl w:val="0"/>
        <w:spacing w:line="360" w:lineRule="auto"/>
        <w:ind w:firstLine="480" w:firstLineChars="200"/>
        <w:jc w:val="both"/>
        <w:rPr>
          <w:rFonts w:ascii="宋体" w:hAnsi="宋体" w:cs="宋体"/>
          <w:color w:val="000000" w:themeColor="text1"/>
          <w:kern w:val="2"/>
          <w:sz w:val="24"/>
          <w:szCs w:val="24"/>
          <w:highlight w:val="none"/>
          <w:lang w:bidi="ar"/>
          <w14:textFill>
            <w14:solidFill>
              <w14:schemeClr w14:val="tx1"/>
            </w14:solidFill>
          </w14:textFill>
        </w:rPr>
      </w:pPr>
      <w:r>
        <w:rPr>
          <w:rFonts w:hint="eastAsia" w:ascii="宋体" w:hAnsi="宋体" w:cs="宋体"/>
          <w:color w:val="000000" w:themeColor="text1"/>
          <w:kern w:val="2"/>
          <w:sz w:val="24"/>
          <w:szCs w:val="24"/>
          <w:highlight w:val="none"/>
          <w:lang w:bidi="ar"/>
          <w14:textFill>
            <w14:solidFill>
              <w14:schemeClr w14:val="tx1"/>
            </w14:solidFill>
          </w14:textFill>
        </w:rPr>
        <w:t>1.2具有良好的商业信誉和健全的财务会计制度。投标人须提供财务状况报告，内容可为以下两者之一：</w:t>
      </w:r>
    </w:p>
    <w:p w14:paraId="19F90B21">
      <w:pPr>
        <w:widowControl w:val="0"/>
        <w:spacing w:line="360" w:lineRule="auto"/>
        <w:ind w:firstLine="480" w:firstLineChars="200"/>
        <w:jc w:val="both"/>
        <w:rPr>
          <w:rFonts w:ascii="宋体" w:hAnsi="宋体" w:cs="宋体"/>
          <w:color w:val="000000" w:themeColor="text1"/>
          <w:kern w:val="2"/>
          <w:sz w:val="24"/>
          <w:szCs w:val="24"/>
          <w:highlight w:val="none"/>
          <w:lang w:bidi="ar"/>
          <w14:textFill>
            <w14:solidFill>
              <w14:schemeClr w14:val="tx1"/>
            </w14:solidFill>
          </w14:textFill>
        </w:rPr>
      </w:pPr>
      <w:r>
        <w:rPr>
          <w:rFonts w:hint="eastAsia" w:ascii="宋体" w:hAnsi="宋体" w:cs="宋体"/>
          <w:color w:val="000000" w:themeColor="text1"/>
          <w:kern w:val="2"/>
          <w:sz w:val="24"/>
          <w:szCs w:val="24"/>
          <w:highlight w:val="none"/>
          <w:lang w:bidi="ar"/>
          <w14:textFill>
            <w14:solidFill>
              <w14:schemeClr w14:val="tx1"/>
            </w14:solidFill>
          </w14:textFill>
        </w:rPr>
        <w:t>①提供2024年或2025年经审计的财务报告(包括资产负债表、利润表、现金流量表、所有者权益变动表及其附注)，新成立不满1年的投标人提供自成立至今的财务报表；</w:t>
      </w:r>
    </w:p>
    <w:p w14:paraId="62FE73E3">
      <w:pPr>
        <w:widowControl w:val="0"/>
        <w:spacing w:line="360" w:lineRule="auto"/>
        <w:ind w:firstLine="480" w:firstLineChars="200"/>
        <w:jc w:val="both"/>
        <w:rPr>
          <w:rFonts w:ascii="宋体" w:hAnsi="宋体" w:cs="宋体"/>
          <w:color w:val="000000" w:themeColor="text1"/>
          <w:kern w:val="2"/>
          <w:sz w:val="24"/>
          <w:szCs w:val="24"/>
          <w:highlight w:val="none"/>
          <w:lang w:bidi="ar"/>
          <w14:textFill>
            <w14:solidFill>
              <w14:schemeClr w14:val="tx1"/>
            </w14:solidFill>
          </w14:textFill>
        </w:rPr>
      </w:pPr>
      <w:r>
        <w:rPr>
          <w:rFonts w:hint="eastAsia" w:ascii="宋体" w:hAnsi="宋体" w:cs="宋体"/>
          <w:color w:val="000000" w:themeColor="text1"/>
          <w:kern w:val="2"/>
          <w:sz w:val="24"/>
          <w:szCs w:val="24"/>
          <w:highlight w:val="none"/>
          <w:lang w:bidi="ar"/>
          <w14:textFill>
            <w14:solidFill>
              <w14:schemeClr w14:val="tx1"/>
            </w14:solidFill>
          </w14:textFill>
        </w:rPr>
        <w:t>②</w:t>
      </w:r>
      <w:r>
        <w:rPr>
          <w:rFonts w:hint="eastAsia" w:hAnsi="宋体" w:cs="宋体"/>
          <w:color w:val="000000" w:themeColor="text1"/>
          <w:kern w:val="2"/>
          <w:sz w:val="24"/>
          <w:szCs w:val="24"/>
          <w:highlight w:val="none"/>
          <w:lang w:bidi="ar"/>
          <w14:textFill>
            <w14:solidFill>
              <w14:schemeClr w14:val="tx1"/>
            </w14:solidFill>
          </w14:textFill>
        </w:rPr>
        <w:t>提供自投标文件提交截止时间前三个月内基本开户银行出具的资信证明</w:t>
      </w:r>
      <w:r>
        <w:rPr>
          <w:rFonts w:hint="eastAsia" w:ascii="宋体" w:hAnsi="宋体" w:cs="宋体"/>
          <w:color w:val="000000" w:themeColor="text1"/>
          <w:kern w:val="2"/>
          <w:sz w:val="24"/>
          <w:szCs w:val="24"/>
          <w:highlight w:val="none"/>
          <w:lang w:bidi="ar"/>
          <w14:textFill>
            <w14:solidFill>
              <w14:schemeClr w14:val="tx1"/>
            </w14:solidFill>
          </w14:textFill>
        </w:rPr>
        <w:t>。</w:t>
      </w:r>
    </w:p>
    <w:p w14:paraId="2731C9B9">
      <w:pPr>
        <w:widowControl w:val="0"/>
        <w:spacing w:line="360" w:lineRule="auto"/>
        <w:ind w:firstLine="480" w:firstLineChars="200"/>
        <w:jc w:val="both"/>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lang w:bidi="ar"/>
          <w14:textFill>
            <w14:solidFill>
              <w14:schemeClr w14:val="tx1"/>
            </w14:solidFill>
          </w14:textFill>
        </w:rPr>
        <w:t>1.3具有履行合同所必需的设备和专业技术能力。</w:t>
      </w:r>
      <w:r>
        <w:rPr>
          <w:rFonts w:hint="eastAsia" w:ascii="宋体" w:hAnsi="宋体" w:cs="宋体"/>
          <w:color w:val="000000" w:themeColor="text1"/>
          <w:sz w:val="24"/>
          <w:szCs w:val="24"/>
          <w:highlight w:val="none"/>
          <w14:textFill>
            <w14:solidFill>
              <w14:schemeClr w14:val="tx1"/>
            </w14:solidFill>
          </w14:textFill>
        </w:rPr>
        <w:t>提供具备履行合同所必需的设备和专业技术能力的证明材料或承诺。</w:t>
      </w:r>
    </w:p>
    <w:p w14:paraId="5E599ABD">
      <w:pPr>
        <w:spacing w:line="360" w:lineRule="auto"/>
        <w:ind w:firstLine="480" w:firstLineChars="200"/>
        <w:jc w:val="both"/>
        <w:rPr>
          <w:rFonts w:ascii="宋体" w:hAnsi="宋体" w:cs="宋体"/>
          <w:color w:val="000000" w:themeColor="text1"/>
          <w:kern w:val="2"/>
          <w:sz w:val="24"/>
          <w:szCs w:val="24"/>
          <w:highlight w:val="none"/>
          <w:lang w:bidi="ar"/>
          <w14:textFill>
            <w14:solidFill>
              <w14:schemeClr w14:val="tx1"/>
            </w14:solidFill>
          </w14:textFill>
        </w:rPr>
      </w:pPr>
      <w:r>
        <w:rPr>
          <w:rFonts w:hint="eastAsia" w:ascii="宋体" w:hAnsi="宋体" w:cs="宋体"/>
          <w:color w:val="000000" w:themeColor="text1"/>
          <w:kern w:val="2"/>
          <w:sz w:val="24"/>
          <w:szCs w:val="24"/>
          <w:highlight w:val="none"/>
          <w:lang w:bidi="ar"/>
          <w14:textFill>
            <w14:solidFill>
              <w14:schemeClr w14:val="tx1"/>
            </w14:solidFill>
          </w14:textFill>
        </w:rPr>
        <w:t>1.4有依法缴纳税收和社会保障资金的良好记录：</w:t>
      </w:r>
    </w:p>
    <w:p w14:paraId="40AA6776">
      <w:pPr>
        <w:spacing w:line="360" w:lineRule="auto"/>
        <w:ind w:firstLine="480" w:firstLineChars="200"/>
        <w:jc w:val="both"/>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1.4.1提供缴税所属时间在2025年1月至本项目投标文件提交截止时间前任意3个月的税务局税收通用缴款书或银行电子缴税（费）凭证或税务局出具纳税情况的相关证明（注：成立未满3个月的投标人提供自成立以来的相关纳税证明或情况说明；依法免税的，应提供依法免税的相关证明文件）；</w:t>
      </w:r>
    </w:p>
    <w:p w14:paraId="3C408BC2">
      <w:pPr>
        <w:spacing w:line="360" w:lineRule="auto"/>
        <w:ind w:firstLine="480" w:firstLineChars="200"/>
        <w:jc w:val="both"/>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1.4.2提供缴费所属时间在2025年1月至本项目投标文件提交截止时间前任意3个月的社会保险费缴款书或银行电子缴税（费）凭证或社保管理部门出具的有效的缴款证明（注：成立未满3个月的投标人提供自成立以来的相关缴款证明或情况说明；依法免缴的，应提供依法免缴的相关证明文件）。</w:t>
      </w:r>
    </w:p>
    <w:p w14:paraId="1652710F">
      <w:pPr>
        <w:spacing w:line="360" w:lineRule="auto"/>
        <w:ind w:firstLine="480" w:firstLineChars="200"/>
        <w:jc w:val="both"/>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1.5参加政府采购活动前三年内，在经营活动中没有重大违法记录。提供参加政府采购活动前三年内在经营活动中没有重大违法记录的书面声明</w:t>
      </w:r>
      <w:r>
        <w:rPr>
          <w:rFonts w:hint="eastAsia" w:ascii="宋体" w:hAnsi="宋体"/>
          <w:color w:val="000000" w:themeColor="text1"/>
          <w:sz w:val="24"/>
          <w:szCs w:val="24"/>
          <w:highlight w:val="none"/>
          <w14:textFill>
            <w14:solidFill>
              <w14:schemeClr w14:val="tx1"/>
            </w14:solidFill>
          </w14:textFill>
        </w:rPr>
        <w:t>（重大违法记录是指供应商因违法经营受到刑事处罚或者责令停产停业、吊销许可证或者执照、较大数额</w:t>
      </w:r>
      <w:r>
        <w:rPr>
          <w:rFonts w:hint="eastAsia" w:ascii="宋体" w:hAnsi="宋体" w:cs="宋体"/>
          <w:color w:val="000000" w:themeColor="text1"/>
          <w:sz w:val="24"/>
          <w:szCs w:val="24"/>
          <w:highlight w:val="none"/>
          <w14:textFill>
            <w14:solidFill>
              <w14:schemeClr w14:val="tx1"/>
            </w14:solidFill>
          </w14:textFill>
        </w:rPr>
        <w:t>罚款</w:t>
      </w:r>
      <w:r>
        <w:rPr>
          <w:rFonts w:hint="eastAsia" w:ascii="宋体" w:hAnsi="宋体"/>
          <w:color w:val="000000" w:themeColor="text1"/>
          <w:sz w:val="24"/>
          <w:szCs w:val="24"/>
          <w:highlight w:val="none"/>
          <w14:textFill>
            <w14:solidFill>
              <w14:schemeClr w14:val="tx1"/>
            </w14:solidFill>
          </w14:textFill>
        </w:rPr>
        <w:t>（较大数额罚款是指200万元以上罚款））</w:t>
      </w:r>
      <w:r>
        <w:rPr>
          <w:rFonts w:hint="eastAsia" w:ascii="宋体" w:hAnsi="宋体" w:cs="宋体"/>
          <w:color w:val="000000" w:themeColor="text1"/>
          <w:sz w:val="24"/>
          <w:szCs w:val="24"/>
          <w:highlight w:val="none"/>
          <w14:textFill>
            <w14:solidFill>
              <w14:schemeClr w14:val="tx1"/>
            </w14:solidFill>
          </w14:textFill>
        </w:rPr>
        <w:t>。</w:t>
      </w:r>
    </w:p>
    <w:p w14:paraId="51BA6215">
      <w:pPr>
        <w:spacing w:line="360" w:lineRule="auto"/>
        <w:ind w:firstLine="465"/>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1.6法律、行政法规规定的其他条件。</w:t>
      </w:r>
    </w:p>
    <w:p w14:paraId="0C8F72FD">
      <w:pPr>
        <w:pStyle w:val="14"/>
        <w:ind w:firstLine="465"/>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1.6.1 单位负责人为同一人或者存在直接控股、管理关系的不同供应商，不得参加同一合同项下的政府采购活动。</w:t>
      </w:r>
    </w:p>
    <w:p w14:paraId="48D8F08D">
      <w:pPr>
        <w:pStyle w:val="14"/>
        <w:ind w:firstLine="465"/>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为采购项目提供整体设计、规范编制或者项目管理、监理、检测等服务的供应商，不得再参加该采购项目的其他采购活动。</w:t>
      </w:r>
    </w:p>
    <w:p w14:paraId="0A85508A">
      <w:pPr>
        <w:pStyle w:val="14"/>
        <w:ind w:firstLine="48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1.6.2投标人应在“信用中国”网站(www.creditchina.gov.cn)未被列入失信被执行人记录、重大税收违法失信主体且在中国政府采购网(www.ccgp.gov.cn)没有政府采购严重违法失信行为记录，由</w:t>
      </w:r>
      <w:r>
        <w:rPr>
          <w:rFonts w:hint="eastAsia" w:ascii="宋体" w:hAnsi="宋体" w:cs="宋体"/>
          <w:color w:val="000000" w:themeColor="text1"/>
          <w:sz w:val="24"/>
          <w:highlight w:val="none"/>
          <w14:textFill>
            <w14:solidFill>
              <w14:schemeClr w14:val="tx1"/>
            </w14:solidFill>
          </w14:textFill>
        </w:rPr>
        <w:t>采购代理机构通过“信用中国网”、“中国政府采购网”等渠道查询相关主体信用记录</w:t>
      </w:r>
      <w:r>
        <w:rPr>
          <w:rFonts w:hint="eastAsia" w:ascii="宋体" w:hAnsi="宋体" w:cs="宋体"/>
          <w:color w:val="000000" w:themeColor="text1"/>
          <w:kern w:val="0"/>
          <w:sz w:val="24"/>
          <w:highlight w:val="none"/>
          <w14:textFill>
            <w14:solidFill>
              <w14:schemeClr w14:val="tx1"/>
            </w14:solidFill>
          </w14:textFill>
        </w:rPr>
        <w:t>。</w:t>
      </w:r>
    </w:p>
    <w:p w14:paraId="5800B307">
      <w:pPr>
        <w:pStyle w:val="14"/>
        <w:ind w:firstLine="48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2.落实政府采购政策需满足的资格要求：</w:t>
      </w:r>
      <w:r>
        <w:rPr>
          <w:rFonts w:hint="eastAsia" w:ascii="宋体" w:hAnsi="宋体" w:cs="宋体"/>
          <w:color w:val="000000" w:themeColor="text1"/>
          <w:sz w:val="24"/>
          <w:highlight w:val="none"/>
          <w14:textFill>
            <w14:solidFill>
              <w14:schemeClr w14:val="tx1"/>
            </w14:solidFill>
          </w14:textFill>
        </w:rPr>
        <w:t>本项目属于专门面向中小企业采购的项目。投标人按规定提供中小微企业的产品（提供由中小微企业制造的货物），参加本项目响应的中小微企业应当符合</w:t>
      </w:r>
      <w:r>
        <w:rPr>
          <w:rFonts w:hint="eastAsia" w:ascii="宋体" w:hAnsi="宋体" w:cs="宋体"/>
          <w:color w:val="000000" w:themeColor="text1"/>
          <w:sz w:val="24"/>
          <w:highlight w:val="none"/>
          <w:u w:val="single"/>
          <w14:textFill>
            <w14:solidFill>
              <w14:schemeClr w14:val="tx1"/>
            </w14:solidFill>
          </w14:textFill>
        </w:rPr>
        <w:t>租赁和商务服务业</w:t>
      </w:r>
      <w:r>
        <w:rPr>
          <w:rFonts w:hint="eastAsia" w:ascii="宋体" w:hAnsi="宋体" w:cs="宋体"/>
          <w:color w:val="000000" w:themeColor="text1"/>
          <w:sz w:val="24"/>
          <w:highlight w:val="none"/>
          <w14:textFill>
            <w14:solidFill>
              <w14:schemeClr w14:val="tx1"/>
            </w14:solidFill>
          </w14:textFill>
        </w:rPr>
        <w:t>行业的中小企业划分标准，货物生产制造商应为中小微企业，监狱企业、残疾人福利性单位视同为小微企业。本项目执行政府采购促进中小企业发展、支持监狱企业、促进残疾人就业、强制采购和优先采购节能、环保产品等政府采购政策。</w:t>
      </w:r>
    </w:p>
    <w:p w14:paraId="52FE0A82">
      <w:pPr>
        <w:pStyle w:val="14"/>
        <w:ind w:firstLine="480"/>
        <w:rPr>
          <w:rFonts w:ascii="宋体" w:hAnsi="宋体" w:cs="宋体"/>
          <w:color w:val="000000" w:themeColor="text1"/>
          <w:sz w:val="24"/>
          <w:highlight w:val="none"/>
          <w:lang w:bidi="ar"/>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3.本项目的特定资格要求：本项目不接受联合体投标。</w:t>
      </w:r>
    </w:p>
    <w:p w14:paraId="26AB2AF7">
      <w:pPr>
        <w:pStyle w:val="14"/>
        <w:widowControl w:val="0"/>
        <w:ind w:firstLine="480" w:firstLineChars="200"/>
        <w:rPr>
          <w:rFonts w:ascii="宋体" w:hAnsi="宋体" w:cs="宋体"/>
          <w:color w:val="000000" w:themeColor="text1"/>
          <w:kern w:val="0"/>
          <w:sz w:val="24"/>
          <w:highlight w:val="none"/>
          <w14:textFill>
            <w14:solidFill>
              <w14:schemeClr w14:val="tx1"/>
            </w14:solidFill>
          </w14:textFill>
        </w:rPr>
      </w:pPr>
    </w:p>
    <w:p w14:paraId="69B4738B">
      <w:pPr>
        <w:spacing w:line="240" w:lineRule="exact"/>
        <w:rPr>
          <w:rFonts w:ascii="宋体" w:hAnsi="宋体" w:cs="宋体"/>
          <w:color w:val="000000" w:themeColor="text1"/>
          <w:highlight w:val="none"/>
          <w14:textFill>
            <w14:solidFill>
              <w14:schemeClr w14:val="tx1"/>
            </w14:solidFill>
          </w14:textFill>
        </w:rPr>
      </w:pPr>
    </w:p>
    <w:p w14:paraId="148C84D2">
      <w:pPr>
        <w:pStyle w:val="2"/>
        <w:spacing w:before="312" w:beforeLines="100" w:after="0" w:line="360" w:lineRule="auto"/>
        <w:jc w:val="center"/>
        <w:rPr>
          <w:rFonts w:ascii="宋体" w:hAnsi="宋体" w:cs="宋体"/>
          <w:color w:val="000000" w:themeColor="text1"/>
          <w:highlight w:val="none"/>
          <w14:textFill>
            <w14:solidFill>
              <w14:schemeClr w14:val="tx1"/>
            </w14:solidFill>
          </w14:textFill>
        </w:rPr>
      </w:pPr>
      <w:bookmarkStart w:id="237" w:name="_Toc22542"/>
      <w:bookmarkEnd w:id="237"/>
      <w:bookmarkStart w:id="238" w:name="_Toc24646"/>
      <w:bookmarkEnd w:id="238"/>
      <w:bookmarkStart w:id="239" w:name="_Toc5266"/>
      <w:r>
        <w:rPr>
          <w:rFonts w:hint="eastAsia" w:ascii="宋体" w:hAnsi="宋体" w:cs="宋体"/>
          <w:color w:val="000000" w:themeColor="text1"/>
          <w:highlight w:val="none"/>
          <w14:textFill>
            <w14:solidFill>
              <w14:schemeClr w14:val="tx1"/>
            </w14:solidFill>
          </w14:textFill>
        </w:rPr>
        <w:br w:type="page"/>
      </w:r>
      <w:bookmarkStart w:id="240" w:name="_Toc27628"/>
      <w:bookmarkStart w:id="241" w:name="_Toc31257"/>
      <w:bookmarkStart w:id="242" w:name="_Toc18297"/>
      <w:r>
        <w:rPr>
          <w:rFonts w:hint="eastAsia" w:ascii="宋体" w:hAnsi="宋体" w:cs="宋体"/>
          <w:color w:val="000000" w:themeColor="text1"/>
          <w:highlight w:val="none"/>
          <w14:textFill>
            <w14:solidFill>
              <w14:schemeClr w14:val="tx1"/>
            </w14:solidFill>
          </w14:textFill>
        </w:rPr>
        <w:t>第四章 评标办法(综合评分法)</w:t>
      </w:r>
      <w:bookmarkEnd w:id="239"/>
      <w:bookmarkEnd w:id="240"/>
      <w:bookmarkEnd w:id="241"/>
      <w:bookmarkEnd w:id="242"/>
    </w:p>
    <w:p w14:paraId="36FA81CF">
      <w:pPr>
        <w:spacing w:line="500" w:lineRule="exact"/>
        <w:ind w:firstLine="482" w:firstLineChars="200"/>
        <w:jc w:val="both"/>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一、评标机构</w:t>
      </w:r>
    </w:p>
    <w:p w14:paraId="2E7BD63B">
      <w:pPr>
        <w:pStyle w:val="15"/>
        <w:spacing w:line="50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评标机构为评标委员会，评标委员会的组成见投标人须知前附表7.1.1。</w:t>
      </w:r>
    </w:p>
    <w:p w14:paraId="329F0C10">
      <w:pPr>
        <w:spacing w:line="500" w:lineRule="exact"/>
        <w:ind w:firstLine="482" w:firstLineChars="200"/>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二、采购代理机构职责</w:t>
      </w:r>
    </w:p>
    <w:p w14:paraId="35E0E90D">
      <w:pPr>
        <w:pStyle w:val="15"/>
        <w:spacing w:line="50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采购代理机构负责组织评标工作，并履行下列职责：</w:t>
      </w:r>
    </w:p>
    <w:p w14:paraId="5A5BE730">
      <w:pPr>
        <w:pStyle w:val="15"/>
        <w:spacing w:line="50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(一)核对评审专家身份和采购人代表授权函，对评审专家在政府采购活动中的职责履行情况予以记录，并及时将有关违法违规行为向财政部门报告。</w:t>
      </w:r>
    </w:p>
    <w:p w14:paraId="2C8007F7">
      <w:pPr>
        <w:pStyle w:val="15"/>
        <w:spacing w:line="50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(二)宣布评标纪律。</w:t>
      </w:r>
    </w:p>
    <w:p w14:paraId="35B9BBDA">
      <w:pPr>
        <w:pStyle w:val="15"/>
        <w:spacing w:line="50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(三)公布投标人名单，告知评审专家应当回避的情形。</w:t>
      </w:r>
    </w:p>
    <w:p w14:paraId="23BA916A">
      <w:pPr>
        <w:pStyle w:val="15"/>
        <w:spacing w:line="50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(四)组织评标委员会推选评标组长，采购人代表不得担任组长。</w:t>
      </w:r>
    </w:p>
    <w:p w14:paraId="3D080D04">
      <w:pPr>
        <w:pStyle w:val="15"/>
        <w:spacing w:line="50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(五)在评标期间采取必要的通讯管理措施，保证评标活动不受外界干扰。</w:t>
      </w:r>
    </w:p>
    <w:p w14:paraId="7217086F">
      <w:pPr>
        <w:pStyle w:val="15"/>
        <w:spacing w:line="50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(六)根据评标委员会的要求介绍政府采购相关政策法规、招标文件。</w:t>
      </w:r>
    </w:p>
    <w:p w14:paraId="2A30A7B7">
      <w:pPr>
        <w:pStyle w:val="15"/>
        <w:spacing w:line="50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(七)维护评标秩序，监督评标委员会依照招标文件规定的评标程序、方法和标准进行独立评审，及时制止和纠正采购人代表、评审专家的倾向性言论或者违法违规行为。</w:t>
      </w:r>
    </w:p>
    <w:p w14:paraId="4AC3D893">
      <w:pPr>
        <w:pStyle w:val="15"/>
        <w:spacing w:line="50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(八)核对评标结果，有《政府采购货物和服务招标投标管理办法》(财政部第87号令)第六十四条规定情形的，要求评标委员会复核或者书面说明理由，评标委员会拒绝的，应予记录并向本级财政部门报告。</w:t>
      </w:r>
    </w:p>
    <w:p w14:paraId="06A39ABF">
      <w:pPr>
        <w:pStyle w:val="15"/>
        <w:spacing w:line="50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(九)评审工作完成后，按照规定向评审专家支付劳务报酬和异地评审差旅费，不得向评审专家以外的其他人员支付评审劳务报酬。</w:t>
      </w:r>
    </w:p>
    <w:p w14:paraId="4E161D97">
      <w:pPr>
        <w:pStyle w:val="15"/>
        <w:spacing w:line="50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(十)处理与评标有关的其他事项。</w:t>
      </w:r>
    </w:p>
    <w:p w14:paraId="310F6505">
      <w:pPr>
        <w:pStyle w:val="15"/>
        <w:spacing w:line="50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采购人可以在评标前说明项目背景和采购需求，说明内容不得含有歧视性、倾向性意见，不得超出招标文件所述范围。说明应当提交书面材料，并随采购文件一并存档。</w:t>
      </w:r>
    </w:p>
    <w:p w14:paraId="244A8D4E">
      <w:pPr>
        <w:spacing w:line="500" w:lineRule="exact"/>
        <w:ind w:firstLine="482" w:firstLineChars="200"/>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三、评标委员会职责</w:t>
      </w:r>
    </w:p>
    <w:p w14:paraId="323D7246">
      <w:pPr>
        <w:pStyle w:val="15"/>
        <w:spacing w:line="50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评标委员会负责具体评标事务，并独立履行下列职责：</w:t>
      </w:r>
    </w:p>
    <w:p w14:paraId="737160A7">
      <w:pPr>
        <w:pStyle w:val="15"/>
        <w:spacing w:line="50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(一)审查、评价投标文件是否符合招标文件的商务、技术等实质性要求。</w:t>
      </w:r>
    </w:p>
    <w:p w14:paraId="02713678">
      <w:pPr>
        <w:pStyle w:val="15"/>
        <w:spacing w:line="50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(二)要求投标人对投标文件有关事项作出澄清或者说明。</w:t>
      </w:r>
    </w:p>
    <w:p w14:paraId="016B5664">
      <w:pPr>
        <w:pStyle w:val="15"/>
        <w:spacing w:line="50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(三)对投标文件进行比较和评价。</w:t>
      </w:r>
    </w:p>
    <w:p w14:paraId="18E16CE8">
      <w:pPr>
        <w:pStyle w:val="15"/>
        <w:spacing w:line="50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(四)确定中标候选人名单，以及根据采购人委托直接确定中标人。</w:t>
      </w:r>
    </w:p>
    <w:p w14:paraId="3AB54196">
      <w:pPr>
        <w:pStyle w:val="15"/>
        <w:spacing w:line="50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(五)向采购人、采购代理机构或者有关部门报告评标中发现的违法行为。</w:t>
      </w:r>
    </w:p>
    <w:p w14:paraId="27C0AB55">
      <w:pPr>
        <w:pStyle w:val="15"/>
        <w:spacing w:line="500" w:lineRule="exact"/>
        <w:ind w:firstLine="482" w:firstLineChars="200"/>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四、评标纪律</w:t>
      </w:r>
    </w:p>
    <w:p w14:paraId="53B1FAAB">
      <w:pPr>
        <w:pStyle w:val="15"/>
        <w:spacing w:line="50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(一)对评标内容和评标过程要严格保密，不得向投标人或与该过程无关的其它人员泄露。</w:t>
      </w:r>
    </w:p>
    <w:p w14:paraId="1CB23574">
      <w:pPr>
        <w:pStyle w:val="15"/>
        <w:spacing w:line="50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(二)评标期间的一切资料，包括评标意见、评标记录和评标结论，一律不得向外传和泄露。</w:t>
      </w:r>
    </w:p>
    <w:p w14:paraId="5D04BBE5">
      <w:pPr>
        <w:pStyle w:val="15"/>
        <w:spacing w:line="50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(三)任何属于投标文件审查、澄清、评价和比较的资料，不得向投标人或与该过程无关的其它人员泄露。</w:t>
      </w:r>
    </w:p>
    <w:p w14:paraId="1E6A6A0B">
      <w:pPr>
        <w:pStyle w:val="15"/>
        <w:spacing w:line="50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(四)所有资料(包括招标文件、投标文件、评标表格及各种文字记录)在评标结束后均应分别整理、存档备查，任何人不得复制和保留。</w:t>
      </w:r>
    </w:p>
    <w:p w14:paraId="396F5C24">
      <w:pPr>
        <w:pStyle w:val="15"/>
        <w:spacing w:line="50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(五)评标期间，未经允许评标委员会以外的任何单位或部门不得参加评标和采访评标工作。</w:t>
      </w:r>
    </w:p>
    <w:p w14:paraId="3AD8D806">
      <w:pPr>
        <w:pStyle w:val="15"/>
        <w:spacing w:line="50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(六)评标期间，评标人员不得外出，确需外出时应事先请假。</w:t>
      </w:r>
    </w:p>
    <w:p w14:paraId="4B55B467">
      <w:pPr>
        <w:pStyle w:val="15"/>
        <w:spacing w:line="50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(七)评标期间，所有与会人员均不得私自以任何方式和投标人进行联系，需询问、澄清的问题由评委会统一组织办理。</w:t>
      </w:r>
    </w:p>
    <w:p w14:paraId="0E743E95">
      <w:pPr>
        <w:pStyle w:val="15"/>
        <w:spacing w:line="50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(八)评标结束后，与会人员不得向外界透露评标人员的评标意见，如因此造成的后果由责任者承担。</w:t>
      </w:r>
    </w:p>
    <w:p w14:paraId="7BA99032">
      <w:pPr>
        <w:spacing w:line="500" w:lineRule="exact"/>
        <w:ind w:firstLine="482" w:firstLineChars="200"/>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五、评标原则</w:t>
      </w:r>
    </w:p>
    <w:p w14:paraId="5D0112A6">
      <w:pPr>
        <w:pStyle w:val="15"/>
        <w:spacing w:line="50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评标将遵循下列原则：</w:t>
      </w:r>
    </w:p>
    <w:p w14:paraId="4BD56B6C">
      <w:pPr>
        <w:pStyle w:val="15"/>
        <w:spacing w:line="50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(一)坚持公平、公正、科学、择优的原则，本着实事求是的精神，不带有任何主观意愿和偏见，认真负责地做好评标工作，公平、公正地对待每一个投标人。</w:t>
      </w:r>
    </w:p>
    <w:p w14:paraId="303CB76A">
      <w:pPr>
        <w:pStyle w:val="15"/>
        <w:spacing w:line="50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(二)全面分析，综合评审。</w:t>
      </w:r>
    </w:p>
    <w:p w14:paraId="76206A59">
      <w:pPr>
        <w:pStyle w:val="15"/>
        <w:spacing w:line="50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(三)评标只对投标人的投标文件进行评审，投标文件以外的资料、信息不应作为评标的依据。</w:t>
      </w:r>
    </w:p>
    <w:p w14:paraId="175A70CE">
      <w:pPr>
        <w:spacing w:line="500" w:lineRule="exact"/>
        <w:ind w:firstLine="482" w:firstLineChars="200"/>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六、评标程序</w:t>
      </w:r>
    </w:p>
    <w:p w14:paraId="34E0702C">
      <w:pPr>
        <w:pStyle w:val="15"/>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本次招标所采用的评标方法为《政府采购货物和服务招标投标管理办法》(财政部令第87号)第五十五条规定的“综合评分法”，即：投标文件满足招标文件全部实质性要求，且按照评审因素的量化指标评审得分最高的投标人为中标候选人的评标方法。</w:t>
      </w:r>
    </w:p>
    <w:p w14:paraId="1D347A31">
      <w:pPr>
        <w:pStyle w:val="15"/>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评标委员会按照招标文件中规定的评标方法和标准，对符合性审查合格的投标文件进行商务和技术评估，综合比较与评价。招标文件中没有规定的方法、评审因素和标准，不作为评标依据。</w:t>
      </w:r>
    </w:p>
    <w:p w14:paraId="2BAAA50A">
      <w:pPr>
        <w:spacing w:line="460" w:lineRule="exact"/>
        <w:ind w:firstLine="482" w:firstLineChars="200"/>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(一)符合性审查</w:t>
      </w:r>
    </w:p>
    <w:p w14:paraId="4CB9C155">
      <w:pPr>
        <w:pStyle w:val="15"/>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评标委员会依据符合性评审标准对符合资格的投标人的投标文件进行符合性审查，有一项不符合评审标准的，评标委员会应当否决其投标。</w:t>
      </w:r>
    </w:p>
    <w:p w14:paraId="2CA566CD">
      <w:pPr>
        <w:pStyle w:val="15"/>
        <w:ind w:firstLine="0"/>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符合性审查表</w:t>
      </w:r>
    </w:p>
    <w:tbl>
      <w:tblPr>
        <w:tblStyle w:val="34"/>
        <w:tblW w:w="101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5"/>
        <w:gridCol w:w="2759"/>
        <w:gridCol w:w="6162"/>
      </w:tblGrid>
      <w:tr w14:paraId="71F55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5" w:type="dxa"/>
          </w:tcPr>
          <w:p w14:paraId="1B3FC8B5">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审查内容</w:t>
            </w:r>
          </w:p>
        </w:tc>
        <w:tc>
          <w:tcPr>
            <w:tcW w:w="2759" w:type="dxa"/>
          </w:tcPr>
          <w:p w14:paraId="1C93E297">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评审因素</w:t>
            </w:r>
          </w:p>
        </w:tc>
        <w:tc>
          <w:tcPr>
            <w:tcW w:w="6162" w:type="dxa"/>
          </w:tcPr>
          <w:p w14:paraId="7F3F2E79">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评审标准</w:t>
            </w:r>
          </w:p>
        </w:tc>
      </w:tr>
      <w:tr w14:paraId="68C9F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1265" w:type="dxa"/>
            <w:vMerge w:val="restart"/>
            <w:vAlign w:val="center"/>
          </w:tcPr>
          <w:p w14:paraId="7B54D11A">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符合性评审标准</w:t>
            </w:r>
          </w:p>
        </w:tc>
        <w:tc>
          <w:tcPr>
            <w:tcW w:w="2759" w:type="dxa"/>
            <w:vAlign w:val="center"/>
          </w:tcPr>
          <w:p w14:paraId="4E9E6347">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投标文件格式</w:t>
            </w:r>
          </w:p>
        </w:tc>
        <w:tc>
          <w:tcPr>
            <w:tcW w:w="6162" w:type="dxa"/>
            <w:vAlign w:val="center"/>
          </w:tcPr>
          <w:p w14:paraId="41AC3CB7">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投标文件按第七章“投标文件格式”要求填写，内容完整且关键字迹清晰；</w:t>
            </w:r>
          </w:p>
        </w:tc>
      </w:tr>
      <w:tr w14:paraId="14064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5" w:type="dxa"/>
            <w:vMerge w:val="continue"/>
          </w:tcPr>
          <w:p w14:paraId="0A933162">
            <w:pPr>
              <w:spacing w:line="360" w:lineRule="auto"/>
              <w:rPr>
                <w:rFonts w:ascii="宋体" w:hAnsi="宋体" w:cs="宋体"/>
                <w:color w:val="000000" w:themeColor="text1"/>
                <w:sz w:val="24"/>
                <w:szCs w:val="24"/>
                <w:highlight w:val="none"/>
                <w14:textFill>
                  <w14:solidFill>
                    <w14:schemeClr w14:val="tx1"/>
                  </w14:solidFill>
                </w14:textFill>
              </w:rPr>
            </w:pPr>
          </w:p>
        </w:tc>
        <w:tc>
          <w:tcPr>
            <w:tcW w:w="2759" w:type="dxa"/>
            <w:vAlign w:val="center"/>
          </w:tcPr>
          <w:p w14:paraId="7218A6B6">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投标文件签署、盖章</w:t>
            </w:r>
          </w:p>
        </w:tc>
        <w:tc>
          <w:tcPr>
            <w:tcW w:w="6162" w:type="dxa"/>
          </w:tcPr>
          <w:p w14:paraId="732AA3EA">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按第七章“投标文件格式”要求在规定位置加盖单位公章、签字；</w:t>
            </w:r>
          </w:p>
        </w:tc>
      </w:tr>
      <w:tr w14:paraId="57BE9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5" w:type="dxa"/>
            <w:vMerge w:val="continue"/>
          </w:tcPr>
          <w:p w14:paraId="2CA65B0A">
            <w:pPr>
              <w:spacing w:line="360" w:lineRule="auto"/>
              <w:rPr>
                <w:rFonts w:ascii="宋体" w:hAnsi="宋体" w:cs="宋体"/>
                <w:color w:val="000000" w:themeColor="text1"/>
                <w:sz w:val="24"/>
                <w:szCs w:val="24"/>
                <w:highlight w:val="none"/>
                <w14:textFill>
                  <w14:solidFill>
                    <w14:schemeClr w14:val="tx1"/>
                  </w14:solidFill>
                </w14:textFill>
              </w:rPr>
            </w:pPr>
          </w:p>
        </w:tc>
        <w:tc>
          <w:tcPr>
            <w:tcW w:w="2759" w:type="dxa"/>
            <w:vAlign w:val="center"/>
          </w:tcPr>
          <w:p w14:paraId="1E117F69">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投标报价</w:t>
            </w:r>
          </w:p>
        </w:tc>
        <w:tc>
          <w:tcPr>
            <w:tcW w:w="6162" w:type="dxa"/>
          </w:tcPr>
          <w:p w14:paraId="01CA9C44">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符合第二章“投标人须知”第3.2项规定和第二章“投标人须知前附表”第3.2.4款规定；</w:t>
            </w:r>
          </w:p>
        </w:tc>
      </w:tr>
      <w:tr w14:paraId="2323E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265" w:type="dxa"/>
            <w:vMerge w:val="continue"/>
          </w:tcPr>
          <w:p w14:paraId="430CE605">
            <w:pPr>
              <w:spacing w:line="360" w:lineRule="auto"/>
              <w:rPr>
                <w:rFonts w:ascii="宋体" w:hAnsi="宋体" w:cs="宋体"/>
                <w:color w:val="000000" w:themeColor="text1"/>
                <w:sz w:val="24"/>
                <w:szCs w:val="24"/>
                <w:highlight w:val="none"/>
                <w14:textFill>
                  <w14:solidFill>
                    <w14:schemeClr w14:val="tx1"/>
                  </w14:solidFill>
                </w14:textFill>
              </w:rPr>
            </w:pPr>
          </w:p>
        </w:tc>
        <w:tc>
          <w:tcPr>
            <w:tcW w:w="2759" w:type="dxa"/>
            <w:vAlign w:val="center"/>
          </w:tcPr>
          <w:p w14:paraId="4A6642C1">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投标有效期</w:t>
            </w:r>
          </w:p>
        </w:tc>
        <w:tc>
          <w:tcPr>
            <w:tcW w:w="6162" w:type="dxa"/>
          </w:tcPr>
          <w:p w14:paraId="337D4686">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符合第二章“投标人须知前附表”第3.3.1款规定；</w:t>
            </w:r>
          </w:p>
        </w:tc>
      </w:tr>
      <w:tr w14:paraId="5E8B7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265" w:type="dxa"/>
            <w:vMerge w:val="continue"/>
          </w:tcPr>
          <w:p w14:paraId="2DF5AE9F">
            <w:pPr>
              <w:spacing w:line="360" w:lineRule="auto"/>
              <w:rPr>
                <w:rFonts w:ascii="宋体" w:hAnsi="宋体" w:cs="宋体"/>
                <w:color w:val="000000" w:themeColor="text1"/>
                <w:sz w:val="24"/>
                <w:szCs w:val="24"/>
                <w:highlight w:val="none"/>
                <w14:textFill>
                  <w14:solidFill>
                    <w14:schemeClr w14:val="tx1"/>
                  </w14:solidFill>
                </w14:textFill>
              </w:rPr>
            </w:pPr>
          </w:p>
        </w:tc>
        <w:tc>
          <w:tcPr>
            <w:tcW w:w="2759" w:type="dxa"/>
          </w:tcPr>
          <w:p w14:paraId="0F451B77">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服务期限</w:t>
            </w:r>
          </w:p>
        </w:tc>
        <w:tc>
          <w:tcPr>
            <w:tcW w:w="6162" w:type="dxa"/>
          </w:tcPr>
          <w:p w14:paraId="01FF5E58">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符合第二章“投标人须知前附表”第1.3.2款规定；</w:t>
            </w:r>
          </w:p>
        </w:tc>
      </w:tr>
      <w:tr w14:paraId="1123F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5" w:type="dxa"/>
            <w:vMerge w:val="continue"/>
          </w:tcPr>
          <w:p w14:paraId="4BA349BA">
            <w:pPr>
              <w:spacing w:line="360" w:lineRule="auto"/>
              <w:rPr>
                <w:rFonts w:ascii="宋体" w:hAnsi="宋体" w:cs="宋体"/>
                <w:color w:val="000000" w:themeColor="text1"/>
                <w:sz w:val="24"/>
                <w:szCs w:val="24"/>
                <w:highlight w:val="none"/>
                <w14:textFill>
                  <w14:solidFill>
                    <w14:schemeClr w14:val="tx1"/>
                  </w14:solidFill>
                </w14:textFill>
              </w:rPr>
            </w:pPr>
          </w:p>
        </w:tc>
        <w:tc>
          <w:tcPr>
            <w:tcW w:w="2759" w:type="dxa"/>
          </w:tcPr>
          <w:p w14:paraId="3453006C">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服务地点</w:t>
            </w:r>
          </w:p>
        </w:tc>
        <w:tc>
          <w:tcPr>
            <w:tcW w:w="6162" w:type="dxa"/>
            <w:vAlign w:val="center"/>
          </w:tcPr>
          <w:p w14:paraId="61CDCA57">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符合第二章“投标人须知前附表”第1.3.3款规定；</w:t>
            </w:r>
          </w:p>
        </w:tc>
      </w:tr>
      <w:tr w14:paraId="262E5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5" w:type="dxa"/>
            <w:vMerge w:val="continue"/>
          </w:tcPr>
          <w:p w14:paraId="2A9C27D2">
            <w:pPr>
              <w:spacing w:line="360" w:lineRule="auto"/>
              <w:rPr>
                <w:rFonts w:ascii="宋体" w:hAnsi="宋体" w:cs="宋体"/>
                <w:color w:val="000000" w:themeColor="text1"/>
                <w:sz w:val="24"/>
                <w:szCs w:val="24"/>
                <w:highlight w:val="none"/>
                <w14:textFill>
                  <w14:solidFill>
                    <w14:schemeClr w14:val="tx1"/>
                  </w14:solidFill>
                </w14:textFill>
              </w:rPr>
            </w:pPr>
          </w:p>
        </w:tc>
        <w:tc>
          <w:tcPr>
            <w:tcW w:w="2759" w:type="dxa"/>
          </w:tcPr>
          <w:p w14:paraId="1454513D">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投标内容</w:t>
            </w:r>
          </w:p>
        </w:tc>
        <w:tc>
          <w:tcPr>
            <w:tcW w:w="6162" w:type="dxa"/>
          </w:tcPr>
          <w:p w14:paraId="04448BE2">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投标人提供的服务无实质性遗漏；</w:t>
            </w:r>
          </w:p>
        </w:tc>
      </w:tr>
      <w:tr w14:paraId="4411C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5" w:type="dxa"/>
            <w:vMerge w:val="continue"/>
          </w:tcPr>
          <w:p w14:paraId="7413017B">
            <w:pPr>
              <w:spacing w:line="360" w:lineRule="auto"/>
              <w:rPr>
                <w:rFonts w:ascii="宋体" w:hAnsi="宋体" w:cs="宋体"/>
                <w:color w:val="000000" w:themeColor="text1"/>
                <w:sz w:val="24"/>
                <w:szCs w:val="24"/>
                <w:highlight w:val="none"/>
                <w14:textFill>
                  <w14:solidFill>
                    <w14:schemeClr w14:val="tx1"/>
                  </w14:solidFill>
                </w14:textFill>
              </w:rPr>
            </w:pPr>
          </w:p>
        </w:tc>
        <w:tc>
          <w:tcPr>
            <w:tcW w:w="2759" w:type="dxa"/>
            <w:vAlign w:val="center"/>
          </w:tcPr>
          <w:p w14:paraId="148DB748">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法定代表人授权委托书</w:t>
            </w:r>
          </w:p>
        </w:tc>
        <w:tc>
          <w:tcPr>
            <w:tcW w:w="6162" w:type="dxa"/>
          </w:tcPr>
          <w:p w14:paraId="3C233243">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法定代表人委托代理人投标的，应附法定代表人授权委托书原件；</w:t>
            </w:r>
          </w:p>
        </w:tc>
      </w:tr>
      <w:tr w14:paraId="47333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5" w:type="dxa"/>
            <w:vMerge w:val="continue"/>
          </w:tcPr>
          <w:p w14:paraId="5E9080F5">
            <w:pPr>
              <w:spacing w:line="360" w:lineRule="auto"/>
              <w:rPr>
                <w:rFonts w:ascii="宋体" w:hAnsi="宋体" w:cs="宋体"/>
                <w:color w:val="000000" w:themeColor="text1"/>
                <w:sz w:val="24"/>
                <w:szCs w:val="24"/>
                <w:highlight w:val="none"/>
                <w14:textFill>
                  <w14:solidFill>
                    <w14:schemeClr w14:val="tx1"/>
                  </w14:solidFill>
                </w14:textFill>
              </w:rPr>
            </w:pPr>
          </w:p>
        </w:tc>
        <w:tc>
          <w:tcPr>
            <w:tcW w:w="2759" w:type="dxa"/>
            <w:vAlign w:val="center"/>
          </w:tcPr>
          <w:p w14:paraId="32FFCCAA">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其他无效情形</w:t>
            </w:r>
          </w:p>
        </w:tc>
        <w:tc>
          <w:tcPr>
            <w:tcW w:w="6162" w:type="dxa"/>
            <w:vAlign w:val="center"/>
          </w:tcPr>
          <w:p w14:paraId="3C85AF02">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不存在下列任一情形：</w:t>
            </w:r>
          </w:p>
          <w:p w14:paraId="0DA38113">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(1)不同投标人的投标文件由同一单位或者个人编制；</w:t>
            </w:r>
          </w:p>
          <w:p w14:paraId="2FFCF500">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(2)不同投标人委托同一单位或者个人办理投标事宜；</w:t>
            </w:r>
          </w:p>
          <w:p w14:paraId="281D1286">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(3)不同投标人的投标文件载明的项目管理成员或者联系人员为同一人；</w:t>
            </w:r>
          </w:p>
          <w:p w14:paraId="17E1D107">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(4)不同投标人的投标文件异常一致或者投标报价呈规律性差异；</w:t>
            </w:r>
          </w:p>
          <w:p w14:paraId="718F7DF4">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(5)不同投标人的投标文件相互混装；</w:t>
            </w:r>
          </w:p>
          <w:p w14:paraId="4F654443">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(6)不同投标人的投标保证金从同一单位或者个人的账户转出；</w:t>
            </w:r>
          </w:p>
          <w:p w14:paraId="1208923B">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(7)法律、法规和招标文件规定的其他无效情形。</w:t>
            </w:r>
          </w:p>
        </w:tc>
      </w:tr>
      <w:tr w14:paraId="1FE9D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5" w:type="dxa"/>
            <w:vMerge w:val="continue"/>
          </w:tcPr>
          <w:p w14:paraId="135842CF">
            <w:pPr>
              <w:spacing w:line="360" w:lineRule="auto"/>
              <w:rPr>
                <w:rFonts w:ascii="宋体" w:hAnsi="宋体" w:cs="宋体"/>
                <w:color w:val="000000" w:themeColor="text1"/>
                <w:sz w:val="24"/>
                <w:szCs w:val="24"/>
                <w:highlight w:val="none"/>
                <w14:textFill>
                  <w14:solidFill>
                    <w14:schemeClr w14:val="tx1"/>
                  </w14:solidFill>
                </w14:textFill>
              </w:rPr>
            </w:pPr>
          </w:p>
        </w:tc>
        <w:tc>
          <w:tcPr>
            <w:tcW w:w="2759" w:type="dxa"/>
          </w:tcPr>
          <w:p w14:paraId="463B4A77">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附加条件</w:t>
            </w:r>
          </w:p>
        </w:tc>
        <w:tc>
          <w:tcPr>
            <w:tcW w:w="6162" w:type="dxa"/>
          </w:tcPr>
          <w:p w14:paraId="1FF16437">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投标文件未含有采购人不能接受的附加条件。</w:t>
            </w:r>
          </w:p>
        </w:tc>
      </w:tr>
    </w:tbl>
    <w:p w14:paraId="7BC53724">
      <w:pPr>
        <w:pStyle w:val="15"/>
        <w:ind w:firstLine="482" w:firstLineChars="200"/>
        <w:rPr>
          <w:rFonts w:hint="eastAsia" w:ascii="宋体" w:hAnsi="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(二)</w:t>
      </w:r>
      <w:r>
        <w:rPr>
          <w:rFonts w:hint="eastAsia" w:ascii="宋体" w:hAnsi="宋体"/>
          <w:b/>
          <w:bCs/>
          <w:color w:val="000000" w:themeColor="text1"/>
          <w:sz w:val="24"/>
          <w:szCs w:val="24"/>
          <w:highlight w:val="none"/>
          <w14:textFill>
            <w14:solidFill>
              <w14:schemeClr w14:val="tx1"/>
            </w14:solidFill>
          </w14:textFill>
        </w:rPr>
        <w:t>澄清有关问题、报价修正及异常低价审查</w:t>
      </w:r>
    </w:p>
    <w:p w14:paraId="40FDFE43">
      <w:pPr>
        <w:pStyle w:val="15"/>
        <w:ind w:firstLine="482" w:firstLineChars="200"/>
        <w:rPr>
          <w:rFonts w:hint="eastAsia" w:ascii="宋体" w:hAnsi="宋体"/>
          <w:b/>
          <w:bCs/>
          <w:color w:val="000000" w:themeColor="text1"/>
          <w:sz w:val="24"/>
          <w:szCs w:val="24"/>
          <w:highlight w:val="none"/>
          <w14:textFill>
            <w14:solidFill>
              <w14:schemeClr w14:val="tx1"/>
            </w14:solidFill>
          </w14:textFill>
        </w:rPr>
      </w:pPr>
      <w:r>
        <w:rPr>
          <w:rFonts w:hint="eastAsia" w:ascii="宋体" w:hAnsi="宋体"/>
          <w:b/>
          <w:bCs/>
          <w:color w:val="000000" w:themeColor="text1"/>
          <w:sz w:val="24"/>
          <w:szCs w:val="24"/>
          <w:highlight w:val="none"/>
          <w14:textFill>
            <w14:solidFill>
              <w14:schemeClr w14:val="tx1"/>
            </w14:solidFill>
          </w14:textFill>
        </w:rPr>
        <w:t>1.投标文件内容澄清</w:t>
      </w:r>
    </w:p>
    <w:p w14:paraId="656C26CC">
      <w:pPr>
        <w:pStyle w:val="15"/>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对于投标文件中含义不明确、同类问题表述不一致或者有明显文字和计算错误的内容，评标委员会应当以书面形式要求投标人作出必要的澄清、说明或者补正。投标人的澄清、说明或者补正应当采用书面形式，并加盖单位公章，或者由法定代表人或其授权的代表签字。投标人的澄清、说明或者补正不得超出投标文件的范围或者改变投标文件的实质性内容。</w:t>
      </w:r>
    </w:p>
    <w:p w14:paraId="02A91BB5">
      <w:pPr>
        <w:pStyle w:val="15"/>
        <w:ind w:firstLine="482" w:firstLineChars="200"/>
        <w:rPr>
          <w:rFonts w:hint="eastAsia" w:ascii="宋体" w:hAnsi="宋体"/>
          <w:b/>
          <w:bCs/>
          <w:color w:val="000000" w:themeColor="text1"/>
          <w:sz w:val="24"/>
          <w:szCs w:val="24"/>
          <w:highlight w:val="none"/>
          <w14:textFill>
            <w14:solidFill>
              <w14:schemeClr w14:val="tx1"/>
            </w14:solidFill>
          </w14:textFill>
        </w:rPr>
      </w:pPr>
      <w:r>
        <w:rPr>
          <w:rFonts w:hint="eastAsia" w:ascii="宋体" w:hAnsi="宋体"/>
          <w:b/>
          <w:bCs/>
          <w:color w:val="000000" w:themeColor="text1"/>
          <w:sz w:val="24"/>
          <w:szCs w:val="24"/>
          <w:highlight w:val="none"/>
          <w14:textFill>
            <w14:solidFill>
              <w14:schemeClr w14:val="tx1"/>
            </w14:solidFill>
          </w14:textFill>
        </w:rPr>
        <w:t>2.报价不一致修正原则</w:t>
      </w:r>
    </w:p>
    <w:p w14:paraId="3D894D0C">
      <w:pPr>
        <w:spacing w:line="360" w:lineRule="auto"/>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投标文件报价出现前后不一致的，除招标文件另有规定外，按照下列规定修正：</w:t>
      </w:r>
    </w:p>
    <w:p w14:paraId="7DB74B34">
      <w:pPr>
        <w:spacing w:line="360" w:lineRule="auto"/>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(1)投标文件中《开标一览表》内容与投标文件中相应内容不一致的，以《开标一览表》为准；</w:t>
      </w:r>
    </w:p>
    <w:p w14:paraId="66B723F0">
      <w:pPr>
        <w:spacing w:line="360" w:lineRule="auto"/>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(2)大写金额和小写金额不一致的，以大写金额为准；</w:t>
      </w:r>
    </w:p>
    <w:p w14:paraId="797A51ED">
      <w:pPr>
        <w:spacing w:line="360" w:lineRule="auto"/>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(3)单价金额小数点或者百分比有明显错位的，以开标一览表的总价为准，并修改单价；</w:t>
      </w:r>
    </w:p>
    <w:p w14:paraId="3C75A2E0">
      <w:pPr>
        <w:spacing w:line="360" w:lineRule="auto"/>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(4)总价金额与按单价汇总金额不一致的，以单价金额计算结果为准。</w:t>
      </w:r>
    </w:p>
    <w:p w14:paraId="53305682">
      <w:pPr>
        <w:pStyle w:val="15"/>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同时出现两种以上不一致的，按照前款规定的顺序修正。修正后的报价经投标人确认后产生约束力，投标人不确认的，其投标无效。</w:t>
      </w:r>
    </w:p>
    <w:p w14:paraId="0DF0D50C">
      <w:pPr>
        <w:pStyle w:val="15"/>
        <w:ind w:firstLine="482" w:firstLineChars="200"/>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3.异常低价审查</w:t>
      </w:r>
    </w:p>
    <w:p w14:paraId="593C6412">
      <w:pPr>
        <w:pStyle w:val="15"/>
        <w:ind w:firstLine="480" w:firstLineChars="20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依据《关于推动解决政府采购异常低价问题的通知》财库〔2026〕2号的规定：</w:t>
      </w:r>
    </w:p>
    <w:p w14:paraId="6FFF03B9">
      <w:pPr>
        <w:pStyle w:val="15"/>
        <w:ind w:firstLine="480" w:firstLineChars="200"/>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3.1政府采购评审中出现下列情形之一的，评审委员会应当启动异常低价投标（响应）审查程序：</w:t>
      </w:r>
    </w:p>
    <w:p w14:paraId="24BA0961">
      <w:pPr>
        <w:pStyle w:val="15"/>
        <w:ind w:firstLine="480" w:firstLineChars="200"/>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（1）投标（响应）报价低于全部通过符合性审查供应商投标（响应）报价平均值50%的，即投标（响应）报价&lt;全部通过符合性审查供应商投标（响应）报价平均值×50%；</w:t>
      </w:r>
    </w:p>
    <w:p w14:paraId="4E9AEEA4">
      <w:pPr>
        <w:pStyle w:val="15"/>
        <w:ind w:firstLine="480" w:firstLineChars="200"/>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（2）投标（响应）报价低于通过符合性审查的次低报价供应商投标（响应）报价50%的，即投标（响应）报价&lt;通过符合性审查的次低报价供应商投标（响应）报价×50%；</w:t>
      </w:r>
    </w:p>
    <w:p w14:paraId="7BEB6540">
      <w:pPr>
        <w:pStyle w:val="15"/>
        <w:ind w:firstLine="480" w:firstLineChars="200"/>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（3）投标（响应）报价低于采购项目最高限价45%的，即投标（响应）报价&lt;采购项目最高限价×45%；</w:t>
      </w:r>
    </w:p>
    <w:p w14:paraId="7D0CF79A">
      <w:pPr>
        <w:pStyle w:val="15"/>
        <w:ind w:firstLine="480" w:firstLineChars="200"/>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（4）评审委员会基于专业判断，认为供应商报价过低，有可能影响产品质量或者不能诚信履约的其他情形。</w:t>
      </w:r>
    </w:p>
    <w:p w14:paraId="2E73DAA7">
      <w:pPr>
        <w:pStyle w:val="15"/>
        <w:ind w:firstLine="480" w:firstLineChars="200"/>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相关法律法规对供应商报价有规定的，从其规定。</w:t>
      </w:r>
    </w:p>
    <w:p w14:paraId="06CF8F2F">
      <w:pPr>
        <w:pStyle w:val="15"/>
        <w:ind w:firstLine="480" w:firstLineChars="200"/>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3.2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08A6BEAF">
      <w:pPr>
        <w:pStyle w:val="15"/>
        <w:ind w:firstLine="480" w:firstLineChars="200"/>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36B0A659">
      <w:pPr>
        <w:pStyle w:val="15"/>
        <w:ind w:firstLine="480" w:firstLineChars="200"/>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采购人、采购代理机构应当为评审委员会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w:t>
      </w:r>
    </w:p>
    <w:p w14:paraId="08273768">
      <w:pPr>
        <w:pStyle w:val="15"/>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异常低价投标（响应）审查的启动原因、审查意见和审查结果应当在评审报告中记录，并随供应商提供的相关书面说明及证明材料，以及评审委员会有关互联网浏览、查询历史一并归档。</w:t>
      </w:r>
    </w:p>
    <w:p w14:paraId="323AC9EF">
      <w:pPr>
        <w:spacing w:line="500" w:lineRule="exact"/>
        <w:ind w:firstLine="482" w:firstLineChars="200"/>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(三)商务和技术评估、综合比较与评价</w:t>
      </w:r>
    </w:p>
    <w:p w14:paraId="0ACF37CE">
      <w:pPr>
        <w:autoSpaceDE w:val="0"/>
        <w:autoSpaceDN w:val="0"/>
        <w:spacing w:line="480" w:lineRule="exact"/>
        <w:ind w:firstLine="472" w:firstLineChars="196"/>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综合评分方式</w:t>
      </w:r>
    </w:p>
    <w:tbl>
      <w:tblPr>
        <w:tblStyle w:val="34"/>
        <w:tblW w:w="102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11"/>
        <w:gridCol w:w="2554"/>
        <w:gridCol w:w="4225"/>
      </w:tblGrid>
      <w:tr w14:paraId="325A8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11" w:type="dxa"/>
            <w:vAlign w:val="center"/>
          </w:tcPr>
          <w:p w14:paraId="6519647B">
            <w:pPr>
              <w:pStyle w:val="15"/>
              <w:spacing w:line="480" w:lineRule="exact"/>
              <w:ind w:firstLine="0"/>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评分因素</w:t>
            </w:r>
          </w:p>
        </w:tc>
        <w:tc>
          <w:tcPr>
            <w:tcW w:w="2554" w:type="dxa"/>
            <w:vAlign w:val="center"/>
          </w:tcPr>
          <w:p w14:paraId="646006B8">
            <w:pPr>
              <w:pStyle w:val="15"/>
              <w:spacing w:line="480" w:lineRule="exact"/>
              <w:ind w:firstLine="0"/>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权重</w:t>
            </w:r>
          </w:p>
        </w:tc>
        <w:tc>
          <w:tcPr>
            <w:tcW w:w="4225" w:type="dxa"/>
            <w:vAlign w:val="center"/>
          </w:tcPr>
          <w:p w14:paraId="58FE39E3">
            <w:pPr>
              <w:pStyle w:val="15"/>
              <w:spacing w:line="480" w:lineRule="exact"/>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分值分配</w:t>
            </w:r>
          </w:p>
        </w:tc>
      </w:tr>
      <w:tr w14:paraId="00A6A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11" w:type="dxa"/>
            <w:vAlign w:val="center"/>
          </w:tcPr>
          <w:p w14:paraId="4702D31E">
            <w:pPr>
              <w:pStyle w:val="15"/>
              <w:spacing w:line="480" w:lineRule="exact"/>
              <w:ind w:firstLine="0"/>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投标报价</w:t>
            </w:r>
          </w:p>
        </w:tc>
        <w:tc>
          <w:tcPr>
            <w:tcW w:w="2554" w:type="dxa"/>
            <w:vAlign w:val="center"/>
          </w:tcPr>
          <w:p w14:paraId="60CD1ECE">
            <w:pPr>
              <w:pStyle w:val="15"/>
              <w:spacing w:line="480" w:lineRule="exact"/>
              <w:ind w:firstLine="0"/>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0.10</w:t>
            </w:r>
          </w:p>
        </w:tc>
        <w:tc>
          <w:tcPr>
            <w:tcW w:w="4225" w:type="dxa"/>
            <w:vAlign w:val="center"/>
          </w:tcPr>
          <w:p w14:paraId="4C5586C3">
            <w:pPr>
              <w:pStyle w:val="15"/>
              <w:spacing w:line="480" w:lineRule="exact"/>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10分</w:t>
            </w:r>
          </w:p>
        </w:tc>
      </w:tr>
      <w:tr w14:paraId="7AB15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11" w:type="dxa"/>
            <w:vAlign w:val="center"/>
          </w:tcPr>
          <w:p w14:paraId="2BA444BD">
            <w:pPr>
              <w:pStyle w:val="15"/>
              <w:spacing w:line="480" w:lineRule="exact"/>
              <w:ind w:firstLine="0"/>
              <w:jc w:val="center"/>
              <w:rPr>
                <w:rFonts w:ascii="宋体" w:hAnsi="宋体" w:cs="宋体"/>
                <w:color w:val="000000" w:themeColor="text1"/>
                <w:sz w:val="24"/>
                <w:szCs w:val="24"/>
                <w:highlight w:val="none"/>
                <w14:textFill>
                  <w14:solidFill>
                    <w14:schemeClr w14:val="tx1"/>
                  </w14:solidFill>
                </w14:textFill>
              </w:rPr>
            </w:pPr>
            <w:r>
              <w:rPr>
                <w:rFonts w:ascii="宋体" w:hAnsi="宋体"/>
                <w:bCs/>
                <w:color w:val="000000" w:themeColor="text1"/>
                <w:sz w:val="24"/>
                <w:szCs w:val="24"/>
                <w:highlight w:val="none"/>
                <w14:textFill>
                  <w14:solidFill>
                    <w14:schemeClr w14:val="tx1"/>
                  </w14:solidFill>
                </w14:textFill>
              </w:rPr>
              <w:t>技</w:t>
            </w:r>
            <w:r>
              <w:rPr>
                <w:rFonts w:hint="eastAsia" w:ascii="宋体" w:hAnsi="宋体" w:cs="宋体"/>
                <w:bCs/>
                <w:color w:val="000000" w:themeColor="text1"/>
                <w:sz w:val="24"/>
                <w:szCs w:val="24"/>
                <w:highlight w:val="none"/>
                <w14:textFill>
                  <w14:solidFill>
                    <w14:schemeClr w14:val="tx1"/>
                  </w14:solidFill>
                </w14:textFill>
              </w:rPr>
              <w:t>术</w:t>
            </w:r>
            <w:r>
              <w:rPr>
                <w:rFonts w:hint="eastAsia" w:ascii="宋体" w:hAnsi="宋体" w:cs="Malgun Gothic"/>
                <w:bCs/>
                <w:color w:val="000000" w:themeColor="text1"/>
                <w:sz w:val="24"/>
                <w:szCs w:val="24"/>
                <w:highlight w:val="none"/>
                <w14:textFill>
                  <w14:solidFill>
                    <w14:schemeClr w14:val="tx1"/>
                  </w14:solidFill>
                </w14:textFill>
              </w:rPr>
              <w:t>部分</w:t>
            </w:r>
          </w:p>
        </w:tc>
        <w:tc>
          <w:tcPr>
            <w:tcW w:w="2554" w:type="dxa"/>
            <w:vAlign w:val="center"/>
          </w:tcPr>
          <w:p w14:paraId="5FFA26B2">
            <w:pPr>
              <w:pStyle w:val="15"/>
              <w:spacing w:line="480" w:lineRule="exact"/>
              <w:ind w:firstLine="0"/>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0.80</w:t>
            </w:r>
          </w:p>
        </w:tc>
        <w:tc>
          <w:tcPr>
            <w:tcW w:w="4225" w:type="dxa"/>
            <w:vAlign w:val="center"/>
          </w:tcPr>
          <w:p w14:paraId="2070FA21">
            <w:pPr>
              <w:pStyle w:val="15"/>
              <w:spacing w:line="480" w:lineRule="exact"/>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80分</w:t>
            </w:r>
          </w:p>
        </w:tc>
      </w:tr>
      <w:tr w14:paraId="15863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11" w:type="dxa"/>
            <w:vAlign w:val="center"/>
          </w:tcPr>
          <w:p w14:paraId="6F1E3131">
            <w:pPr>
              <w:pStyle w:val="15"/>
              <w:spacing w:line="480" w:lineRule="exact"/>
              <w:ind w:firstLine="0"/>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商务部分</w:t>
            </w:r>
          </w:p>
        </w:tc>
        <w:tc>
          <w:tcPr>
            <w:tcW w:w="2554" w:type="dxa"/>
            <w:vAlign w:val="center"/>
          </w:tcPr>
          <w:p w14:paraId="637EE493">
            <w:pPr>
              <w:pStyle w:val="15"/>
              <w:spacing w:line="480" w:lineRule="exact"/>
              <w:ind w:firstLine="0"/>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0.10</w:t>
            </w:r>
          </w:p>
        </w:tc>
        <w:tc>
          <w:tcPr>
            <w:tcW w:w="4225" w:type="dxa"/>
            <w:vAlign w:val="center"/>
          </w:tcPr>
          <w:p w14:paraId="5FE502C4">
            <w:pPr>
              <w:pStyle w:val="15"/>
              <w:spacing w:line="480" w:lineRule="exact"/>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10分</w:t>
            </w:r>
          </w:p>
        </w:tc>
      </w:tr>
      <w:tr w14:paraId="248A9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511" w:type="dxa"/>
            <w:vAlign w:val="center"/>
          </w:tcPr>
          <w:p w14:paraId="71FE41A8">
            <w:pPr>
              <w:pStyle w:val="15"/>
              <w:spacing w:line="480" w:lineRule="exact"/>
              <w:ind w:firstLine="0"/>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合计</w:t>
            </w:r>
          </w:p>
        </w:tc>
        <w:tc>
          <w:tcPr>
            <w:tcW w:w="2554" w:type="dxa"/>
            <w:vAlign w:val="center"/>
          </w:tcPr>
          <w:p w14:paraId="43A2B45C">
            <w:pPr>
              <w:pStyle w:val="15"/>
              <w:spacing w:line="480" w:lineRule="exact"/>
              <w:ind w:firstLine="0"/>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1.00</w:t>
            </w:r>
          </w:p>
        </w:tc>
        <w:tc>
          <w:tcPr>
            <w:tcW w:w="4225" w:type="dxa"/>
            <w:vAlign w:val="center"/>
          </w:tcPr>
          <w:p w14:paraId="10B5619C">
            <w:pPr>
              <w:pStyle w:val="15"/>
              <w:spacing w:line="480" w:lineRule="exact"/>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100分</w:t>
            </w:r>
          </w:p>
        </w:tc>
      </w:tr>
    </w:tbl>
    <w:p w14:paraId="4766E25E">
      <w:pPr>
        <w:pStyle w:val="15"/>
        <w:spacing w:line="48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具体评审细则如下：</w:t>
      </w:r>
    </w:p>
    <w:tbl>
      <w:tblPr>
        <w:tblStyle w:val="34"/>
        <w:tblW w:w="101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
        <w:gridCol w:w="885"/>
        <w:gridCol w:w="885"/>
        <w:gridCol w:w="7518"/>
      </w:tblGrid>
      <w:tr w14:paraId="3B004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 w:type="dxa"/>
            <w:shd w:val="clear" w:color="auto" w:fill="E0E0E0"/>
            <w:vAlign w:val="center"/>
          </w:tcPr>
          <w:p w14:paraId="2D334189">
            <w:pPr>
              <w:snapToGrid w:val="0"/>
              <w:spacing w:line="440" w:lineRule="exact"/>
              <w:jc w:val="center"/>
              <w:rPr>
                <w:rFonts w:ascii="宋体" w:hAnsi="宋体"/>
                <w:b/>
                <w:color w:val="000000" w:themeColor="text1"/>
                <w:sz w:val="24"/>
                <w:highlight w:val="none"/>
                <w14:textFill>
                  <w14:solidFill>
                    <w14:schemeClr w14:val="tx1"/>
                  </w14:solidFill>
                </w14:textFill>
              </w:rPr>
            </w:pPr>
            <w:bookmarkStart w:id="243" w:name="_Hlk22646381"/>
            <w:r>
              <w:rPr>
                <w:rFonts w:hint="eastAsia" w:ascii="宋体" w:hAnsi="宋体"/>
                <w:b/>
                <w:color w:val="000000" w:themeColor="text1"/>
                <w:sz w:val="24"/>
                <w:highlight w:val="none"/>
                <w14:textFill>
                  <w14:solidFill>
                    <w14:schemeClr w14:val="tx1"/>
                  </w14:solidFill>
                </w14:textFill>
              </w:rPr>
              <w:t>评分因素</w:t>
            </w:r>
          </w:p>
        </w:tc>
        <w:tc>
          <w:tcPr>
            <w:tcW w:w="885" w:type="dxa"/>
            <w:shd w:val="clear" w:color="auto" w:fill="E0E0E0"/>
            <w:vAlign w:val="center"/>
          </w:tcPr>
          <w:p w14:paraId="5746BD42">
            <w:pPr>
              <w:snapToGrid w:val="0"/>
              <w:spacing w:line="440" w:lineRule="exact"/>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内容</w:t>
            </w:r>
          </w:p>
        </w:tc>
        <w:tc>
          <w:tcPr>
            <w:tcW w:w="885" w:type="dxa"/>
            <w:shd w:val="clear" w:color="auto" w:fill="E0E0E0"/>
            <w:vAlign w:val="center"/>
          </w:tcPr>
          <w:p w14:paraId="4F347131">
            <w:pPr>
              <w:snapToGrid w:val="0"/>
              <w:spacing w:line="440" w:lineRule="exact"/>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分值</w:t>
            </w:r>
          </w:p>
        </w:tc>
        <w:tc>
          <w:tcPr>
            <w:tcW w:w="7518" w:type="dxa"/>
            <w:shd w:val="clear" w:color="auto" w:fill="E0E0E0"/>
            <w:vAlign w:val="center"/>
          </w:tcPr>
          <w:p w14:paraId="4A1A5187">
            <w:pPr>
              <w:adjustRightInd w:val="0"/>
              <w:snapToGrid w:val="0"/>
              <w:spacing w:line="440" w:lineRule="exact"/>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评审标准</w:t>
            </w:r>
          </w:p>
        </w:tc>
      </w:tr>
      <w:tr w14:paraId="5A02D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 w:type="dxa"/>
            <w:vAlign w:val="center"/>
          </w:tcPr>
          <w:p w14:paraId="6798F8B0">
            <w:pPr>
              <w:spacing w:line="440" w:lineRule="exact"/>
              <w:jc w:val="center"/>
              <w:rPr>
                <w:rFonts w:ascii="宋体" w:hAnsi="宋体"/>
                <w:bCs/>
                <w:color w:val="000000" w:themeColor="text1"/>
                <w:sz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投标报价</w:t>
            </w:r>
          </w:p>
        </w:tc>
        <w:tc>
          <w:tcPr>
            <w:tcW w:w="885" w:type="dxa"/>
            <w:vAlign w:val="center"/>
          </w:tcPr>
          <w:p w14:paraId="65C717CE">
            <w:pPr>
              <w:spacing w:line="440" w:lineRule="exact"/>
              <w:jc w:val="center"/>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投</w:t>
            </w:r>
            <w:r>
              <w:rPr>
                <w:rFonts w:hint="eastAsia" w:ascii="宋体" w:hAnsi="宋体" w:cs="宋体"/>
                <w:bCs/>
                <w:color w:val="000000" w:themeColor="text1"/>
                <w:sz w:val="24"/>
                <w:highlight w:val="none"/>
                <w14:textFill>
                  <w14:solidFill>
                    <w14:schemeClr w14:val="tx1"/>
                  </w14:solidFill>
                </w14:textFill>
              </w:rPr>
              <w:t>标报</w:t>
            </w:r>
            <w:r>
              <w:rPr>
                <w:rFonts w:hint="eastAsia" w:ascii="宋体" w:hAnsi="宋体" w:cs="Malgun Gothic"/>
                <w:bCs/>
                <w:color w:val="000000" w:themeColor="text1"/>
                <w:sz w:val="24"/>
                <w:highlight w:val="none"/>
                <w14:textFill>
                  <w14:solidFill>
                    <w14:schemeClr w14:val="tx1"/>
                  </w14:solidFill>
                </w14:textFill>
              </w:rPr>
              <w:t>价</w:t>
            </w:r>
          </w:p>
        </w:tc>
        <w:tc>
          <w:tcPr>
            <w:tcW w:w="885" w:type="dxa"/>
            <w:vAlign w:val="center"/>
          </w:tcPr>
          <w:p w14:paraId="3BBC68F2">
            <w:pPr>
              <w:spacing w:line="440" w:lineRule="exact"/>
              <w:jc w:val="center"/>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10分</w:t>
            </w:r>
          </w:p>
        </w:tc>
        <w:tc>
          <w:tcPr>
            <w:tcW w:w="7518" w:type="dxa"/>
            <w:vAlign w:val="center"/>
          </w:tcPr>
          <w:p w14:paraId="4C539B69">
            <w:pPr>
              <w:adjustRightInd w:val="0"/>
              <w:snapToGrid w:val="0"/>
              <w:spacing w:line="360" w:lineRule="auto"/>
              <w:rPr>
                <w:rFonts w:ascii="宋体" w:hAnsi="宋体" w:cs="宋体"/>
                <w:color w:val="000000" w:themeColor="text1"/>
                <w:spacing w:val="6"/>
                <w:sz w:val="24"/>
                <w:szCs w:val="24"/>
                <w:highlight w:val="none"/>
                <w14:textFill>
                  <w14:solidFill>
                    <w14:schemeClr w14:val="tx1"/>
                  </w14:solidFill>
                </w14:textFill>
              </w:rPr>
            </w:pPr>
            <w:r>
              <w:rPr>
                <w:rFonts w:hint="eastAsia" w:ascii="宋体" w:hAnsi="宋体" w:cs="宋体"/>
                <w:color w:val="000000" w:themeColor="text1"/>
                <w:spacing w:val="6"/>
                <w:sz w:val="24"/>
                <w:szCs w:val="24"/>
                <w:highlight w:val="none"/>
                <w14:textFill>
                  <w14:solidFill>
                    <w14:schemeClr w14:val="tx1"/>
                  </w14:solidFill>
                </w14:textFill>
              </w:rPr>
              <w:t>根据各投标人投标报价按照以下规则进行打分。</w:t>
            </w:r>
          </w:p>
          <w:p w14:paraId="13C63D56">
            <w:pPr>
              <w:widowControl w:val="0"/>
              <w:adjustRightInd w:val="0"/>
              <w:snapToGrid w:val="0"/>
              <w:spacing w:line="420" w:lineRule="exact"/>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（1）算术修正报价</w:t>
            </w:r>
          </w:p>
          <w:p w14:paraId="0C16DAA6">
            <w:pPr>
              <w:adjustRightInd w:val="0"/>
              <w:snapToGrid w:val="0"/>
              <w:spacing w:line="420" w:lineRule="exac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若存在算术修正，应按修正后的投标报价进行评标基准价和投标报价得分计算</w:t>
            </w:r>
          </w:p>
          <w:p w14:paraId="35117A80">
            <w:pPr>
              <w:widowControl w:val="0"/>
              <w:adjustRightInd w:val="0"/>
              <w:snapToGrid w:val="0"/>
              <w:spacing w:line="420" w:lineRule="exact"/>
              <w:rPr>
                <w:rFonts w:ascii="宋体" w:hAnsi="宋体" w:cs="宋体"/>
                <w:b/>
                <w:bCs/>
                <w:color w:val="000000" w:themeColor="text1"/>
                <w:spacing w:val="6"/>
                <w:sz w:val="24"/>
                <w:szCs w:val="24"/>
                <w:highlight w:val="none"/>
                <w14:textFill>
                  <w14:solidFill>
                    <w14:schemeClr w14:val="tx1"/>
                  </w14:solidFill>
                </w14:textFill>
              </w:rPr>
            </w:pPr>
            <w:r>
              <w:rPr>
                <w:rFonts w:hint="eastAsia" w:ascii="宋体" w:hAnsi="宋体" w:cs="宋体"/>
                <w:b/>
                <w:bCs/>
                <w:color w:val="000000" w:themeColor="text1"/>
                <w:spacing w:val="6"/>
                <w:sz w:val="24"/>
                <w:szCs w:val="24"/>
                <w:highlight w:val="none"/>
                <w14:textFill>
                  <w14:solidFill>
                    <w14:schemeClr w14:val="tx1"/>
                  </w14:solidFill>
                </w14:textFill>
              </w:rPr>
              <w:t>（2）政策优惠报价--小微企业价格评审优惠支持政策（具体相关内容详见“投标人须知正文”）</w:t>
            </w:r>
          </w:p>
          <w:p w14:paraId="551CC7D4">
            <w:pPr>
              <w:widowControl w:val="0"/>
              <w:spacing w:line="360" w:lineRule="auto"/>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若存在符合条件的小微企业给予报价优惠的情形，用扣除后的投标报价进行评标基准价和投标报价得分计算。</w:t>
            </w:r>
            <w:r>
              <w:rPr>
                <w:rFonts w:ascii="宋体" w:hAnsi="宋体" w:cs="宋体"/>
                <w:color w:val="000000" w:themeColor="text1"/>
                <w:sz w:val="24"/>
                <w:szCs w:val="24"/>
                <w:highlight w:val="none"/>
                <w14:textFill>
                  <w14:solidFill>
                    <w14:schemeClr w14:val="tx1"/>
                  </w14:solidFill>
                </w14:textFill>
              </w:rPr>
              <w:t>需要说明的是，相关价格评审扣除优惠，都应该在供应商报价基础上计算。</w:t>
            </w:r>
          </w:p>
          <w:p w14:paraId="468EEE58">
            <w:pPr>
              <w:adjustRightInd w:val="0"/>
              <w:snapToGrid w:val="0"/>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若同时存在算术修正，应在算术修正后的报价基础上进行优惠报价的扣除。</w:t>
            </w:r>
          </w:p>
          <w:p w14:paraId="6684C258">
            <w:pPr>
              <w:autoSpaceDE w:val="0"/>
              <w:autoSpaceDN w:val="0"/>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b/>
                <w:bCs/>
                <w:color w:val="000000" w:themeColor="text1"/>
                <w:spacing w:val="6"/>
                <w:sz w:val="24"/>
                <w:szCs w:val="24"/>
                <w:highlight w:val="none"/>
                <w14:textFill>
                  <w14:solidFill>
                    <w14:schemeClr w14:val="tx1"/>
                  </w14:solidFill>
                </w14:textFill>
              </w:rPr>
              <w:t>（3）评标基准价</w:t>
            </w:r>
            <w:r>
              <w:rPr>
                <w:rFonts w:hint="eastAsia" w:ascii="宋体" w:hAnsi="宋体" w:cs="宋体"/>
                <w:color w:val="000000" w:themeColor="text1"/>
                <w:sz w:val="24"/>
                <w:szCs w:val="24"/>
                <w:highlight w:val="none"/>
                <w14:textFill>
                  <w14:solidFill>
                    <w14:schemeClr w14:val="tx1"/>
                  </w14:solidFill>
                </w14:textFill>
              </w:rPr>
              <w:t>＝满足招标文件要求且投标价格最低的投标报价为评标基准价；</w:t>
            </w:r>
          </w:p>
          <w:p w14:paraId="4861663B">
            <w:pPr>
              <w:adjustRightInd w:val="0"/>
              <w:snapToGrid w:val="0"/>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b/>
                <w:bCs/>
                <w:color w:val="000000" w:themeColor="text1"/>
                <w:spacing w:val="6"/>
                <w:sz w:val="24"/>
                <w:szCs w:val="24"/>
                <w:highlight w:val="none"/>
                <w14:textFill>
                  <w14:solidFill>
                    <w14:schemeClr w14:val="tx1"/>
                  </w14:solidFill>
                </w14:textFill>
              </w:rPr>
              <w:t>（4）得分计算</w:t>
            </w:r>
            <w:r>
              <w:rPr>
                <w:rFonts w:hint="eastAsia" w:ascii="宋体" w:hAnsi="宋体" w:cs="宋体"/>
                <w:color w:val="000000" w:themeColor="text1"/>
                <w:spacing w:val="6"/>
                <w:sz w:val="24"/>
                <w:szCs w:val="24"/>
                <w:highlight w:val="none"/>
                <w14:textFill>
                  <w14:solidFill>
                    <w14:schemeClr w14:val="tx1"/>
                  </w14:solidFill>
                </w14:textFill>
              </w:rPr>
              <w:t>：</w:t>
            </w:r>
            <w:r>
              <w:rPr>
                <w:rFonts w:hint="eastAsia" w:ascii="宋体" w:hAnsi="宋体" w:cs="宋体"/>
                <w:color w:val="000000" w:themeColor="text1"/>
                <w:sz w:val="24"/>
                <w:szCs w:val="24"/>
                <w:highlight w:val="none"/>
                <w14:textFill>
                  <w14:solidFill>
                    <w14:schemeClr w14:val="tx1"/>
                  </w14:solidFill>
                </w14:textFill>
              </w:rPr>
              <w:t>满足招标文件要求且投标价格最低的投标报价，其价格分为满分。其他投标人的价格分统一按照下列公式计算：</w:t>
            </w:r>
          </w:p>
          <w:p w14:paraId="529E0C55">
            <w:pPr>
              <w:adjustRightInd w:val="0"/>
              <w:snapToGrid w:val="0"/>
              <w:spacing w:line="360" w:lineRule="auto"/>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投标报价得分</w:t>
            </w:r>
            <w:r>
              <w:rPr>
                <w:rFonts w:hint="eastAsia" w:ascii="宋体" w:hAnsi="宋体" w:cs="宋体"/>
                <w:color w:val="000000" w:themeColor="text1"/>
                <w:sz w:val="24"/>
                <w:szCs w:val="24"/>
                <w:highlight w:val="none"/>
                <w14:textFill>
                  <w14:solidFill>
                    <w14:schemeClr w14:val="tx1"/>
                  </w14:solidFill>
                </w14:textFill>
              </w:rPr>
              <w:t>＝</w:t>
            </w:r>
            <w:r>
              <w:rPr>
                <w:rFonts w:hint="eastAsia" w:ascii="宋体" w:hAnsi="宋体" w:cs="宋体"/>
                <w:b/>
                <w:bCs/>
                <w:color w:val="000000" w:themeColor="text1"/>
                <w:sz w:val="24"/>
                <w:szCs w:val="24"/>
                <w:highlight w:val="none"/>
                <w14:textFill>
                  <w14:solidFill>
                    <w14:schemeClr w14:val="tx1"/>
                  </w14:solidFill>
                </w14:textFill>
              </w:rPr>
              <w:t>(评标基准价/投标报价)×10</w:t>
            </w:r>
          </w:p>
        </w:tc>
      </w:tr>
      <w:tr w14:paraId="4725B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85" w:type="dxa"/>
            <w:vMerge w:val="restart"/>
            <w:vAlign w:val="center"/>
          </w:tcPr>
          <w:p w14:paraId="2BA22975">
            <w:pPr>
              <w:spacing w:line="440" w:lineRule="exact"/>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技术部分</w:t>
            </w:r>
          </w:p>
        </w:tc>
        <w:tc>
          <w:tcPr>
            <w:tcW w:w="885" w:type="dxa"/>
            <w:vAlign w:val="center"/>
          </w:tcPr>
          <w:p w14:paraId="0EEDC2B9">
            <w:pPr>
              <w:spacing w:line="440" w:lineRule="exact"/>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服务方案</w:t>
            </w:r>
          </w:p>
        </w:tc>
        <w:tc>
          <w:tcPr>
            <w:tcW w:w="885" w:type="dxa"/>
            <w:vAlign w:val="center"/>
          </w:tcPr>
          <w:p w14:paraId="3494697D">
            <w:pPr>
              <w:spacing w:line="440" w:lineRule="exact"/>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40</w:t>
            </w:r>
            <w:r>
              <w:rPr>
                <w:rFonts w:hint="eastAsia" w:ascii="宋体" w:hAnsi="宋体"/>
                <w:bCs/>
                <w:color w:val="000000" w:themeColor="text1"/>
                <w:sz w:val="24"/>
                <w:highlight w:val="none"/>
                <w14:textFill>
                  <w14:solidFill>
                    <w14:schemeClr w14:val="tx1"/>
                  </w14:solidFill>
                </w14:textFill>
              </w:rPr>
              <w:t>分</w:t>
            </w:r>
          </w:p>
        </w:tc>
        <w:tc>
          <w:tcPr>
            <w:tcW w:w="7518" w:type="dxa"/>
            <w:vAlign w:val="center"/>
          </w:tcPr>
          <w:p w14:paraId="3165975D">
            <w:pPr>
              <w:spacing w:line="360" w:lineRule="auto"/>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服务方案包括但不限于①整体服务设计、对接、服务方案描述；②服务流程；③整体效果；④灯光系统效果；</w:t>
            </w:r>
            <w:r>
              <w:rPr>
                <w:rFonts w:ascii="宋体" w:hAnsi="宋体"/>
                <w:bCs/>
                <w:color w:val="000000" w:themeColor="text1"/>
                <w:sz w:val="24"/>
                <w:highlight w:val="none"/>
                <w14:textFill>
                  <w14:solidFill>
                    <w14:schemeClr w14:val="tx1"/>
                  </w14:solidFill>
                </w14:textFill>
              </w:rPr>
              <w:t>⑤</w:t>
            </w:r>
            <w:r>
              <w:rPr>
                <w:rFonts w:hint="eastAsia" w:ascii="宋体" w:hAnsi="宋体"/>
                <w:bCs/>
                <w:color w:val="000000" w:themeColor="text1"/>
                <w:sz w:val="24"/>
                <w:highlight w:val="none"/>
                <w14:textFill>
                  <w14:solidFill>
                    <w14:schemeClr w14:val="tx1"/>
                  </w14:solidFill>
                </w14:textFill>
              </w:rPr>
              <w:t>音响系统效果；⑥项目实施人员安排方案；⑦安全实施管理方案；⑧拟投入本项目租赁设备清单，对每个方面分别进行阐述，(每个方面满分5分，合计40分）</w:t>
            </w:r>
          </w:p>
          <w:p w14:paraId="0290A2EB">
            <w:pPr>
              <w:spacing w:line="360" w:lineRule="auto"/>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（1）每有一项内容完整、详细、规范、科学合理，针对性和可行性强，能完全满足招标文件要求的得5分；</w:t>
            </w:r>
          </w:p>
          <w:p w14:paraId="33C9A697">
            <w:pPr>
              <w:spacing w:line="360" w:lineRule="auto"/>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（2）每有一项内容全面、较为合理、具体，且具有较强的针对性和可行性，能满足招标文件要求的得4分；</w:t>
            </w:r>
          </w:p>
          <w:p w14:paraId="00DD74E0">
            <w:pPr>
              <w:spacing w:line="360" w:lineRule="auto"/>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（3）每有一项内容基本合理，但针对性和可行性不强，能基本满足招标文件要求的得3分；</w:t>
            </w:r>
          </w:p>
          <w:p w14:paraId="31C7C61D">
            <w:pPr>
              <w:spacing w:line="360" w:lineRule="auto"/>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（4）每有一项内容较为模糊，针对性和可行性弱，难以满足招标文件要求的得2分；</w:t>
            </w:r>
          </w:p>
          <w:p w14:paraId="5E285009">
            <w:pPr>
              <w:spacing w:line="360" w:lineRule="auto"/>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（5）每有一项内容存在重大瑕疵，针对性和可行性较弱，不能满足招标文件要求的得1分；</w:t>
            </w:r>
          </w:p>
          <w:p w14:paraId="5800D69C">
            <w:pPr>
              <w:spacing w:line="360" w:lineRule="auto"/>
              <w:rPr>
                <w:rFonts w:ascii="宋体" w:hAnsi="宋体" w:cs="宋体"/>
                <w:b/>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（6）每有一项内容未提供的不得分。</w:t>
            </w:r>
          </w:p>
        </w:tc>
      </w:tr>
      <w:tr w14:paraId="0EC1D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85" w:type="dxa"/>
            <w:vMerge w:val="continue"/>
            <w:vAlign w:val="center"/>
          </w:tcPr>
          <w:p w14:paraId="52B337E7">
            <w:pPr>
              <w:spacing w:line="440" w:lineRule="exact"/>
              <w:jc w:val="center"/>
              <w:rPr>
                <w:rFonts w:ascii="宋体" w:hAnsi="宋体" w:cs="宋体"/>
                <w:color w:val="000000" w:themeColor="text1"/>
                <w:sz w:val="24"/>
                <w:szCs w:val="24"/>
                <w:highlight w:val="none"/>
                <w14:textFill>
                  <w14:solidFill>
                    <w14:schemeClr w14:val="tx1"/>
                  </w14:solidFill>
                </w14:textFill>
              </w:rPr>
            </w:pPr>
          </w:p>
        </w:tc>
        <w:tc>
          <w:tcPr>
            <w:tcW w:w="885" w:type="dxa"/>
            <w:vAlign w:val="center"/>
          </w:tcPr>
          <w:p w14:paraId="292F1903">
            <w:pPr>
              <w:spacing w:line="440" w:lineRule="exact"/>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项目实施进度计划</w:t>
            </w:r>
          </w:p>
        </w:tc>
        <w:tc>
          <w:tcPr>
            <w:tcW w:w="885" w:type="dxa"/>
            <w:vAlign w:val="center"/>
          </w:tcPr>
          <w:p w14:paraId="6B09BFD3">
            <w:pPr>
              <w:spacing w:line="440" w:lineRule="exact"/>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20分</w:t>
            </w:r>
          </w:p>
        </w:tc>
        <w:tc>
          <w:tcPr>
            <w:tcW w:w="7518" w:type="dxa"/>
            <w:vAlign w:val="center"/>
          </w:tcPr>
          <w:p w14:paraId="275A8007">
            <w:pPr>
              <w:spacing w:line="360" w:lineRule="auto"/>
              <w:rPr>
                <w:rFonts w:ascii="宋体" w:hAnsi="宋体"/>
                <w:color w:val="000000" w:themeColor="text1"/>
                <w:sz w:val="24"/>
                <w:szCs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项目实施进度计划包括但不限于</w:t>
            </w:r>
            <w:r>
              <w:rPr>
                <w:rFonts w:ascii="宋体" w:hAnsi="宋体"/>
                <w:bCs/>
                <w:color w:val="000000" w:themeColor="text1"/>
                <w:sz w:val="24"/>
                <w:highlight w:val="none"/>
                <w14:textFill>
                  <w14:solidFill>
                    <w14:schemeClr w14:val="tx1"/>
                  </w14:solidFill>
                </w14:textFill>
              </w:rPr>
              <w:t>①</w:t>
            </w:r>
            <w:r>
              <w:rPr>
                <w:rFonts w:hint="eastAsia" w:ascii="宋体" w:hAnsi="宋体"/>
                <w:bCs/>
                <w:color w:val="000000" w:themeColor="text1"/>
                <w:sz w:val="24"/>
                <w:highlight w:val="none"/>
                <w14:textFill>
                  <w14:solidFill>
                    <w14:schemeClr w14:val="tx1"/>
                  </w14:solidFill>
                </w14:textFill>
              </w:rPr>
              <w:t>时间进度计划安排</w:t>
            </w:r>
            <w:r>
              <w:rPr>
                <w:rFonts w:ascii="宋体" w:hAnsi="宋体"/>
                <w:bCs/>
                <w:color w:val="000000" w:themeColor="text1"/>
                <w:sz w:val="24"/>
                <w:highlight w:val="none"/>
                <w14:textFill>
                  <w14:solidFill>
                    <w14:schemeClr w14:val="tx1"/>
                  </w14:solidFill>
                </w14:textFill>
              </w:rPr>
              <w:t>②</w:t>
            </w:r>
            <w:r>
              <w:rPr>
                <w:rFonts w:hint="eastAsia" w:ascii="宋体" w:hAnsi="宋体"/>
                <w:bCs/>
                <w:color w:val="000000" w:themeColor="text1"/>
                <w:sz w:val="24"/>
                <w:highlight w:val="none"/>
                <w14:textFill>
                  <w14:solidFill>
                    <w14:schemeClr w14:val="tx1"/>
                  </w14:solidFill>
                </w14:textFill>
              </w:rPr>
              <w:t>各节点的工作内容</w:t>
            </w:r>
            <w:r>
              <w:rPr>
                <w:rFonts w:ascii="宋体" w:hAnsi="宋体"/>
                <w:bCs/>
                <w:color w:val="000000" w:themeColor="text1"/>
                <w:sz w:val="24"/>
                <w:highlight w:val="none"/>
                <w14:textFill>
                  <w14:solidFill>
                    <w14:schemeClr w14:val="tx1"/>
                  </w14:solidFill>
                </w14:textFill>
              </w:rPr>
              <w:t>③</w:t>
            </w:r>
            <w:r>
              <w:rPr>
                <w:rFonts w:hint="eastAsia" w:ascii="宋体" w:hAnsi="宋体"/>
                <w:bCs/>
                <w:color w:val="000000" w:themeColor="text1"/>
                <w:sz w:val="24"/>
                <w:highlight w:val="none"/>
                <w14:textFill>
                  <w14:solidFill>
                    <w14:schemeClr w14:val="tx1"/>
                  </w14:solidFill>
                </w14:textFill>
              </w:rPr>
              <w:t>出具相应阶段成果</w:t>
            </w:r>
            <w:r>
              <w:rPr>
                <w:rFonts w:ascii="宋体" w:hAnsi="宋体"/>
                <w:bCs/>
                <w:color w:val="000000" w:themeColor="text1"/>
                <w:sz w:val="24"/>
                <w:highlight w:val="none"/>
                <w14:textFill>
                  <w14:solidFill>
                    <w14:schemeClr w14:val="tx1"/>
                  </w14:solidFill>
                </w14:textFill>
              </w:rPr>
              <w:t>④</w:t>
            </w:r>
            <w:r>
              <w:rPr>
                <w:rFonts w:hint="eastAsia" w:ascii="宋体" w:hAnsi="宋体"/>
                <w:bCs/>
                <w:color w:val="000000" w:themeColor="text1"/>
                <w:sz w:val="24"/>
                <w:highlight w:val="none"/>
                <w14:textFill>
                  <w14:solidFill>
                    <w14:schemeClr w14:val="tx1"/>
                  </w14:solidFill>
                </w14:textFill>
              </w:rPr>
              <w:t>保障措施共4个方面进行评审</w:t>
            </w:r>
            <w:r>
              <w:rPr>
                <w:rFonts w:hint="eastAsia" w:ascii="宋体" w:hAnsi="宋体"/>
                <w:color w:val="000000" w:themeColor="text1"/>
                <w:sz w:val="24"/>
                <w:szCs w:val="24"/>
                <w:highlight w:val="none"/>
                <w14:textFill>
                  <w14:solidFill>
                    <w14:schemeClr w14:val="tx1"/>
                  </w14:solidFill>
                </w14:textFill>
              </w:rPr>
              <w:t>，每个方面满分5分，共计满分20分，具体评审标准如下：</w:t>
            </w:r>
          </w:p>
          <w:p w14:paraId="23A1C125">
            <w:pPr>
              <w:spacing w:line="360" w:lineRule="auto"/>
              <w:rPr>
                <w:rFonts w:ascii="宋体" w:hAnsi="宋体"/>
                <w:bCs/>
                <w:color w:val="000000" w:themeColor="text1"/>
                <w:sz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每有一个方面阐述全面详细、条理清晰、针对性强，有具体描述的得5分；每有一个方面存在阐述不全面不详细的扣1.25分、条理不清晰的扣1.25分、针对性不强扣1.25分、不合理扣1.25分；与本项目无关或单个方面没有提供的，对应方面不得分。</w:t>
            </w:r>
          </w:p>
        </w:tc>
      </w:tr>
      <w:tr w14:paraId="08F26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85" w:type="dxa"/>
            <w:vMerge w:val="continue"/>
            <w:vAlign w:val="center"/>
          </w:tcPr>
          <w:p w14:paraId="3DD429D0">
            <w:pPr>
              <w:spacing w:line="440" w:lineRule="exact"/>
              <w:jc w:val="center"/>
              <w:rPr>
                <w:rFonts w:ascii="宋体" w:hAnsi="宋体"/>
                <w:bCs/>
                <w:color w:val="000000" w:themeColor="text1"/>
                <w:sz w:val="24"/>
                <w:highlight w:val="none"/>
                <w14:textFill>
                  <w14:solidFill>
                    <w14:schemeClr w14:val="tx1"/>
                  </w14:solidFill>
                </w14:textFill>
              </w:rPr>
            </w:pPr>
          </w:p>
        </w:tc>
        <w:tc>
          <w:tcPr>
            <w:tcW w:w="885" w:type="dxa"/>
            <w:vAlign w:val="center"/>
          </w:tcPr>
          <w:p w14:paraId="0A4DE370">
            <w:pPr>
              <w:spacing w:line="440" w:lineRule="exact"/>
              <w:jc w:val="center"/>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质量保障措施及违约责任承诺</w:t>
            </w:r>
          </w:p>
        </w:tc>
        <w:tc>
          <w:tcPr>
            <w:tcW w:w="885" w:type="dxa"/>
            <w:vAlign w:val="center"/>
          </w:tcPr>
          <w:p w14:paraId="7721E9B6">
            <w:pPr>
              <w:spacing w:line="440" w:lineRule="exact"/>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10</w:t>
            </w:r>
            <w:r>
              <w:rPr>
                <w:rFonts w:hint="eastAsia" w:ascii="宋体" w:hAnsi="宋体"/>
                <w:bCs/>
                <w:color w:val="000000" w:themeColor="text1"/>
                <w:sz w:val="24"/>
                <w:highlight w:val="none"/>
                <w14:textFill>
                  <w14:solidFill>
                    <w14:schemeClr w14:val="tx1"/>
                  </w14:solidFill>
                </w14:textFill>
              </w:rPr>
              <w:t>分</w:t>
            </w:r>
          </w:p>
        </w:tc>
        <w:tc>
          <w:tcPr>
            <w:tcW w:w="7518" w:type="dxa"/>
            <w:vAlign w:val="center"/>
          </w:tcPr>
          <w:p w14:paraId="697DAF5C">
            <w:pPr>
              <w:spacing w:line="360" w:lineRule="auto"/>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根据投标人提供的</w:t>
            </w:r>
            <w:r>
              <w:rPr>
                <w:rFonts w:hint="eastAsia" w:ascii="宋体" w:hAnsi="宋体"/>
                <w:bCs/>
                <w:color w:val="000000" w:themeColor="text1"/>
                <w:sz w:val="24"/>
                <w:highlight w:val="none"/>
                <w14:textFill>
                  <w14:solidFill>
                    <w14:schemeClr w14:val="tx1"/>
                  </w14:solidFill>
                </w14:textFill>
              </w:rPr>
              <w:t>质量保障措施及违约责任承诺</w:t>
            </w:r>
            <w:r>
              <w:rPr>
                <w:rFonts w:hint="eastAsia" w:ascii="宋体" w:hAnsi="宋体"/>
                <w:color w:val="000000" w:themeColor="text1"/>
                <w:sz w:val="24"/>
                <w:szCs w:val="24"/>
                <w:highlight w:val="none"/>
                <w14:textFill>
                  <w14:solidFill>
                    <w14:schemeClr w14:val="tx1"/>
                  </w14:solidFill>
                </w14:textFill>
              </w:rPr>
              <w:t>，包括①质量保障措施方案及承诺、②违约责任承诺及处罚措施共2个方面进行评审，每个方面满分5分，共计满分10分，具体评审标准如下:</w:t>
            </w:r>
          </w:p>
          <w:p w14:paraId="77C628C8">
            <w:pPr>
              <w:pStyle w:val="79"/>
              <w:ind w:firstLine="0" w:firstLineChars="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每有一个方面阐述全面详细、条理清晰、针对性强，有具体描述的得5分；每有一个方面存在阐述不全面不详细的扣1.25分、条理不清晰的扣1.25分、针对性不强扣1.25分、不合理扣1.25分；与本项目无关或单个方面没有提供的，对应方面不得分。</w:t>
            </w:r>
          </w:p>
        </w:tc>
      </w:tr>
      <w:tr w14:paraId="1B21E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85" w:type="dxa"/>
            <w:vMerge w:val="continue"/>
            <w:vAlign w:val="center"/>
          </w:tcPr>
          <w:p w14:paraId="58140200">
            <w:pPr>
              <w:spacing w:line="440" w:lineRule="exact"/>
              <w:jc w:val="center"/>
              <w:rPr>
                <w:rFonts w:ascii="宋体" w:hAnsi="宋体"/>
                <w:bCs/>
                <w:color w:val="000000" w:themeColor="text1"/>
                <w:sz w:val="24"/>
                <w:highlight w:val="none"/>
                <w14:textFill>
                  <w14:solidFill>
                    <w14:schemeClr w14:val="tx1"/>
                  </w14:solidFill>
                </w14:textFill>
              </w:rPr>
            </w:pPr>
          </w:p>
        </w:tc>
        <w:tc>
          <w:tcPr>
            <w:tcW w:w="885" w:type="dxa"/>
            <w:vAlign w:val="center"/>
          </w:tcPr>
          <w:p w14:paraId="4C6A05AB">
            <w:pPr>
              <w:spacing w:line="440" w:lineRule="exact"/>
              <w:jc w:val="center"/>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应急及突发事件处理预案</w:t>
            </w:r>
          </w:p>
        </w:tc>
        <w:tc>
          <w:tcPr>
            <w:tcW w:w="885" w:type="dxa"/>
            <w:vAlign w:val="center"/>
          </w:tcPr>
          <w:p w14:paraId="7062344E">
            <w:pPr>
              <w:spacing w:line="440" w:lineRule="exact"/>
              <w:jc w:val="center"/>
              <w:rPr>
                <w:rFonts w:ascii="宋体" w:hAnsi="宋体" w:cs="宋体"/>
                <w:i/>
                <w:iCs/>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10分</w:t>
            </w:r>
          </w:p>
        </w:tc>
        <w:tc>
          <w:tcPr>
            <w:tcW w:w="7518" w:type="dxa"/>
            <w:vAlign w:val="center"/>
          </w:tcPr>
          <w:p w14:paraId="41AB7DF4">
            <w:pPr>
              <w:spacing w:line="360" w:lineRule="auto"/>
              <w:rPr>
                <w:rFonts w:ascii="宋体" w:hAnsi="宋体"/>
                <w:color w:val="000000" w:themeColor="text1"/>
                <w:sz w:val="24"/>
                <w:szCs w:val="24"/>
                <w:highlight w:val="none"/>
                <w14:textFill>
                  <w14:solidFill>
                    <w14:schemeClr w14:val="tx1"/>
                  </w14:solidFill>
                </w14:textFill>
              </w:rPr>
            </w:pPr>
            <w:r>
              <w:rPr>
                <w:rFonts w:hint="eastAsia" w:ascii="宋体" w:hAnsi="宋体" w:cs="宋体"/>
                <w:bCs/>
                <w:color w:val="000000" w:themeColor="text1"/>
                <w:sz w:val="24"/>
                <w:szCs w:val="24"/>
                <w:highlight w:val="none"/>
                <w14:textFill>
                  <w14:solidFill>
                    <w14:schemeClr w14:val="tx1"/>
                  </w14:solidFill>
                </w14:textFill>
              </w:rPr>
              <w:t>根据投标文件中提供的</w:t>
            </w:r>
            <w:r>
              <w:rPr>
                <w:rFonts w:hint="eastAsia" w:ascii="宋体" w:hAnsi="宋体" w:cs="宋体"/>
                <w:color w:val="000000" w:themeColor="text1"/>
                <w:sz w:val="24"/>
                <w:szCs w:val="24"/>
                <w:highlight w:val="none"/>
                <w14:textFill>
                  <w14:solidFill>
                    <w14:schemeClr w14:val="tx1"/>
                  </w14:solidFill>
                </w14:textFill>
              </w:rPr>
              <w:t>应急及突发事件处理预案</w:t>
            </w:r>
            <w:r>
              <w:rPr>
                <w:rFonts w:hint="eastAsia" w:ascii="宋体" w:hAnsi="宋体" w:cs="宋体"/>
                <w:bCs/>
                <w:color w:val="000000" w:themeColor="text1"/>
                <w:sz w:val="24"/>
                <w:szCs w:val="24"/>
                <w:highlight w:val="none"/>
                <w14:textFill>
                  <w14:solidFill>
                    <w14:schemeClr w14:val="tx1"/>
                  </w14:solidFill>
                </w14:textFill>
              </w:rPr>
              <w:t>进行评分，包含但不限于</w:t>
            </w:r>
            <w:r>
              <w:rPr>
                <w:rFonts w:ascii="Calibri" w:hAnsi="Calibri" w:eastAsia="Times New Roman"/>
                <w:color w:val="000000" w:themeColor="text1"/>
                <w:spacing w:val="-9"/>
                <w:highlight w:val="none"/>
                <w14:textFill>
                  <w14:solidFill>
                    <w14:schemeClr w14:val="tx1"/>
                  </w14:solidFill>
                </w14:textFill>
              </w:rPr>
              <w:t>：</w:t>
            </w:r>
            <w:r>
              <w:rPr>
                <w:rFonts w:hint="eastAsia" w:ascii="宋体" w:hAnsi="宋体" w:cs="宋体"/>
                <w:color w:val="000000" w:themeColor="text1"/>
                <w:sz w:val="24"/>
                <w:szCs w:val="24"/>
                <w:highlight w:val="none"/>
                <w:lang w:val="zh-CN"/>
                <w14:textFill>
                  <w14:solidFill>
                    <w14:schemeClr w14:val="tx1"/>
                  </w14:solidFill>
                </w14:textFill>
              </w:rPr>
              <w:t>①针对本项目的应急及突发事件处理预案；②响应机制与处理效率等2项内容</w:t>
            </w:r>
            <w:r>
              <w:rPr>
                <w:rFonts w:hint="eastAsia" w:ascii="宋体" w:hAnsi="宋体"/>
                <w:color w:val="000000" w:themeColor="text1"/>
                <w:sz w:val="24"/>
                <w:szCs w:val="24"/>
                <w:highlight w:val="none"/>
                <w14:textFill>
                  <w14:solidFill>
                    <w14:schemeClr w14:val="tx1"/>
                  </w14:solidFill>
                </w14:textFill>
              </w:rPr>
              <w:t>进行评审，每个方面满分5分，共计满分10分，具体评审标准如下:</w:t>
            </w:r>
          </w:p>
          <w:p w14:paraId="2EC78C03">
            <w:pPr>
              <w:pStyle w:val="15"/>
              <w:widowControl w:val="0"/>
              <w:spacing w:line="440" w:lineRule="exact"/>
              <w:ind w:firstLine="0"/>
              <w:jc w:val="both"/>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每有一个方面阐述全面详细、条理清晰、针对性强，有具体描述的得5分；每有一个方面存在阐述不全面不详细的扣1.25分、条理不清晰的扣1.25分、针对性不强扣1.25分、不合理扣1.25分；与本项目无关或单个方面没有提供的，对应方面不得分。</w:t>
            </w:r>
          </w:p>
        </w:tc>
      </w:tr>
      <w:tr w14:paraId="4AC90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 w:type="dxa"/>
            <w:vAlign w:val="center"/>
          </w:tcPr>
          <w:p w14:paraId="75DBF66D">
            <w:pPr>
              <w:pStyle w:val="62"/>
              <w:spacing w:line="400" w:lineRule="exact"/>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商务部分</w:t>
            </w:r>
          </w:p>
        </w:tc>
        <w:tc>
          <w:tcPr>
            <w:tcW w:w="885" w:type="dxa"/>
            <w:vAlign w:val="center"/>
          </w:tcPr>
          <w:p w14:paraId="74058C3F">
            <w:pPr>
              <w:spacing w:line="440" w:lineRule="exact"/>
              <w:jc w:val="both"/>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类似项目业绩</w:t>
            </w:r>
          </w:p>
        </w:tc>
        <w:tc>
          <w:tcPr>
            <w:tcW w:w="885" w:type="dxa"/>
            <w:vAlign w:val="center"/>
          </w:tcPr>
          <w:p w14:paraId="62D4DF7C">
            <w:pPr>
              <w:spacing w:line="360" w:lineRule="exact"/>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10分</w:t>
            </w:r>
          </w:p>
        </w:tc>
        <w:tc>
          <w:tcPr>
            <w:tcW w:w="7518" w:type="dxa"/>
            <w:vAlign w:val="center"/>
          </w:tcPr>
          <w:p w14:paraId="242CFF43">
            <w:pPr>
              <w:pStyle w:val="9"/>
              <w:spacing w:line="360" w:lineRule="auto"/>
              <w:ind w:firstLine="0" w:firstLineChars="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投标人</w:t>
            </w:r>
            <w:r>
              <w:rPr>
                <w:rFonts w:ascii="宋体" w:hAnsi="宋体"/>
                <w:bCs/>
                <w:color w:val="000000" w:themeColor="text1"/>
                <w:sz w:val="24"/>
                <w:highlight w:val="none"/>
                <w14:textFill>
                  <w14:solidFill>
                    <w14:schemeClr w14:val="tx1"/>
                  </w14:solidFill>
                </w14:textFill>
              </w:rPr>
              <w:t>202</w:t>
            </w:r>
            <w:r>
              <w:rPr>
                <w:rFonts w:hint="eastAsia" w:ascii="宋体" w:hAnsi="宋体"/>
                <w:bCs/>
                <w:color w:val="000000" w:themeColor="text1"/>
                <w:sz w:val="24"/>
                <w:highlight w:val="none"/>
                <w14:textFill>
                  <w14:solidFill>
                    <w14:schemeClr w14:val="tx1"/>
                  </w14:solidFill>
                </w14:textFill>
              </w:rPr>
              <w:t>3年1月1日至今每承担过1个类似项目业绩得2分，满分10分。</w:t>
            </w:r>
          </w:p>
          <w:p w14:paraId="756C82A7">
            <w:pPr>
              <w:pStyle w:val="9"/>
              <w:spacing w:line="360" w:lineRule="auto"/>
              <w:ind w:firstLine="0" w:firstLineChars="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注：投标文件中须提供类似项目的服务合同或中标/成交通知书。无证明材料或证明材料不明确、不齐全、不一致、无法体现业绩内容的不得分，如业绩合同不能反应项目内容，须另附业主证明等相关证明材料。</w:t>
            </w:r>
          </w:p>
        </w:tc>
      </w:tr>
      <w:bookmarkEnd w:id="243"/>
    </w:tbl>
    <w:p w14:paraId="40185466">
      <w:pPr>
        <w:spacing w:line="500" w:lineRule="exact"/>
        <w:ind w:firstLine="482" w:firstLineChars="200"/>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(四)得分汇总</w:t>
      </w:r>
    </w:p>
    <w:p w14:paraId="6638317E">
      <w:pPr>
        <w:pStyle w:val="15"/>
        <w:spacing w:line="48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1.评委应首先对各投标人投标文件进行评审，写出书面意见并按招标文件规定分值评分，各分档评分中间不得用插入法评分。</w:t>
      </w:r>
    </w:p>
    <w:p w14:paraId="7AC385B5">
      <w:pPr>
        <w:pStyle w:val="15"/>
        <w:spacing w:line="48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2.除投标价格得分外，其余部分由各评委自主评分并签字确认。</w:t>
      </w:r>
    </w:p>
    <w:p w14:paraId="0948E81C">
      <w:pPr>
        <w:pStyle w:val="15"/>
        <w:spacing w:line="48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3.统分原则：计算评委打分的算术平均值为投标人的该项评分因素的得分，投标报价得分除外(保留小数点后两位)。</w:t>
      </w:r>
    </w:p>
    <w:p w14:paraId="40A066F3">
      <w:pPr>
        <w:pStyle w:val="15"/>
        <w:spacing w:line="48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4.得分汇总：各项评分因素得分的总和即为投标人最后得分。</w:t>
      </w:r>
    </w:p>
    <w:p w14:paraId="727BF35E">
      <w:pPr>
        <w:pStyle w:val="15"/>
        <w:spacing w:line="48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5.经评标委员会认定评分畸高、畸低的，评标委员会应当当场修改评标结果，并在评标报告中记载。</w:t>
      </w:r>
    </w:p>
    <w:p w14:paraId="19C9ED46">
      <w:pPr>
        <w:autoSpaceDE w:val="0"/>
        <w:autoSpaceDN w:val="0"/>
        <w:spacing w:line="460" w:lineRule="exact"/>
        <w:ind w:firstLine="482" w:firstLineChars="200"/>
        <w:rPr>
          <w:rFonts w:ascii="宋体" w:hAnsi="宋体" w:cs="宋体"/>
          <w:color w:val="000000" w:themeColor="text1"/>
          <w:sz w:val="24"/>
          <w:szCs w:val="24"/>
          <w:highlight w:val="none"/>
          <w14:textFill>
            <w14:solidFill>
              <w14:schemeClr w14:val="tx1"/>
            </w14:solidFill>
          </w14:textFill>
        </w:rPr>
      </w:pPr>
      <w:bookmarkStart w:id="244" w:name="_Toc13870"/>
      <w:bookmarkStart w:id="245" w:name="_Toc21092"/>
      <w:bookmarkStart w:id="246" w:name="_Toc38338348"/>
      <w:bookmarkStart w:id="247" w:name="_Toc321836413"/>
      <w:bookmarkStart w:id="248" w:name="_Toc6248"/>
      <w:bookmarkStart w:id="249" w:name="_Toc28675"/>
      <w:bookmarkStart w:id="250" w:name="_Toc37716428"/>
      <w:bookmarkStart w:id="251" w:name="_Toc489197882"/>
      <w:bookmarkStart w:id="252" w:name="_Toc32590"/>
      <w:bookmarkStart w:id="253" w:name="_Toc489145778"/>
      <w:bookmarkStart w:id="254" w:name="_Toc19676"/>
      <w:r>
        <w:rPr>
          <w:rFonts w:hint="eastAsia" w:ascii="宋体" w:hAnsi="宋体" w:cs="宋体"/>
          <w:b/>
          <w:bCs/>
          <w:color w:val="000000" w:themeColor="text1"/>
          <w:sz w:val="24"/>
          <w:szCs w:val="24"/>
          <w:highlight w:val="none"/>
          <w14:textFill>
            <w14:solidFill>
              <w14:schemeClr w14:val="tx1"/>
            </w14:solidFill>
          </w14:textFill>
        </w:rPr>
        <w:t>七、评标结果</w:t>
      </w:r>
      <w:bookmarkEnd w:id="244"/>
      <w:bookmarkEnd w:id="245"/>
      <w:bookmarkEnd w:id="246"/>
      <w:bookmarkEnd w:id="247"/>
      <w:bookmarkEnd w:id="248"/>
      <w:bookmarkEnd w:id="249"/>
      <w:bookmarkEnd w:id="250"/>
      <w:bookmarkEnd w:id="251"/>
      <w:bookmarkEnd w:id="252"/>
      <w:bookmarkEnd w:id="253"/>
      <w:bookmarkEnd w:id="254"/>
      <w:r>
        <w:rPr>
          <w:rFonts w:hint="eastAsia" w:ascii="宋体" w:hAnsi="宋体" w:cs="宋体"/>
          <w:b/>
          <w:bCs/>
          <w:color w:val="000000" w:themeColor="text1"/>
          <w:sz w:val="24"/>
          <w:szCs w:val="24"/>
          <w:highlight w:val="none"/>
          <w14:textFill>
            <w14:solidFill>
              <w14:schemeClr w14:val="tx1"/>
            </w14:solidFill>
          </w14:textFill>
        </w:rPr>
        <w:t>及中标候选人推荐</w:t>
      </w:r>
    </w:p>
    <w:p w14:paraId="65CB87FA">
      <w:pPr>
        <w:autoSpaceDE w:val="0"/>
        <w:autoSpaceDN w:val="0"/>
        <w:spacing w:line="46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评标委员会按得分汇总计算出各投标人的总得分，评标结果按评审后总得分由高到低顺序排列。投标文件满足招标文件全部实质性要求，且按照评审因素的量化指标评审总得分最高的投标人为排名第一的中标候选人。总得分相同的，按投标报价由低到高顺序排列。得分且投标报价相同的，按</w:t>
      </w:r>
      <w:r>
        <w:rPr>
          <w:rFonts w:hint="eastAsia" w:ascii="宋体" w:hAnsi="宋体" w:cs="宋体"/>
          <w:b/>
          <w:bCs/>
          <w:color w:val="000000" w:themeColor="text1"/>
          <w:spacing w:val="6"/>
          <w:sz w:val="24"/>
          <w:szCs w:val="24"/>
          <w:highlight w:val="none"/>
          <w14:textFill>
            <w14:solidFill>
              <w14:schemeClr w14:val="tx1"/>
            </w14:solidFill>
          </w14:textFill>
        </w:rPr>
        <w:t>技术部分评审</w:t>
      </w:r>
      <w:r>
        <w:rPr>
          <w:rFonts w:hint="eastAsia" w:ascii="宋体" w:hAnsi="宋体" w:cs="宋体"/>
          <w:color w:val="000000" w:themeColor="text1"/>
          <w:sz w:val="24"/>
          <w:szCs w:val="24"/>
          <w:highlight w:val="none"/>
          <w14:textFill>
            <w14:solidFill>
              <w14:schemeClr w14:val="tx1"/>
            </w14:solidFill>
          </w14:textFill>
        </w:rPr>
        <w:t>得分由高到低的顺序排列，依次类推。</w:t>
      </w:r>
    </w:p>
    <w:p w14:paraId="2E2C5440">
      <w:pPr>
        <w:autoSpaceDE w:val="0"/>
        <w:autoSpaceDN w:val="0"/>
        <w:spacing w:line="46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2.评标委员会根据全体评标成员签字的原始评标记录和评标结果编写评标报告。</w:t>
      </w:r>
    </w:p>
    <w:p w14:paraId="09CE35AC">
      <w:pPr>
        <w:autoSpaceDE w:val="0"/>
        <w:autoSpaceDN w:val="0"/>
        <w:spacing w:line="46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3.评标委员会成员对需要共同认定的事项存在争议的，应当按照少数服从多数的原则作出结论。持不同意见的评标委员会成员应当在评标报告上签署不同意见及理由，否则视为同意评标报告。</w:t>
      </w:r>
    </w:p>
    <w:p w14:paraId="6AE30E14">
      <w:pPr>
        <w:rPr>
          <w:rFonts w:ascii="宋体" w:hAnsi="宋体" w:cs="宋体"/>
          <w:color w:val="000000" w:themeColor="text1"/>
          <w:highlight w:val="none"/>
          <w14:textFill>
            <w14:solidFill>
              <w14:schemeClr w14:val="tx1"/>
            </w14:solidFill>
          </w14:textFill>
        </w:rPr>
      </w:pPr>
    </w:p>
    <w:p w14:paraId="32CADDFC">
      <w:pPr>
        <w:pStyle w:val="2"/>
        <w:spacing w:before="0" w:after="0" w:line="360" w:lineRule="auto"/>
        <w:jc w:val="center"/>
        <w:rPr>
          <w:rFonts w:ascii="宋体" w:hAnsi="宋体" w:cs="宋体"/>
          <w:color w:val="000000" w:themeColor="text1"/>
          <w:highlight w:val="none"/>
          <w14:textFill>
            <w14:solidFill>
              <w14:schemeClr w14:val="tx1"/>
            </w14:solidFill>
          </w14:textFill>
        </w:rPr>
      </w:pPr>
      <w:bookmarkStart w:id="255" w:name="_Toc8239"/>
      <w:bookmarkEnd w:id="255"/>
      <w:bookmarkStart w:id="256" w:name="_Toc21476"/>
      <w:bookmarkEnd w:id="256"/>
      <w:bookmarkStart w:id="257" w:name="_Toc21906"/>
      <w:r>
        <w:rPr>
          <w:rStyle w:val="56"/>
          <w:rFonts w:hint="eastAsia" w:ascii="宋体" w:hAnsi="宋体" w:cs="宋体"/>
          <w:b/>
          <w:bCs/>
          <w:color w:val="000000" w:themeColor="text1"/>
          <w:highlight w:val="none"/>
          <w14:textFill>
            <w14:solidFill>
              <w14:schemeClr w14:val="tx1"/>
            </w14:solidFill>
          </w14:textFill>
        </w:rPr>
        <w:br w:type="page"/>
      </w:r>
      <w:bookmarkEnd w:id="257"/>
      <w:bookmarkStart w:id="258" w:name="_Toc17580"/>
      <w:bookmarkStart w:id="259" w:name="_Toc32676"/>
      <w:bookmarkStart w:id="260" w:name="_Toc14631"/>
      <w:bookmarkStart w:id="261" w:name="_Toc15431"/>
      <w:r>
        <w:rPr>
          <w:rFonts w:hint="eastAsia" w:ascii="宋体" w:hAnsi="宋体" w:cs="宋体"/>
          <w:color w:val="000000" w:themeColor="text1"/>
          <w:highlight w:val="none"/>
          <w14:textFill>
            <w14:solidFill>
              <w14:schemeClr w14:val="tx1"/>
            </w14:solidFill>
          </w14:textFill>
        </w:rPr>
        <w:t>第五章 合同条款及格式</w:t>
      </w:r>
      <w:bookmarkEnd w:id="258"/>
      <w:bookmarkEnd w:id="259"/>
      <w:bookmarkEnd w:id="260"/>
      <w:bookmarkEnd w:id="261"/>
    </w:p>
    <w:p w14:paraId="73B75455">
      <w:pPr>
        <w:jc w:val="center"/>
        <w:rPr>
          <w:rFonts w:ascii="宋体" w:hAnsi="宋体" w:cs="宋体"/>
          <w:color w:val="000000" w:themeColor="text1"/>
          <w:sz w:val="24"/>
          <w:szCs w:val="24"/>
          <w:highlight w:val="none"/>
          <w14:textFill>
            <w14:solidFill>
              <w14:schemeClr w14:val="tx1"/>
            </w14:solidFill>
          </w14:textFill>
        </w:rPr>
      </w:pPr>
    </w:p>
    <w:tbl>
      <w:tblPr>
        <w:tblStyle w:val="34"/>
        <w:tblW w:w="0" w:type="auto"/>
        <w:jc w:val="center"/>
        <w:tblLayout w:type="fixed"/>
        <w:tblCellMar>
          <w:top w:w="0" w:type="dxa"/>
          <w:left w:w="0" w:type="dxa"/>
          <w:bottom w:w="0" w:type="dxa"/>
          <w:right w:w="0" w:type="dxa"/>
        </w:tblCellMar>
      </w:tblPr>
      <w:tblGrid>
        <w:gridCol w:w="9750"/>
      </w:tblGrid>
      <w:tr w14:paraId="728227C8">
        <w:trPr>
          <w:jc w:val="center"/>
        </w:trPr>
        <w:tc>
          <w:tcPr>
            <w:tcW w:w="9750" w:type="dxa"/>
            <w:vAlign w:val="center"/>
          </w:tcPr>
          <w:p w14:paraId="13B0A5D4">
            <w:pPr>
              <w:pStyle w:val="3"/>
              <w:spacing w:before="0" w:after="0" w:line="440" w:lineRule="exact"/>
              <w:jc w:val="center"/>
              <w:rPr>
                <w:rFonts w:ascii="宋体" w:hAnsi="宋体" w:eastAsia="宋体" w:cs="宋体"/>
                <w:color w:val="000000" w:themeColor="text1"/>
                <w:highlight w:val="none"/>
                <w14:textFill>
                  <w14:solidFill>
                    <w14:schemeClr w14:val="tx1"/>
                  </w14:solidFill>
                </w14:textFill>
              </w:rPr>
            </w:pPr>
            <w:bookmarkStart w:id="262" w:name="_Toc31457"/>
            <w:bookmarkStart w:id="263" w:name="_Toc10326"/>
            <w:bookmarkStart w:id="264" w:name="_Toc22961"/>
            <w:r>
              <w:rPr>
                <w:rFonts w:hint="eastAsia" w:ascii="宋体" w:hAnsi="宋体" w:eastAsia="宋体" w:cs="宋体"/>
                <w:color w:val="000000" w:themeColor="text1"/>
                <w:highlight w:val="none"/>
                <w14:textFill>
                  <w14:solidFill>
                    <w14:schemeClr w14:val="tx1"/>
                  </w14:solidFill>
                </w14:textFill>
              </w:rPr>
              <w:t>合同条款前附表</w:t>
            </w:r>
            <w:bookmarkEnd w:id="262"/>
            <w:bookmarkEnd w:id="263"/>
            <w:bookmarkEnd w:id="264"/>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6"/>
              <w:gridCol w:w="1665"/>
              <w:gridCol w:w="6455"/>
            </w:tblGrid>
            <w:tr w14:paraId="1EB32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Pr>
                <w:p w14:paraId="75C758E8">
                  <w:pPr>
                    <w:pStyle w:val="3"/>
                    <w:spacing w:before="0" w:after="0" w:line="440" w:lineRule="exact"/>
                    <w:jc w:val="center"/>
                    <w:outlineLvl w:val="1"/>
                    <w:rPr>
                      <w:rFonts w:ascii="宋体" w:hAnsi="宋体" w:eastAsia="宋体" w:cs="宋体"/>
                      <w:b w:val="0"/>
                      <w:bCs w:val="0"/>
                      <w:color w:val="000000" w:themeColor="text1"/>
                      <w:sz w:val="24"/>
                      <w:szCs w:val="24"/>
                      <w:highlight w:val="none"/>
                      <w14:textFill>
                        <w14:solidFill>
                          <w14:schemeClr w14:val="tx1"/>
                        </w14:solidFill>
                      </w14:textFill>
                    </w:rPr>
                  </w:pPr>
                  <w:bookmarkStart w:id="265" w:name="_Toc4452"/>
                  <w:bookmarkStart w:id="266" w:name="_Toc28647"/>
                  <w:bookmarkStart w:id="267" w:name="_Toc5992"/>
                  <w:r>
                    <w:rPr>
                      <w:rFonts w:hint="eastAsia" w:ascii="宋体" w:hAnsi="宋体" w:eastAsia="宋体" w:cs="宋体"/>
                      <w:b w:val="0"/>
                      <w:bCs w:val="0"/>
                      <w:color w:val="000000" w:themeColor="text1"/>
                      <w:sz w:val="24"/>
                      <w:szCs w:val="24"/>
                      <w:highlight w:val="none"/>
                      <w14:textFill>
                        <w14:solidFill>
                          <w14:schemeClr w14:val="tx1"/>
                        </w14:solidFill>
                      </w14:textFill>
                    </w:rPr>
                    <w:t>序号</w:t>
                  </w:r>
                  <w:bookmarkEnd w:id="265"/>
                  <w:bookmarkEnd w:id="266"/>
                  <w:bookmarkEnd w:id="267"/>
                </w:p>
              </w:tc>
              <w:tc>
                <w:tcPr>
                  <w:tcW w:w="1665" w:type="dxa"/>
                </w:tcPr>
                <w:p w14:paraId="5A579534">
                  <w:pPr>
                    <w:pStyle w:val="3"/>
                    <w:spacing w:before="0" w:after="0" w:line="440" w:lineRule="exact"/>
                    <w:jc w:val="center"/>
                    <w:outlineLvl w:val="1"/>
                    <w:rPr>
                      <w:rFonts w:ascii="宋体" w:hAnsi="宋体" w:eastAsia="宋体" w:cs="宋体"/>
                      <w:b w:val="0"/>
                      <w:bCs w:val="0"/>
                      <w:color w:val="000000" w:themeColor="text1"/>
                      <w:sz w:val="24"/>
                      <w:szCs w:val="24"/>
                      <w:highlight w:val="none"/>
                      <w14:textFill>
                        <w14:solidFill>
                          <w14:schemeClr w14:val="tx1"/>
                        </w14:solidFill>
                      </w14:textFill>
                    </w:rPr>
                  </w:pPr>
                  <w:bookmarkStart w:id="268" w:name="_Toc13156"/>
                  <w:bookmarkStart w:id="269" w:name="_Toc6039"/>
                  <w:bookmarkStart w:id="270" w:name="_Toc5872"/>
                  <w:r>
                    <w:rPr>
                      <w:rFonts w:hint="eastAsia" w:ascii="宋体" w:hAnsi="宋体" w:eastAsia="宋体" w:cs="宋体"/>
                      <w:b w:val="0"/>
                      <w:bCs w:val="0"/>
                      <w:color w:val="000000" w:themeColor="text1"/>
                      <w:sz w:val="24"/>
                      <w:szCs w:val="24"/>
                      <w:highlight w:val="none"/>
                      <w14:textFill>
                        <w14:solidFill>
                          <w14:schemeClr w14:val="tx1"/>
                        </w14:solidFill>
                      </w14:textFill>
                    </w:rPr>
                    <w:t>项目</w:t>
                  </w:r>
                  <w:bookmarkEnd w:id="268"/>
                  <w:bookmarkEnd w:id="269"/>
                  <w:bookmarkEnd w:id="270"/>
                </w:p>
              </w:tc>
              <w:tc>
                <w:tcPr>
                  <w:tcW w:w="6455" w:type="dxa"/>
                </w:tcPr>
                <w:p w14:paraId="46D5A474">
                  <w:pPr>
                    <w:pStyle w:val="3"/>
                    <w:spacing w:before="0" w:after="0" w:line="440" w:lineRule="exact"/>
                    <w:jc w:val="center"/>
                    <w:outlineLvl w:val="1"/>
                    <w:rPr>
                      <w:rFonts w:ascii="宋体" w:hAnsi="宋体" w:eastAsia="宋体" w:cs="宋体"/>
                      <w:b w:val="0"/>
                      <w:bCs w:val="0"/>
                      <w:color w:val="000000" w:themeColor="text1"/>
                      <w:sz w:val="24"/>
                      <w:szCs w:val="24"/>
                      <w:highlight w:val="none"/>
                      <w14:textFill>
                        <w14:solidFill>
                          <w14:schemeClr w14:val="tx1"/>
                        </w14:solidFill>
                      </w14:textFill>
                    </w:rPr>
                  </w:pPr>
                  <w:bookmarkStart w:id="271" w:name="_Toc5299"/>
                  <w:bookmarkStart w:id="272" w:name="_Toc27198"/>
                  <w:bookmarkStart w:id="273" w:name="_Toc15194"/>
                  <w:r>
                    <w:rPr>
                      <w:rFonts w:hint="eastAsia" w:ascii="宋体" w:hAnsi="宋体" w:eastAsia="宋体" w:cs="宋体"/>
                      <w:b w:val="0"/>
                      <w:bCs w:val="0"/>
                      <w:color w:val="000000" w:themeColor="text1"/>
                      <w:sz w:val="24"/>
                      <w:szCs w:val="24"/>
                      <w:highlight w:val="none"/>
                      <w14:textFill>
                        <w14:solidFill>
                          <w14:schemeClr w14:val="tx1"/>
                        </w14:solidFill>
                      </w14:textFill>
                    </w:rPr>
                    <w:t>内容</w:t>
                  </w:r>
                  <w:bookmarkEnd w:id="271"/>
                  <w:bookmarkEnd w:id="272"/>
                  <w:bookmarkEnd w:id="273"/>
                </w:p>
              </w:tc>
            </w:tr>
            <w:tr w14:paraId="47347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vAlign w:val="center"/>
                </w:tcPr>
                <w:p w14:paraId="4FC76B9C">
                  <w:pPr>
                    <w:pStyle w:val="3"/>
                    <w:spacing w:before="0" w:after="0" w:line="440" w:lineRule="exact"/>
                    <w:jc w:val="center"/>
                    <w:outlineLvl w:val="1"/>
                    <w:rPr>
                      <w:rFonts w:ascii="宋体" w:hAnsi="宋体" w:eastAsia="宋体" w:cs="宋体"/>
                      <w:b w:val="0"/>
                      <w:bCs w:val="0"/>
                      <w:color w:val="000000" w:themeColor="text1"/>
                      <w:sz w:val="24"/>
                      <w:szCs w:val="24"/>
                      <w:highlight w:val="none"/>
                      <w14:textFill>
                        <w14:solidFill>
                          <w14:schemeClr w14:val="tx1"/>
                        </w14:solidFill>
                      </w14:textFill>
                    </w:rPr>
                  </w:pPr>
                  <w:bookmarkStart w:id="274" w:name="_Toc32172"/>
                  <w:bookmarkStart w:id="275" w:name="_Toc29477"/>
                  <w:bookmarkStart w:id="276" w:name="_Toc18132"/>
                  <w:r>
                    <w:rPr>
                      <w:rFonts w:hint="eastAsia" w:ascii="宋体" w:hAnsi="宋体" w:eastAsia="宋体" w:cs="宋体"/>
                      <w:b w:val="0"/>
                      <w:bCs w:val="0"/>
                      <w:color w:val="000000" w:themeColor="text1"/>
                      <w:sz w:val="24"/>
                      <w:szCs w:val="24"/>
                      <w:highlight w:val="none"/>
                      <w14:textFill>
                        <w14:solidFill>
                          <w14:schemeClr w14:val="tx1"/>
                        </w14:solidFill>
                      </w14:textFill>
                    </w:rPr>
                    <w:t>1</w:t>
                  </w:r>
                  <w:bookmarkEnd w:id="274"/>
                  <w:bookmarkEnd w:id="275"/>
                  <w:bookmarkEnd w:id="276"/>
                </w:p>
              </w:tc>
              <w:tc>
                <w:tcPr>
                  <w:tcW w:w="1665" w:type="dxa"/>
                </w:tcPr>
                <w:p w14:paraId="2B39A802">
                  <w:pPr>
                    <w:pStyle w:val="3"/>
                    <w:spacing w:before="0" w:after="0" w:line="440" w:lineRule="exact"/>
                    <w:jc w:val="center"/>
                    <w:outlineLvl w:val="1"/>
                    <w:rPr>
                      <w:rFonts w:ascii="宋体" w:hAnsi="宋体" w:eastAsia="宋体" w:cs="宋体"/>
                      <w:b w:val="0"/>
                      <w:bCs w:val="0"/>
                      <w:color w:val="000000" w:themeColor="text1"/>
                      <w:sz w:val="24"/>
                      <w:szCs w:val="24"/>
                      <w:highlight w:val="none"/>
                      <w14:textFill>
                        <w14:solidFill>
                          <w14:schemeClr w14:val="tx1"/>
                        </w14:solidFill>
                      </w14:textFill>
                    </w:rPr>
                  </w:pPr>
                  <w:bookmarkStart w:id="277" w:name="_Toc31701"/>
                  <w:bookmarkStart w:id="278" w:name="_Toc2306"/>
                  <w:bookmarkStart w:id="279" w:name="_Toc32672"/>
                  <w:r>
                    <w:rPr>
                      <w:rFonts w:hint="eastAsia" w:ascii="宋体" w:hAnsi="宋体" w:eastAsia="宋体" w:cs="宋体"/>
                      <w:b w:val="0"/>
                      <w:bCs w:val="0"/>
                      <w:color w:val="000000" w:themeColor="text1"/>
                      <w:sz w:val="24"/>
                      <w:szCs w:val="24"/>
                      <w:highlight w:val="none"/>
                      <w14:textFill>
                        <w14:solidFill>
                          <w14:schemeClr w14:val="tx1"/>
                        </w14:solidFill>
                      </w14:textFill>
                    </w:rPr>
                    <w:t>合同履行期限</w:t>
                  </w:r>
                  <w:bookmarkEnd w:id="277"/>
                  <w:bookmarkEnd w:id="278"/>
                  <w:bookmarkEnd w:id="279"/>
                </w:p>
              </w:tc>
              <w:tc>
                <w:tcPr>
                  <w:tcW w:w="6455" w:type="dxa"/>
                </w:tcPr>
                <w:p w14:paraId="00B191B3">
                  <w:pPr>
                    <w:pStyle w:val="3"/>
                    <w:spacing w:before="0" w:after="0" w:line="440" w:lineRule="exact"/>
                    <w:jc w:val="left"/>
                    <w:outlineLvl w:val="1"/>
                    <w:rPr>
                      <w:rFonts w:ascii="宋体" w:hAnsi="宋体" w:eastAsia="宋体" w:cs="宋体"/>
                      <w:b w:val="0"/>
                      <w:bCs w:val="0"/>
                      <w:color w:val="000000" w:themeColor="text1"/>
                      <w:sz w:val="24"/>
                      <w:szCs w:val="24"/>
                      <w:highlight w:val="none"/>
                      <w14:textFill>
                        <w14:solidFill>
                          <w14:schemeClr w14:val="tx1"/>
                        </w14:solidFill>
                      </w14:textFill>
                    </w:rPr>
                  </w:pPr>
                  <w:r>
                    <w:rPr>
                      <w:rFonts w:hint="eastAsia" w:ascii="宋体" w:hAnsi="宋体" w:eastAsia="宋体" w:cs="宋体"/>
                      <w:b w:val="0"/>
                      <w:bCs w:val="0"/>
                      <w:color w:val="000000" w:themeColor="text1"/>
                      <w:sz w:val="24"/>
                      <w:szCs w:val="24"/>
                      <w:highlight w:val="none"/>
                      <w14:textFill>
                        <w14:solidFill>
                          <w14:schemeClr w14:val="tx1"/>
                        </w14:solidFill>
                      </w14:textFill>
                    </w:rPr>
                    <w:t>合同签订之日起至活动结束。</w:t>
                  </w:r>
                </w:p>
              </w:tc>
            </w:tr>
            <w:tr w14:paraId="0F38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vAlign w:val="center"/>
                </w:tcPr>
                <w:p w14:paraId="062EA304">
                  <w:pPr>
                    <w:pStyle w:val="3"/>
                    <w:spacing w:before="0" w:after="0" w:line="440" w:lineRule="exact"/>
                    <w:jc w:val="center"/>
                    <w:outlineLvl w:val="1"/>
                    <w:rPr>
                      <w:rFonts w:ascii="宋体" w:hAnsi="宋体" w:eastAsia="宋体" w:cs="宋体"/>
                      <w:b w:val="0"/>
                      <w:bCs w:val="0"/>
                      <w:color w:val="000000" w:themeColor="text1"/>
                      <w:sz w:val="24"/>
                      <w:szCs w:val="24"/>
                      <w:highlight w:val="none"/>
                      <w14:textFill>
                        <w14:solidFill>
                          <w14:schemeClr w14:val="tx1"/>
                        </w14:solidFill>
                      </w14:textFill>
                    </w:rPr>
                  </w:pPr>
                  <w:bookmarkStart w:id="280" w:name="_Toc3111"/>
                  <w:bookmarkStart w:id="281" w:name="_Toc25880"/>
                  <w:bookmarkStart w:id="282" w:name="_Toc18012"/>
                  <w:r>
                    <w:rPr>
                      <w:rFonts w:hint="eastAsia" w:ascii="宋体" w:hAnsi="宋体" w:eastAsia="宋体" w:cs="宋体"/>
                      <w:b w:val="0"/>
                      <w:bCs w:val="0"/>
                      <w:color w:val="000000" w:themeColor="text1"/>
                      <w:sz w:val="24"/>
                      <w:szCs w:val="24"/>
                      <w:highlight w:val="none"/>
                      <w14:textFill>
                        <w14:solidFill>
                          <w14:schemeClr w14:val="tx1"/>
                        </w14:solidFill>
                      </w14:textFill>
                    </w:rPr>
                    <w:t>2</w:t>
                  </w:r>
                  <w:bookmarkEnd w:id="280"/>
                  <w:bookmarkEnd w:id="281"/>
                  <w:bookmarkEnd w:id="282"/>
                </w:p>
              </w:tc>
              <w:tc>
                <w:tcPr>
                  <w:tcW w:w="1665" w:type="dxa"/>
                </w:tcPr>
                <w:p w14:paraId="2044537D">
                  <w:pPr>
                    <w:pStyle w:val="3"/>
                    <w:spacing w:before="0" w:after="0" w:line="440" w:lineRule="exact"/>
                    <w:jc w:val="center"/>
                    <w:outlineLvl w:val="1"/>
                    <w:rPr>
                      <w:rFonts w:ascii="宋体" w:hAnsi="宋体" w:eastAsia="宋体" w:cs="宋体"/>
                      <w:b w:val="0"/>
                      <w:bCs w:val="0"/>
                      <w:color w:val="000000" w:themeColor="text1"/>
                      <w:sz w:val="24"/>
                      <w:szCs w:val="24"/>
                      <w:highlight w:val="none"/>
                      <w14:textFill>
                        <w14:solidFill>
                          <w14:schemeClr w14:val="tx1"/>
                        </w14:solidFill>
                      </w14:textFill>
                    </w:rPr>
                  </w:pPr>
                  <w:bookmarkStart w:id="283" w:name="_Toc28993"/>
                  <w:bookmarkStart w:id="284" w:name="_Toc10188"/>
                  <w:r>
                    <w:rPr>
                      <w:rFonts w:hint="eastAsia" w:ascii="宋体" w:hAnsi="宋体" w:eastAsia="宋体" w:cs="宋体"/>
                      <w:b w:val="0"/>
                      <w:bCs w:val="0"/>
                      <w:color w:val="000000" w:themeColor="text1"/>
                      <w:sz w:val="24"/>
                      <w:szCs w:val="24"/>
                      <w:highlight w:val="none"/>
                      <w14:textFill>
                        <w14:solidFill>
                          <w14:schemeClr w14:val="tx1"/>
                        </w14:solidFill>
                      </w14:textFill>
                    </w:rPr>
                    <w:t>服务地点</w:t>
                  </w:r>
                  <w:bookmarkEnd w:id="283"/>
                  <w:bookmarkEnd w:id="284"/>
                </w:p>
              </w:tc>
              <w:tc>
                <w:tcPr>
                  <w:tcW w:w="6455" w:type="dxa"/>
                </w:tcPr>
                <w:p w14:paraId="79CACC31">
                  <w:pPr>
                    <w:pStyle w:val="3"/>
                    <w:spacing w:before="0" w:after="0" w:line="440" w:lineRule="exact"/>
                    <w:jc w:val="left"/>
                    <w:outlineLvl w:val="1"/>
                    <w:rPr>
                      <w:rFonts w:ascii="宋体" w:hAnsi="宋体" w:eastAsia="宋体" w:cs="宋体"/>
                      <w:b w:val="0"/>
                      <w:bCs w:val="0"/>
                      <w:color w:val="000000" w:themeColor="text1"/>
                      <w:sz w:val="24"/>
                      <w:szCs w:val="24"/>
                      <w:highlight w:val="none"/>
                      <w14:textFill>
                        <w14:solidFill>
                          <w14:schemeClr w14:val="tx1"/>
                        </w14:solidFill>
                      </w14:textFill>
                    </w:rPr>
                  </w:pPr>
                  <w:bookmarkStart w:id="285" w:name="_Toc1282"/>
                  <w:bookmarkStart w:id="286" w:name="_Toc7094"/>
                  <w:bookmarkStart w:id="287" w:name="_Toc3446"/>
                  <w:r>
                    <w:rPr>
                      <w:rFonts w:hint="eastAsia" w:ascii="宋体" w:hAnsi="宋体" w:eastAsia="宋体" w:cs="宋体"/>
                      <w:b w:val="0"/>
                      <w:bCs w:val="0"/>
                      <w:color w:val="000000" w:themeColor="text1"/>
                      <w:sz w:val="24"/>
                      <w:szCs w:val="24"/>
                      <w:highlight w:val="none"/>
                      <w14:textFill>
                        <w14:solidFill>
                          <w14:schemeClr w14:val="tx1"/>
                        </w14:solidFill>
                      </w14:textFill>
                    </w:rPr>
                    <w:t>西南林业大学。</w:t>
                  </w:r>
                  <w:bookmarkEnd w:id="285"/>
                  <w:bookmarkEnd w:id="286"/>
                  <w:bookmarkEnd w:id="287"/>
                </w:p>
              </w:tc>
            </w:tr>
            <w:tr w14:paraId="53968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vAlign w:val="center"/>
                </w:tcPr>
                <w:p w14:paraId="1E994F47">
                  <w:pPr>
                    <w:pStyle w:val="3"/>
                    <w:spacing w:before="0" w:after="0" w:line="440" w:lineRule="exact"/>
                    <w:jc w:val="center"/>
                    <w:outlineLvl w:val="1"/>
                    <w:rPr>
                      <w:rFonts w:ascii="宋体" w:hAnsi="宋体" w:eastAsia="宋体" w:cs="宋体"/>
                      <w:b w:val="0"/>
                      <w:bCs w:val="0"/>
                      <w:color w:val="000000" w:themeColor="text1"/>
                      <w:sz w:val="24"/>
                      <w:szCs w:val="24"/>
                      <w:highlight w:val="none"/>
                      <w14:textFill>
                        <w14:solidFill>
                          <w14:schemeClr w14:val="tx1"/>
                        </w14:solidFill>
                      </w14:textFill>
                    </w:rPr>
                  </w:pPr>
                  <w:bookmarkStart w:id="288" w:name="_Toc4473"/>
                  <w:bookmarkStart w:id="289" w:name="_Toc18573"/>
                  <w:bookmarkStart w:id="290" w:name="_Toc6908"/>
                  <w:r>
                    <w:rPr>
                      <w:rFonts w:hint="eastAsia" w:ascii="宋体" w:hAnsi="宋体" w:eastAsia="宋体" w:cs="宋体"/>
                      <w:b w:val="0"/>
                      <w:bCs w:val="0"/>
                      <w:color w:val="000000" w:themeColor="text1"/>
                      <w:sz w:val="24"/>
                      <w:szCs w:val="24"/>
                      <w:highlight w:val="none"/>
                      <w14:textFill>
                        <w14:solidFill>
                          <w14:schemeClr w14:val="tx1"/>
                        </w14:solidFill>
                      </w14:textFill>
                    </w:rPr>
                    <w:t>3</w:t>
                  </w:r>
                  <w:bookmarkEnd w:id="288"/>
                  <w:bookmarkEnd w:id="289"/>
                  <w:bookmarkEnd w:id="290"/>
                </w:p>
              </w:tc>
              <w:tc>
                <w:tcPr>
                  <w:tcW w:w="1665" w:type="dxa"/>
                  <w:vAlign w:val="center"/>
                </w:tcPr>
                <w:p w14:paraId="340E3F39">
                  <w:pPr>
                    <w:pStyle w:val="3"/>
                    <w:spacing w:before="0" w:after="0" w:line="440" w:lineRule="exact"/>
                    <w:jc w:val="center"/>
                    <w:outlineLvl w:val="1"/>
                    <w:rPr>
                      <w:rFonts w:ascii="宋体" w:hAnsi="宋体" w:eastAsia="宋体" w:cs="宋体"/>
                      <w:b w:val="0"/>
                      <w:bCs w:val="0"/>
                      <w:color w:val="000000" w:themeColor="text1"/>
                      <w:sz w:val="24"/>
                      <w:szCs w:val="24"/>
                      <w:highlight w:val="none"/>
                      <w14:textFill>
                        <w14:solidFill>
                          <w14:schemeClr w14:val="tx1"/>
                        </w14:solidFill>
                      </w14:textFill>
                    </w:rPr>
                  </w:pPr>
                  <w:bookmarkStart w:id="291" w:name="_Toc31149"/>
                  <w:bookmarkStart w:id="292" w:name="_Toc20852"/>
                  <w:bookmarkStart w:id="293" w:name="_Toc27388"/>
                  <w:r>
                    <w:rPr>
                      <w:rFonts w:hint="eastAsia" w:ascii="宋体" w:hAnsi="宋体" w:eastAsia="宋体" w:cs="宋体"/>
                      <w:b w:val="0"/>
                      <w:bCs w:val="0"/>
                      <w:color w:val="000000" w:themeColor="text1"/>
                      <w:sz w:val="24"/>
                      <w:szCs w:val="24"/>
                      <w:highlight w:val="none"/>
                      <w14:textFill>
                        <w14:solidFill>
                          <w14:schemeClr w14:val="tx1"/>
                        </w14:solidFill>
                      </w14:textFill>
                    </w:rPr>
                    <w:t>付款方式</w:t>
                  </w:r>
                  <w:bookmarkEnd w:id="291"/>
                  <w:bookmarkEnd w:id="292"/>
                  <w:bookmarkEnd w:id="293"/>
                </w:p>
              </w:tc>
              <w:tc>
                <w:tcPr>
                  <w:tcW w:w="6455" w:type="dxa"/>
                </w:tcPr>
                <w:p w14:paraId="2586324C">
                  <w:pPr>
                    <w:widowControl/>
                    <w:spacing w:line="360" w:lineRule="auto"/>
                    <w:jc w:val="left"/>
                    <w:rPr>
                      <w:rFonts w:ascii="宋体" w:hAnsi="宋体" w:eastAsia="Times New Roman" w:cs="宋体"/>
                      <w:color w:val="000000" w:themeColor="text1"/>
                      <w:sz w:val="24"/>
                      <w:szCs w:val="24"/>
                      <w:highlight w:val="none"/>
                      <w14:textFill>
                        <w14:solidFill>
                          <w14:schemeClr w14:val="tx1"/>
                        </w14:solidFill>
                      </w14:textFill>
                    </w:rPr>
                  </w:pPr>
                  <w:r>
                    <w:rPr>
                      <w:rFonts w:hint="eastAsia" w:ascii="宋体" w:hAnsi="宋体" w:eastAsia="Times New Roman" w:cs="宋体"/>
                      <w:color w:val="000000" w:themeColor="text1"/>
                      <w:sz w:val="24"/>
                      <w:szCs w:val="24"/>
                      <w:highlight w:val="none"/>
                      <w14:textFill>
                        <w14:solidFill>
                          <w14:schemeClr w14:val="tx1"/>
                        </w14:solidFill>
                      </w14:textFill>
                    </w:rPr>
                    <w:t>本项目无预付款，甲方在按合同验收标准验收合格，乙方提供符合税务机关要求的</w:t>
                  </w:r>
                  <w:r>
                    <w:rPr>
                      <w:rFonts w:hint="eastAsia" w:ascii="宋体" w:hAnsi="宋体" w:eastAsia="Times New Roman" w:cs="宋体"/>
                      <w:color w:val="000000" w:themeColor="text1"/>
                      <w:sz w:val="24"/>
                      <w:szCs w:val="24"/>
                      <w:highlight w:val="none"/>
                      <w14:textFill>
                        <w14:solidFill>
                          <w14:schemeClr w14:val="tx1"/>
                        </w14:solidFill>
                      </w14:textFill>
                    </w:rPr>
                    <w:t>正规增值税发票，并履行完相关财务报销手续，财务审核通过后的10个工作日内完成款项支付。根据分项报价单价及实际发生量据实结算</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lang w:eastAsia="zh-CN"/>
                      <w14:textFill>
                        <w14:solidFill>
                          <w14:schemeClr w14:val="tx1"/>
                        </w14:solidFill>
                      </w14:textFill>
                    </w:rPr>
                    <w:t>最终结算价不超过合同总价</w:t>
                  </w:r>
                  <w:r>
                    <w:rPr>
                      <w:rFonts w:hint="eastAsia" w:ascii="宋体" w:hAnsi="宋体" w:eastAsia="Times New Roman" w:cs="宋体"/>
                      <w:color w:val="000000" w:themeColor="text1"/>
                      <w:sz w:val="24"/>
                      <w:szCs w:val="24"/>
                      <w:highlight w:val="none"/>
                      <w14:textFill>
                        <w14:solidFill>
                          <w14:schemeClr w14:val="tx1"/>
                        </w14:solidFill>
                      </w14:textFill>
                    </w:rPr>
                    <w:t>。</w:t>
                  </w:r>
                </w:p>
                <w:p w14:paraId="4B659958">
                  <w:pPr>
                    <w:widowControl/>
                    <w:spacing w:line="360" w:lineRule="auto"/>
                    <w:jc w:val="left"/>
                    <w:rPr>
                      <w:rFonts w:ascii="宋体" w:hAnsi="宋体" w:eastAsia="Times New Roman" w:cs="宋体"/>
                      <w:color w:val="000000" w:themeColor="text1"/>
                      <w:sz w:val="24"/>
                      <w:szCs w:val="24"/>
                      <w:highlight w:val="none"/>
                      <w14:textFill>
                        <w14:solidFill>
                          <w14:schemeClr w14:val="tx1"/>
                        </w14:solidFill>
                      </w14:textFill>
                    </w:rPr>
                  </w:pPr>
                  <w:r>
                    <w:rPr>
                      <w:rFonts w:hint="eastAsia" w:ascii="宋体" w:hAnsi="宋体" w:eastAsia="Times New Roman" w:cs="宋体"/>
                      <w:color w:val="000000" w:themeColor="text1"/>
                      <w:sz w:val="24"/>
                      <w:szCs w:val="24"/>
                      <w:highlight w:val="none"/>
                      <w14:textFill>
                        <w14:solidFill>
                          <w14:schemeClr w14:val="tx1"/>
                        </w14:solidFill>
                      </w14:textFill>
                    </w:rPr>
                    <w:t>若因乙方未通过验收或提交不符合甲方及税务机关要求的正规增值税发票导致无法正常付款的，相关责任及后果由乙方自行承担。</w:t>
                  </w:r>
                </w:p>
                <w:p w14:paraId="0B6A9C0D">
                  <w:pPr>
                    <w:widowControl w:val="0"/>
                    <w:spacing w:line="360" w:lineRule="auto"/>
                    <w:jc w:val="both"/>
                    <w:rPr>
                      <w:rFonts w:ascii="宋体" w:hAnsi="宋体" w:eastAsia="Times New Roman" w:cs="宋体"/>
                      <w:color w:val="000000" w:themeColor="text1"/>
                      <w:sz w:val="24"/>
                      <w:szCs w:val="24"/>
                      <w:highlight w:val="none"/>
                      <w14:textFill>
                        <w14:solidFill>
                          <w14:schemeClr w14:val="tx1"/>
                        </w14:solidFill>
                      </w14:textFill>
                    </w:rPr>
                  </w:pPr>
                  <w:r>
                    <w:rPr>
                      <w:rFonts w:hint="eastAsia" w:ascii="宋体" w:hAnsi="宋体" w:eastAsia="Times New Roman" w:cs="宋体"/>
                      <w:color w:val="000000" w:themeColor="text1"/>
                      <w:sz w:val="24"/>
                      <w:szCs w:val="24"/>
                      <w:highlight w:val="none"/>
                      <w14:textFill>
                        <w14:solidFill>
                          <w14:schemeClr w14:val="tx1"/>
                        </w14:solidFill>
                      </w14:textFill>
                    </w:rPr>
                    <w:t>根据事业单位财务规定，甲方付款至乙方基本账户。</w:t>
                  </w:r>
                </w:p>
                <w:p w14:paraId="243C2441">
                  <w:pPr>
                    <w:widowControl w:val="0"/>
                    <w:spacing w:line="360" w:lineRule="auto"/>
                    <w:jc w:val="both"/>
                    <w:rPr>
                      <w:rFonts w:ascii="宋体" w:hAnsi="宋体" w:eastAsia="Times New Roman" w:cs="宋体"/>
                      <w:color w:val="000000" w:themeColor="text1"/>
                      <w:sz w:val="24"/>
                      <w:szCs w:val="24"/>
                      <w:highlight w:val="none"/>
                      <w14:textFill>
                        <w14:solidFill>
                          <w14:schemeClr w14:val="tx1"/>
                        </w14:solidFill>
                      </w14:textFill>
                    </w:rPr>
                  </w:pPr>
                  <w:r>
                    <w:rPr>
                      <w:rFonts w:hint="eastAsia" w:ascii="宋体" w:hAnsi="宋体" w:eastAsia="Times New Roman" w:cs="宋体"/>
                      <w:color w:val="000000" w:themeColor="text1"/>
                      <w:sz w:val="24"/>
                      <w:szCs w:val="24"/>
                      <w:highlight w:val="none"/>
                      <w14:textFill>
                        <w14:solidFill>
                          <w14:schemeClr w14:val="tx1"/>
                        </w14:solidFill>
                      </w14:textFill>
                    </w:rPr>
                    <w:t>乙方提供基本账户信息如下：</w:t>
                  </w:r>
                </w:p>
                <w:p w14:paraId="299095AF">
                  <w:pPr>
                    <w:widowControl w:val="0"/>
                    <w:spacing w:line="360" w:lineRule="auto"/>
                    <w:jc w:val="both"/>
                    <w:rPr>
                      <w:rFonts w:ascii="宋体" w:hAnsi="宋体" w:eastAsia="Times New Roman" w:cs="宋体"/>
                      <w:color w:val="000000" w:themeColor="text1"/>
                      <w:sz w:val="24"/>
                      <w:szCs w:val="24"/>
                      <w:highlight w:val="none"/>
                      <w14:textFill>
                        <w14:solidFill>
                          <w14:schemeClr w14:val="tx1"/>
                        </w14:solidFill>
                      </w14:textFill>
                    </w:rPr>
                  </w:pPr>
                  <w:r>
                    <w:rPr>
                      <w:rFonts w:hint="eastAsia" w:ascii="宋体" w:hAnsi="宋体" w:eastAsia="Times New Roman" w:cs="宋体"/>
                      <w:color w:val="000000" w:themeColor="text1"/>
                      <w:sz w:val="24"/>
                      <w:szCs w:val="24"/>
                      <w:highlight w:val="none"/>
                      <w14:textFill>
                        <w14:solidFill>
                          <w14:schemeClr w14:val="tx1"/>
                        </w14:solidFill>
                      </w14:textFill>
                    </w:rPr>
                    <w:t>开户名：</w:t>
                  </w:r>
                </w:p>
                <w:p w14:paraId="67E22496">
                  <w:pPr>
                    <w:widowControl w:val="0"/>
                    <w:spacing w:line="360" w:lineRule="auto"/>
                    <w:jc w:val="both"/>
                    <w:rPr>
                      <w:rFonts w:ascii="宋体" w:hAnsi="宋体" w:eastAsia="Times New Roman" w:cs="宋体"/>
                      <w:color w:val="000000" w:themeColor="text1"/>
                      <w:sz w:val="24"/>
                      <w:szCs w:val="24"/>
                      <w:highlight w:val="none"/>
                      <w14:textFill>
                        <w14:solidFill>
                          <w14:schemeClr w14:val="tx1"/>
                        </w14:solidFill>
                      </w14:textFill>
                    </w:rPr>
                  </w:pPr>
                  <w:r>
                    <w:rPr>
                      <w:rFonts w:hint="eastAsia" w:ascii="宋体" w:hAnsi="宋体" w:eastAsia="Times New Roman" w:cs="宋体"/>
                      <w:color w:val="000000" w:themeColor="text1"/>
                      <w:sz w:val="24"/>
                      <w:szCs w:val="24"/>
                      <w:highlight w:val="none"/>
                      <w14:textFill>
                        <w14:solidFill>
                          <w14:schemeClr w14:val="tx1"/>
                        </w14:solidFill>
                      </w14:textFill>
                    </w:rPr>
                    <w:t>开户银行：</w:t>
                  </w:r>
                </w:p>
                <w:p w14:paraId="1638BF94">
                  <w:pPr>
                    <w:widowControl w:val="0"/>
                    <w:spacing w:line="360" w:lineRule="auto"/>
                    <w:jc w:val="both"/>
                    <w:rPr>
                      <w:rFonts w:ascii="宋体" w:hAnsi="宋体" w:eastAsia="Times New Roman" w:cs="宋体"/>
                      <w:color w:val="000000" w:themeColor="text1"/>
                      <w:sz w:val="24"/>
                      <w:szCs w:val="24"/>
                      <w:highlight w:val="none"/>
                      <w14:textFill>
                        <w14:solidFill>
                          <w14:schemeClr w14:val="tx1"/>
                        </w14:solidFill>
                      </w14:textFill>
                    </w:rPr>
                  </w:pPr>
                  <w:r>
                    <w:rPr>
                      <w:rFonts w:hint="eastAsia" w:ascii="宋体" w:hAnsi="宋体" w:eastAsia="Times New Roman" w:cs="宋体"/>
                      <w:color w:val="000000" w:themeColor="text1"/>
                      <w:sz w:val="24"/>
                      <w:szCs w:val="24"/>
                      <w:highlight w:val="none"/>
                      <w14:textFill>
                        <w14:solidFill>
                          <w14:schemeClr w14:val="tx1"/>
                        </w14:solidFill>
                      </w14:textFill>
                    </w:rPr>
                    <w:t>账号：</w:t>
                  </w:r>
                </w:p>
                <w:p w14:paraId="0D00C05F">
                  <w:pPr>
                    <w:widowControl w:val="0"/>
                    <w:spacing w:line="360" w:lineRule="auto"/>
                    <w:jc w:val="both"/>
                    <w:rPr>
                      <w:rFonts w:ascii="宋体" w:hAnsi="宋体" w:eastAsia="Times New Roman" w:cs="宋体"/>
                      <w:color w:val="000000" w:themeColor="text1"/>
                      <w:sz w:val="24"/>
                      <w:szCs w:val="24"/>
                      <w:highlight w:val="none"/>
                      <w14:textFill>
                        <w14:solidFill>
                          <w14:schemeClr w14:val="tx1"/>
                        </w14:solidFill>
                      </w14:textFill>
                    </w:rPr>
                  </w:pPr>
                  <w:r>
                    <w:rPr>
                      <w:rFonts w:hint="eastAsia" w:ascii="宋体" w:hAnsi="宋体" w:eastAsia="Times New Roman" w:cs="宋体"/>
                      <w:color w:val="000000" w:themeColor="text1"/>
                      <w:sz w:val="24"/>
                      <w:szCs w:val="24"/>
                      <w:highlight w:val="none"/>
                      <w14:textFill>
                        <w14:solidFill>
                          <w14:schemeClr w14:val="tx1"/>
                        </w14:solidFill>
                      </w14:textFill>
                    </w:rPr>
                    <w:t>统一社会信用代码：</w:t>
                  </w:r>
                </w:p>
                <w:p w14:paraId="04AA98F5">
                  <w:pPr>
                    <w:pStyle w:val="3"/>
                    <w:spacing w:before="0" w:after="0" w:line="440" w:lineRule="exact"/>
                    <w:jc w:val="left"/>
                    <w:outlineLvl w:val="1"/>
                    <w:rPr>
                      <w:color w:val="000000" w:themeColor="text1"/>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乙方保证提供的基本账户信息准确无误。如乙方提供的基本账户信息有问题导致付款出错由乙方对产生的后果负责。</w:t>
                  </w:r>
                </w:p>
              </w:tc>
            </w:tr>
            <w:tr w14:paraId="029A3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Pr>
                <w:p w14:paraId="1496CAC1">
                  <w:pPr>
                    <w:pStyle w:val="3"/>
                    <w:spacing w:before="0" w:after="0" w:line="440" w:lineRule="exact"/>
                    <w:jc w:val="center"/>
                    <w:outlineLvl w:val="1"/>
                    <w:rPr>
                      <w:rFonts w:ascii="宋体" w:hAnsi="宋体" w:eastAsia="宋体" w:cs="宋体"/>
                      <w:b w:val="0"/>
                      <w:bCs w:val="0"/>
                      <w:color w:val="000000" w:themeColor="text1"/>
                      <w:sz w:val="24"/>
                      <w:szCs w:val="24"/>
                      <w:highlight w:val="none"/>
                      <w14:textFill>
                        <w14:solidFill>
                          <w14:schemeClr w14:val="tx1"/>
                        </w14:solidFill>
                      </w14:textFill>
                    </w:rPr>
                  </w:pPr>
                  <w:bookmarkStart w:id="294" w:name="_Toc14835"/>
                  <w:bookmarkStart w:id="295" w:name="_Toc15520"/>
                  <w:bookmarkStart w:id="296" w:name="_Toc15754"/>
                  <w:r>
                    <w:rPr>
                      <w:rFonts w:hint="eastAsia" w:ascii="宋体" w:hAnsi="宋体" w:eastAsia="宋体" w:cs="宋体"/>
                      <w:b w:val="0"/>
                      <w:bCs w:val="0"/>
                      <w:color w:val="000000" w:themeColor="text1"/>
                      <w:sz w:val="24"/>
                      <w:szCs w:val="24"/>
                      <w:highlight w:val="none"/>
                      <w14:textFill>
                        <w14:solidFill>
                          <w14:schemeClr w14:val="tx1"/>
                        </w14:solidFill>
                      </w14:textFill>
                    </w:rPr>
                    <w:t>4</w:t>
                  </w:r>
                  <w:bookmarkEnd w:id="294"/>
                  <w:bookmarkEnd w:id="295"/>
                  <w:bookmarkEnd w:id="296"/>
                </w:p>
              </w:tc>
              <w:tc>
                <w:tcPr>
                  <w:tcW w:w="1665" w:type="dxa"/>
                </w:tcPr>
                <w:p w14:paraId="280CC366">
                  <w:pPr>
                    <w:pStyle w:val="3"/>
                    <w:spacing w:before="0" w:after="0" w:line="440" w:lineRule="exact"/>
                    <w:jc w:val="center"/>
                    <w:outlineLvl w:val="1"/>
                    <w:rPr>
                      <w:rFonts w:ascii="宋体" w:hAnsi="宋体" w:eastAsia="宋体" w:cs="宋体"/>
                      <w:b w:val="0"/>
                      <w:bCs w:val="0"/>
                      <w:color w:val="000000" w:themeColor="text1"/>
                      <w:sz w:val="24"/>
                      <w:szCs w:val="24"/>
                      <w:highlight w:val="none"/>
                      <w14:textFill>
                        <w14:solidFill>
                          <w14:schemeClr w14:val="tx1"/>
                        </w14:solidFill>
                      </w14:textFill>
                    </w:rPr>
                  </w:pPr>
                  <w:bookmarkStart w:id="297" w:name="_Toc15049"/>
                  <w:bookmarkStart w:id="298" w:name="_Toc13885"/>
                  <w:bookmarkStart w:id="299" w:name="_Toc19085"/>
                  <w:r>
                    <w:rPr>
                      <w:rFonts w:hint="eastAsia" w:ascii="宋体" w:hAnsi="宋体" w:eastAsia="宋体" w:cs="宋体"/>
                      <w:b w:val="0"/>
                      <w:bCs w:val="0"/>
                      <w:color w:val="000000" w:themeColor="text1"/>
                      <w:sz w:val="24"/>
                      <w:szCs w:val="24"/>
                      <w:highlight w:val="none"/>
                      <w14:textFill>
                        <w14:solidFill>
                          <w14:schemeClr w14:val="tx1"/>
                        </w14:solidFill>
                      </w14:textFill>
                    </w:rPr>
                    <w:t>合同份数</w:t>
                  </w:r>
                  <w:bookmarkEnd w:id="297"/>
                  <w:bookmarkEnd w:id="298"/>
                  <w:bookmarkEnd w:id="299"/>
                </w:p>
              </w:tc>
              <w:tc>
                <w:tcPr>
                  <w:tcW w:w="6455" w:type="dxa"/>
                </w:tcPr>
                <w:p w14:paraId="0450FB84">
                  <w:pPr>
                    <w:pStyle w:val="3"/>
                    <w:spacing w:before="0" w:after="0" w:line="440" w:lineRule="exact"/>
                    <w:jc w:val="left"/>
                    <w:outlineLvl w:val="1"/>
                    <w:rPr>
                      <w:rFonts w:ascii="宋体" w:hAnsi="宋体" w:eastAsia="宋体" w:cs="宋体"/>
                      <w:b w:val="0"/>
                      <w:bCs w:val="0"/>
                      <w:color w:val="000000" w:themeColor="text1"/>
                      <w:sz w:val="24"/>
                      <w:szCs w:val="24"/>
                      <w:highlight w:val="none"/>
                      <w14:textFill>
                        <w14:solidFill>
                          <w14:schemeClr w14:val="tx1"/>
                        </w14:solidFill>
                      </w14:textFill>
                    </w:rPr>
                  </w:pPr>
                  <w:bookmarkStart w:id="300" w:name="_Toc28140"/>
                  <w:bookmarkStart w:id="301" w:name="_Toc8715"/>
                  <w:bookmarkStart w:id="302" w:name="_Toc3999"/>
                  <w:r>
                    <w:rPr>
                      <w:rFonts w:hint="eastAsia" w:ascii="宋体" w:hAnsi="宋体" w:eastAsia="宋体" w:cs="宋体"/>
                      <w:b w:val="0"/>
                      <w:bCs w:val="0"/>
                      <w:color w:val="000000" w:themeColor="text1"/>
                      <w:sz w:val="24"/>
                      <w:szCs w:val="24"/>
                      <w:highlight w:val="none"/>
                      <w14:textFill>
                        <w14:solidFill>
                          <w14:schemeClr w14:val="tx1"/>
                        </w14:solidFill>
                      </w14:textFill>
                    </w:rPr>
                    <w:t>本合同一式四份，甲方三份，乙方一份。</w:t>
                  </w:r>
                  <w:bookmarkEnd w:id="300"/>
                  <w:bookmarkEnd w:id="301"/>
                  <w:bookmarkEnd w:id="302"/>
                </w:p>
              </w:tc>
            </w:tr>
          </w:tbl>
          <w:p w14:paraId="7ADC11F0">
            <w:pPr>
              <w:tabs>
                <w:tab w:val="left" w:pos="1590"/>
                <w:tab w:val="left" w:pos="3409"/>
                <w:tab w:val="left" w:pos="4847"/>
                <w:tab w:val="left" w:pos="5711"/>
                <w:tab w:val="left" w:pos="7020"/>
                <w:tab w:val="left" w:pos="7891"/>
              </w:tabs>
              <w:rPr>
                <w:rFonts w:ascii="宋体" w:hAnsi="宋体" w:cs="宋体"/>
                <w:color w:val="000000" w:themeColor="text1"/>
                <w:highlight w:val="none"/>
                <w14:textFill>
                  <w14:solidFill>
                    <w14:schemeClr w14:val="tx1"/>
                  </w14:solidFill>
                </w14:textFill>
              </w:rPr>
            </w:pPr>
          </w:p>
        </w:tc>
      </w:tr>
    </w:tbl>
    <w:p w14:paraId="08FDE3A1">
      <w:pPr>
        <w:tabs>
          <w:tab w:val="left" w:pos="1210"/>
          <w:tab w:val="left" w:pos="3295"/>
          <w:tab w:val="left" w:pos="4756"/>
          <w:tab w:val="left" w:pos="5639"/>
          <w:tab w:val="left" w:pos="6648"/>
          <w:tab w:val="left" w:pos="7857"/>
        </w:tabs>
        <w:snapToGrid w:val="0"/>
        <w:rPr>
          <w:rFonts w:ascii="宋体" w:hAnsi="宋体" w:cs="宋体"/>
          <w:color w:val="000000" w:themeColor="text1"/>
          <w:sz w:val="24"/>
          <w:highlight w:val="none"/>
          <w14:textFill>
            <w14:solidFill>
              <w14:schemeClr w14:val="tx1"/>
            </w14:solidFill>
          </w14:textFill>
        </w:rPr>
      </w:pPr>
      <w:bookmarkStart w:id="303" w:name="_Toc8577"/>
      <w:bookmarkStart w:id="304" w:name="_Toc5990"/>
      <w:bookmarkStart w:id="305" w:name="_Toc5690"/>
    </w:p>
    <w:p w14:paraId="2BCA912D">
      <w:pPr>
        <w:tabs>
          <w:tab w:val="left" w:pos="1210"/>
          <w:tab w:val="left" w:pos="3295"/>
          <w:tab w:val="left" w:pos="4756"/>
          <w:tab w:val="left" w:pos="5639"/>
          <w:tab w:val="left" w:pos="6648"/>
          <w:tab w:val="left" w:pos="7857"/>
        </w:tabs>
        <w:snapToGrid w:val="0"/>
        <w:rPr>
          <w:rFonts w:ascii="宋体" w:hAnsi="宋体" w:cs="宋体"/>
          <w:color w:val="000000" w:themeColor="text1"/>
          <w:sz w:val="32"/>
          <w:szCs w:val="32"/>
          <w:highlight w:val="none"/>
          <w:u w:val="single"/>
          <w14:textFill>
            <w14:solidFill>
              <w14:schemeClr w14:val="tx1"/>
            </w14:solidFill>
          </w14:textFill>
        </w:rPr>
      </w:pPr>
      <w:r>
        <w:rPr>
          <w:rFonts w:hint="eastAsia" w:ascii="宋体" w:hAnsi="宋体" w:cs="宋体"/>
          <w:color w:val="000000" w:themeColor="text1"/>
          <w:sz w:val="32"/>
          <w:szCs w:val="32"/>
          <w:highlight w:val="none"/>
          <w14:textFill>
            <w14:solidFill>
              <w14:schemeClr w14:val="tx1"/>
            </w14:solidFill>
          </w14:textFill>
        </w:rPr>
        <w:br w:type="page"/>
      </w:r>
      <w:r>
        <w:rPr>
          <w:rFonts w:hint="eastAsia" w:ascii="宋体" w:hAnsi="宋体" w:cs="宋体"/>
          <w:color w:val="000000" w:themeColor="text1"/>
          <w:sz w:val="32"/>
          <w:szCs w:val="32"/>
          <w:highlight w:val="none"/>
          <w14:textFill>
            <w14:solidFill>
              <w14:schemeClr w14:val="tx1"/>
            </w14:solidFill>
          </w14:textFill>
        </w:rPr>
        <w:t>合同编号：</w:t>
      </w:r>
      <w:r>
        <w:rPr>
          <w:rFonts w:hint="eastAsia" w:ascii="宋体" w:hAnsi="宋体" w:cs="宋体"/>
          <w:color w:val="000000" w:themeColor="text1"/>
          <w:sz w:val="32"/>
          <w:szCs w:val="32"/>
          <w:highlight w:val="none"/>
          <w:u w:val="single"/>
          <w14:textFill>
            <w14:solidFill>
              <w14:schemeClr w14:val="tx1"/>
            </w14:solidFill>
          </w14:textFill>
        </w:rPr>
        <w:t xml:space="preserve">                </w:t>
      </w:r>
    </w:p>
    <w:p w14:paraId="7C8FF6A0">
      <w:pPr>
        <w:snapToGrid w:val="0"/>
        <w:spacing w:after="240"/>
        <w:rPr>
          <w:rFonts w:ascii="宋体" w:hAnsi="宋体" w:cs="宋体"/>
          <w:color w:val="000000" w:themeColor="text1"/>
          <w:sz w:val="32"/>
          <w:szCs w:val="32"/>
          <w:highlight w:val="none"/>
          <w14:textFill>
            <w14:solidFill>
              <w14:schemeClr w14:val="tx1"/>
            </w14:solidFill>
          </w14:textFill>
        </w:rPr>
      </w:pPr>
    </w:p>
    <w:p w14:paraId="6A328838">
      <w:pPr>
        <w:snapToGrid w:val="0"/>
        <w:spacing w:after="240"/>
        <w:rPr>
          <w:rFonts w:ascii="宋体" w:hAnsi="宋体" w:cs="宋体"/>
          <w:color w:val="000000" w:themeColor="text1"/>
          <w:sz w:val="32"/>
          <w:szCs w:val="32"/>
          <w:highlight w:val="none"/>
          <w14:textFill>
            <w14:solidFill>
              <w14:schemeClr w14:val="tx1"/>
            </w14:solidFill>
          </w14:textFill>
        </w:rPr>
      </w:pPr>
      <w:r>
        <w:rPr>
          <w:rFonts w:hint="eastAsia" w:ascii="宋体" w:hAnsi="宋体" w:cs="宋体"/>
          <w:color w:val="000000" w:themeColor="text1"/>
          <w:sz w:val="32"/>
          <w:szCs w:val="32"/>
          <w:highlight w:val="none"/>
          <w14:textFill>
            <w14:solidFill>
              <w14:schemeClr w14:val="tx1"/>
            </w14:solidFill>
          </w14:textFill>
        </w:rPr>
        <w:t>●本合同须加盖甲乙双方骑缝章有效</w:t>
      </w:r>
    </w:p>
    <w:p w14:paraId="1FF61A60">
      <w:pPr>
        <w:snapToGrid w:val="0"/>
        <w:spacing w:after="240"/>
        <w:jc w:val="center"/>
        <w:rPr>
          <w:rFonts w:ascii="宋体" w:hAnsi="宋体" w:cs="宋体"/>
          <w:b/>
          <w:color w:val="000000" w:themeColor="text1"/>
          <w:sz w:val="39"/>
          <w:szCs w:val="39"/>
          <w:highlight w:val="none"/>
          <w14:textFill>
            <w14:solidFill>
              <w14:schemeClr w14:val="tx1"/>
            </w14:solidFill>
          </w14:textFill>
        </w:rPr>
      </w:pPr>
    </w:p>
    <w:p w14:paraId="6FB12B87">
      <w:pPr>
        <w:snapToGrid w:val="0"/>
        <w:spacing w:after="240"/>
        <w:jc w:val="center"/>
        <w:rPr>
          <w:rFonts w:ascii="宋体" w:hAnsi="宋体" w:cs="宋体"/>
          <w:b/>
          <w:color w:val="000000" w:themeColor="text1"/>
          <w:sz w:val="39"/>
          <w:szCs w:val="39"/>
          <w:highlight w:val="none"/>
          <w14:textFill>
            <w14:solidFill>
              <w14:schemeClr w14:val="tx1"/>
            </w14:solidFill>
          </w14:textFill>
        </w:rPr>
      </w:pPr>
    </w:p>
    <w:p w14:paraId="51ADCD58">
      <w:pPr>
        <w:snapToGrid w:val="0"/>
        <w:spacing w:after="240"/>
        <w:jc w:val="center"/>
        <w:rPr>
          <w:rFonts w:ascii="宋体" w:hAnsi="宋体" w:cs="宋体"/>
          <w:b/>
          <w:color w:val="000000" w:themeColor="text1"/>
          <w:sz w:val="39"/>
          <w:szCs w:val="39"/>
          <w:highlight w:val="none"/>
          <w14:textFill>
            <w14:solidFill>
              <w14:schemeClr w14:val="tx1"/>
            </w14:solidFill>
          </w14:textFill>
        </w:rPr>
      </w:pPr>
    </w:p>
    <w:p w14:paraId="510D297B">
      <w:pPr>
        <w:snapToGrid w:val="0"/>
        <w:spacing w:after="240"/>
        <w:jc w:val="center"/>
        <w:rPr>
          <w:rFonts w:ascii="宋体" w:hAnsi="宋体" w:cs="宋体"/>
          <w:color w:val="000000" w:themeColor="text1"/>
          <w:sz w:val="52"/>
          <w:szCs w:val="52"/>
          <w:highlight w:val="none"/>
          <w14:textFill>
            <w14:solidFill>
              <w14:schemeClr w14:val="tx1"/>
            </w14:solidFill>
          </w14:textFill>
        </w:rPr>
      </w:pPr>
      <w:r>
        <w:rPr>
          <w:rFonts w:hint="eastAsia" w:ascii="宋体" w:hAnsi="宋体" w:cs="宋体"/>
          <w:color w:val="000000" w:themeColor="text1"/>
          <w:sz w:val="52"/>
          <w:szCs w:val="52"/>
          <w:highlight w:val="none"/>
          <w14:textFill>
            <w14:solidFill>
              <w14:schemeClr w14:val="tx1"/>
            </w14:solidFill>
          </w14:textFill>
        </w:rPr>
        <w:t>西南林业大学采购</w:t>
      </w:r>
    </w:p>
    <w:p w14:paraId="3523AC7D">
      <w:pPr>
        <w:snapToGrid w:val="0"/>
        <w:spacing w:after="240"/>
        <w:jc w:val="center"/>
        <w:rPr>
          <w:rFonts w:ascii="宋体" w:hAnsi="宋体" w:cs="宋体"/>
          <w:b/>
          <w:color w:val="000000" w:themeColor="text1"/>
          <w:sz w:val="44"/>
          <w:szCs w:val="44"/>
          <w:highlight w:val="none"/>
          <w14:textFill>
            <w14:solidFill>
              <w14:schemeClr w14:val="tx1"/>
            </w14:solidFill>
          </w14:textFill>
        </w:rPr>
      </w:pPr>
      <w:r>
        <w:rPr>
          <w:rFonts w:hint="eastAsia" w:ascii="宋体" w:hAnsi="宋体" w:cs="宋体"/>
          <w:b/>
          <w:color w:val="000000" w:themeColor="text1"/>
          <w:sz w:val="44"/>
          <w:szCs w:val="44"/>
          <w:highlight w:val="none"/>
          <w14:textFill>
            <w14:solidFill>
              <w14:schemeClr w14:val="tx1"/>
            </w14:solidFill>
          </w14:textFill>
        </w:rPr>
        <w:t>（服务类）</w:t>
      </w:r>
    </w:p>
    <w:p w14:paraId="680941A7">
      <w:pPr>
        <w:snapToGrid w:val="0"/>
        <w:spacing w:after="240"/>
        <w:jc w:val="center"/>
        <w:rPr>
          <w:rFonts w:ascii="宋体" w:hAnsi="宋体" w:cs="宋体"/>
          <w:b/>
          <w:color w:val="000000" w:themeColor="text1"/>
          <w:sz w:val="18"/>
          <w:szCs w:val="18"/>
          <w:highlight w:val="none"/>
          <w14:textFill>
            <w14:solidFill>
              <w14:schemeClr w14:val="tx1"/>
            </w14:solidFill>
          </w14:textFill>
        </w:rPr>
      </w:pPr>
    </w:p>
    <w:p w14:paraId="14EAAD4F">
      <w:pPr>
        <w:snapToGrid w:val="0"/>
        <w:spacing w:after="240"/>
        <w:jc w:val="center"/>
        <w:rPr>
          <w:rFonts w:ascii="宋体" w:hAnsi="宋体" w:cs="宋体"/>
          <w:color w:val="000000" w:themeColor="text1"/>
          <w:sz w:val="84"/>
          <w:szCs w:val="84"/>
          <w:highlight w:val="none"/>
          <w14:textFill>
            <w14:solidFill>
              <w14:schemeClr w14:val="tx1"/>
            </w14:solidFill>
          </w14:textFill>
        </w:rPr>
      </w:pPr>
      <w:r>
        <w:rPr>
          <w:rFonts w:hint="eastAsia" w:ascii="宋体" w:hAnsi="宋体" w:cs="宋体"/>
          <w:color w:val="000000" w:themeColor="text1"/>
          <w:sz w:val="84"/>
          <w:szCs w:val="84"/>
          <w:highlight w:val="none"/>
          <w14:textFill>
            <w14:solidFill>
              <w14:schemeClr w14:val="tx1"/>
            </w14:solidFill>
          </w14:textFill>
        </w:rPr>
        <w:t>合</w:t>
      </w:r>
    </w:p>
    <w:p w14:paraId="2427C378">
      <w:pPr>
        <w:snapToGrid w:val="0"/>
        <w:spacing w:after="240"/>
        <w:jc w:val="center"/>
        <w:rPr>
          <w:rFonts w:ascii="宋体" w:hAnsi="宋体" w:cs="宋体"/>
          <w:color w:val="000000" w:themeColor="text1"/>
          <w:sz w:val="84"/>
          <w:szCs w:val="84"/>
          <w:highlight w:val="none"/>
          <w14:textFill>
            <w14:solidFill>
              <w14:schemeClr w14:val="tx1"/>
            </w14:solidFill>
          </w14:textFill>
        </w:rPr>
      </w:pPr>
      <w:r>
        <w:rPr>
          <w:rFonts w:hint="eastAsia" w:ascii="宋体" w:hAnsi="宋体" w:cs="宋体"/>
          <w:color w:val="000000" w:themeColor="text1"/>
          <w:sz w:val="84"/>
          <w:szCs w:val="84"/>
          <w:highlight w:val="none"/>
          <w14:textFill>
            <w14:solidFill>
              <w14:schemeClr w14:val="tx1"/>
            </w14:solidFill>
          </w14:textFill>
        </w:rPr>
        <w:t>同</w:t>
      </w:r>
    </w:p>
    <w:p w14:paraId="74226F43">
      <w:pPr>
        <w:snapToGrid w:val="0"/>
        <w:spacing w:after="240"/>
        <w:jc w:val="center"/>
        <w:rPr>
          <w:rFonts w:ascii="宋体" w:hAnsi="宋体" w:cs="宋体"/>
          <w:color w:val="000000" w:themeColor="text1"/>
          <w:sz w:val="84"/>
          <w:szCs w:val="84"/>
          <w:highlight w:val="none"/>
          <w14:textFill>
            <w14:solidFill>
              <w14:schemeClr w14:val="tx1"/>
            </w14:solidFill>
          </w14:textFill>
        </w:rPr>
      </w:pPr>
      <w:r>
        <w:rPr>
          <w:rFonts w:hint="eastAsia" w:ascii="宋体" w:hAnsi="宋体" w:cs="宋体"/>
          <w:color w:val="000000" w:themeColor="text1"/>
          <w:sz w:val="84"/>
          <w:szCs w:val="84"/>
          <w:highlight w:val="none"/>
          <w14:textFill>
            <w14:solidFill>
              <w14:schemeClr w14:val="tx1"/>
            </w14:solidFill>
          </w14:textFill>
        </w:rPr>
        <w:t>书</w:t>
      </w:r>
    </w:p>
    <w:p w14:paraId="5E288C23">
      <w:pPr>
        <w:snapToGrid w:val="0"/>
        <w:spacing w:after="240"/>
        <w:jc w:val="center"/>
        <w:rPr>
          <w:rFonts w:ascii="宋体" w:hAnsi="宋体" w:cs="宋体"/>
          <w:color w:val="000000" w:themeColor="text1"/>
          <w:sz w:val="18"/>
          <w:szCs w:val="18"/>
          <w:highlight w:val="none"/>
          <w14:textFill>
            <w14:solidFill>
              <w14:schemeClr w14:val="tx1"/>
            </w14:solidFill>
          </w14:textFill>
        </w:rPr>
      </w:pPr>
    </w:p>
    <w:p w14:paraId="53105D19">
      <w:pPr>
        <w:snapToGrid w:val="0"/>
        <w:spacing w:after="240"/>
        <w:jc w:val="center"/>
        <w:rPr>
          <w:rFonts w:ascii="宋体" w:hAnsi="宋体" w:cs="宋体"/>
          <w:color w:val="000000" w:themeColor="text1"/>
          <w:sz w:val="18"/>
          <w:szCs w:val="18"/>
          <w:highlight w:val="none"/>
          <w14:textFill>
            <w14:solidFill>
              <w14:schemeClr w14:val="tx1"/>
            </w14:solidFill>
          </w14:textFill>
        </w:rPr>
      </w:pPr>
    </w:p>
    <w:p w14:paraId="06B19395">
      <w:pPr>
        <w:pStyle w:val="14"/>
        <w:rPr>
          <w:rFonts w:ascii="宋体" w:hAnsi="宋体" w:cs="宋体"/>
          <w:color w:val="000000" w:themeColor="text1"/>
          <w:highlight w:val="none"/>
          <w14:textFill>
            <w14:solidFill>
              <w14:schemeClr w14:val="tx1"/>
            </w14:solidFill>
          </w14:textFill>
        </w:rPr>
      </w:pPr>
    </w:p>
    <w:p w14:paraId="27151303">
      <w:pPr>
        <w:pStyle w:val="14"/>
        <w:rPr>
          <w:rFonts w:ascii="宋体" w:hAnsi="宋体" w:cs="宋体"/>
          <w:color w:val="000000" w:themeColor="text1"/>
          <w:highlight w:val="none"/>
          <w14:textFill>
            <w14:solidFill>
              <w14:schemeClr w14:val="tx1"/>
            </w14:solidFill>
          </w14:textFill>
        </w:rPr>
      </w:pPr>
    </w:p>
    <w:p w14:paraId="5F809897">
      <w:pPr>
        <w:snapToGrid w:val="0"/>
        <w:spacing w:after="240"/>
        <w:jc w:val="center"/>
        <w:rPr>
          <w:rFonts w:ascii="宋体" w:hAnsi="宋体" w:cs="宋体"/>
          <w:color w:val="000000" w:themeColor="text1"/>
          <w:sz w:val="18"/>
          <w:szCs w:val="18"/>
          <w:highlight w:val="none"/>
          <w14:textFill>
            <w14:solidFill>
              <w14:schemeClr w14:val="tx1"/>
            </w14:solidFill>
          </w14:textFill>
        </w:rPr>
      </w:pPr>
    </w:p>
    <w:p w14:paraId="4CE87359">
      <w:pPr>
        <w:autoSpaceDE w:val="0"/>
        <w:autoSpaceDN w:val="0"/>
        <w:adjustRightInd w:val="0"/>
        <w:spacing w:line="300" w:lineRule="auto"/>
        <w:jc w:val="center"/>
        <w:rPr>
          <w:rFonts w:ascii="宋体" w:hAnsi="宋体" w:cs="宋体"/>
          <w:b/>
          <w:color w:val="000000" w:themeColor="text1"/>
          <w:sz w:val="36"/>
          <w:szCs w:val="36"/>
          <w:highlight w:val="none"/>
          <w:lang w:val="zh-CN"/>
          <w14:textFill>
            <w14:solidFill>
              <w14:schemeClr w14:val="tx1"/>
            </w14:solidFill>
          </w14:textFill>
        </w:rPr>
      </w:pPr>
      <w:r>
        <w:rPr>
          <w:rFonts w:hint="eastAsia" w:ascii="宋体" w:hAnsi="宋体" w:cs="宋体"/>
          <w:b/>
          <w:color w:val="000000" w:themeColor="text1"/>
          <w:sz w:val="36"/>
          <w:szCs w:val="36"/>
          <w:highlight w:val="none"/>
          <w:lang w:val="zh-CN"/>
          <w14:textFill>
            <w14:solidFill>
              <w14:schemeClr w14:val="tx1"/>
            </w14:solidFill>
          </w14:textFill>
        </w:rPr>
        <w:t>签订地点:云南省昆明市</w:t>
      </w:r>
      <w:r>
        <w:rPr>
          <w:rFonts w:hint="eastAsia" w:ascii="宋体" w:hAnsi="宋体" w:cs="宋体"/>
          <w:b/>
          <w:color w:val="000000" w:themeColor="text1"/>
          <w:sz w:val="36"/>
          <w:szCs w:val="36"/>
          <w:highlight w:val="none"/>
          <w14:textFill>
            <w14:solidFill>
              <w14:schemeClr w14:val="tx1"/>
            </w14:solidFill>
          </w14:textFill>
        </w:rPr>
        <w:t>盘龙区</w:t>
      </w:r>
    </w:p>
    <w:p w14:paraId="33EDCC8D">
      <w:pPr>
        <w:autoSpaceDE w:val="0"/>
        <w:autoSpaceDN w:val="0"/>
        <w:adjustRightInd w:val="0"/>
        <w:spacing w:line="300" w:lineRule="auto"/>
        <w:jc w:val="center"/>
        <w:rPr>
          <w:rFonts w:ascii="宋体" w:hAnsi="宋体" w:cs="宋体"/>
          <w:b/>
          <w:color w:val="000000" w:themeColor="text1"/>
          <w:sz w:val="36"/>
          <w:szCs w:val="36"/>
          <w:highlight w:val="none"/>
          <w:lang w:val="zh-CN"/>
          <w14:textFill>
            <w14:solidFill>
              <w14:schemeClr w14:val="tx1"/>
            </w14:solidFill>
          </w14:textFill>
        </w:rPr>
      </w:pPr>
    </w:p>
    <w:p w14:paraId="30A2130C">
      <w:pPr>
        <w:snapToGrid w:val="0"/>
        <w:spacing w:after="240"/>
        <w:jc w:val="center"/>
        <w:rPr>
          <w:rFonts w:ascii="宋体" w:hAnsi="宋体" w:cs="宋体"/>
          <w:b/>
          <w:bCs/>
          <w:color w:val="000000" w:themeColor="text1"/>
          <w:sz w:val="27"/>
          <w:szCs w:val="27"/>
          <w:highlight w:val="none"/>
          <w14:textFill>
            <w14:solidFill>
              <w14:schemeClr w14:val="tx1"/>
            </w14:solidFill>
          </w14:textFill>
        </w:rPr>
      </w:pPr>
    </w:p>
    <w:p w14:paraId="3DA1ACEA">
      <w:pPr>
        <w:pStyle w:val="32"/>
        <w:spacing w:before="156" w:line="600" w:lineRule="exact"/>
        <w:ind w:firstLine="0"/>
        <w:rPr>
          <w:rFonts w:ascii="宋体" w:hAnsi="宋体" w:cs="宋体"/>
          <w:bCs/>
          <w:color w:val="000000" w:themeColor="text1"/>
          <w:kern w:val="0"/>
          <w:sz w:val="28"/>
          <w:szCs w:val="28"/>
          <w:highlight w:val="none"/>
          <w:lang w:val="zh-CN"/>
          <w14:textFill>
            <w14:solidFill>
              <w14:schemeClr w14:val="tx1"/>
            </w14:solidFill>
          </w14:textFill>
        </w:rPr>
      </w:pPr>
      <w:r>
        <w:rPr>
          <w:rFonts w:hint="eastAsia" w:ascii="宋体" w:hAnsi="宋体" w:cs="宋体"/>
          <w:b/>
          <w:bCs/>
          <w:color w:val="000000" w:themeColor="text1"/>
          <w:kern w:val="0"/>
          <w:sz w:val="27"/>
          <w:szCs w:val="27"/>
          <w:highlight w:val="none"/>
          <w14:textFill>
            <w14:solidFill>
              <w14:schemeClr w14:val="tx1"/>
            </w14:solidFill>
          </w14:textFill>
        </w:rPr>
        <w:br w:type="page"/>
      </w:r>
      <w:r>
        <w:rPr>
          <w:rFonts w:hint="eastAsia" w:ascii="宋体" w:hAnsi="宋体" w:cs="宋体"/>
          <w:bCs/>
          <w:color w:val="000000" w:themeColor="text1"/>
          <w:kern w:val="0"/>
          <w:sz w:val="28"/>
          <w:szCs w:val="28"/>
          <w:highlight w:val="none"/>
          <w:lang w:val="zh-CN"/>
          <w14:textFill>
            <w14:solidFill>
              <w14:schemeClr w14:val="tx1"/>
            </w14:solidFill>
          </w14:textFill>
        </w:rPr>
        <w:t>此页无正文</w:t>
      </w:r>
    </w:p>
    <w:p w14:paraId="4F6AD920">
      <w:pPr>
        <w:spacing w:line="600" w:lineRule="exact"/>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lang w:val="zh-CN"/>
          <w14:textFill>
            <w14:solidFill>
              <w14:schemeClr w14:val="tx1"/>
            </w14:solidFill>
          </w14:textFill>
        </w:rPr>
        <w:t>甲方（采购人盖章）名  称：西南林业大学</w:t>
      </w:r>
    </w:p>
    <w:p w14:paraId="02046CB8">
      <w:pPr>
        <w:spacing w:line="600" w:lineRule="exact"/>
        <w:ind w:firstLine="1960" w:firstLineChars="700"/>
        <w:rPr>
          <w:rFonts w:ascii="宋体" w:hAnsi="宋体" w:cs="宋体"/>
          <w:color w:val="000000" w:themeColor="text1"/>
          <w:sz w:val="28"/>
          <w:szCs w:val="28"/>
          <w:highlight w:val="none"/>
          <w:lang w:val="zh-CN"/>
          <w14:textFill>
            <w14:solidFill>
              <w14:schemeClr w14:val="tx1"/>
            </w14:solidFill>
          </w14:textFill>
        </w:rPr>
      </w:pPr>
      <w:r>
        <w:rPr>
          <w:rFonts w:hint="eastAsia" w:ascii="宋体" w:hAnsi="宋体" w:cs="宋体"/>
          <w:color w:val="000000" w:themeColor="text1"/>
          <w:sz w:val="28"/>
          <w:szCs w:val="28"/>
          <w:highlight w:val="none"/>
          <w:lang w:val="zh-CN"/>
          <w14:textFill>
            <w14:solidFill>
              <w14:schemeClr w14:val="tx1"/>
            </w14:solidFill>
          </w14:textFill>
        </w:rPr>
        <w:t>地      址：昆明市盘龙区白龙寺300号</w:t>
      </w:r>
    </w:p>
    <w:p w14:paraId="4272ACA4">
      <w:pPr>
        <w:autoSpaceDE w:val="0"/>
        <w:autoSpaceDN w:val="0"/>
        <w:adjustRightInd w:val="0"/>
        <w:snapToGrid w:val="0"/>
        <w:spacing w:line="600" w:lineRule="exact"/>
        <w:ind w:firstLine="1960" w:firstLineChars="700"/>
        <w:rPr>
          <w:rFonts w:ascii="宋体" w:hAnsi="宋体" w:cs="宋体"/>
          <w:color w:val="000000" w:themeColor="text1"/>
          <w:sz w:val="28"/>
          <w:szCs w:val="28"/>
          <w:highlight w:val="none"/>
          <w:lang w:val="zh-CN"/>
          <w14:textFill>
            <w14:solidFill>
              <w14:schemeClr w14:val="tx1"/>
            </w14:solidFill>
          </w14:textFill>
        </w:rPr>
      </w:pPr>
      <w:r>
        <w:rPr>
          <w:rFonts w:hint="eastAsia" w:ascii="宋体" w:hAnsi="宋体" w:cs="宋体"/>
          <w:color w:val="000000" w:themeColor="text1"/>
          <w:sz w:val="28"/>
          <w:szCs w:val="28"/>
          <w:highlight w:val="none"/>
          <w:lang w:val="zh-CN"/>
          <w14:textFill>
            <w14:solidFill>
              <w14:schemeClr w14:val="tx1"/>
            </w14:solidFill>
          </w14:textFill>
        </w:rPr>
        <w:t>邮      编：650224</w:t>
      </w:r>
    </w:p>
    <w:p w14:paraId="3823409D">
      <w:pPr>
        <w:autoSpaceDE w:val="0"/>
        <w:autoSpaceDN w:val="0"/>
        <w:adjustRightInd w:val="0"/>
        <w:snapToGrid w:val="0"/>
        <w:spacing w:line="600" w:lineRule="exact"/>
        <w:ind w:firstLine="280" w:firstLineChars="100"/>
        <w:rPr>
          <w:rFonts w:ascii="宋体" w:hAnsi="宋体" w:cs="宋体"/>
          <w:color w:val="000000" w:themeColor="text1"/>
          <w:sz w:val="28"/>
          <w:szCs w:val="28"/>
          <w:highlight w:val="none"/>
          <w:lang w:val="zh-CN"/>
          <w14:textFill>
            <w14:solidFill>
              <w14:schemeClr w14:val="tx1"/>
            </w14:solidFill>
          </w14:textFill>
        </w:rPr>
      </w:pPr>
      <w:r>
        <w:rPr>
          <w:rFonts w:hint="eastAsia" w:ascii="宋体" w:hAnsi="宋体" w:cs="宋体"/>
          <w:color w:val="000000" w:themeColor="text1"/>
          <w:sz w:val="28"/>
          <w:szCs w:val="28"/>
          <w:highlight w:val="none"/>
          <w:lang w:val="zh-CN"/>
          <w14:textFill>
            <w14:solidFill>
              <w14:schemeClr w14:val="tx1"/>
            </w14:solidFill>
          </w14:textFill>
        </w:rPr>
        <w:t>法定代表人或委托代理人：</w:t>
      </w:r>
    </w:p>
    <w:p w14:paraId="6A3186E5">
      <w:pPr>
        <w:autoSpaceDE w:val="0"/>
        <w:autoSpaceDN w:val="0"/>
        <w:adjustRightInd w:val="0"/>
        <w:snapToGrid w:val="0"/>
        <w:spacing w:line="600" w:lineRule="exact"/>
        <w:ind w:firstLine="840" w:firstLineChars="300"/>
        <w:rPr>
          <w:rFonts w:ascii="宋体" w:hAnsi="宋体" w:cs="宋体"/>
          <w:color w:val="000000" w:themeColor="text1"/>
          <w:sz w:val="28"/>
          <w:szCs w:val="28"/>
          <w:highlight w:val="none"/>
          <w:lang w:val="zh-CN"/>
          <w14:textFill>
            <w14:solidFill>
              <w14:schemeClr w14:val="tx1"/>
            </w14:solidFill>
          </w14:textFill>
        </w:rPr>
      </w:pPr>
      <w:r>
        <w:rPr>
          <w:rFonts w:hint="eastAsia" w:ascii="宋体" w:hAnsi="宋体" w:cs="宋体"/>
          <w:color w:val="000000" w:themeColor="text1"/>
          <w:sz w:val="28"/>
          <w:szCs w:val="28"/>
          <w:highlight w:val="none"/>
          <w:lang w:val="zh-CN"/>
          <w14:textFill>
            <w14:solidFill>
              <w14:schemeClr w14:val="tx1"/>
            </w14:solidFill>
          </w14:textFill>
        </w:rPr>
        <w:t>项目（技术）负责人：</w:t>
      </w:r>
    </w:p>
    <w:p w14:paraId="5BCFDC99">
      <w:pPr>
        <w:autoSpaceDE w:val="0"/>
        <w:autoSpaceDN w:val="0"/>
        <w:adjustRightInd w:val="0"/>
        <w:snapToGrid w:val="0"/>
        <w:spacing w:line="600" w:lineRule="exact"/>
        <w:ind w:firstLine="1960" w:firstLineChars="700"/>
        <w:rPr>
          <w:rFonts w:ascii="宋体" w:hAnsi="宋体" w:cs="宋体"/>
          <w:color w:val="000000" w:themeColor="text1"/>
          <w:sz w:val="28"/>
          <w:szCs w:val="28"/>
          <w:highlight w:val="none"/>
          <w:lang w:val="zh-CN"/>
          <w14:textFill>
            <w14:solidFill>
              <w14:schemeClr w14:val="tx1"/>
            </w14:solidFill>
          </w14:textFill>
        </w:rPr>
      </w:pPr>
      <w:r>
        <w:rPr>
          <w:rFonts w:hint="eastAsia" w:ascii="宋体" w:hAnsi="宋体" w:cs="宋体"/>
          <w:color w:val="000000" w:themeColor="text1"/>
          <w:sz w:val="28"/>
          <w:szCs w:val="28"/>
          <w:highlight w:val="none"/>
          <w:lang w:val="zh-CN"/>
          <w14:textFill>
            <w14:solidFill>
              <w14:schemeClr w14:val="tx1"/>
            </w14:solidFill>
          </w14:textFill>
        </w:rPr>
        <w:t>电</w:t>
      </w:r>
      <w:r>
        <w:rPr>
          <w:rFonts w:hint="eastAsia" w:ascii="宋体" w:hAnsi="宋体" w:cs="宋体"/>
          <w:color w:val="000000" w:themeColor="text1"/>
          <w:sz w:val="28"/>
          <w:szCs w:val="28"/>
          <w:highlight w:val="none"/>
          <w14:textFill>
            <w14:solidFill>
              <w14:schemeClr w14:val="tx1"/>
            </w14:solidFill>
          </w14:textFill>
        </w:rPr>
        <w:t xml:space="preserve">      </w:t>
      </w:r>
      <w:r>
        <w:rPr>
          <w:rFonts w:hint="eastAsia" w:ascii="宋体" w:hAnsi="宋体" w:cs="宋体"/>
          <w:color w:val="000000" w:themeColor="text1"/>
          <w:sz w:val="28"/>
          <w:szCs w:val="28"/>
          <w:highlight w:val="none"/>
          <w:lang w:val="zh-CN"/>
          <w14:textFill>
            <w14:solidFill>
              <w14:schemeClr w14:val="tx1"/>
            </w14:solidFill>
          </w14:textFill>
        </w:rPr>
        <w:t>话：0871-63864002</w:t>
      </w:r>
    </w:p>
    <w:p w14:paraId="232DE4F4">
      <w:pPr>
        <w:autoSpaceDE w:val="0"/>
        <w:autoSpaceDN w:val="0"/>
        <w:adjustRightInd w:val="0"/>
        <w:snapToGrid w:val="0"/>
        <w:spacing w:line="600" w:lineRule="exact"/>
        <w:ind w:firstLine="1960" w:firstLineChars="700"/>
        <w:rPr>
          <w:rFonts w:ascii="宋体" w:hAnsi="宋体" w:cs="宋体"/>
          <w:color w:val="000000" w:themeColor="text1"/>
          <w:sz w:val="28"/>
          <w:szCs w:val="28"/>
          <w:highlight w:val="none"/>
          <w:lang w:val="zh-CN"/>
          <w14:textFill>
            <w14:solidFill>
              <w14:schemeClr w14:val="tx1"/>
            </w14:solidFill>
          </w14:textFill>
        </w:rPr>
      </w:pPr>
      <w:r>
        <w:rPr>
          <w:rFonts w:hint="eastAsia" w:ascii="宋体" w:hAnsi="宋体" w:cs="宋体"/>
          <w:color w:val="000000" w:themeColor="text1"/>
          <w:sz w:val="28"/>
          <w:szCs w:val="28"/>
          <w:highlight w:val="none"/>
          <w:lang w:val="zh-CN"/>
          <w14:textFill>
            <w14:solidFill>
              <w14:schemeClr w14:val="tx1"/>
            </w14:solidFill>
          </w14:textFill>
        </w:rPr>
        <w:t>签订  日期：</w:t>
      </w:r>
    </w:p>
    <w:p w14:paraId="4519D043">
      <w:pPr>
        <w:pStyle w:val="32"/>
        <w:spacing w:before="156" w:line="600" w:lineRule="exact"/>
        <w:ind w:firstLine="280"/>
        <w:rPr>
          <w:rFonts w:ascii="宋体" w:hAnsi="宋体" w:cs="宋体"/>
          <w:color w:val="000000" w:themeColor="text1"/>
          <w:kern w:val="0"/>
          <w:sz w:val="28"/>
          <w:szCs w:val="28"/>
          <w:highlight w:val="none"/>
          <w14:textFill>
            <w14:solidFill>
              <w14:schemeClr w14:val="tx1"/>
            </w14:solidFill>
          </w14:textFill>
        </w:rPr>
      </w:pPr>
    </w:p>
    <w:p w14:paraId="5BCEEE17">
      <w:pPr>
        <w:pStyle w:val="32"/>
        <w:spacing w:before="156" w:line="600" w:lineRule="exact"/>
        <w:ind w:firstLine="280"/>
        <w:rPr>
          <w:rFonts w:ascii="宋体" w:hAnsi="宋体" w:cs="宋体"/>
          <w:color w:val="000000" w:themeColor="text1"/>
          <w:kern w:val="0"/>
          <w:sz w:val="28"/>
          <w:szCs w:val="28"/>
          <w:highlight w:val="none"/>
          <w14:textFill>
            <w14:solidFill>
              <w14:schemeClr w14:val="tx1"/>
            </w14:solidFill>
          </w14:textFill>
        </w:rPr>
      </w:pPr>
    </w:p>
    <w:p w14:paraId="3D88A6FD">
      <w:pPr>
        <w:autoSpaceDE w:val="0"/>
        <w:autoSpaceDN w:val="0"/>
        <w:adjustRightInd w:val="0"/>
        <w:snapToGrid w:val="0"/>
        <w:spacing w:line="600" w:lineRule="exact"/>
        <w:rPr>
          <w:rFonts w:ascii="宋体" w:hAnsi="宋体" w:cs="宋体"/>
          <w:color w:val="000000" w:themeColor="text1"/>
          <w:sz w:val="28"/>
          <w:szCs w:val="28"/>
          <w:highlight w:val="none"/>
          <w:lang w:val="zh-CN"/>
          <w14:textFill>
            <w14:solidFill>
              <w14:schemeClr w14:val="tx1"/>
            </w14:solidFill>
          </w14:textFill>
        </w:rPr>
      </w:pPr>
      <w:r>
        <w:rPr>
          <w:rFonts w:hint="eastAsia" w:ascii="宋体" w:hAnsi="宋体" w:cs="宋体"/>
          <w:color w:val="000000" w:themeColor="text1"/>
          <w:sz w:val="28"/>
          <w:szCs w:val="28"/>
          <w:highlight w:val="none"/>
          <w:lang w:val="zh-CN"/>
          <w14:textFill>
            <w14:solidFill>
              <w14:schemeClr w14:val="tx1"/>
            </w14:solidFill>
          </w14:textFill>
        </w:rPr>
        <w:t>乙方（供应商盖章）名  称：</w:t>
      </w:r>
    </w:p>
    <w:p w14:paraId="490CD499">
      <w:pPr>
        <w:autoSpaceDE w:val="0"/>
        <w:autoSpaceDN w:val="0"/>
        <w:adjustRightInd w:val="0"/>
        <w:snapToGrid w:val="0"/>
        <w:spacing w:line="600" w:lineRule="exact"/>
        <w:ind w:firstLine="1960" w:firstLineChars="700"/>
        <w:rPr>
          <w:rFonts w:ascii="宋体" w:hAnsi="宋体" w:cs="宋体"/>
          <w:color w:val="000000" w:themeColor="text1"/>
          <w:sz w:val="28"/>
          <w:szCs w:val="28"/>
          <w:highlight w:val="none"/>
          <w:lang w:val="zh-CN"/>
          <w14:textFill>
            <w14:solidFill>
              <w14:schemeClr w14:val="tx1"/>
            </w14:solidFill>
          </w14:textFill>
        </w:rPr>
      </w:pPr>
      <w:r>
        <w:rPr>
          <w:rFonts w:hint="eastAsia" w:ascii="宋体" w:hAnsi="宋体" w:cs="宋体"/>
          <w:color w:val="000000" w:themeColor="text1"/>
          <w:sz w:val="28"/>
          <w:szCs w:val="28"/>
          <w:highlight w:val="none"/>
          <w:lang w:val="zh-CN"/>
          <w14:textFill>
            <w14:solidFill>
              <w14:schemeClr w14:val="tx1"/>
            </w14:solidFill>
          </w14:textFill>
        </w:rPr>
        <w:t>地      址：</w:t>
      </w:r>
    </w:p>
    <w:p w14:paraId="792EE48D">
      <w:pPr>
        <w:autoSpaceDE w:val="0"/>
        <w:autoSpaceDN w:val="0"/>
        <w:adjustRightInd w:val="0"/>
        <w:snapToGrid w:val="0"/>
        <w:spacing w:line="600" w:lineRule="exact"/>
        <w:ind w:firstLine="1960" w:firstLineChars="700"/>
        <w:rPr>
          <w:rFonts w:ascii="宋体" w:hAnsi="宋体" w:cs="宋体"/>
          <w:color w:val="000000" w:themeColor="text1"/>
          <w:sz w:val="28"/>
          <w:szCs w:val="28"/>
          <w:highlight w:val="none"/>
          <w:lang w:val="zh-CN"/>
          <w14:textFill>
            <w14:solidFill>
              <w14:schemeClr w14:val="tx1"/>
            </w14:solidFill>
          </w14:textFill>
        </w:rPr>
      </w:pPr>
      <w:r>
        <w:rPr>
          <w:rFonts w:hint="eastAsia" w:ascii="宋体" w:hAnsi="宋体" w:cs="宋体"/>
          <w:color w:val="000000" w:themeColor="text1"/>
          <w:sz w:val="28"/>
          <w:szCs w:val="28"/>
          <w:highlight w:val="none"/>
          <w:lang w:val="zh-CN"/>
          <w14:textFill>
            <w14:solidFill>
              <w14:schemeClr w14:val="tx1"/>
            </w14:solidFill>
          </w14:textFill>
        </w:rPr>
        <w:t>邮      编：</w:t>
      </w:r>
    </w:p>
    <w:p w14:paraId="61110BF7">
      <w:pPr>
        <w:autoSpaceDE w:val="0"/>
        <w:autoSpaceDN w:val="0"/>
        <w:adjustRightInd w:val="0"/>
        <w:snapToGrid w:val="0"/>
        <w:spacing w:line="600" w:lineRule="exact"/>
        <w:ind w:firstLine="1960" w:firstLineChars="700"/>
        <w:rPr>
          <w:rFonts w:ascii="宋体" w:hAnsi="宋体" w:cs="宋体"/>
          <w:color w:val="000000" w:themeColor="text1"/>
          <w:sz w:val="28"/>
          <w:szCs w:val="28"/>
          <w:highlight w:val="none"/>
          <w:lang w:val="zh-CN"/>
          <w14:textFill>
            <w14:solidFill>
              <w14:schemeClr w14:val="tx1"/>
            </w14:solidFill>
          </w14:textFill>
        </w:rPr>
      </w:pPr>
      <w:r>
        <w:rPr>
          <w:rFonts w:hint="eastAsia" w:ascii="宋体" w:hAnsi="宋体" w:cs="宋体"/>
          <w:color w:val="000000" w:themeColor="text1"/>
          <w:sz w:val="28"/>
          <w:szCs w:val="28"/>
          <w:highlight w:val="none"/>
          <w:lang w:val="zh-CN"/>
          <w14:textFill>
            <w14:solidFill>
              <w14:schemeClr w14:val="tx1"/>
            </w14:solidFill>
          </w14:textFill>
        </w:rPr>
        <w:t>法定代表人：</w:t>
      </w:r>
    </w:p>
    <w:p w14:paraId="23088FB5">
      <w:pPr>
        <w:autoSpaceDE w:val="0"/>
        <w:autoSpaceDN w:val="0"/>
        <w:adjustRightInd w:val="0"/>
        <w:snapToGrid w:val="0"/>
        <w:spacing w:line="600" w:lineRule="exact"/>
        <w:ind w:firstLine="1960" w:firstLineChars="700"/>
        <w:rPr>
          <w:rFonts w:ascii="宋体" w:hAnsi="宋体" w:cs="宋体"/>
          <w:color w:val="000000" w:themeColor="text1"/>
          <w:sz w:val="28"/>
          <w:szCs w:val="28"/>
          <w:highlight w:val="none"/>
          <w:lang w:val="zh-CN"/>
          <w14:textFill>
            <w14:solidFill>
              <w14:schemeClr w14:val="tx1"/>
            </w14:solidFill>
          </w14:textFill>
        </w:rPr>
      </w:pPr>
      <w:r>
        <w:rPr>
          <w:rFonts w:hint="eastAsia" w:ascii="宋体" w:hAnsi="宋体" w:cs="宋体"/>
          <w:color w:val="000000" w:themeColor="text1"/>
          <w:sz w:val="28"/>
          <w:szCs w:val="28"/>
          <w:highlight w:val="none"/>
          <w:lang w:val="zh-CN"/>
          <w14:textFill>
            <w14:solidFill>
              <w14:schemeClr w14:val="tx1"/>
            </w14:solidFill>
          </w14:textFill>
        </w:rPr>
        <w:t>委托代理人：</w:t>
      </w:r>
    </w:p>
    <w:p w14:paraId="7318459D">
      <w:pPr>
        <w:autoSpaceDE w:val="0"/>
        <w:autoSpaceDN w:val="0"/>
        <w:adjustRightInd w:val="0"/>
        <w:snapToGrid w:val="0"/>
        <w:spacing w:line="600" w:lineRule="exact"/>
        <w:ind w:firstLine="1960" w:firstLineChars="700"/>
        <w:rPr>
          <w:rFonts w:ascii="宋体" w:hAnsi="宋体" w:cs="宋体"/>
          <w:color w:val="000000" w:themeColor="text1"/>
          <w:sz w:val="28"/>
          <w:szCs w:val="28"/>
          <w:highlight w:val="none"/>
          <w:lang w:val="zh-CN"/>
          <w14:textFill>
            <w14:solidFill>
              <w14:schemeClr w14:val="tx1"/>
            </w14:solidFill>
          </w14:textFill>
        </w:rPr>
      </w:pPr>
      <w:r>
        <w:rPr>
          <w:rFonts w:hint="eastAsia" w:ascii="宋体" w:hAnsi="宋体" w:cs="宋体"/>
          <w:color w:val="000000" w:themeColor="text1"/>
          <w:sz w:val="28"/>
          <w:szCs w:val="28"/>
          <w:highlight w:val="none"/>
          <w:lang w:val="zh-CN"/>
          <w14:textFill>
            <w14:solidFill>
              <w14:schemeClr w14:val="tx1"/>
            </w14:solidFill>
          </w14:textFill>
        </w:rPr>
        <w:t>电      话：</w:t>
      </w:r>
    </w:p>
    <w:p w14:paraId="26C78B8D">
      <w:pPr>
        <w:autoSpaceDE w:val="0"/>
        <w:autoSpaceDN w:val="0"/>
        <w:adjustRightInd w:val="0"/>
        <w:snapToGrid w:val="0"/>
        <w:spacing w:line="600" w:lineRule="exact"/>
        <w:ind w:firstLine="1960" w:firstLineChars="700"/>
        <w:rPr>
          <w:rFonts w:ascii="宋体" w:hAnsi="宋体" w:cs="宋体"/>
          <w:color w:val="000000" w:themeColor="text1"/>
          <w:sz w:val="28"/>
          <w:szCs w:val="28"/>
          <w:highlight w:val="none"/>
          <w:lang w:val="zh-CN"/>
          <w14:textFill>
            <w14:solidFill>
              <w14:schemeClr w14:val="tx1"/>
            </w14:solidFill>
          </w14:textFill>
        </w:rPr>
      </w:pPr>
      <w:r>
        <w:rPr>
          <w:rFonts w:hint="eastAsia" w:ascii="宋体" w:hAnsi="宋体" w:cs="宋体"/>
          <w:color w:val="000000" w:themeColor="text1"/>
          <w:sz w:val="28"/>
          <w:szCs w:val="28"/>
          <w:highlight w:val="none"/>
          <w:lang w:val="zh-CN"/>
          <w14:textFill>
            <w14:solidFill>
              <w14:schemeClr w14:val="tx1"/>
            </w14:solidFill>
          </w14:textFill>
        </w:rPr>
        <w:t>开户  银行：</w:t>
      </w:r>
    </w:p>
    <w:p w14:paraId="70620BB9">
      <w:pPr>
        <w:autoSpaceDE w:val="0"/>
        <w:autoSpaceDN w:val="0"/>
        <w:adjustRightInd w:val="0"/>
        <w:snapToGrid w:val="0"/>
        <w:spacing w:line="600" w:lineRule="exact"/>
        <w:ind w:firstLine="1960" w:firstLineChars="700"/>
        <w:rPr>
          <w:rFonts w:ascii="宋体" w:hAnsi="宋体" w:cs="宋体"/>
          <w:color w:val="000000" w:themeColor="text1"/>
          <w:sz w:val="28"/>
          <w:szCs w:val="28"/>
          <w:highlight w:val="none"/>
          <w:lang w:val="zh-CN"/>
          <w14:textFill>
            <w14:solidFill>
              <w14:schemeClr w14:val="tx1"/>
            </w14:solidFill>
          </w14:textFill>
        </w:rPr>
      </w:pPr>
      <w:r>
        <w:rPr>
          <w:rFonts w:hint="eastAsia" w:ascii="宋体" w:hAnsi="宋体" w:cs="宋体"/>
          <w:color w:val="000000" w:themeColor="text1"/>
          <w:sz w:val="28"/>
          <w:szCs w:val="28"/>
          <w:highlight w:val="none"/>
          <w:lang w:val="zh-CN"/>
          <w14:textFill>
            <w14:solidFill>
              <w14:schemeClr w14:val="tx1"/>
            </w14:solidFill>
          </w14:textFill>
        </w:rPr>
        <w:t>账      号：</w:t>
      </w:r>
    </w:p>
    <w:p w14:paraId="77B87A98">
      <w:pPr>
        <w:autoSpaceDE w:val="0"/>
        <w:autoSpaceDN w:val="0"/>
        <w:adjustRightInd w:val="0"/>
        <w:snapToGrid w:val="0"/>
        <w:spacing w:line="600" w:lineRule="exact"/>
        <w:ind w:firstLine="1960" w:firstLineChars="700"/>
        <w:rPr>
          <w:rFonts w:ascii="宋体" w:hAnsi="宋体" w:cs="宋体"/>
          <w:color w:val="000000" w:themeColor="text1"/>
          <w:sz w:val="28"/>
          <w:szCs w:val="28"/>
          <w:highlight w:val="none"/>
          <w:lang w:val="zh-CN"/>
          <w14:textFill>
            <w14:solidFill>
              <w14:schemeClr w14:val="tx1"/>
            </w14:solidFill>
          </w14:textFill>
        </w:rPr>
      </w:pPr>
      <w:r>
        <w:rPr>
          <w:rFonts w:hint="eastAsia" w:ascii="宋体" w:hAnsi="宋体" w:cs="宋体"/>
          <w:color w:val="000000" w:themeColor="text1"/>
          <w:sz w:val="28"/>
          <w:szCs w:val="28"/>
          <w:highlight w:val="none"/>
          <w:lang w:val="zh-CN"/>
          <w14:textFill>
            <w14:solidFill>
              <w14:schemeClr w14:val="tx1"/>
            </w14:solidFill>
          </w14:textFill>
        </w:rPr>
        <w:t>签订  日期：</w:t>
      </w:r>
    </w:p>
    <w:p w14:paraId="53560B50">
      <w:pPr>
        <w:autoSpaceDE w:val="0"/>
        <w:autoSpaceDN w:val="0"/>
        <w:adjustRightInd w:val="0"/>
        <w:spacing w:line="300" w:lineRule="auto"/>
        <w:ind w:left="1540" w:right="-72" w:firstLine="420"/>
        <w:rPr>
          <w:rFonts w:ascii="宋体" w:hAnsi="宋体" w:cs="宋体"/>
          <w:color w:val="000000" w:themeColor="text1"/>
          <w:highlight w:val="none"/>
          <w14:textFill>
            <w14:solidFill>
              <w14:schemeClr w14:val="tx1"/>
            </w14:solidFill>
          </w14:textFill>
        </w:rPr>
      </w:pPr>
    </w:p>
    <w:p w14:paraId="7187178B">
      <w:pPr>
        <w:spacing w:line="400" w:lineRule="exact"/>
        <w:ind w:firstLine="1960" w:firstLineChars="700"/>
        <w:rPr>
          <w:rFonts w:ascii="宋体" w:hAnsi="宋体" w:cs="宋体"/>
          <w:color w:val="000000" w:themeColor="text1"/>
          <w:sz w:val="28"/>
          <w:szCs w:val="28"/>
          <w:highlight w:val="none"/>
          <w14:textFill>
            <w14:solidFill>
              <w14:schemeClr w14:val="tx1"/>
            </w14:solidFill>
          </w14:textFill>
        </w:rPr>
      </w:pPr>
    </w:p>
    <w:p w14:paraId="3C68DDFE">
      <w:pPr>
        <w:spacing w:line="480" w:lineRule="exact"/>
        <w:ind w:firstLine="640" w:firstLineChars="200"/>
        <w:rPr>
          <w:rFonts w:ascii="宋体" w:hAnsi="宋体" w:cs="宋体"/>
          <w:color w:val="000000" w:themeColor="text1"/>
          <w:sz w:val="32"/>
          <w:szCs w:val="32"/>
          <w:highlight w:val="none"/>
          <w14:textFill>
            <w14:solidFill>
              <w14:schemeClr w14:val="tx1"/>
            </w14:solidFill>
          </w14:textFill>
        </w:rPr>
      </w:pPr>
    </w:p>
    <w:p w14:paraId="4F5A1EB8">
      <w:pPr>
        <w:spacing w:line="480" w:lineRule="exact"/>
        <w:ind w:firstLine="640" w:firstLineChars="200"/>
        <w:rPr>
          <w:rFonts w:ascii="宋体" w:hAnsi="宋体" w:cs="宋体"/>
          <w:color w:val="000000" w:themeColor="text1"/>
          <w:sz w:val="32"/>
          <w:szCs w:val="32"/>
          <w:highlight w:val="none"/>
          <w14:textFill>
            <w14:solidFill>
              <w14:schemeClr w14:val="tx1"/>
            </w14:solidFill>
          </w14:textFill>
        </w:rPr>
        <w:sectPr>
          <w:footerReference r:id="rId9" w:type="default"/>
          <w:footerReference r:id="rId10" w:type="even"/>
          <w:pgSz w:w="11906" w:h="16838"/>
          <w:pgMar w:top="1191" w:right="1191" w:bottom="1191" w:left="1304" w:header="851" w:footer="992" w:gutter="0"/>
          <w:pgNumType w:start="27" w:chapStyle="1"/>
          <w:cols w:space="720" w:num="1"/>
          <w:docGrid w:type="lines" w:linePitch="312" w:charSpace="0"/>
        </w:sectPr>
      </w:pPr>
    </w:p>
    <w:p w14:paraId="4B941AA2">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甲</w:t>
      </w:r>
      <w:r>
        <w:rPr>
          <w:rFonts w:hint="eastAsia" w:ascii="宋体" w:hAnsi="宋体" w:cs="宋体"/>
          <w:color w:val="000000" w:themeColor="text1"/>
          <w:sz w:val="24"/>
          <w:szCs w:val="24"/>
          <w:highlight w:val="none"/>
          <w14:textFill>
            <w14:solidFill>
              <w14:schemeClr w14:val="tx1"/>
            </w14:solidFill>
          </w14:textFill>
        </w:rPr>
        <w:t>乙双方按照《中华人民共和国民法典》及有关法律法规的规定</w:t>
      </w:r>
      <w:bookmarkStart w:id="306" w:name="_Toc29379752"/>
      <w:r>
        <w:rPr>
          <w:rFonts w:hint="eastAsia" w:ascii="宋体" w:hAnsi="宋体" w:cs="宋体"/>
          <w:color w:val="000000" w:themeColor="text1"/>
          <w:sz w:val="24"/>
          <w:szCs w:val="24"/>
          <w:highlight w:val="none"/>
          <w14:textFill>
            <w14:solidFill>
              <w14:schemeClr w14:val="tx1"/>
            </w14:solidFill>
          </w14:textFill>
        </w:rPr>
        <w:t>，根据</w:t>
      </w:r>
      <w:r>
        <w:rPr>
          <w:rFonts w:hint="eastAsia" w:ascii="宋体" w:hAnsi="宋体" w:cs="宋体"/>
          <w:bCs/>
          <w:color w:val="000000" w:themeColor="text1"/>
          <w:sz w:val="24"/>
          <w:szCs w:val="24"/>
          <w:highlight w:val="none"/>
          <w14:textFill>
            <w14:solidFill>
              <w14:schemeClr w14:val="tx1"/>
            </w14:solidFill>
          </w14:textFill>
        </w:rPr>
        <w:t>编号为</w:t>
      </w:r>
      <w:r>
        <w:rPr>
          <w:rFonts w:hint="eastAsia" w:ascii="宋体" w:hAnsi="宋体" w:cs="宋体"/>
          <w:bCs/>
          <w:color w:val="000000" w:themeColor="text1"/>
          <w:sz w:val="24"/>
          <w:szCs w:val="24"/>
          <w:highlight w:val="none"/>
          <w:u w:val="single"/>
          <w14:textFill>
            <w14:solidFill>
              <w14:schemeClr w14:val="tx1"/>
            </w14:solidFill>
          </w14:textFill>
        </w:rPr>
        <w:t xml:space="preserve"> </w:t>
      </w:r>
      <w:r>
        <w:rPr>
          <w:rFonts w:hint="eastAsia" w:ascii="宋体" w:hAnsi="宋体" w:cs="宋体"/>
          <w:i/>
          <w:color w:val="000000" w:themeColor="text1"/>
          <w:sz w:val="24"/>
          <w:szCs w:val="24"/>
          <w:highlight w:val="none"/>
          <w:u w:val="single"/>
          <w14:textFill>
            <w14:solidFill>
              <w14:schemeClr w14:val="tx1"/>
            </w14:solidFill>
          </w14:textFill>
        </w:rPr>
        <w:t xml:space="preserve">招标编号 </w:t>
      </w:r>
      <w:r>
        <w:rPr>
          <w:rFonts w:hint="eastAsia" w:ascii="宋体" w:hAnsi="宋体" w:cs="宋体"/>
          <w:color w:val="000000" w:themeColor="text1"/>
          <w:sz w:val="24"/>
          <w:szCs w:val="24"/>
          <w:highlight w:val="none"/>
          <w14:textFill>
            <w14:solidFill>
              <w14:schemeClr w14:val="tx1"/>
            </w14:solidFill>
          </w14:textFill>
        </w:rPr>
        <w:t>的</w:t>
      </w:r>
      <w:r>
        <w:rPr>
          <w:rFonts w:hint="eastAsia" w:ascii="宋体" w:hAnsi="宋体" w:cs="宋体"/>
          <w:bCs/>
          <w:color w:val="000000" w:themeColor="text1"/>
          <w:sz w:val="24"/>
          <w:szCs w:val="24"/>
          <w:highlight w:val="none"/>
          <w14:textFill>
            <w14:solidFill>
              <w14:schemeClr w14:val="tx1"/>
            </w14:solidFill>
          </w14:textFill>
        </w:rPr>
        <w:t xml:space="preserve"> “</w:t>
      </w:r>
      <w:r>
        <w:rPr>
          <w:rFonts w:hint="eastAsia" w:ascii="宋体" w:hAnsi="宋体" w:cs="宋体"/>
          <w:bCs/>
          <w:color w:val="000000" w:themeColor="text1"/>
          <w:sz w:val="24"/>
          <w:szCs w:val="24"/>
          <w:highlight w:val="none"/>
          <w:u w:val="single"/>
          <w14:textFill>
            <w14:solidFill>
              <w14:schemeClr w14:val="tx1"/>
            </w14:solidFill>
          </w14:textFill>
        </w:rPr>
        <w:t xml:space="preserve"> 西南林业大学第二届智华联谊活动舞台灯光音响租赁服务</w:t>
      </w:r>
      <w:r>
        <w:rPr>
          <w:rFonts w:hint="eastAsia" w:ascii="宋体" w:hAnsi="宋体" w:cs="宋体"/>
          <w:bCs/>
          <w:i/>
          <w:color w:val="000000" w:themeColor="text1"/>
          <w:sz w:val="24"/>
          <w:szCs w:val="24"/>
          <w:highlight w:val="none"/>
          <w:u w:val="single"/>
          <w14:textFill>
            <w14:solidFill>
              <w14:schemeClr w14:val="tx1"/>
            </w14:solidFill>
          </w14:textFill>
        </w:rPr>
        <w:t xml:space="preserve"> </w:t>
      </w:r>
      <w:r>
        <w:rPr>
          <w:rFonts w:hint="eastAsia" w:ascii="宋体" w:hAnsi="宋体" w:cs="宋体"/>
          <w:bCs/>
          <w:color w:val="000000" w:themeColor="text1"/>
          <w:sz w:val="24"/>
          <w:szCs w:val="24"/>
          <w:highlight w:val="none"/>
          <w14:textFill>
            <w14:solidFill>
              <w14:schemeClr w14:val="tx1"/>
            </w14:solidFill>
          </w14:textFill>
        </w:rPr>
        <w:t>”</w:t>
      </w:r>
      <w:r>
        <w:rPr>
          <w:rFonts w:hint="eastAsia" w:ascii="宋体" w:hAnsi="宋体" w:cs="宋体"/>
          <w:color w:val="000000" w:themeColor="text1"/>
          <w:sz w:val="24"/>
          <w:szCs w:val="24"/>
          <w:highlight w:val="none"/>
          <w14:textFill>
            <w14:solidFill>
              <w14:schemeClr w14:val="tx1"/>
            </w14:solidFill>
          </w14:textFill>
        </w:rPr>
        <w:t xml:space="preserve"> 采购项目</w:t>
      </w:r>
      <w:r>
        <w:rPr>
          <w:rFonts w:hint="eastAsia" w:ascii="宋体" w:hAnsi="宋体" w:cs="宋体"/>
          <w:color w:val="000000" w:themeColor="text1"/>
          <w:sz w:val="24"/>
          <w:szCs w:val="24"/>
          <w:highlight w:val="none"/>
          <w:u w:val="single"/>
          <w14:textFill>
            <w14:solidFill>
              <w14:schemeClr w14:val="tx1"/>
            </w14:solidFill>
          </w14:textFill>
        </w:rPr>
        <w:t xml:space="preserve"> </w:t>
      </w:r>
      <w:r>
        <w:rPr>
          <w:rFonts w:hint="eastAsia" w:ascii="宋体" w:hAnsi="宋体" w:cs="宋体"/>
          <w:bCs/>
          <w:i/>
          <w:color w:val="000000" w:themeColor="text1"/>
          <w:sz w:val="24"/>
          <w:szCs w:val="24"/>
          <w:highlight w:val="none"/>
          <w:u w:val="single"/>
          <w14:textFill>
            <w14:solidFill>
              <w14:schemeClr w14:val="tx1"/>
            </w14:solidFill>
          </w14:textFill>
        </w:rPr>
        <w:t xml:space="preserve">/ </w:t>
      </w:r>
      <w:r>
        <w:rPr>
          <w:rFonts w:hint="eastAsia" w:ascii="宋体" w:hAnsi="宋体" w:cs="宋体"/>
          <w:bCs/>
          <w:iCs/>
          <w:color w:val="000000" w:themeColor="text1"/>
          <w:sz w:val="24"/>
          <w:szCs w:val="24"/>
          <w:highlight w:val="none"/>
          <w14:textFill>
            <w14:solidFill>
              <w14:schemeClr w14:val="tx1"/>
            </w14:solidFill>
          </w14:textFill>
        </w:rPr>
        <w:t>标段</w:t>
      </w:r>
      <w:r>
        <w:rPr>
          <w:rFonts w:hint="eastAsia" w:ascii="宋体" w:hAnsi="宋体" w:cs="宋体"/>
          <w:bCs/>
          <w:iCs/>
          <w:color w:val="000000" w:themeColor="text1"/>
          <w:sz w:val="24"/>
          <w:szCs w:val="24"/>
          <w:highlight w:val="none"/>
          <w:u w:val="single"/>
          <w14:textFill>
            <w14:solidFill>
              <w14:schemeClr w14:val="tx1"/>
            </w14:solidFill>
          </w14:textFill>
        </w:rPr>
        <w:t xml:space="preserve"> 公开招标</w:t>
      </w:r>
      <w:r>
        <w:rPr>
          <w:rFonts w:hint="eastAsia" w:ascii="宋体" w:hAnsi="宋体" w:cs="宋体"/>
          <w:bCs/>
          <w:i/>
          <w:color w:val="000000" w:themeColor="text1"/>
          <w:sz w:val="24"/>
          <w:szCs w:val="24"/>
          <w:highlight w:val="none"/>
          <w:u w:val="single"/>
          <w14:textFill>
            <w14:solidFill>
              <w14:schemeClr w14:val="tx1"/>
            </w14:solidFill>
          </w14:textFill>
        </w:rPr>
        <w:t xml:space="preserve"> </w:t>
      </w:r>
      <w:r>
        <w:rPr>
          <w:rFonts w:hint="eastAsia" w:ascii="宋体" w:hAnsi="宋体" w:cs="宋体"/>
          <w:color w:val="000000" w:themeColor="text1"/>
          <w:sz w:val="24"/>
          <w:szCs w:val="24"/>
          <w:highlight w:val="none"/>
          <w14:textFill>
            <w14:solidFill>
              <w14:schemeClr w14:val="tx1"/>
            </w14:solidFill>
          </w14:textFill>
        </w:rPr>
        <w:t>的采购结果，以及采购及响应文件相关内容，经双方协定达成一致，签订以下内容：</w:t>
      </w:r>
    </w:p>
    <w:bookmarkEnd w:id="306"/>
    <w:p w14:paraId="7A2C47A1">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一、服务内容</w:t>
      </w:r>
    </w:p>
    <w:p w14:paraId="41522736">
      <w:pPr>
        <w:spacing w:line="480" w:lineRule="exact"/>
        <w:ind w:firstLine="480" w:firstLineChars="200"/>
        <w:rPr>
          <w:rFonts w:ascii="宋体" w:hAnsi="宋体" w:cs="宋体"/>
          <w:color w:val="000000" w:themeColor="text1"/>
          <w:sz w:val="24"/>
          <w:szCs w:val="24"/>
          <w:highlight w:val="none"/>
          <w14:textFill>
            <w14:solidFill>
              <w14:schemeClr w14:val="tx1"/>
            </w14:solidFill>
          </w14:textFill>
        </w:rPr>
      </w:pPr>
      <w:bookmarkStart w:id="307" w:name="_Toc29379755"/>
      <w:r>
        <w:rPr>
          <w:rFonts w:hint="eastAsia" w:ascii="宋体" w:hAnsi="宋体" w:cs="宋体"/>
          <w:color w:val="000000" w:themeColor="text1"/>
          <w:sz w:val="24"/>
          <w:szCs w:val="24"/>
          <w:highlight w:val="none"/>
          <w14:textFill>
            <w14:solidFill>
              <w14:schemeClr w14:val="tx1"/>
            </w14:solidFill>
          </w14:textFill>
        </w:rPr>
        <w:t>（一）整体效果定位</w:t>
      </w:r>
    </w:p>
    <w:p w14:paraId="3DBCE7E6">
      <w:pPr>
        <w:spacing w:line="48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灯光、音响系统需兼顾“庄重性”与“观赏性”，适配联谊活动的公益属性和院校交流的青春氛围，确保现场2000名观众均能清晰观看、清晰聆听，无视觉盲区、无声音失真，整体呈现专业、流畅、有感染力的活动效果。</w:t>
      </w:r>
    </w:p>
    <w:p w14:paraId="0E1F2DBB">
      <w:pPr>
        <w:spacing w:line="48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（二）灯光系统效果要求</w:t>
      </w:r>
    </w:p>
    <w:p w14:paraId="496E24C0">
      <w:pPr>
        <w:spacing w:line="48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1.基础照明：舞台整体亮度均匀，无明显光斑、暗区，观众席及舞台周边通道照明充足，保障现场安全及拍摄需求（适配高清摄像，无反光、无炫光）。</w:t>
      </w:r>
    </w:p>
    <w:p w14:paraId="1CFDA02E">
      <w:pPr>
        <w:spacing w:line="48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2.氛围营造：可根据不同节目类型（抒情、动感、庄重、温情）切换灯光效果，支持暖光、冷光、彩色光的灵活切换，具备追光、扫光、频闪、渐变等功能，突出节目核心亮点，带动现场氛围。</w:t>
      </w:r>
    </w:p>
    <w:p w14:paraId="56422A87">
      <w:pPr>
        <w:spacing w:line="48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重点突出：配备专业追光设备，可精准追踪舞台上的表演者（单人、多人），确保表演者成为视觉焦点；针对语言类节目，灯光需柔和聚焦，突出人物表情；针对舞蹈、歌曲类节目，灯光可配合节奏变化，增强视觉冲击力。</w:t>
      </w:r>
    </w:p>
    <w:p w14:paraId="34D243EC">
      <w:pPr>
        <w:spacing w:line="48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4.设备适配：灯光设备需适配活动场地尺寸，避免灯光范围不足或过度浪费，设备运行稳定，无噪音、无故障，灯光切换流畅，无卡顿、无延迟，支持现场操作人员实时调控。</w:t>
      </w:r>
    </w:p>
    <w:p w14:paraId="6CFBCA41">
      <w:pPr>
        <w:spacing w:line="48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（三）音响系统效果要求</w:t>
      </w:r>
    </w:p>
    <w:p w14:paraId="7277155A">
      <w:pPr>
        <w:spacing w:line="48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1.音质要求：声音清晰、饱满、无杂音、无失真，高低音均衡，人声与伴奏分离清晰，确保现场所有观众（含后排观众）均能清晰听到节目声音、主持人串词及互动环节的声音，无回声、无啸叫。</w:t>
      </w:r>
    </w:p>
    <w:p w14:paraId="7E48C341">
      <w:pPr>
        <w:spacing w:line="48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2.覆盖范围：音响覆盖整个活动场地，声音传播均匀，无死角、无强弱差异，音量可灵活调节，既能满足演出需求，又不会产生刺耳噪音。</w:t>
      </w:r>
    </w:p>
    <w:p w14:paraId="11B680B3">
      <w:pPr>
        <w:spacing w:line="48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3.设备适配：配备足够功率的音响设备，适配2000人规模场地；配备专业麦克风（手持、领夹、台式），数量满足主持人、表演者、互动环节的需求，麦克风信号稳定，无断音、无干扰。</w:t>
      </w:r>
    </w:p>
    <w:p w14:paraId="7C3133F8">
      <w:pPr>
        <w:spacing w:line="48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4.应急保障：音响系统需具备应急备用方案，避免出现设备故障导致晚会中断，确保晚会顺利进行。</w:t>
      </w:r>
    </w:p>
    <w:p w14:paraId="098F99D0">
      <w:pPr>
        <w:spacing w:line="48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（四）其他配套效果要求</w:t>
      </w:r>
    </w:p>
    <w:p w14:paraId="719C7F2E">
      <w:pPr>
        <w:spacing w:line="48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1.舞台背景配合：灯光需与舞台背景（LED屏）协调，突出背景主题，增强整体视觉效果；配备LED屏，灯光需避免强光直射屏幕，防止反光影响观看。</w:t>
      </w:r>
    </w:p>
    <w:p w14:paraId="2C996222">
      <w:pPr>
        <w:spacing w:line="48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2.互动适配：支持互动环节的声音、灯光配合，如观众互动、抽奖环节，可通过灯光、音响营造热烈氛围，提升现场参与感。</w:t>
      </w:r>
    </w:p>
    <w:p w14:paraId="37F5B398">
      <w:pPr>
        <w:spacing w:line="48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（五）其他要求</w:t>
      </w:r>
    </w:p>
    <w:p w14:paraId="6527AFB0">
      <w:pPr>
        <w:spacing w:line="48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r>
        <w:rPr>
          <w:rFonts w:hint="eastAsia" w:ascii="宋体" w:hAnsi="宋体" w:cs="宋体"/>
          <w:color w:val="000000" w:themeColor="text1"/>
          <w:sz w:val="24"/>
          <w:szCs w:val="24"/>
          <w:highlight w:val="none"/>
          <w:lang w:val="en-US" w:eastAsia="zh-CN"/>
          <w14:textFill>
            <w14:solidFill>
              <w14:schemeClr w14:val="tx1"/>
            </w14:solidFill>
          </w14:textFill>
        </w:rPr>
        <w:t>乙方</w:t>
      </w:r>
      <w:r>
        <w:rPr>
          <w:rFonts w:hint="eastAsia" w:ascii="宋体" w:hAnsi="宋体" w:cs="宋体"/>
          <w:color w:val="000000" w:themeColor="text1"/>
          <w:sz w:val="24"/>
          <w:szCs w:val="24"/>
          <w:highlight w:val="none"/>
          <w14:textFill>
            <w14:solidFill>
              <w14:schemeClr w14:val="tx1"/>
            </w14:solidFill>
          </w14:textFill>
        </w:rPr>
        <w:t>具有类似大型活动的经验，具备舞台灯光音响租赁、现场执行相关租赁及执行经验，无违法违规经营记录，无重大安全事故及服务投诉记录。</w:t>
      </w:r>
    </w:p>
    <w:p w14:paraId="2F4C0638">
      <w:pPr>
        <w:spacing w:line="48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w:t>
      </w:r>
      <w:r>
        <w:rPr>
          <w:rFonts w:hint="eastAsia" w:ascii="宋体" w:hAnsi="宋体" w:cs="宋体"/>
          <w:color w:val="000000" w:themeColor="text1"/>
          <w:sz w:val="24"/>
          <w:szCs w:val="24"/>
          <w:highlight w:val="none"/>
          <w:lang w:val="en-US" w:eastAsia="zh-CN"/>
          <w14:textFill>
            <w14:solidFill>
              <w14:schemeClr w14:val="tx1"/>
            </w14:solidFill>
          </w14:textFill>
        </w:rPr>
        <w:t>乙方</w:t>
      </w:r>
      <w:r>
        <w:rPr>
          <w:rFonts w:hint="eastAsia" w:ascii="宋体" w:hAnsi="宋体" w:cs="宋体"/>
          <w:color w:val="000000" w:themeColor="text1"/>
          <w:sz w:val="24"/>
          <w:szCs w:val="24"/>
          <w:highlight w:val="none"/>
          <w14:textFill>
            <w14:solidFill>
              <w14:schemeClr w14:val="tx1"/>
            </w14:solidFill>
          </w14:textFill>
        </w:rPr>
        <w:t>需具备完善的设备保障体系，拥有自有或长期合作的专业灯光、音响设备，设备均需符合国家相关质量标准，无老化、破损情况，且在使用前需进行全面检测，确保设备正常运行。</w:t>
      </w:r>
    </w:p>
    <w:p w14:paraId="394AC2DC">
      <w:pPr>
        <w:spacing w:line="48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w:t>
      </w:r>
      <w:r>
        <w:rPr>
          <w:rFonts w:hint="eastAsia" w:ascii="宋体" w:hAnsi="宋体" w:cs="宋体"/>
          <w:color w:val="000000" w:themeColor="text1"/>
          <w:sz w:val="24"/>
          <w:szCs w:val="24"/>
          <w:highlight w:val="none"/>
          <w:lang w:val="en-US" w:eastAsia="zh-CN"/>
          <w14:textFill>
            <w14:solidFill>
              <w14:schemeClr w14:val="tx1"/>
            </w14:solidFill>
          </w14:textFill>
        </w:rPr>
        <w:t>乙方</w:t>
      </w:r>
      <w:r>
        <w:rPr>
          <w:rFonts w:hint="eastAsia" w:ascii="宋体" w:hAnsi="宋体" w:cs="宋体"/>
          <w:color w:val="000000" w:themeColor="text1"/>
          <w:sz w:val="24"/>
          <w:szCs w:val="24"/>
          <w:highlight w:val="none"/>
          <w14:textFill>
            <w14:solidFill>
              <w14:schemeClr w14:val="tx1"/>
            </w14:solidFill>
          </w14:textFill>
        </w:rPr>
        <w:t>需具备专业的技术团队，包括灯光师、音响师、设备调试人员等，所有技术人员需具备相应的专业资质证书，拥有丰富的大型活动现场执行经验，能够精准把控晚会效果，及时处理现场突发故障。</w:t>
      </w:r>
    </w:p>
    <w:p w14:paraId="56675789">
      <w:pPr>
        <w:spacing w:line="48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4.</w:t>
      </w:r>
      <w:r>
        <w:rPr>
          <w:rFonts w:hint="eastAsia" w:ascii="宋体" w:hAnsi="宋体" w:cs="宋体"/>
          <w:color w:val="000000" w:themeColor="text1"/>
          <w:sz w:val="24"/>
          <w:szCs w:val="24"/>
          <w:highlight w:val="none"/>
          <w:lang w:val="en-US" w:eastAsia="zh-CN"/>
          <w14:textFill>
            <w14:solidFill>
              <w14:schemeClr w14:val="tx1"/>
            </w14:solidFill>
          </w14:textFill>
        </w:rPr>
        <w:t>乙方</w:t>
      </w:r>
      <w:r>
        <w:rPr>
          <w:rFonts w:hint="eastAsia" w:ascii="宋体" w:hAnsi="宋体" w:cs="宋体"/>
          <w:color w:val="000000" w:themeColor="text1"/>
          <w:sz w:val="24"/>
          <w:szCs w:val="24"/>
          <w:highlight w:val="none"/>
          <w14:textFill>
            <w14:solidFill>
              <w14:schemeClr w14:val="tx1"/>
            </w14:solidFill>
          </w14:textFill>
        </w:rPr>
        <w:t>需具备完善的售后服务及应急处理能力，能够快速响应现场需求，针对设备故障、效果调整等问题，提供即时解决方案，确保晚会不受影响。</w:t>
      </w:r>
    </w:p>
    <w:p w14:paraId="5C5E3046">
      <w:pPr>
        <w:spacing w:line="48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（六）服务流程要求</w:t>
      </w:r>
    </w:p>
    <w:p w14:paraId="5B8D41D3">
      <w:pPr>
        <w:spacing w:line="48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1.前期对接：</w:t>
      </w:r>
      <w:r>
        <w:rPr>
          <w:rFonts w:hint="eastAsia" w:ascii="宋体" w:hAnsi="宋体" w:cs="宋体"/>
          <w:color w:val="000000" w:themeColor="text1"/>
          <w:sz w:val="24"/>
          <w:szCs w:val="24"/>
          <w:highlight w:val="none"/>
          <w:lang w:val="en-US" w:eastAsia="zh-CN"/>
          <w14:textFill>
            <w14:solidFill>
              <w14:schemeClr w14:val="tx1"/>
            </w14:solidFill>
          </w14:textFill>
        </w:rPr>
        <w:t>乙方</w:t>
      </w:r>
      <w:r>
        <w:rPr>
          <w:rFonts w:hint="eastAsia" w:ascii="宋体" w:hAnsi="宋体" w:cs="宋体"/>
          <w:color w:val="000000" w:themeColor="text1"/>
          <w:sz w:val="24"/>
          <w:szCs w:val="24"/>
          <w:highlight w:val="none"/>
          <w14:textFill>
            <w14:solidFill>
              <w14:schemeClr w14:val="tx1"/>
            </w14:solidFill>
          </w14:textFill>
        </w:rPr>
        <w:t>需在</w:t>
      </w:r>
      <w:r>
        <w:rPr>
          <w:rFonts w:hint="eastAsia" w:ascii="宋体" w:hAnsi="宋体" w:cs="宋体"/>
          <w:color w:val="000000" w:themeColor="text1"/>
          <w:sz w:val="24"/>
          <w:szCs w:val="24"/>
          <w:highlight w:val="none"/>
          <w:lang w:val="en-US" w:eastAsia="zh-CN"/>
          <w14:textFill>
            <w14:solidFill>
              <w14:schemeClr w14:val="tx1"/>
            </w14:solidFill>
          </w14:textFill>
        </w:rPr>
        <w:t>收到通知</w:t>
      </w:r>
      <w:r>
        <w:rPr>
          <w:rFonts w:hint="eastAsia" w:ascii="宋体" w:hAnsi="宋体" w:cs="宋体"/>
          <w:color w:val="000000" w:themeColor="text1"/>
          <w:sz w:val="24"/>
          <w:szCs w:val="24"/>
          <w:highlight w:val="none"/>
          <w14:textFill>
            <w14:solidFill>
              <w14:schemeClr w14:val="tx1"/>
            </w14:solidFill>
          </w14:textFill>
        </w:rPr>
        <w:t>后24小时内与</w:t>
      </w:r>
      <w:r>
        <w:rPr>
          <w:rFonts w:hint="eastAsia" w:ascii="宋体" w:hAnsi="宋体" w:cs="宋体"/>
          <w:color w:val="000000" w:themeColor="text1"/>
          <w:sz w:val="24"/>
          <w:szCs w:val="24"/>
          <w:highlight w:val="none"/>
          <w:lang w:val="en-US" w:eastAsia="zh-CN"/>
          <w14:textFill>
            <w14:solidFill>
              <w14:schemeClr w14:val="tx1"/>
            </w14:solidFill>
          </w14:textFill>
        </w:rPr>
        <w:t>甲方</w:t>
      </w:r>
      <w:r>
        <w:rPr>
          <w:rFonts w:hint="eastAsia" w:ascii="宋体" w:hAnsi="宋体" w:cs="宋体"/>
          <w:color w:val="000000" w:themeColor="text1"/>
          <w:sz w:val="24"/>
          <w:szCs w:val="24"/>
          <w:highlight w:val="none"/>
          <w14:textFill>
            <w14:solidFill>
              <w14:schemeClr w14:val="tx1"/>
            </w14:solidFill>
          </w14:textFill>
        </w:rPr>
        <w:t>对接，了解活动细节、场地情况，配合</w:t>
      </w:r>
      <w:r>
        <w:rPr>
          <w:rFonts w:hint="eastAsia" w:ascii="宋体" w:hAnsi="宋体" w:cs="宋体"/>
          <w:color w:val="000000" w:themeColor="text1"/>
          <w:sz w:val="24"/>
          <w:szCs w:val="24"/>
          <w:highlight w:val="none"/>
          <w:lang w:val="en-US" w:eastAsia="zh-CN"/>
          <w14:textFill>
            <w14:solidFill>
              <w14:schemeClr w14:val="tx1"/>
            </w14:solidFill>
          </w14:textFill>
        </w:rPr>
        <w:t>甲方</w:t>
      </w:r>
      <w:r>
        <w:rPr>
          <w:rFonts w:hint="eastAsia" w:ascii="宋体" w:hAnsi="宋体" w:cs="宋体"/>
          <w:color w:val="000000" w:themeColor="text1"/>
          <w:sz w:val="24"/>
          <w:szCs w:val="24"/>
          <w:highlight w:val="none"/>
          <w14:textFill>
            <w14:solidFill>
              <w14:schemeClr w14:val="tx1"/>
            </w14:solidFill>
          </w14:textFill>
        </w:rPr>
        <w:t>完成灯光音响方案的细化设计，方案需经</w:t>
      </w:r>
      <w:r>
        <w:rPr>
          <w:rFonts w:hint="eastAsia" w:ascii="宋体" w:hAnsi="宋体" w:cs="宋体"/>
          <w:color w:val="000000" w:themeColor="text1"/>
          <w:sz w:val="24"/>
          <w:szCs w:val="24"/>
          <w:highlight w:val="none"/>
          <w:lang w:val="en-US" w:eastAsia="zh-CN"/>
          <w14:textFill>
            <w14:solidFill>
              <w14:schemeClr w14:val="tx1"/>
            </w14:solidFill>
          </w14:textFill>
        </w:rPr>
        <w:t>甲方</w:t>
      </w:r>
      <w:r>
        <w:rPr>
          <w:rFonts w:hint="eastAsia" w:ascii="宋体" w:hAnsi="宋体" w:cs="宋体"/>
          <w:color w:val="000000" w:themeColor="text1"/>
          <w:sz w:val="24"/>
          <w:szCs w:val="24"/>
          <w:highlight w:val="none"/>
          <w14:textFill>
            <w14:solidFill>
              <w14:schemeClr w14:val="tx1"/>
            </w14:solidFill>
          </w14:textFill>
        </w:rPr>
        <w:t>确认后方可实施。</w:t>
      </w:r>
    </w:p>
    <w:p w14:paraId="25936387">
      <w:pPr>
        <w:spacing w:line="48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2.现场搭建：</w:t>
      </w:r>
      <w:r>
        <w:rPr>
          <w:rFonts w:hint="eastAsia" w:ascii="宋体" w:hAnsi="宋体" w:cs="宋体"/>
          <w:color w:val="000000" w:themeColor="text1"/>
          <w:sz w:val="24"/>
          <w:szCs w:val="24"/>
          <w:highlight w:val="none"/>
          <w:lang w:val="en-US" w:eastAsia="zh-CN"/>
          <w14:textFill>
            <w14:solidFill>
              <w14:schemeClr w14:val="tx1"/>
            </w14:solidFill>
          </w14:textFill>
        </w:rPr>
        <w:t>乙方</w:t>
      </w:r>
      <w:r>
        <w:rPr>
          <w:rFonts w:hint="eastAsia" w:ascii="宋体" w:hAnsi="宋体" w:cs="宋体"/>
          <w:color w:val="000000" w:themeColor="text1"/>
          <w:sz w:val="24"/>
          <w:szCs w:val="24"/>
          <w:highlight w:val="none"/>
          <w14:textFill>
            <w14:solidFill>
              <w14:schemeClr w14:val="tx1"/>
            </w14:solidFill>
          </w14:textFill>
        </w:rPr>
        <w:t>需按照确认的方案，在晚会开始前完成灯光、音响设备的运输、安装、调试工作，搭建时间需符合</w:t>
      </w:r>
      <w:r>
        <w:rPr>
          <w:rFonts w:hint="eastAsia" w:ascii="宋体" w:hAnsi="宋体" w:cs="宋体"/>
          <w:color w:val="000000" w:themeColor="text1"/>
          <w:sz w:val="24"/>
          <w:szCs w:val="24"/>
          <w:highlight w:val="none"/>
          <w:lang w:val="en-US" w:eastAsia="zh-CN"/>
          <w14:textFill>
            <w14:solidFill>
              <w14:schemeClr w14:val="tx1"/>
            </w14:solidFill>
          </w14:textFill>
        </w:rPr>
        <w:t>甲方</w:t>
      </w:r>
      <w:r>
        <w:rPr>
          <w:rFonts w:hint="eastAsia" w:ascii="宋体" w:hAnsi="宋体" w:cs="宋体"/>
          <w:color w:val="000000" w:themeColor="text1"/>
          <w:sz w:val="24"/>
          <w:szCs w:val="24"/>
          <w:highlight w:val="none"/>
          <w14:textFill>
            <w14:solidFill>
              <w14:schemeClr w14:val="tx1"/>
            </w14:solidFill>
          </w14:textFill>
        </w:rPr>
        <w:t>要求，不得延误活动筹备进度；搭建过程中需遵守场地管理规定，做好安全防护，避免损坏场地设施。</w:t>
      </w:r>
    </w:p>
    <w:p w14:paraId="714D9E80">
      <w:pPr>
        <w:spacing w:line="48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3.现场执行：活动期间，</w:t>
      </w:r>
      <w:r>
        <w:rPr>
          <w:rFonts w:hint="eastAsia" w:ascii="宋体" w:hAnsi="宋体" w:cs="宋体"/>
          <w:color w:val="000000" w:themeColor="text1"/>
          <w:sz w:val="24"/>
          <w:szCs w:val="24"/>
          <w:highlight w:val="none"/>
          <w:lang w:val="en-US" w:eastAsia="zh-CN"/>
          <w14:textFill>
            <w14:solidFill>
              <w14:schemeClr w14:val="tx1"/>
            </w14:solidFill>
          </w14:textFill>
        </w:rPr>
        <w:t>乙方</w:t>
      </w:r>
      <w:r>
        <w:rPr>
          <w:rFonts w:hint="eastAsia" w:ascii="宋体" w:hAnsi="宋体" w:cs="宋体"/>
          <w:color w:val="000000" w:themeColor="text1"/>
          <w:sz w:val="24"/>
          <w:szCs w:val="24"/>
          <w:highlight w:val="none"/>
          <w14:textFill>
            <w14:solidFill>
              <w14:schemeClr w14:val="tx1"/>
            </w14:solidFill>
          </w14:textFill>
        </w:rPr>
        <w:t>需安排专业技术人员全程值守，负责灯光、音响的实时调控，配合节目流程及</w:t>
      </w:r>
      <w:r>
        <w:rPr>
          <w:rFonts w:hint="eastAsia" w:ascii="宋体" w:hAnsi="宋体" w:cs="宋体"/>
          <w:color w:val="000000" w:themeColor="text1"/>
          <w:sz w:val="24"/>
          <w:szCs w:val="24"/>
          <w:highlight w:val="none"/>
          <w:lang w:val="en-US" w:eastAsia="zh-CN"/>
          <w14:textFill>
            <w14:solidFill>
              <w14:schemeClr w14:val="tx1"/>
            </w14:solidFill>
          </w14:textFill>
        </w:rPr>
        <w:t>甲方</w:t>
      </w:r>
      <w:r>
        <w:rPr>
          <w:rFonts w:hint="eastAsia" w:ascii="宋体" w:hAnsi="宋体" w:cs="宋体"/>
          <w:color w:val="000000" w:themeColor="text1"/>
          <w:sz w:val="24"/>
          <w:szCs w:val="24"/>
          <w:highlight w:val="none"/>
          <w14:textFill>
            <w14:solidFill>
              <w14:schemeClr w14:val="tx1"/>
            </w14:solidFill>
          </w14:textFill>
        </w:rPr>
        <w:t>要求，及时调整效果；全程做好设备维护，确保设备无故障运行。</w:t>
      </w:r>
    </w:p>
    <w:p w14:paraId="68AD9B87">
      <w:pPr>
        <w:spacing w:line="48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4.后期撤场：活动结束后，</w:t>
      </w:r>
      <w:r>
        <w:rPr>
          <w:rFonts w:hint="eastAsia" w:ascii="宋体" w:hAnsi="宋体" w:cs="宋体"/>
          <w:color w:val="000000" w:themeColor="text1"/>
          <w:sz w:val="24"/>
          <w:szCs w:val="24"/>
          <w:highlight w:val="none"/>
          <w:lang w:val="en-US" w:eastAsia="zh-CN"/>
          <w14:textFill>
            <w14:solidFill>
              <w14:schemeClr w14:val="tx1"/>
            </w14:solidFill>
          </w14:textFill>
        </w:rPr>
        <w:t>乙方</w:t>
      </w:r>
      <w:r>
        <w:rPr>
          <w:rFonts w:hint="eastAsia" w:ascii="宋体" w:hAnsi="宋体" w:cs="宋体"/>
          <w:color w:val="000000" w:themeColor="text1"/>
          <w:sz w:val="24"/>
          <w:szCs w:val="24"/>
          <w:highlight w:val="none"/>
          <w14:textFill>
            <w14:solidFill>
              <w14:schemeClr w14:val="tx1"/>
            </w14:solidFill>
          </w14:textFill>
        </w:rPr>
        <w:t>需在</w:t>
      </w:r>
      <w:r>
        <w:rPr>
          <w:rFonts w:hint="eastAsia" w:ascii="宋体" w:hAnsi="宋体" w:cs="宋体"/>
          <w:color w:val="000000" w:themeColor="text1"/>
          <w:sz w:val="24"/>
          <w:szCs w:val="24"/>
          <w:highlight w:val="none"/>
          <w:lang w:val="en-US" w:eastAsia="zh-CN"/>
          <w14:textFill>
            <w14:solidFill>
              <w14:schemeClr w14:val="tx1"/>
            </w14:solidFill>
          </w14:textFill>
        </w:rPr>
        <w:t>甲方</w:t>
      </w:r>
      <w:r>
        <w:rPr>
          <w:rFonts w:hint="eastAsia" w:ascii="宋体" w:hAnsi="宋体" w:cs="宋体"/>
          <w:color w:val="000000" w:themeColor="text1"/>
          <w:sz w:val="24"/>
          <w:szCs w:val="24"/>
          <w:highlight w:val="none"/>
          <w14:textFill>
            <w14:solidFill>
              <w14:schemeClr w14:val="tx1"/>
            </w14:solidFill>
          </w14:textFill>
        </w:rPr>
        <w:t>规定时间内完成设备的拆卸、运输、清理工作，恢复场地原貌，不得遗留任何设备、垃圾等物品，确保场地整洁。</w:t>
      </w:r>
    </w:p>
    <w:p w14:paraId="47470D49">
      <w:pPr>
        <w:spacing w:line="48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（七）其他服务要求</w:t>
      </w:r>
    </w:p>
    <w:p w14:paraId="40137FBB">
      <w:pPr>
        <w:spacing w:line="48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r>
        <w:rPr>
          <w:rFonts w:hint="eastAsia" w:ascii="宋体" w:hAnsi="宋体" w:cs="宋体"/>
          <w:color w:val="000000" w:themeColor="text1"/>
          <w:sz w:val="24"/>
          <w:szCs w:val="24"/>
          <w:highlight w:val="none"/>
          <w:lang w:val="en-US" w:eastAsia="zh-CN"/>
          <w14:textFill>
            <w14:solidFill>
              <w14:schemeClr w14:val="tx1"/>
            </w14:solidFill>
          </w14:textFill>
        </w:rPr>
        <w:t>乙方</w:t>
      </w:r>
      <w:r>
        <w:rPr>
          <w:rFonts w:hint="eastAsia" w:ascii="宋体" w:hAnsi="宋体" w:cs="宋体"/>
          <w:color w:val="000000" w:themeColor="text1"/>
          <w:sz w:val="24"/>
          <w:szCs w:val="24"/>
          <w:highlight w:val="none"/>
          <w14:textFill>
            <w14:solidFill>
              <w14:schemeClr w14:val="tx1"/>
            </w14:solidFill>
          </w14:textFill>
        </w:rPr>
        <w:t>需提供完整的设备清单（含设备名称、型号、数量、使用年限、维护情况），确保设备符合</w:t>
      </w:r>
      <w:r>
        <w:rPr>
          <w:rFonts w:hint="eastAsia" w:ascii="宋体" w:hAnsi="宋体" w:cs="宋体"/>
          <w:color w:val="000000" w:themeColor="text1"/>
          <w:sz w:val="24"/>
          <w:szCs w:val="24"/>
          <w:highlight w:val="none"/>
          <w:lang w:val="en-US" w:eastAsia="zh-CN"/>
          <w14:textFill>
            <w14:solidFill>
              <w14:schemeClr w14:val="tx1"/>
            </w14:solidFill>
          </w14:textFill>
        </w:rPr>
        <w:t>甲方</w:t>
      </w:r>
      <w:r>
        <w:rPr>
          <w:rFonts w:hint="eastAsia" w:ascii="宋体" w:hAnsi="宋体" w:cs="宋体"/>
          <w:color w:val="000000" w:themeColor="text1"/>
          <w:sz w:val="24"/>
          <w:szCs w:val="24"/>
          <w:highlight w:val="none"/>
          <w14:textFill>
            <w14:solidFill>
              <w14:schemeClr w14:val="tx1"/>
            </w14:solidFill>
          </w14:textFill>
        </w:rPr>
        <w:t>效果要求，若设备与清单不符，</w:t>
      </w:r>
      <w:r>
        <w:rPr>
          <w:rFonts w:hint="eastAsia" w:ascii="宋体" w:hAnsi="宋体" w:cs="宋体"/>
          <w:color w:val="000000" w:themeColor="text1"/>
          <w:sz w:val="24"/>
          <w:szCs w:val="24"/>
          <w:highlight w:val="none"/>
          <w:lang w:val="en-US" w:eastAsia="zh-CN"/>
          <w14:textFill>
            <w14:solidFill>
              <w14:schemeClr w14:val="tx1"/>
            </w14:solidFill>
          </w14:textFill>
        </w:rPr>
        <w:t>甲方</w:t>
      </w:r>
      <w:r>
        <w:rPr>
          <w:rFonts w:hint="eastAsia" w:ascii="宋体" w:hAnsi="宋体" w:cs="宋体"/>
          <w:color w:val="000000" w:themeColor="text1"/>
          <w:sz w:val="24"/>
          <w:szCs w:val="24"/>
          <w:highlight w:val="none"/>
          <w14:textFill>
            <w14:solidFill>
              <w14:schemeClr w14:val="tx1"/>
            </w14:solidFill>
          </w14:textFill>
        </w:rPr>
        <w:t>有权要求更换。</w:t>
      </w:r>
    </w:p>
    <w:p w14:paraId="128F6350">
      <w:pPr>
        <w:spacing w:line="48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w:t>
      </w:r>
      <w:r>
        <w:rPr>
          <w:rFonts w:hint="eastAsia" w:ascii="宋体" w:hAnsi="宋体" w:cs="宋体"/>
          <w:color w:val="000000" w:themeColor="text1"/>
          <w:sz w:val="24"/>
          <w:szCs w:val="24"/>
          <w:highlight w:val="none"/>
          <w:lang w:val="en-US" w:eastAsia="zh-CN"/>
          <w14:textFill>
            <w14:solidFill>
              <w14:schemeClr w14:val="tx1"/>
            </w14:solidFill>
          </w14:textFill>
        </w:rPr>
        <w:t>乙方</w:t>
      </w:r>
      <w:r>
        <w:rPr>
          <w:rFonts w:hint="eastAsia" w:ascii="宋体" w:hAnsi="宋体" w:cs="宋体"/>
          <w:color w:val="000000" w:themeColor="text1"/>
          <w:sz w:val="24"/>
          <w:szCs w:val="24"/>
          <w:highlight w:val="none"/>
          <w14:textFill>
            <w14:solidFill>
              <w14:schemeClr w14:val="tx1"/>
            </w14:solidFill>
          </w14:textFill>
        </w:rPr>
        <w:t>需承担设备运输、安装、调试、撤场过程中的所有费用及安全责任，若因</w:t>
      </w:r>
      <w:r>
        <w:rPr>
          <w:rFonts w:hint="eastAsia" w:ascii="宋体" w:hAnsi="宋体" w:cs="宋体"/>
          <w:color w:val="000000" w:themeColor="text1"/>
          <w:sz w:val="24"/>
          <w:szCs w:val="24"/>
          <w:highlight w:val="none"/>
          <w:lang w:val="en-US" w:eastAsia="zh-CN"/>
          <w14:textFill>
            <w14:solidFill>
              <w14:schemeClr w14:val="tx1"/>
            </w14:solidFill>
          </w14:textFill>
        </w:rPr>
        <w:t>乙方</w:t>
      </w:r>
      <w:r>
        <w:rPr>
          <w:rFonts w:hint="eastAsia" w:ascii="宋体" w:hAnsi="宋体" w:cs="宋体"/>
          <w:color w:val="000000" w:themeColor="text1"/>
          <w:sz w:val="24"/>
          <w:szCs w:val="24"/>
          <w:highlight w:val="none"/>
          <w14:textFill>
            <w14:solidFill>
              <w14:schemeClr w14:val="tx1"/>
            </w14:solidFill>
          </w14:textFill>
        </w:rPr>
        <w:t>操作不当导致设备损坏、人员受伤或场地损坏，由</w:t>
      </w:r>
      <w:r>
        <w:rPr>
          <w:rFonts w:hint="eastAsia" w:ascii="宋体" w:hAnsi="宋体" w:cs="宋体"/>
          <w:color w:val="000000" w:themeColor="text1"/>
          <w:sz w:val="24"/>
          <w:szCs w:val="24"/>
          <w:highlight w:val="none"/>
          <w:lang w:val="en-US" w:eastAsia="zh-CN"/>
          <w14:textFill>
            <w14:solidFill>
              <w14:schemeClr w14:val="tx1"/>
            </w14:solidFill>
          </w14:textFill>
        </w:rPr>
        <w:t>乙方</w:t>
      </w:r>
      <w:r>
        <w:rPr>
          <w:rFonts w:hint="eastAsia" w:ascii="宋体" w:hAnsi="宋体" w:cs="宋体"/>
          <w:color w:val="000000" w:themeColor="text1"/>
          <w:sz w:val="24"/>
          <w:szCs w:val="24"/>
          <w:highlight w:val="none"/>
          <w14:textFill>
            <w14:solidFill>
              <w14:schemeClr w14:val="tx1"/>
            </w14:solidFill>
          </w14:textFill>
        </w:rPr>
        <w:t>承担全部责任及损失。</w:t>
      </w:r>
    </w:p>
    <w:p w14:paraId="3DD3276E">
      <w:pPr>
        <w:spacing w:line="48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w:t>
      </w:r>
      <w:r>
        <w:rPr>
          <w:rFonts w:hint="eastAsia" w:ascii="宋体" w:hAnsi="宋体" w:cs="宋体"/>
          <w:color w:val="000000" w:themeColor="text1"/>
          <w:sz w:val="24"/>
          <w:szCs w:val="24"/>
          <w:highlight w:val="none"/>
          <w:lang w:val="en-US" w:eastAsia="zh-CN"/>
          <w14:textFill>
            <w14:solidFill>
              <w14:schemeClr w14:val="tx1"/>
            </w14:solidFill>
          </w14:textFill>
        </w:rPr>
        <w:t>乙方</w:t>
      </w:r>
      <w:r>
        <w:rPr>
          <w:rFonts w:hint="eastAsia" w:ascii="宋体" w:hAnsi="宋体" w:cs="宋体"/>
          <w:color w:val="000000" w:themeColor="text1"/>
          <w:sz w:val="24"/>
          <w:szCs w:val="24"/>
          <w:highlight w:val="none"/>
          <w14:textFill>
            <w14:solidFill>
              <w14:schemeClr w14:val="tx1"/>
            </w14:solidFill>
          </w14:textFill>
        </w:rPr>
        <w:t>需承诺，活动期间所有设备正常运行，若出现设备故障导致晚会中断，需承担相应的违约责任。</w:t>
      </w:r>
    </w:p>
    <w:p w14:paraId="6180DE75">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二、服务期限及服务要求</w:t>
      </w:r>
    </w:p>
    <w:p w14:paraId="670ECD59">
      <w:pPr>
        <w:spacing w:line="360" w:lineRule="auto"/>
        <w:ind w:firstLine="482" w:firstLineChars="200"/>
        <w:rPr>
          <w:rFonts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（一）服务期限</w:t>
      </w:r>
    </w:p>
    <w:p w14:paraId="3548EE8E">
      <w:pPr>
        <w:autoSpaceDE w:val="0"/>
        <w:autoSpaceDN w:val="0"/>
        <w:adjustRightInd w:val="0"/>
        <w:spacing w:line="360" w:lineRule="auto"/>
        <w:ind w:firstLine="480" w:firstLineChars="200"/>
        <w:rPr>
          <w:rFonts w:ascii="宋体" w:hAnsi="宋体" w:cs="宋体"/>
          <w:i/>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自合同签订生效后</w:t>
      </w:r>
      <w:r>
        <w:rPr>
          <w:rFonts w:hint="eastAsia" w:ascii="宋体" w:hAnsi="宋体" w:cs="宋体"/>
          <w:color w:val="000000" w:themeColor="text1"/>
          <w:sz w:val="24"/>
          <w:szCs w:val="24"/>
          <w:highlight w:val="none"/>
          <w:u w:val="single"/>
          <w14:textFill>
            <w14:solidFill>
              <w14:schemeClr w14:val="tx1"/>
            </w14:solidFill>
          </w14:textFill>
        </w:rPr>
        <w:t xml:space="preserve">    </w:t>
      </w:r>
      <w:r>
        <w:rPr>
          <w:rFonts w:hint="eastAsia" w:ascii="宋体" w:hAnsi="宋体" w:cs="宋体"/>
          <w:color w:val="000000" w:themeColor="text1"/>
          <w:sz w:val="24"/>
          <w:szCs w:val="24"/>
          <w:highlight w:val="none"/>
          <w14:textFill>
            <w14:solidFill>
              <w14:schemeClr w14:val="tx1"/>
            </w14:solidFill>
          </w14:textFill>
        </w:rPr>
        <w:t>内（自</w:t>
      </w:r>
      <w:r>
        <w:rPr>
          <w:rFonts w:hint="eastAsia" w:ascii="宋体" w:hAnsi="宋体" w:cs="宋体"/>
          <w:color w:val="000000" w:themeColor="text1"/>
          <w:sz w:val="24"/>
          <w:szCs w:val="24"/>
          <w:highlight w:val="none"/>
          <w:u w:val="single"/>
          <w14:textFill>
            <w14:solidFill>
              <w14:schemeClr w14:val="tx1"/>
            </w14:solidFill>
          </w14:textFill>
        </w:rPr>
        <w:t xml:space="preserve">    </w:t>
      </w:r>
      <w:r>
        <w:rPr>
          <w:rFonts w:hint="eastAsia" w:ascii="宋体" w:hAnsi="宋体" w:cs="宋体"/>
          <w:color w:val="000000" w:themeColor="text1"/>
          <w:sz w:val="24"/>
          <w:szCs w:val="24"/>
          <w:highlight w:val="none"/>
          <w14:textFill>
            <w14:solidFill>
              <w14:schemeClr w14:val="tx1"/>
            </w14:solidFill>
          </w14:textFill>
        </w:rPr>
        <w:t>年</w:t>
      </w:r>
      <w:r>
        <w:rPr>
          <w:rFonts w:hint="eastAsia" w:ascii="宋体" w:hAnsi="宋体" w:cs="宋体"/>
          <w:color w:val="000000" w:themeColor="text1"/>
          <w:sz w:val="24"/>
          <w:szCs w:val="24"/>
          <w:highlight w:val="none"/>
          <w:u w:val="single"/>
          <w14:textFill>
            <w14:solidFill>
              <w14:schemeClr w14:val="tx1"/>
            </w14:solidFill>
          </w14:textFill>
        </w:rPr>
        <w:t xml:space="preserve">  </w:t>
      </w:r>
      <w:r>
        <w:rPr>
          <w:rFonts w:hint="eastAsia" w:ascii="宋体" w:hAnsi="宋体" w:cs="宋体"/>
          <w:color w:val="000000" w:themeColor="text1"/>
          <w:sz w:val="24"/>
          <w:szCs w:val="24"/>
          <w:highlight w:val="none"/>
          <w14:textFill>
            <w14:solidFill>
              <w14:schemeClr w14:val="tx1"/>
            </w14:solidFill>
          </w14:textFill>
        </w:rPr>
        <w:t>月</w:t>
      </w:r>
      <w:r>
        <w:rPr>
          <w:rFonts w:hint="eastAsia" w:ascii="宋体" w:hAnsi="宋体" w:cs="宋体"/>
          <w:color w:val="000000" w:themeColor="text1"/>
          <w:sz w:val="24"/>
          <w:szCs w:val="24"/>
          <w:highlight w:val="none"/>
          <w:u w:val="single"/>
          <w14:textFill>
            <w14:solidFill>
              <w14:schemeClr w14:val="tx1"/>
            </w14:solidFill>
          </w14:textFill>
        </w:rPr>
        <w:t xml:space="preserve">  </w:t>
      </w:r>
      <w:r>
        <w:rPr>
          <w:rFonts w:hint="eastAsia" w:ascii="宋体" w:hAnsi="宋体" w:cs="宋体"/>
          <w:color w:val="000000" w:themeColor="text1"/>
          <w:sz w:val="24"/>
          <w:szCs w:val="24"/>
          <w:highlight w:val="none"/>
          <w14:textFill>
            <w14:solidFill>
              <w14:schemeClr w14:val="tx1"/>
            </w14:solidFill>
          </w14:textFill>
        </w:rPr>
        <w:t xml:space="preserve">日至 </w:t>
      </w:r>
      <w:r>
        <w:rPr>
          <w:rFonts w:hint="eastAsia" w:ascii="宋体" w:hAnsi="宋体" w:cs="宋体"/>
          <w:color w:val="000000" w:themeColor="text1"/>
          <w:sz w:val="24"/>
          <w:szCs w:val="24"/>
          <w:highlight w:val="none"/>
          <w:u w:val="single"/>
          <w14:textFill>
            <w14:solidFill>
              <w14:schemeClr w14:val="tx1"/>
            </w14:solidFill>
          </w14:textFill>
        </w:rPr>
        <w:t xml:space="preserve">   </w:t>
      </w:r>
      <w:r>
        <w:rPr>
          <w:rFonts w:hint="eastAsia" w:ascii="宋体" w:hAnsi="宋体" w:cs="宋体"/>
          <w:color w:val="000000" w:themeColor="text1"/>
          <w:sz w:val="24"/>
          <w:szCs w:val="24"/>
          <w:highlight w:val="none"/>
          <w14:textFill>
            <w14:solidFill>
              <w14:schemeClr w14:val="tx1"/>
            </w14:solidFill>
          </w14:textFill>
        </w:rPr>
        <w:t>年</w:t>
      </w:r>
      <w:r>
        <w:rPr>
          <w:rFonts w:hint="eastAsia" w:ascii="宋体" w:hAnsi="宋体" w:cs="宋体"/>
          <w:color w:val="000000" w:themeColor="text1"/>
          <w:sz w:val="24"/>
          <w:szCs w:val="24"/>
          <w:highlight w:val="none"/>
          <w:u w:val="single"/>
          <w14:textFill>
            <w14:solidFill>
              <w14:schemeClr w14:val="tx1"/>
            </w14:solidFill>
          </w14:textFill>
        </w:rPr>
        <w:t xml:space="preserve">  </w:t>
      </w:r>
      <w:r>
        <w:rPr>
          <w:rFonts w:hint="eastAsia" w:ascii="宋体" w:hAnsi="宋体" w:cs="宋体"/>
          <w:color w:val="000000" w:themeColor="text1"/>
          <w:sz w:val="24"/>
          <w:szCs w:val="24"/>
          <w:highlight w:val="none"/>
          <w14:textFill>
            <w14:solidFill>
              <w14:schemeClr w14:val="tx1"/>
            </w14:solidFill>
          </w14:textFill>
        </w:rPr>
        <w:t>月</w:t>
      </w:r>
      <w:r>
        <w:rPr>
          <w:rFonts w:hint="eastAsia" w:ascii="宋体" w:hAnsi="宋体" w:cs="宋体"/>
          <w:color w:val="000000" w:themeColor="text1"/>
          <w:sz w:val="24"/>
          <w:szCs w:val="24"/>
          <w:highlight w:val="none"/>
          <w:u w:val="single"/>
          <w14:textFill>
            <w14:solidFill>
              <w14:schemeClr w14:val="tx1"/>
            </w14:solidFill>
          </w14:textFill>
        </w:rPr>
        <w:t xml:space="preserve">  </w:t>
      </w:r>
      <w:r>
        <w:rPr>
          <w:rFonts w:hint="eastAsia" w:ascii="宋体" w:hAnsi="宋体" w:cs="宋体"/>
          <w:color w:val="000000" w:themeColor="text1"/>
          <w:sz w:val="24"/>
          <w:szCs w:val="24"/>
          <w:highlight w:val="none"/>
          <w14:textFill>
            <w14:solidFill>
              <w14:schemeClr w14:val="tx1"/>
            </w14:solidFill>
          </w14:textFill>
        </w:rPr>
        <w:t>日止）。</w:t>
      </w:r>
    </w:p>
    <w:p w14:paraId="7AD4AF25">
      <w:pPr>
        <w:spacing w:line="360" w:lineRule="auto"/>
        <w:ind w:firstLine="482" w:firstLineChars="200"/>
        <w:rPr>
          <w:rFonts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（二）服务要求</w:t>
      </w:r>
    </w:p>
    <w:p w14:paraId="3FAA3019">
      <w:pPr>
        <w:pStyle w:val="14"/>
        <w:ind w:firstLine="480" w:firstLineChars="200"/>
        <w:rPr>
          <w:rFonts w:ascii="宋体" w:hAnsi="宋体" w:cs="宋体"/>
          <w:i/>
          <w:color w:val="000000" w:themeColor="text1"/>
          <w:kern w:val="0"/>
          <w:sz w:val="24"/>
          <w:highlight w:val="none"/>
          <w14:textFill>
            <w14:solidFill>
              <w14:schemeClr w14:val="tx1"/>
            </w14:solidFill>
          </w14:textFill>
        </w:rPr>
      </w:pPr>
      <w:r>
        <w:rPr>
          <w:rFonts w:hint="eastAsia" w:ascii="宋体" w:hAnsi="宋体" w:cs="宋体"/>
          <w:i/>
          <w:color w:val="000000" w:themeColor="text1"/>
          <w:kern w:val="0"/>
          <w:sz w:val="24"/>
          <w:highlight w:val="none"/>
          <w14:textFill>
            <w14:solidFill>
              <w14:schemeClr w14:val="tx1"/>
            </w14:solidFill>
          </w14:textFill>
        </w:rPr>
        <w:t>注：根据项目实际情况修订。</w:t>
      </w:r>
    </w:p>
    <w:p w14:paraId="254244C4">
      <w:pPr>
        <w:autoSpaceDE w:val="0"/>
        <w:autoSpaceDN w:val="0"/>
        <w:adjustRightInd w:val="0"/>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1．资质要求</w:t>
      </w:r>
    </w:p>
    <w:p w14:paraId="5D7F42AC">
      <w:pPr>
        <w:autoSpaceDE w:val="0"/>
        <w:autoSpaceDN w:val="0"/>
        <w:adjustRightInd w:val="0"/>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w:t>
      </w:r>
      <w:r>
        <w:rPr>
          <w:rFonts w:hint="eastAsia" w:ascii="宋体" w:hAnsi="宋体" w:cs="宋体"/>
          <w:color w:val="000000" w:themeColor="text1"/>
          <w:sz w:val="24"/>
          <w:szCs w:val="24"/>
          <w:highlight w:val="none"/>
          <w14:textFill>
            <w14:solidFill>
              <w14:schemeClr w14:val="tx1"/>
            </w14:solidFill>
          </w14:textFill>
        </w:rPr>
        <w:t>服务标准及要求</w:t>
      </w:r>
    </w:p>
    <w:p w14:paraId="448C1A50">
      <w:pPr>
        <w:autoSpaceDE w:val="0"/>
        <w:autoSpaceDN w:val="0"/>
        <w:adjustRightInd w:val="0"/>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w:t>
      </w:r>
      <w:r>
        <w:rPr>
          <w:rFonts w:hint="eastAsia" w:ascii="宋体" w:hAnsi="宋体" w:cs="宋体"/>
          <w:color w:val="000000" w:themeColor="text1"/>
          <w:sz w:val="24"/>
          <w:szCs w:val="24"/>
          <w:highlight w:val="none"/>
          <w14:textFill>
            <w14:solidFill>
              <w14:schemeClr w14:val="tx1"/>
            </w14:solidFill>
          </w14:textFill>
        </w:rPr>
        <w:t>服务人员要求</w:t>
      </w:r>
    </w:p>
    <w:p w14:paraId="23EE32AB">
      <w:pPr>
        <w:autoSpaceDE w:val="0"/>
        <w:autoSpaceDN w:val="0"/>
        <w:adjustRightInd w:val="0"/>
        <w:spacing w:line="360" w:lineRule="auto"/>
        <w:ind w:firstLine="480" w:firstLineChars="200"/>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4．</w:t>
      </w:r>
      <w:r>
        <w:rPr>
          <w:rFonts w:hint="eastAsia" w:ascii="宋体" w:hAnsi="宋体" w:cs="宋体"/>
          <w:color w:val="000000" w:themeColor="text1"/>
          <w:sz w:val="24"/>
          <w:szCs w:val="24"/>
          <w:highlight w:val="none"/>
          <w14:textFill>
            <w14:solidFill>
              <w14:schemeClr w14:val="tx1"/>
            </w14:solidFill>
          </w14:textFill>
        </w:rPr>
        <w:t>成果要求</w:t>
      </w:r>
    </w:p>
    <w:p w14:paraId="772BD4C1">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三、合同</w:t>
      </w:r>
      <w:bookmarkEnd w:id="307"/>
      <w:r>
        <w:rPr>
          <w:rFonts w:hint="eastAsia" w:ascii="宋体" w:hAnsi="宋体" w:cs="宋体"/>
          <w:color w:val="000000" w:themeColor="text1"/>
          <w:sz w:val="24"/>
          <w:szCs w:val="24"/>
          <w:highlight w:val="none"/>
          <w14:textFill>
            <w14:solidFill>
              <w14:schemeClr w14:val="tx1"/>
            </w14:solidFill>
          </w14:textFill>
        </w:rPr>
        <w:t>总价及履约保证金</w:t>
      </w:r>
    </w:p>
    <w:p w14:paraId="7A61BCD6">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bookmarkStart w:id="308" w:name="_Toc29379756"/>
      <w:r>
        <w:rPr>
          <w:rFonts w:hint="eastAsia" w:ascii="宋体" w:hAnsi="宋体" w:cs="宋体"/>
          <w:color w:val="000000" w:themeColor="text1"/>
          <w:sz w:val="24"/>
          <w:szCs w:val="24"/>
          <w:highlight w:val="none"/>
          <w14:textFill>
            <w14:solidFill>
              <w14:schemeClr w14:val="tx1"/>
            </w14:solidFill>
          </w14:textFill>
        </w:rPr>
        <w:t>1．合同总价</w:t>
      </w:r>
    </w:p>
    <w:p w14:paraId="252734F9">
      <w:pPr>
        <w:spacing w:line="360" w:lineRule="auto"/>
        <w:ind w:firstLine="480" w:firstLineChars="200"/>
        <w:rPr>
          <w:rFonts w:ascii="宋体" w:hAnsi="宋体" w:cs="宋体"/>
          <w:color w:val="000000" w:themeColor="text1"/>
          <w:sz w:val="24"/>
          <w:szCs w:val="24"/>
          <w:highlight w:val="none"/>
          <w:u w:val="single"/>
          <w:lang w:val="zh-CN"/>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人民币小写：</w:t>
      </w:r>
      <w:r>
        <w:rPr>
          <w:rFonts w:hint="eastAsia" w:ascii="宋体" w:hAnsi="宋体" w:cs="宋体"/>
          <w:color w:val="000000" w:themeColor="text1"/>
          <w:sz w:val="24"/>
          <w:szCs w:val="24"/>
          <w:highlight w:val="none"/>
          <w:u w:val="single"/>
          <w:lang w:val="zh-CN"/>
          <w14:textFill>
            <w14:solidFill>
              <w14:schemeClr w14:val="tx1"/>
            </w14:solidFill>
          </w14:textFill>
        </w:rPr>
        <w:t xml:space="preserve">               </w:t>
      </w:r>
      <w:r>
        <w:rPr>
          <w:rFonts w:hint="eastAsia" w:ascii="宋体" w:hAnsi="宋体" w:cs="宋体"/>
          <w:color w:val="000000" w:themeColor="text1"/>
          <w:sz w:val="24"/>
          <w:szCs w:val="24"/>
          <w:highlight w:val="none"/>
          <w:lang w:val="zh-CN"/>
          <w14:textFill>
            <w14:solidFill>
              <w14:schemeClr w14:val="tx1"/>
            </w14:solidFill>
          </w14:textFill>
        </w:rPr>
        <w:t>（元）</w:t>
      </w:r>
    </w:p>
    <w:p w14:paraId="7C07A1BA">
      <w:pPr>
        <w:spacing w:line="360" w:lineRule="auto"/>
        <w:ind w:firstLine="480" w:firstLineChars="200"/>
        <w:rPr>
          <w:rFonts w:ascii="宋体" w:hAnsi="宋体" w:cs="宋体"/>
          <w:b/>
          <w:bCs/>
          <w:color w:val="000000" w:themeColor="text1"/>
          <w:sz w:val="24"/>
          <w:szCs w:val="24"/>
          <w:highlight w:val="none"/>
          <w:u w:val="single"/>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大写：</w:t>
      </w:r>
      <w:r>
        <w:rPr>
          <w:rFonts w:hint="eastAsia" w:ascii="宋体" w:hAnsi="宋体" w:cs="宋体"/>
          <w:color w:val="000000" w:themeColor="text1"/>
          <w:sz w:val="24"/>
          <w:szCs w:val="24"/>
          <w:highlight w:val="none"/>
          <w:u w:val="single"/>
          <w:lang w:val="zh-CN"/>
          <w14:textFill>
            <w14:solidFill>
              <w14:schemeClr w14:val="tx1"/>
            </w14:solidFill>
          </w14:textFill>
        </w:rPr>
        <w:t xml:space="preserve">               </w:t>
      </w:r>
      <w:r>
        <w:rPr>
          <w:rFonts w:hint="eastAsia" w:ascii="宋体" w:hAnsi="宋体" w:cs="宋体"/>
          <w:color w:val="000000" w:themeColor="text1"/>
          <w:sz w:val="24"/>
          <w:szCs w:val="24"/>
          <w:highlight w:val="none"/>
          <w:lang w:val="zh-CN"/>
          <w14:textFill>
            <w14:solidFill>
              <w14:schemeClr w14:val="tx1"/>
            </w14:solidFill>
          </w14:textFill>
        </w:rPr>
        <w:t>（元）</w:t>
      </w:r>
    </w:p>
    <w:p w14:paraId="088B747F">
      <w:pPr>
        <w:autoSpaceDE w:val="0"/>
        <w:autoSpaceDN w:val="0"/>
        <w:adjustRightInd w:val="0"/>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以上价格已经包含整个项目服务的全部内容，包括但不限于人力成本、税费、差旅费、交通费等所有费用，甲方不再另行支付其他任何费用。</w:t>
      </w:r>
      <w:r>
        <w:rPr>
          <w:rFonts w:hint="eastAsia" w:ascii="宋体" w:hAnsi="宋体" w:cs="宋体"/>
          <w:color w:val="000000" w:themeColor="text1"/>
          <w:sz w:val="24"/>
          <w:szCs w:val="24"/>
          <w:highlight w:val="none"/>
          <w14:textFill>
            <w14:solidFill>
              <w14:schemeClr w14:val="tx1"/>
            </w14:solidFill>
          </w14:textFill>
        </w:rPr>
        <w:t>根据分项报价单价及实际发生量据实结算，最终结算价不超过合同总价</w:t>
      </w:r>
      <w:r>
        <w:rPr>
          <w:rFonts w:hint="eastAsia" w:ascii="宋体" w:hAnsi="宋体" w:cs="宋体"/>
          <w:color w:val="000000" w:themeColor="text1"/>
          <w:sz w:val="24"/>
          <w:szCs w:val="24"/>
          <w:highlight w:val="none"/>
          <w14:textFill>
            <w14:solidFill>
              <w14:schemeClr w14:val="tx1"/>
            </w14:solidFill>
          </w14:textFill>
        </w:rPr>
        <w:t>。</w:t>
      </w:r>
    </w:p>
    <w:p w14:paraId="2DBF0468">
      <w:pPr>
        <w:autoSpaceDE w:val="0"/>
        <w:autoSpaceDN w:val="0"/>
        <w:adjustRightInd w:val="0"/>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w:t>
      </w:r>
      <w:r>
        <w:rPr>
          <w:rFonts w:hint="eastAsia" w:ascii="宋体" w:hAnsi="宋体" w:cs="宋体"/>
          <w:color w:val="000000" w:themeColor="text1"/>
          <w:sz w:val="24"/>
          <w:szCs w:val="24"/>
          <w:highlight w:val="none"/>
          <w14:textFill>
            <w14:solidFill>
              <w14:schemeClr w14:val="tx1"/>
            </w14:solidFill>
          </w14:textFill>
        </w:rPr>
        <w:t>履约保证金</w:t>
      </w:r>
    </w:p>
    <w:p w14:paraId="6CADB6E4">
      <w:pPr>
        <w:autoSpaceDE w:val="0"/>
        <w:autoSpaceDN w:val="0"/>
        <w:adjustRightInd w:val="0"/>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w:t>
      </w:r>
    </w:p>
    <w:p w14:paraId="1C0FC21A">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四、甲乙双方的权利和义务</w:t>
      </w:r>
      <w:bookmarkEnd w:id="308"/>
    </w:p>
    <w:p w14:paraId="2E261CDF">
      <w:pPr>
        <w:spacing w:line="360" w:lineRule="auto"/>
        <w:ind w:firstLine="482" w:firstLineChars="200"/>
        <w:rPr>
          <w:rFonts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（一）甲方的权利和义务</w:t>
      </w:r>
    </w:p>
    <w:p w14:paraId="549E3738">
      <w:pPr>
        <w:spacing w:line="360" w:lineRule="auto"/>
        <w:ind w:firstLine="480" w:firstLineChars="200"/>
        <w:rPr>
          <w:rFonts w:ascii="宋体" w:hAnsi="宋体" w:cs="宋体"/>
          <w:b/>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1．甲方有权对乙方服务工作进行考核与监督，甲方根据采购文件、响应文件提出整改意见的，乙方应当无条件进行整改直至满足甲方要求。</w:t>
      </w:r>
    </w:p>
    <w:p w14:paraId="4F7D4FF1">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2．甲方按照本合同约定按时足额支付约定的服务费用。</w:t>
      </w:r>
    </w:p>
    <w:p w14:paraId="449C04B0">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3．协调配合乙方的工作，为服务中各项工作的开展提供必要的便利条件。</w:t>
      </w:r>
    </w:p>
    <w:p w14:paraId="0E8D2A70">
      <w:pPr>
        <w:spacing w:line="360" w:lineRule="auto"/>
        <w:ind w:firstLine="482" w:firstLineChars="200"/>
        <w:rPr>
          <w:rFonts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（二）乙方的权利和义务</w:t>
      </w:r>
    </w:p>
    <w:p w14:paraId="721DDD87">
      <w:pPr>
        <w:pStyle w:val="14"/>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i/>
          <w:color w:val="000000" w:themeColor="text1"/>
          <w:kern w:val="0"/>
          <w:sz w:val="24"/>
          <w:highlight w:val="none"/>
          <w14:textFill>
            <w14:solidFill>
              <w14:schemeClr w14:val="tx1"/>
            </w14:solidFill>
          </w14:textFill>
        </w:rPr>
        <w:t>注：由使用单位根据项目实际情况自行修订。</w:t>
      </w:r>
    </w:p>
    <w:p w14:paraId="60026D22">
      <w:pPr>
        <w:autoSpaceDE w:val="0"/>
        <w:autoSpaceDN w:val="0"/>
        <w:adjustRightInd w:val="0"/>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1．乙方对服务工作及结论的真实性、合法性和准确性负责，若因乙方故意或重大过失出具报告及结论导致甲方损失的，乙方应赔偿甲方因此受到的损失。</w:t>
      </w:r>
    </w:p>
    <w:p w14:paraId="54818B88">
      <w:pPr>
        <w:autoSpaceDE w:val="0"/>
        <w:autoSpaceDN w:val="0"/>
        <w:adjustRightInd w:val="0"/>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2．乙方不得向第三方或在本合同的目的之外扩散、转让甲方提供的资料和文件。</w:t>
      </w:r>
    </w:p>
    <w:p w14:paraId="618F65A0">
      <w:pPr>
        <w:pStyle w:val="14"/>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3．</w:t>
      </w:r>
      <w:r>
        <w:rPr>
          <w:rFonts w:hint="eastAsia" w:ascii="宋体" w:hAnsi="宋体" w:cs="宋体"/>
          <w:color w:val="000000" w:themeColor="text1"/>
          <w:sz w:val="24"/>
          <w:highlight w:val="none"/>
          <w14:textFill>
            <w14:solidFill>
              <w14:schemeClr w14:val="tx1"/>
            </w14:solidFill>
          </w14:textFill>
        </w:rPr>
        <w:t>乙方所提供的服务必须符合行业所通行的专业标准与规定，并符合甲方要求。</w:t>
      </w:r>
    </w:p>
    <w:p w14:paraId="510B79E5">
      <w:pPr>
        <w:pStyle w:val="14"/>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4．</w:t>
      </w:r>
      <w:r>
        <w:rPr>
          <w:rFonts w:hint="eastAsia" w:ascii="宋体" w:hAnsi="宋体" w:cs="宋体"/>
          <w:color w:val="000000" w:themeColor="text1"/>
          <w:sz w:val="24"/>
          <w:highlight w:val="none"/>
          <w14:textFill>
            <w14:solidFill>
              <w14:schemeClr w14:val="tx1"/>
            </w14:solidFill>
          </w14:textFill>
        </w:rPr>
        <w:t>乙方需保证所提供服务的全部人员都具备完成本项目所需的资格、资质和能力，达到满足项目所需要的专业水平。未经甲方同意不得更换、减少主要人员。</w:t>
      </w:r>
    </w:p>
    <w:p w14:paraId="30A1C3D7">
      <w:pPr>
        <w:pStyle w:val="14"/>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5．</w:t>
      </w:r>
      <w:r>
        <w:rPr>
          <w:rFonts w:hint="eastAsia" w:ascii="宋体" w:hAnsi="宋体" w:cs="宋体"/>
          <w:color w:val="000000" w:themeColor="text1"/>
          <w:sz w:val="24"/>
          <w:highlight w:val="none"/>
          <w14:textFill>
            <w14:solidFill>
              <w14:schemeClr w14:val="tx1"/>
            </w14:solidFill>
          </w14:textFill>
        </w:rPr>
        <w:t>乙方负责对其所派出的人员购买保险并足额发放工资，并承担因乙方人员人身或财产损失而产生的索赔和费用。甲方不对乙方人员承担任何责任和费用。</w:t>
      </w:r>
    </w:p>
    <w:p w14:paraId="1E0A80FE">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五、以上内容与甲方确认采购和乙方中标（成交）承诺情况一致并不得改变或放弃。</w:t>
      </w:r>
    </w:p>
    <w:p w14:paraId="3E48E672">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六、验收及验收标准</w:t>
      </w:r>
    </w:p>
    <w:p w14:paraId="1567A021">
      <w:pPr>
        <w:tabs>
          <w:tab w:val="left" w:pos="5775"/>
        </w:tabs>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按《西南林业大学采购履约验收管理办法》组织验收。</w:t>
      </w:r>
    </w:p>
    <w:p w14:paraId="521A3350">
      <w:pPr>
        <w:autoSpaceDE w:val="0"/>
        <w:autoSpaceDN w:val="0"/>
        <w:adjustRightInd w:val="0"/>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甲方按合同内容享受乙方提供的服务，具体的验收标准和要求如下：</w:t>
      </w:r>
    </w:p>
    <w:p w14:paraId="70242AA3">
      <w:pPr>
        <w:spacing w:line="48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1.验收由</w:t>
      </w:r>
      <w:r>
        <w:rPr>
          <w:rFonts w:hint="eastAsia" w:ascii="宋体" w:hAnsi="宋体" w:cs="宋体"/>
          <w:color w:val="000000" w:themeColor="text1"/>
          <w:sz w:val="24"/>
          <w:szCs w:val="24"/>
          <w:highlight w:val="none"/>
          <w:lang w:val="en-US" w:eastAsia="zh-CN"/>
          <w14:textFill>
            <w14:solidFill>
              <w14:schemeClr w14:val="tx1"/>
            </w14:solidFill>
          </w14:textFill>
        </w:rPr>
        <w:t>甲方</w:t>
      </w:r>
      <w:r>
        <w:rPr>
          <w:rFonts w:hint="eastAsia" w:ascii="宋体" w:hAnsi="宋体" w:cs="宋体"/>
          <w:color w:val="000000" w:themeColor="text1"/>
          <w:sz w:val="24"/>
          <w:szCs w:val="24"/>
          <w:highlight w:val="none"/>
          <w14:textFill>
            <w14:solidFill>
              <w14:schemeClr w14:val="tx1"/>
            </w14:solidFill>
          </w14:textFill>
        </w:rPr>
        <w:t>负责实施；</w:t>
      </w:r>
    </w:p>
    <w:p w14:paraId="3549D71A">
      <w:pPr>
        <w:spacing w:line="48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2.验收依据：</w:t>
      </w:r>
    </w:p>
    <w:p w14:paraId="7611C8CD">
      <w:pPr>
        <w:spacing w:line="48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2.1合同文件；</w:t>
      </w:r>
    </w:p>
    <w:p w14:paraId="7FEDA620">
      <w:pPr>
        <w:spacing w:line="48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2.2</w:t>
      </w:r>
      <w:r>
        <w:rPr>
          <w:rFonts w:hint="eastAsia" w:ascii="宋体" w:hAnsi="宋体" w:cs="宋体"/>
          <w:color w:val="000000" w:themeColor="text1"/>
          <w:sz w:val="24"/>
          <w:szCs w:val="24"/>
          <w:highlight w:val="none"/>
          <w:lang w:val="en-US" w:eastAsia="zh-CN"/>
          <w14:textFill>
            <w14:solidFill>
              <w14:schemeClr w14:val="tx1"/>
            </w14:solidFill>
          </w14:textFill>
        </w:rPr>
        <w:t>乙方</w:t>
      </w:r>
      <w:r>
        <w:rPr>
          <w:rFonts w:hint="eastAsia" w:ascii="宋体" w:hAnsi="宋体" w:cs="宋体"/>
          <w:color w:val="000000" w:themeColor="text1"/>
          <w:sz w:val="24"/>
          <w:szCs w:val="24"/>
          <w:highlight w:val="none"/>
          <w14:textFill>
            <w14:solidFill>
              <w14:schemeClr w14:val="tx1"/>
            </w14:solidFill>
          </w14:textFill>
        </w:rPr>
        <w:t>的投标文件；</w:t>
      </w:r>
    </w:p>
    <w:p w14:paraId="20299D43">
      <w:pPr>
        <w:spacing w:line="48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3.设备质量：舞台及音响设备应为合格品，整体无污染，无侵权行为、无任何缺陷隐患，在中国境内可依常规安全合法使用。</w:t>
      </w:r>
    </w:p>
    <w:p w14:paraId="7C3B8CF3">
      <w:pPr>
        <w:spacing w:line="48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4.符合标准：依次序对照适用标准为：符合中华人民共和国国家安全质量标准、环保标准或行业标准。</w:t>
      </w:r>
    </w:p>
    <w:p w14:paraId="21807A33">
      <w:pPr>
        <w:spacing w:line="48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5.安全要求：场地搭建和布线等应符合行业标准规范，做好加固处理、强电防护和其他安全防护处理等，避免安全隐患。</w:t>
      </w:r>
    </w:p>
    <w:p w14:paraId="0AE94590">
      <w:pPr>
        <w:spacing w:line="48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6.设备检查：在设备交付时，</w:t>
      </w:r>
      <w:r>
        <w:rPr>
          <w:rFonts w:hint="eastAsia" w:ascii="宋体" w:hAnsi="宋体" w:cs="宋体"/>
          <w:color w:val="000000" w:themeColor="text1"/>
          <w:sz w:val="24"/>
          <w:szCs w:val="24"/>
          <w:highlight w:val="none"/>
          <w:lang w:val="en-US" w:eastAsia="zh-CN"/>
          <w14:textFill>
            <w14:solidFill>
              <w14:schemeClr w14:val="tx1"/>
            </w14:solidFill>
          </w14:textFill>
        </w:rPr>
        <w:t>甲方</w:t>
      </w:r>
      <w:r>
        <w:rPr>
          <w:rFonts w:hint="eastAsia" w:ascii="宋体" w:hAnsi="宋体" w:cs="宋体"/>
          <w:color w:val="000000" w:themeColor="text1"/>
          <w:sz w:val="24"/>
          <w:szCs w:val="24"/>
          <w:highlight w:val="none"/>
          <w14:textFill>
            <w14:solidFill>
              <w14:schemeClr w14:val="tx1"/>
            </w14:solidFill>
          </w14:textFill>
        </w:rPr>
        <w:t>应对设备进行全面检查，确保设备数量、型号、规格等与合同及投标文件一致。</w:t>
      </w:r>
    </w:p>
    <w:p w14:paraId="5B981A38">
      <w:pPr>
        <w:spacing w:line="48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7.设备性能测试：对设备进行性能测试，确保设备能够正常工作，满足活动需求。</w:t>
      </w:r>
    </w:p>
    <w:p w14:paraId="45F700C2">
      <w:pPr>
        <w:spacing w:line="48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8.安全检查：对设备的安全性进行检查，确保设备安装牢固，无安全隐患。</w:t>
      </w:r>
    </w:p>
    <w:p w14:paraId="285C5272">
      <w:pPr>
        <w:spacing w:line="48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9.整体舞台检测演排：符合</w:t>
      </w:r>
      <w:r>
        <w:rPr>
          <w:rFonts w:hint="eastAsia" w:ascii="宋体" w:hAnsi="宋体" w:cs="宋体"/>
          <w:color w:val="000000" w:themeColor="text1"/>
          <w:sz w:val="24"/>
          <w:szCs w:val="24"/>
          <w:highlight w:val="none"/>
          <w:lang w:val="en-US" w:eastAsia="zh-CN"/>
          <w14:textFill>
            <w14:solidFill>
              <w14:schemeClr w14:val="tx1"/>
            </w14:solidFill>
          </w14:textFill>
        </w:rPr>
        <w:t>甲方</w:t>
      </w:r>
      <w:r>
        <w:rPr>
          <w:rFonts w:hint="eastAsia" w:ascii="宋体" w:hAnsi="宋体" w:cs="宋体"/>
          <w:color w:val="000000" w:themeColor="text1"/>
          <w:sz w:val="24"/>
          <w:szCs w:val="24"/>
          <w:highlight w:val="none"/>
          <w14:textFill>
            <w14:solidFill>
              <w14:schemeClr w14:val="tx1"/>
            </w14:solidFill>
          </w14:textFill>
        </w:rPr>
        <w:t>要求。</w:t>
      </w:r>
    </w:p>
    <w:p w14:paraId="3C19CF77">
      <w:pPr>
        <w:spacing w:line="48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10.</w:t>
      </w:r>
      <w:r>
        <w:rPr>
          <w:rFonts w:hint="eastAsia" w:ascii="宋体" w:hAnsi="宋体" w:cs="宋体"/>
          <w:color w:val="000000" w:themeColor="text1"/>
          <w:sz w:val="24"/>
          <w:szCs w:val="24"/>
          <w:highlight w:val="none"/>
          <w:lang w:val="en-US" w:eastAsia="zh-CN"/>
          <w14:textFill>
            <w14:solidFill>
              <w14:schemeClr w14:val="tx1"/>
            </w14:solidFill>
          </w14:textFill>
        </w:rPr>
        <w:t>甲乙</w:t>
      </w:r>
      <w:r>
        <w:rPr>
          <w:rFonts w:hint="eastAsia" w:ascii="宋体" w:hAnsi="宋体" w:cs="宋体"/>
          <w:color w:val="000000" w:themeColor="text1"/>
          <w:sz w:val="24"/>
          <w:szCs w:val="24"/>
          <w:highlight w:val="none"/>
          <w14:textFill>
            <w14:solidFill>
              <w14:schemeClr w14:val="tx1"/>
            </w14:solidFill>
          </w14:textFill>
        </w:rPr>
        <w:t>双方签字确认设备状态，及舞台布局搭建效果呈现，注明验收时间、问题处理方式。</w:t>
      </w:r>
    </w:p>
    <w:p w14:paraId="3394CC1B">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七、合同价款结算</w:t>
      </w:r>
    </w:p>
    <w:p w14:paraId="3B14F3C7">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本项目无预付款，甲方在按合同验收标准验收合格，乙方提供符合税务机关要求的正规增值税发票，并履行完相关财务报销手续，财务审核通过后的10个工作日内完成款项支付。</w:t>
      </w:r>
      <w:r>
        <w:rPr>
          <w:rFonts w:hint="eastAsia" w:ascii="宋体" w:hAnsi="宋体" w:eastAsia="Times New Roman" w:cs="宋体"/>
          <w:color w:val="000000" w:themeColor="text1"/>
          <w:sz w:val="24"/>
          <w:szCs w:val="24"/>
          <w:highlight w:val="none"/>
          <w14:textFill>
            <w14:solidFill>
              <w14:schemeClr w14:val="tx1"/>
            </w14:solidFill>
          </w14:textFill>
        </w:rPr>
        <w:t>根据分项报价单价及实际发生量据实结算</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eastAsia="Times New Roman" w:cs="宋体"/>
          <w:color w:val="000000" w:themeColor="text1"/>
          <w:sz w:val="24"/>
          <w:szCs w:val="24"/>
          <w:highlight w:val="none"/>
          <w14:textFill>
            <w14:solidFill>
              <w14:schemeClr w14:val="tx1"/>
            </w14:solidFill>
          </w14:textFill>
        </w:rPr>
        <w:t>最终结算价不超过合同总价</w:t>
      </w:r>
      <w:r>
        <w:rPr>
          <w:rFonts w:hint="eastAsia" w:ascii="宋体" w:hAnsi="宋体" w:eastAsia="Times New Roman" w:cs="宋体"/>
          <w:color w:val="000000" w:themeColor="text1"/>
          <w:sz w:val="24"/>
          <w:szCs w:val="24"/>
          <w:highlight w:val="none"/>
          <w14:textFill>
            <w14:solidFill>
              <w14:schemeClr w14:val="tx1"/>
            </w14:solidFill>
          </w14:textFill>
        </w:rPr>
        <w:t>。</w:t>
      </w:r>
    </w:p>
    <w:p w14:paraId="73728830">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若因乙方未通过验收或提交不符合甲方及税务机关要求的正规增值税发票导致无法正常付款的，相关责任及后果由乙方自行承担。</w:t>
      </w:r>
    </w:p>
    <w:p w14:paraId="5E26BDBF">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根据事业单位财务规定，甲方付款至乙方基本账户。</w:t>
      </w:r>
    </w:p>
    <w:p w14:paraId="229805B8">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乙方提供基本账户信息如下：</w:t>
      </w:r>
    </w:p>
    <w:p w14:paraId="3941520B">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开户名：</w:t>
      </w:r>
    </w:p>
    <w:p w14:paraId="37E66395">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开户银行：</w:t>
      </w:r>
    </w:p>
    <w:p w14:paraId="69070618">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账    号：</w:t>
      </w:r>
    </w:p>
    <w:p w14:paraId="3438B392">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统一社会信用代码：</w:t>
      </w:r>
    </w:p>
    <w:p w14:paraId="41A9EAB5">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乙方保证提供的基本账户</w:t>
      </w:r>
      <w:r>
        <w:rPr>
          <w:rFonts w:hint="eastAsia" w:ascii="宋体" w:hAnsi="宋体" w:cs="宋体"/>
          <w:color w:val="000000" w:themeColor="text1"/>
          <w:sz w:val="24"/>
          <w:szCs w:val="24"/>
          <w:highlight w:val="none"/>
          <w14:textFill>
            <w14:solidFill>
              <w14:schemeClr w14:val="tx1"/>
            </w14:solidFill>
          </w14:textFill>
        </w:rPr>
        <w:t>信息准确无误。如乙方提供的基本账户信息有问题导致付款出错由乙方对产生的后果负责。</w:t>
      </w:r>
    </w:p>
    <w:p w14:paraId="38AD6131">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八、违约责任</w:t>
      </w:r>
    </w:p>
    <w:p w14:paraId="7422A485">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1．乙方未能履行合同义务，不能达到甲方要求的</w:t>
      </w:r>
      <w:r>
        <w:rPr>
          <w:rFonts w:hint="eastAsia" w:ascii="宋体" w:hAnsi="宋体" w:cs="宋体"/>
          <w:color w:val="000000" w:themeColor="text1"/>
          <w:sz w:val="24"/>
          <w:szCs w:val="24"/>
          <w:highlight w:val="none"/>
          <w14:textFill>
            <w14:solidFill>
              <w14:schemeClr w14:val="tx1"/>
            </w14:solidFill>
          </w14:textFill>
        </w:rPr>
        <w:t>管理目标，甲</w:t>
      </w:r>
      <w:r>
        <w:rPr>
          <w:rFonts w:hint="eastAsia" w:ascii="宋体" w:hAnsi="宋体" w:cs="宋体"/>
          <w:color w:val="000000" w:themeColor="text1"/>
          <w:sz w:val="24"/>
          <w:szCs w:val="24"/>
          <w:highlight w:val="none"/>
          <w14:textFill>
            <w14:solidFill>
              <w14:schemeClr w14:val="tx1"/>
            </w14:solidFill>
          </w14:textFill>
        </w:rPr>
        <w:t>方有权追究乙方违约与赔偿责任或终止合同。</w:t>
      </w:r>
    </w:p>
    <w:p w14:paraId="11BB5B8B">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2．乙方服务期间人员、质量、服务成果、专业能力等达不到合同约定标准或者甲方要求的，甲方有权要求乙方无条件进行整改，直至达到整改要求。</w:t>
      </w:r>
    </w:p>
    <w:p w14:paraId="43369F18">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甲方对乙方及乙方人员的一切个人或公司行为所引起的法律后果不承担任何责任，由乙方自行负责解决处理。甲方对乙方人员执行工作任务期间，违反法律法规或甲方规定所引起的法律后果不承担任何责任，由乙方自行负责解决处理。</w:t>
      </w:r>
    </w:p>
    <w:p w14:paraId="6D77396B">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4．未经甲方书面同意，乙方不得将业务转包给第三方，否则甲方可单方面解除合同，乙方</w:t>
      </w:r>
      <w:r>
        <w:rPr>
          <w:rFonts w:hint="eastAsia" w:ascii="宋体" w:hAnsi="宋体" w:cs="宋体"/>
          <w:color w:val="000000" w:themeColor="text1"/>
          <w:sz w:val="24"/>
          <w:szCs w:val="24"/>
          <w:highlight w:val="none"/>
          <w14:textFill>
            <w14:solidFill>
              <w14:schemeClr w14:val="tx1"/>
            </w14:solidFill>
          </w14:textFill>
        </w:rPr>
        <w:t>须赔偿其违约给甲方造成的直接及间接经济损失</w:t>
      </w:r>
      <w:r>
        <w:rPr>
          <w:rFonts w:hint="eastAsia" w:ascii="宋体" w:hAnsi="宋体" w:cs="宋体"/>
          <w:color w:val="000000" w:themeColor="text1"/>
          <w:sz w:val="24"/>
          <w:szCs w:val="24"/>
          <w:highlight w:val="none"/>
          <w14:textFill>
            <w14:solidFill>
              <w14:schemeClr w14:val="tx1"/>
            </w14:solidFill>
          </w14:textFill>
        </w:rPr>
        <w:t>。</w:t>
      </w:r>
    </w:p>
    <w:p w14:paraId="16E35C21">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5．乙方保证其提供的工作成果不存在侵犯任何第三方权益的情形存在，否则承担全部责任，因此导致甲方涉诉，还应承担甲方因此支出的全部费用并向甲方支付合同总价款20%的违约金。</w:t>
      </w:r>
    </w:p>
    <w:p w14:paraId="11D38E30">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6．</w:t>
      </w:r>
      <w:r>
        <w:rPr>
          <w:rFonts w:hint="eastAsia" w:ascii="宋体" w:hAnsi="宋体" w:cs="宋体"/>
          <w:color w:val="000000" w:themeColor="text1"/>
          <w:sz w:val="24"/>
          <w:szCs w:val="24"/>
          <w:highlight w:val="none"/>
          <w14:textFill>
            <w14:solidFill>
              <w14:schemeClr w14:val="tx1"/>
            </w14:solidFill>
          </w14:textFill>
        </w:rPr>
        <w:t>若其中一方违约，违约方除按本合同约定向守约方承担违约责任外，还应承担守约方为主张权利而发生的律师费、诉讼费、保全费、保全保险费、调查取证费、差旅费等为获得违约赔偿支出的一切费用。若违约金未能弥补守约方损失的，违约方还应承担赔偿责任。</w:t>
      </w:r>
    </w:p>
    <w:p w14:paraId="61F33B6B">
      <w:pPr>
        <w:spacing w:line="360" w:lineRule="auto"/>
        <w:ind w:firstLine="480" w:firstLineChars="200"/>
        <w:rPr>
          <w:rFonts w:ascii="宋体" w:hAnsi="宋体" w:cs="宋体"/>
          <w:i/>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7．乙方应支付的违约金、赔偿金等任何款项，甲方有权直接从合同款项、履约保证金等直接扣除，并就不足部分继续追偿。</w:t>
      </w:r>
    </w:p>
    <w:p w14:paraId="459036C6">
      <w:pPr>
        <w:autoSpaceDE w:val="0"/>
        <w:autoSpaceDN w:val="0"/>
        <w:adjustRightInd w:val="0"/>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九、甲方有权拒付合同价以外的任何费用；乙方有权拒绝合同整体范围以外的条件。</w:t>
      </w:r>
    </w:p>
    <w:p w14:paraId="225BE5E3">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十、甲乙双方在履行合同过程中发生纠纷，应及时向有关监督管理部门反映，以便相关部门进行协调或处理；也可以直接向甲方所在地有管辖权的人民法院提起诉讼。</w:t>
      </w:r>
    </w:p>
    <w:p w14:paraId="74E5A2E9">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十一、本合同其他未尽事宜，按《中华人民共和国民法典》有关规定处理。本合同在履行过程中，若遇有政府行为或不可抗拒的因素而影响本合同正常履行或某一方需要修改、变更合同内容时，甲乙双方应进行协商，协商后所订立的书面补充条款或补充协议与本合同具有同等效力。</w:t>
      </w:r>
    </w:p>
    <w:p w14:paraId="62A0C99C">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十二、本合同一式肆份，甲方叁</w:t>
      </w:r>
      <w:r>
        <w:rPr>
          <w:rFonts w:hint="eastAsia" w:ascii="宋体" w:hAnsi="宋体" w:cs="宋体"/>
          <w:color w:val="000000" w:themeColor="text1"/>
          <w:sz w:val="24"/>
          <w:szCs w:val="24"/>
          <w:highlight w:val="none"/>
          <w14:textFill>
            <w14:solidFill>
              <w14:schemeClr w14:val="tx1"/>
            </w14:solidFill>
          </w14:textFill>
        </w:rPr>
        <w:t>份，乙方壹份。</w:t>
      </w:r>
    </w:p>
    <w:p w14:paraId="322B019C">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十三、本合同自甲乙双方法定代表人（负责人）或委托代理人签名并加盖公章之日起生效。</w:t>
      </w:r>
    </w:p>
    <w:p w14:paraId="5065A797">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十四、本合同不可分割之部分及解释顺序（如有）</w:t>
      </w:r>
    </w:p>
    <w:p w14:paraId="43E9EB81">
      <w:pPr>
        <w:autoSpaceDE w:val="0"/>
        <w:autoSpaceDN w:val="0"/>
        <w:adjustRightInd w:val="0"/>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1．合同书及附件；</w:t>
      </w:r>
    </w:p>
    <w:p w14:paraId="33CFEF31">
      <w:pPr>
        <w:autoSpaceDE w:val="0"/>
        <w:autoSpaceDN w:val="0"/>
        <w:adjustRightInd w:val="0"/>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2．中标（成交）通知书；</w:t>
      </w:r>
    </w:p>
    <w:p w14:paraId="14564FE9">
      <w:pPr>
        <w:autoSpaceDE w:val="0"/>
        <w:autoSpaceDN w:val="0"/>
        <w:adjustRightInd w:val="0"/>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3．中标（成交）供应商投标（响应）文件；</w:t>
      </w:r>
    </w:p>
    <w:p w14:paraId="580E388D">
      <w:pPr>
        <w:autoSpaceDE w:val="0"/>
        <w:autoSpaceDN w:val="0"/>
        <w:adjustRightInd w:val="0"/>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4．采购文件。</w:t>
      </w:r>
    </w:p>
    <w:p w14:paraId="0FBD49FA">
      <w:pPr>
        <w:spacing w:line="360" w:lineRule="auto"/>
        <w:ind w:firstLine="480" w:firstLineChars="200"/>
        <w:rPr>
          <w:rFonts w:ascii="宋体" w:hAnsi="宋体" w:cs="宋体"/>
          <w:color w:val="000000" w:themeColor="text1"/>
          <w:sz w:val="32"/>
          <w:szCs w:val="32"/>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十五、附件名称</w:t>
      </w:r>
    </w:p>
    <w:p w14:paraId="79D4D86A">
      <w:pPr>
        <w:spacing w:before="101" w:line="219" w:lineRule="auto"/>
        <w:ind w:left="105"/>
        <w:jc w:val="center"/>
        <w:outlineLvl w:val="0"/>
        <w:rPr>
          <w:rFonts w:ascii="宋体" w:hAnsi="宋体" w:cs="宋体"/>
          <w:b/>
          <w:bCs/>
          <w:color w:val="000000" w:themeColor="text1"/>
          <w:kern w:val="44"/>
          <w:sz w:val="44"/>
          <w:szCs w:val="44"/>
          <w:highlight w:val="none"/>
          <w14:textFill>
            <w14:solidFill>
              <w14:schemeClr w14:val="tx1"/>
            </w14:solidFill>
          </w14:textFill>
        </w:rPr>
      </w:pPr>
      <w:r>
        <w:rPr>
          <w:rFonts w:hint="eastAsia" w:ascii="宋体" w:hAnsi="宋体" w:cs="宋体"/>
          <w:color w:val="000000" w:themeColor="text1"/>
          <w:sz w:val="32"/>
          <w:szCs w:val="32"/>
          <w:highlight w:val="none"/>
          <w14:textFill>
            <w14:solidFill>
              <w14:schemeClr w14:val="tx1"/>
            </w14:solidFill>
          </w14:textFill>
        </w:rPr>
        <w:br w:type="page"/>
      </w:r>
      <w:bookmarkStart w:id="309" w:name="_Toc12852"/>
      <w:r>
        <w:rPr>
          <w:rFonts w:hint="eastAsia" w:ascii="宋体" w:hAnsi="宋体" w:cs="宋体"/>
          <w:b/>
          <w:bCs/>
          <w:color w:val="000000" w:themeColor="text1"/>
          <w:kern w:val="44"/>
          <w:sz w:val="44"/>
          <w:szCs w:val="44"/>
          <w:highlight w:val="none"/>
          <w14:textFill>
            <w14:solidFill>
              <w14:schemeClr w14:val="tx1"/>
            </w14:solidFill>
          </w14:textFill>
        </w:rPr>
        <w:t xml:space="preserve">第六章 </w:t>
      </w:r>
      <w:bookmarkEnd w:id="303"/>
      <w:r>
        <w:rPr>
          <w:rFonts w:hint="eastAsia" w:ascii="宋体" w:hAnsi="宋体" w:cs="宋体"/>
          <w:b/>
          <w:bCs/>
          <w:color w:val="000000" w:themeColor="text1"/>
          <w:kern w:val="44"/>
          <w:sz w:val="44"/>
          <w:szCs w:val="44"/>
          <w:highlight w:val="none"/>
          <w14:textFill>
            <w14:solidFill>
              <w14:schemeClr w14:val="tx1"/>
            </w14:solidFill>
          </w14:textFill>
        </w:rPr>
        <w:t>服务内容及要求</w:t>
      </w:r>
      <w:bookmarkEnd w:id="304"/>
      <w:bookmarkEnd w:id="305"/>
      <w:bookmarkEnd w:id="309"/>
      <w:bookmarkStart w:id="310" w:name="_Toc24075"/>
    </w:p>
    <w:p w14:paraId="4856E668">
      <w:pPr>
        <w:shd w:val="clear" w:color="auto" w:fill="FFFFFF"/>
        <w:spacing w:line="360" w:lineRule="auto"/>
        <w:rPr>
          <w:rFonts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一、采购标的需实现的功能或者目标，以及为落实政府采购政策需满足的要求；</w:t>
      </w:r>
    </w:p>
    <w:p w14:paraId="39053F79">
      <w:pPr>
        <w:spacing w:line="440" w:lineRule="exact"/>
        <w:ind w:firstLine="480" w:firstLineChars="200"/>
        <w:rPr>
          <w:rFonts w:hAnsi="宋体" w:cs="宋体"/>
          <w:bCs/>
          <w:color w:val="000000" w:themeColor="text1"/>
          <w:sz w:val="24"/>
          <w:highlight w:val="none"/>
          <w14:textFill>
            <w14:solidFill>
              <w14:schemeClr w14:val="tx1"/>
            </w14:solidFill>
          </w14:textFill>
        </w:rPr>
      </w:pPr>
      <w:r>
        <w:rPr>
          <w:rFonts w:hint="eastAsia" w:hAnsi="宋体" w:cs="宋体"/>
          <w:bCs/>
          <w:color w:val="000000" w:themeColor="text1"/>
          <w:sz w:val="24"/>
          <w:highlight w:val="none"/>
          <w14:textFill>
            <w14:solidFill>
              <w14:schemeClr w14:val="tx1"/>
            </w14:solidFill>
          </w14:textFill>
        </w:rPr>
        <w:t>（一）采购需求：</w:t>
      </w:r>
    </w:p>
    <w:p w14:paraId="65AA1842">
      <w:pPr>
        <w:spacing w:line="440" w:lineRule="exact"/>
        <w:ind w:firstLine="480" w:firstLineChars="200"/>
        <w:rPr>
          <w:rFonts w:hAnsi="宋体" w:cs="宋体"/>
          <w:bCs/>
          <w:color w:val="000000" w:themeColor="text1"/>
          <w:sz w:val="24"/>
          <w:highlight w:val="none"/>
          <w14:textFill>
            <w14:solidFill>
              <w14:schemeClr w14:val="tx1"/>
            </w14:solidFill>
          </w14:textFill>
        </w:rPr>
      </w:pPr>
      <w:r>
        <w:rPr>
          <w:rFonts w:hint="eastAsia" w:hAnsi="宋体" w:cs="宋体"/>
          <w:bCs/>
          <w:color w:val="000000" w:themeColor="text1"/>
          <w:sz w:val="24"/>
          <w:highlight w:val="none"/>
          <w14:textFill>
            <w14:solidFill>
              <w14:schemeClr w14:val="tx1"/>
            </w14:solidFill>
          </w14:textFill>
        </w:rPr>
        <w:t>西南林业大学第二届智华联谊活动舞台灯光音响租赁服务，满足活动现场舞台呈现、音频扩声、视频展示、舞台搭建等全部需求，保障活动顺利开展，呈现高质量的现场效果，适配联谊活动的氛围与流程安排。</w:t>
      </w:r>
    </w:p>
    <w:p w14:paraId="12D57460">
      <w:pPr>
        <w:spacing w:line="440" w:lineRule="exact"/>
        <w:ind w:firstLine="480" w:firstLineChars="200"/>
        <w:rPr>
          <w:rFonts w:hAnsi="宋体" w:cs="宋体"/>
          <w:bCs/>
          <w:color w:val="000000" w:themeColor="text1"/>
          <w:sz w:val="24"/>
          <w:highlight w:val="none"/>
          <w14:textFill>
            <w14:solidFill>
              <w14:schemeClr w14:val="tx1"/>
            </w14:solidFill>
          </w14:textFill>
        </w:rPr>
      </w:pPr>
      <w:r>
        <w:rPr>
          <w:rFonts w:hint="eastAsia" w:hAnsi="宋体" w:cs="宋体"/>
          <w:bCs/>
          <w:color w:val="000000" w:themeColor="text1"/>
          <w:sz w:val="24"/>
          <w:highlight w:val="none"/>
          <w14:textFill>
            <w14:solidFill>
              <w14:schemeClr w14:val="tx1"/>
            </w14:solidFill>
          </w14:textFill>
        </w:rPr>
        <w:t>（二）为落实政府采购政策需满足的要求：</w:t>
      </w:r>
    </w:p>
    <w:p w14:paraId="65423C34">
      <w:pPr>
        <w:spacing w:line="440" w:lineRule="exact"/>
        <w:ind w:firstLine="480" w:firstLineChars="200"/>
        <w:rPr>
          <w:rFonts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1）促进中小企业发展政策:根据《政府采购促进中小企业发展管理办法》规定，本项目投标人所投产品为小型或微型企业生产的,应对提交的中小企业声明函的真实性负责,提交的中小企业声明函不真实的,应承担相应的法律责任。</w:t>
      </w:r>
    </w:p>
    <w:p w14:paraId="48A6FC38">
      <w:pPr>
        <w:spacing w:line="440" w:lineRule="exact"/>
        <w:ind w:firstLine="480" w:firstLineChars="200"/>
        <w:rPr>
          <w:rFonts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2）监狱企业扶持政策:投标人如为监狱企业将视同为小型或微型企业，应提供由省级以上监狱管理局、戒毒管理局(含新疆生产建设兵团)出具的属于监狱企业的证明文件。投标人应对提交的属于监狱企业的证明文件的真实性负责，提交的监狱企业的证明文件不真实的，应承担相应的法律责任。</w:t>
      </w:r>
    </w:p>
    <w:p w14:paraId="325B33FA">
      <w:pPr>
        <w:spacing w:line="440" w:lineRule="exact"/>
        <w:ind w:firstLine="480" w:firstLineChars="200"/>
        <w:rPr>
          <w:rFonts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3）促进残疾人就业政府采购政策:根据《三部门联合发布关于促进残疾人就业政府采购政策的通知》(财库(2017)141号)规定，符合条件的残疾人福利性单位在参加本项目政府采购活动时，投标人应出具招标文件要求的《残疾人福利性单位声明函》，并对声明的真实性承担法律责任。中标、成交投标人为残疾人福利性单位的，采购代理机构将随中标结果同时公告其《残疾人福利性单位声明函》，接受社会监督。残疾人福利性单位视同小型、微型企业。不重复享受政策。</w:t>
      </w:r>
    </w:p>
    <w:p w14:paraId="13B04276">
      <w:pPr>
        <w:shd w:val="clear" w:color="auto" w:fill="FFFFFF"/>
        <w:spacing w:line="360" w:lineRule="auto"/>
        <w:rPr>
          <w:rFonts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二、采购标的需执行的国家相关标准、行业标准、地方标准或者其他标准、规范；</w:t>
      </w:r>
    </w:p>
    <w:p w14:paraId="088FDB79">
      <w:pPr>
        <w:spacing w:line="440" w:lineRule="exact"/>
        <w:ind w:firstLine="480" w:firstLineChars="200"/>
        <w:rPr>
          <w:rFonts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符合国家、行业现行的规范，满足采购人要求的相关质量验收标准，一次性验收合格。</w:t>
      </w:r>
    </w:p>
    <w:p w14:paraId="491C1C7D">
      <w:pPr>
        <w:shd w:val="clear" w:color="auto" w:fill="FFFFFF"/>
        <w:spacing w:line="360" w:lineRule="auto"/>
        <w:rPr>
          <w:rFonts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三、采购标的需满足的质量、安全、技术规格、物理特性等要求；</w:t>
      </w:r>
    </w:p>
    <w:p w14:paraId="197CCC3C">
      <w:pPr>
        <w:spacing w:line="440" w:lineRule="exact"/>
        <w:ind w:firstLine="480" w:firstLineChars="200"/>
        <w:rPr>
          <w:rFonts w:ascii="宋体" w:hAnsi="宋体"/>
          <w:bCs/>
          <w:color w:val="000000" w:themeColor="text1"/>
          <w:sz w:val="24"/>
          <w:szCs w:val="24"/>
          <w:highlight w:val="none"/>
          <w14:textFill>
            <w14:solidFill>
              <w14:schemeClr w14:val="tx1"/>
            </w14:solidFill>
          </w14:textFill>
        </w:rPr>
      </w:pPr>
      <w:bookmarkStart w:id="311" w:name="heading_2"/>
      <w:bookmarkStart w:id="312" w:name="_Toc5668"/>
      <w:r>
        <w:rPr>
          <w:rFonts w:hint="eastAsia" w:ascii="宋体" w:hAnsi="宋体"/>
          <w:bCs/>
          <w:color w:val="000000" w:themeColor="text1"/>
          <w:sz w:val="24"/>
          <w:szCs w:val="24"/>
          <w:highlight w:val="none"/>
          <w14:textFill>
            <w14:solidFill>
              <w14:schemeClr w14:val="tx1"/>
            </w14:solidFill>
          </w14:textFill>
        </w:rPr>
        <w:t>（一）整体效果定位</w:t>
      </w:r>
      <w:bookmarkEnd w:id="311"/>
    </w:p>
    <w:p w14:paraId="34D853F1">
      <w:pPr>
        <w:spacing w:line="440" w:lineRule="exact"/>
        <w:ind w:firstLine="480" w:firstLineChars="200"/>
        <w:rPr>
          <w:rFonts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灯光</w:t>
      </w:r>
      <w:r>
        <w:rPr>
          <w:rFonts w:hint="eastAsia" w:ascii="宋体" w:hAnsi="宋体"/>
          <w:bCs/>
          <w:color w:val="000000" w:themeColor="text1"/>
          <w:sz w:val="24"/>
          <w:szCs w:val="24"/>
          <w:highlight w:val="none"/>
          <w14:textFill>
            <w14:solidFill>
              <w14:schemeClr w14:val="tx1"/>
            </w14:solidFill>
          </w14:textFill>
        </w:rPr>
        <w:t>、音响系统需兼顾“庄重性”与“观赏性”，适配联谊活动的公益属性和院校交流的青春氛围，确保现场</w:t>
      </w:r>
      <w:r>
        <w:rPr>
          <w:rFonts w:ascii="宋体" w:hAnsi="宋体"/>
          <w:bCs/>
          <w:color w:val="000000" w:themeColor="text1"/>
          <w:sz w:val="24"/>
          <w:szCs w:val="24"/>
          <w:highlight w:val="none"/>
          <w14:textFill>
            <w14:solidFill>
              <w14:schemeClr w14:val="tx1"/>
            </w14:solidFill>
          </w14:textFill>
        </w:rPr>
        <w:t>20</w:t>
      </w:r>
      <w:r>
        <w:rPr>
          <w:rFonts w:hint="eastAsia" w:ascii="宋体" w:hAnsi="宋体"/>
          <w:bCs/>
          <w:color w:val="000000" w:themeColor="text1"/>
          <w:sz w:val="24"/>
          <w:szCs w:val="24"/>
          <w:highlight w:val="none"/>
          <w14:textFill>
            <w14:solidFill>
              <w14:schemeClr w14:val="tx1"/>
            </w14:solidFill>
          </w14:textFill>
        </w:rPr>
        <w:t>00名观众均能清晰观看、清晰聆听，无视觉盲区、无声音失真，整体呈现专业、流畅、有感染力的活动效果。</w:t>
      </w:r>
    </w:p>
    <w:p w14:paraId="2F632A1A">
      <w:pPr>
        <w:spacing w:line="440" w:lineRule="exact"/>
        <w:ind w:firstLine="480" w:firstLineChars="200"/>
        <w:rPr>
          <w:rFonts w:ascii="宋体" w:hAnsi="宋体"/>
          <w:bCs/>
          <w:color w:val="000000" w:themeColor="text1"/>
          <w:sz w:val="24"/>
          <w:szCs w:val="24"/>
          <w:highlight w:val="none"/>
          <w14:textFill>
            <w14:solidFill>
              <w14:schemeClr w14:val="tx1"/>
            </w14:solidFill>
          </w14:textFill>
        </w:rPr>
      </w:pPr>
      <w:bookmarkStart w:id="313" w:name="heading_3"/>
      <w:r>
        <w:rPr>
          <w:rFonts w:hint="eastAsia" w:ascii="宋体" w:hAnsi="宋体"/>
          <w:bCs/>
          <w:color w:val="000000" w:themeColor="text1"/>
          <w:sz w:val="24"/>
          <w:szCs w:val="24"/>
          <w:highlight w:val="none"/>
          <w14:textFill>
            <w14:solidFill>
              <w14:schemeClr w14:val="tx1"/>
            </w14:solidFill>
          </w14:textFill>
        </w:rPr>
        <w:t>（二）灯光系统效果要求</w:t>
      </w:r>
      <w:bookmarkEnd w:id="313"/>
    </w:p>
    <w:p w14:paraId="475660D4">
      <w:pPr>
        <w:spacing w:line="440" w:lineRule="exact"/>
        <w:ind w:firstLine="480" w:firstLineChars="200"/>
        <w:rPr>
          <w:rFonts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1.基础照明：舞台整体亮度均匀，无明显光斑、暗区，观众席及舞台周边通道照明充足，保障现场安全及拍摄需求（适配高清摄像，无反光、无炫光）。</w:t>
      </w:r>
    </w:p>
    <w:p w14:paraId="1AF6BE7D">
      <w:pPr>
        <w:spacing w:line="440" w:lineRule="exact"/>
        <w:ind w:firstLine="480" w:firstLineChars="200"/>
        <w:rPr>
          <w:rFonts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2.氛围营造：可根据不同节目类型（抒情、动感、庄重、温情）切换灯光效果，支持暖光、冷光、彩色光的灵活切换，具备追光、扫光、频闪、渐变等功能，突出节目核心亮点，带动现场氛围。</w:t>
      </w:r>
    </w:p>
    <w:p w14:paraId="22281E38">
      <w:pPr>
        <w:spacing w:line="440" w:lineRule="exact"/>
        <w:ind w:firstLine="480" w:firstLineChars="200"/>
        <w:rPr>
          <w:rFonts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3.重点突出：配备专业追光设备，可精准追踪舞台上的表演者（单人、多人），确保表演者成为视觉焦点；针对语言类节目，灯光需柔和聚焦，突出人物表情；针对舞蹈、歌曲类节目，灯光可配合节奏变化，增强视觉冲击力。</w:t>
      </w:r>
    </w:p>
    <w:p w14:paraId="5B8287CF">
      <w:pPr>
        <w:spacing w:line="440" w:lineRule="exact"/>
        <w:ind w:firstLine="480" w:firstLineChars="200"/>
        <w:rPr>
          <w:rFonts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4.设备适配：灯光设备需适配活动场地尺寸，避免灯光范围不足或过度浪费，设备运行稳定，无噪音、无故障，灯光切换流畅，无卡顿、无延迟，支持现场操作人员实时调控。</w:t>
      </w:r>
    </w:p>
    <w:p w14:paraId="09FBB0B0">
      <w:pPr>
        <w:spacing w:line="440" w:lineRule="exact"/>
        <w:ind w:firstLine="480" w:firstLineChars="200"/>
        <w:rPr>
          <w:rFonts w:ascii="宋体" w:hAnsi="宋体"/>
          <w:bCs/>
          <w:color w:val="000000" w:themeColor="text1"/>
          <w:sz w:val="24"/>
          <w:szCs w:val="24"/>
          <w:highlight w:val="none"/>
          <w14:textFill>
            <w14:solidFill>
              <w14:schemeClr w14:val="tx1"/>
            </w14:solidFill>
          </w14:textFill>
        </w:rPr>
      </w:pPr>
      <w:bookmarkStart w:id="314" w:name="heading_4"/>
      <w:r>
        <w:rPr>
          <w:rFonts w:hint="eastAsia" w:ascii="宋体" w:hAnsi="宋体"/>
          <w:bCs/>
          <w:color w:val="000000" w:themeColor="text1"/>
          <w:sz w:val="24"/>
          <w:szCs w:val="24"/>
          <w:highlight w:val="none"/>
          <w14:textFill>
            <w14:solidFill>
              <w14:schemeClr w14:val="tx1"/>
            </w14:solidFill>
          </w14:textFill>
        </w:rPr>
        <w:t>（三）音响系统效果要求</w:t>
      </w:r>
      <w:bookmarkEnd w:id="314"/>
    </w:p>
    <w:p w14:paraId="480AE0BA">
      <w:pPr>
        <w:spacing w:line="440" w:lineRule="exact"/>
        <w:ind w:firstLine="480" w:firstLineChars="200"/>
        <w:rPr>
          <w:rFonts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1.音质要求：声音清晰、饱满、无杂音、无失真，高低音均衡，人声与伴奏分离清晰，确保现场所有观众（含后排观众）均能清晰听到节目声音、主持人串词及互动环节的声音，无回声、无啸叫。</w:t>
      </w:r>
    </w:p>
    <w:p w14:paraId="70AB085A">
      <w:pPr>
        <w:spacing w:line="440" w:lineRule="exact"/>
        <w:ind w:firstLine="480" w:firstLineChars="200"/>
        <w:rPr>
          <w:rFonts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2.覆盖范围：音响覆盖整个活动场地，声音传播均匀，无死角、无强弱差异，音量可灵活调节，既能满足演出需求，又不会产生刺耳噪音。</w:t>
      </w:r>
    </w:p>
    <w:p w14:paraId="41599242">
      <w:pPr>
        <w:spacing w:line="440" w:lineRule="exact"/>
        <w:ind w:firstLine="480" w:firstLineChars="200"/>
        <w:rPr>
          <w:rFonts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3.设备适配：配备足够功率的音响设备，适配</w:t>
      </w:r>
      <w:r>
        <w:rPr>
          <w:rFonts w:ascii="宋体" w:hAnsi="宋体"/>
          <w:bCs/>
          <w:color w:val="000000" w:themeColor="text1"/>
          <w:sz w:val="24"/>
          <w:szCs w:val="24"/>
          <w:highlight w:val="none"/>
          <w14:textFill>
            <w14:solidFill>
              <w14:schemeClr w14:val="tx1"/>
            </w14:solidFill>
          </w14:textFill>
        </w:rPr>
        <w:t>2</w:t>
      </w:r>
      <w:r>
        <w:rPr>
          <w:rFonts w:hint="eastAsia" w:ascii="宋体" w:hAnsi="宋体"/>
          <w:bCs/>
          <w:color w:val="000000" w:themeColor="text1"/>
          <w:sz w:val="24"/>
          <w:szCs w:val="24"/>
          <w:highlight w:val="none"/>
          <w14:textFill>
            <w14:solidFill>
              <w14:schemeClr w14:val="tx1"/>
            </w14:solidFill>
          </w14:textFill>
        </w:rPr>
        <w:t>000人规模场地；配备专业麦克风（手持、领夹、台式），数量满足主持人、表演者、互动环节的需求，麦克风信号稳定，无断音、无干扰。</w:t>
      </w:r>
    </w:p>
    <w:p w14:paraId="32B6768D">
      <w:pPr>
        <w:spacing w:line="440" w:lineRule="exact"/>
        <w:ind w:firstLine="480" w:firstLineChars="200"/>
        <w:rPr>
          <w:rFonts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4.应急保障：音响系统需具备应急备用方案，避免出现设备故障导致晚会中断，确保晚会顺利进行。</w:t>
      </w:r>
    </w:p>
    <w:p w14:paraId="368D97BF">
      <w:pPr>
        <w:spacing w:line="440" w:lineRule="exact"/>
        <w:ind w:firstLine="480" w:firstLineChars="200"/>
        <w:rPr>
          <w:rFonts w:ascii="宋体" w:hAnsi="宋体"/>
          <w:bCs/>
          <w:color w:val="000000" w:themeColor="text1"/>
          <w:sz w:val="24"/>
          <w:szCs w:val="24"/>
          <w:highlight w:val="none"/>
          <w14:textFill>
            <w14:solidFill>
              <w14:schemeClr w14:val="tx1"/>
            </w14:solidFill>
          </w14:textFill>
        </w:rPr>
      </w:pPr>
      <w:bookmarkStart w:id="315" w:name="heading_5"/>
      <w:r>
        <w:rPr>
          <w:rFonts w:hint="eastAsia" w:ascii="宋体" w:hAnsi="宋体"/>
          <w:bCs/>
          <w:color w:val="000000" w:themeColor="text1"/>
          <w:sz w:val="24"/>
          <w:szCs w:val="24"/>
          <w:highlight w:val="none"/>
          <w14:textFill>
            <w14:solidFill>
              <w14:schemeClr w14:val="tx1"/>
            </w14:solidFill>
          </w14:textFill>
        </w:rPr>
        <w:t>（四）其他配套效果要求</w:t>
      </w:r>
      <w:bookmarkEnd w:id="315"/>
    </w:p>
    <w:p w14:paraId="3D14DF6C">
      <w:pPr>
        <w:spacing w:line="440" w:lineRule="exact"/>
        <w:ind w:firstLine="480" w:firstLineChars="200"/>
        <w:rPr>
          <w:rFonts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1.舞台背景配合：灯光需与舞台背景（LED屏）协调，突出背景主题，增强整体视觉效果；配备LED屏，灯光需避免强光直射屏幕，防止反光影响观看。</w:t>
      </w:r>
    </w:p>
    <w:p w14:paraId="00310B62">
      <w:pPr>
        <w:spacing w:line="440" w:lineRule="exact"/>
        <w:ind w:firstLine="480" w:firstLineChars="200"/>
        <w:rPr>
          <w:rFonts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2.互动适配：支持互动环节的声音、灯光配合，如观众互动、抽奖环节，可通过灯光、音响营造热烈氛围，提升现场参与感。</w:t>
      </w:r>
    </w:p>
    <w:p w14:paraId="398C5568">
      <w:pPr>
        <w:spacing w:line="440" w:lineRule="exact"/>
        <w:ind w:firstLine="480" w:firstLineChars="200"/>
        <w:rPr>
          <w:rFonts w:ascii="宋体" w:hAnsi="宋体"/>
          <w:bCs/>
          <w:color w:val="000000" w:themeColor="text1"/>
          <w:sz w:val="24"/>
          <w:szCs w:val="24"/>
          <w:highlight w:val="none"/>
          <w14:textFill>
            <w14:solidFill>
              <w14:schemeClr w14:val="tx1"/>
            </w14:solidFill>
          </w14:textFill>
        </w:rPr>
      </w:pPr>
      <w:bookmarkStart w:id="316" w:name="heading_7"/>
      <w:r>
        <w:rPr>
          <w:rFonts w:hint="eastAsia" w:ascii="宋体" w:hAnsi="宋体"/>
          <w:bCs/>
          <w:color w:val="000000" w:themeColor="text1"/>
          <w:sz w:val="24"/>
          <w:szCs w:val="24"/>
          <w:highlight w:val="none"/>
          <w14:textFill>
            <w14:solidFill>
              <w14:schemeClr w14:val="tx1"/>
            </w14:solidFill>
          </w14:textFill>
        </w:rPr>
        <w:t>（五）其他要求</w:t>
      </w:r>
      <w:bookmarkEnd w:id="316"/>
    </w:p>
    <w:p w14:paraId="2555A7E9">
      <w:pPr>
        <w:widowControl w:val="0"/>
        <w:spacing w:line="360" w:lineRule="auto"/>
        <w:ind w:firstLine="480" w:firstLineChars="200"/>
        <w:rPr>
          <w:rFonts w:ascii="宋体" w:hAnsi="宋体" w:cs="宋体"/>
          <w:color w:val="000000" w:themeColor="text1"/>
          <w:kern w:val="2"/>
          <w:sz w:val="24"/>
          <w:szCs w:val="24"/>
          <w:highlight w:val="none"/>
          <w:lang w:bidi="ar"/>
          <w14:textFill>
            <w14:solidFill>
              <w14:schemeClr w14:val="tx1"/>
            </w14:solidFill>
          </w14:textFill>
        </w:rPr>
      </w:pPr>
      <w:r>
        <w:rPr>
          <w:rFonts w:hint="eastAsia" w:ascii="宋体" w:hAnsi="宋体" w:cs="宋体"/>
          <w:color w:val="000000" w:themeColor="text1"/>
          <w:kern w:val="2"/>
          <w:sz w:val="24"/>
          <w:szCs w:val="24"/>
          <w:highlight w:val="none"/>
          <w:lang w:bidi="ar"/>
          <w14:textFill>
            <w14:solidFill>
              <w14:schemeClr w14:val="tx1"/>
            </w14:solidFill>
          </w14:textFill>
        </w:rPr>
        <w:t>1.投标人具有类似大型活动的经验，具备舞台灯光音响租赁、现场执行相关租赁及执行经验，无违法违规经营记录，无重大安全事故及服务投诉记录。</w:t>
      </w:r>
    </w:p>
    <w:p w14:paraId="3E7E9A9D">
      <w:pPr>
        <w:spacing w:line="440" w:lineRule="exact"/>
        <w:ind w:firstLine="480" w:firstLineChars="200"/>
        <w:rPr>
          <w:rFonts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2.投标人需具备完善的设备保障体系，拥有自有或长期合作的专业灯光、音响设备，设备均需符合国家相关质量标准，无老化、破损情况，且在使用前需进行全面检测，确保设备正常运行。</w:t>
      </w:r>
    </w:p>
    <w:p w14:paraId="1D50B2FD">
      <w:pPr>
        <w:spacing w:line="440" w:lineRule="exact"/>
        <w:ind w:firstLine="480" w:firstLineChars="200"/>
        <w:rPr>
          <w:rFonts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3.投标人需具备专业的技术团队，包括灯光师、音响师、设备调试人员等，所有技术人员需具备相应的专业资质证书，拥有丰富的大型活动现场执行经验，能够精准把控晚会效果，及时处理现场突发故障。</w:t>
      </w:r>
    </w:p>
    <w:p w14:paraId="4E0ECF90">
      <w:pPr>
        <w:spacing w:line="440" w:lineRule="exact"/>
        <w:ind w:firstLine="480" w:firstLineChars="200"/>
        <w:rPr>
          <w:rFonts w:ascii="宋体" w:hAnsi="宋体" w:cs="宋体"/>
          <w:color w:val="000000" w:themeColor="text1"/>
          <w:kern w:val="2"/>
          <w:sz w:val="24"/>
          <w:szCs w:val="24"/>
          <w:highlight w:val="none"/>
          <w:lang w:bidi="ar"/>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4.投标人需具备完善的售后服务及应急处理能力，能够快速响应现场需求，针对设备故障、效果调整等问题，提供即时解决方案，确保晚会不受影响。</w:t>
      </w:r>
    </w:p>
    <w:p w14:paraId="465B9982">
      <w:pPr>
        <w:spacing w:line="440" w:lineRule="exact"/>
        <w:ind w:firstLine="480" w:firstLineChars="200"/>
        <w:rPr>
          <w:rFonts w:ascii="宋体" w:hAnsi="宋体"/>
          <w:bCs/>
          <w:color w:val="000000" w:themeColor="text1"/>
          <w:sz w:val="24"/>
          <w:szCs w:val="24"/>
          <w:highlight w:val="none"/>
          <w14:textFill>
            <w14:solidFill>
              <w14:schemeClr w14:val="tx1"/>
            </w14:solidFill>
          </w14:textFill>
        </w:rPr>
      </w:pPr>
      <w:bookmarkStart w:id="317" w:name="heading_8"/>
      <w:r>
        <w:rPr>
          <w:rFonts w:hint="eastAsia" w:ascii="宋体" w:hAnsi="宋体"/>
          <w:bCs/>
          <w:color w:val="000000" w:themeColor="text1"/>
          <w:sz w:val="24"/>
          <w:szCs w:val="24"/>
          <w:highlight w:val="none"/>
          <w14:textFill>
            <w14:solidFill>
              <w14:schemeClr w14:val="tx1"/>
            </w14:solidFill>
          </w14:textFill>
        </w:rPr>
        <w:t>（六）服务流程要求</w:t>
      </w:r>
      <w:bookmarkEnd w:id="317"/>
    </w:p>
    <w:p w14:paraId="64B3787A">
      <w:pPr>
        <w:spacing w:line="440" w:lineRule="exact"/>
        <w:ind w:firstLine="480" w:firstLineChars="200"/>
        <w:rPr>
          <w:rFonts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1.前期对接：投标人需在中标后24小时内与采购人对接，了解活动细节、场地情况，配合采购人完成灯光音响方案的细化设计，方案需经采购人确认后方可实施。</w:t>
      </w:r>
    </w:p>
    <w:p w14:paraId="6EBC334C">
      <w:pPr>
        <w:spacing w:line="440" w:lineRule="exact"/>
        <w:ind w:firstLine="480" w:firstLineChars="200"/>
        <w:rPr>
          <w:rFonts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2.现场搭建：投标人需按照确认的方案，在晚会开始前完成灯光、音响设备的运输、安装、调试工作，搭建时间需符合采购人要求，不得延误活动筹备进度；搭建过程中需遵守场地管理规定，做好安全防护，避免损坏场地设施。</w:t>
      </w:r>
    </w:p>
    <w:p w14:paraId="76E4E001">
      <w:pPr>
        <w:spacing w:line="440" w:lineRule="exact"/>
        <w:ind w:firstLine="480" w:firstLineChars="200"/>
        <w:rPr>
          <w:rFonts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3.现场执行：活动期间，投标人需安排专业技术人员全程值守，负责灯光、音响的实时调控，配合节目流程及采购人要求，及时调整效果；全程做好设备维护，确保设备无故障运行。</w:t>
      </w:r>
    </w:p>
    <w:p w14:paraId="6B6C1F29">
      <w:pPr>
        <w:spacing w:line="440" w:lineRule="exact"/>
        <w:ind w:firstLine="480" w:firstLineChars="200"/>
        <w:rPr>
          <w:rFonts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4.后期撤场：活动结束后，投标人需在采购人规定时间内完成设备的拆卸、运输、清理工作，恢复场地原貌，不得遗留任何设备、垃圾等物品，确保场地整洁。</w:t>
      </w:r>
    </w:p>
    <w:p w14:paraId="44C57459">
      <w:pPr>
        <w:spacing w:line="440" w:lineRule="exact"/>
        <w:ind w:firstLine="480" w:firstLineChars="200"/>
        <w:rPr>
          <w:rFonts w:ascii="宋体" w:hAnsi="宋体"/>
          <w:bCs/>
          <w:color w:val="000000" w:themeColor="text1"/>
          <w:sz w:val="24"/>
          <w:szCs w:val="24"/>
          <w:highlight w:val="none"/>
          <w14:textFill>
            <w14:solidFill>
              <w14:schemeClr w14:val="tx1"/>
            </w14:solidFill>
          </w14:textFill>
        </w:rPr>
      </w:pPr>
      <w:bookmarkStart w:id="318" w:name="heading_9"/>
      <w:r>
        <w:rPr>
          <w:rFonts w:hint="eastAsia" w:ascii="宋体" w:hAnsi="宋体"/>
          <w:bCs/>
          <w:color w:val="000000" w:themeColor="text1"/>
          <w:sz w:val="24"/>
          <w:szCs w:val="24"/>
          <w:highlight w:val="none"/>
          <w14:textFill>
            <w14:solidFill>
              <w14:schemeClr w14:val="tx1"/>
            </w14:solidFill>
          </w14:textFill>
        </w:rPr>
        <w:t>（七）其他服务要求</w:t>
      </w:r>
      <w:bookmarkEnd w:id="318"/>
    </w:p>
    <w:p w14:paraId="25EE172E">
      <w:pPr>
        <w:spacing w:line="440" w:lineRule="exact"/>
        <w:ind w:firstLine="480" w:firstLineChars="200"/>
        <w:rPr>
          <w:rFonts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1.投标人需提供完整的设备清单（含设备名称、型号、数量、使用年限、维护情况），确保设备符合采购人效果要求，若设备与清单不符，采购人有权要求更换。</w:t>
      </w:r>
    </w:p>
    <w:p w14:paraId="31435E02">
      <w:pPr>
        <w:spacing w:line="440" w:lineRule="exact"/>
        <w:ind w:firstLine="480" w:firstLineChars="200"/>
        <w:rPr>
          <w:rFonts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2.投标人需承担设备运输、安装、调试、撤场过程中的所有费用及安全责任，若因投标人操作不当导致设备损坏、人员受伤或场地损坏，由投标人承担全部责任及损失。</w:t>
      </w:r>
    </w:p>
    <w:p w14:paraId="361B1DF2">
      <w:pPr>
        <w:spacing w:line="440" w:lineRule="exact"/>
        <w:ind w:firstLine="480" w:firstLineChars="200"/>
        <w:rPr>
          <w:rFonts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3.投标人需承诺，活动期间所有设备正常运行，若出现设备故障导致晚会中断，需承担相应的违约责任（具体违约责任可在招标文件中明确）。</w:t>
      </w:r>
    </w:p>
    <w:p w14:paraId="3F674B1C">
      <w:pPr>
        <w:spacing w:line="360" w:lineRule="auto"/>
        <w:rPr>
          <w:rFonts w:ascii="宋体" w:hAnsi="宋体" w:cs="宋体"/>
          <w:b/>
          <w:bCs/>
          <w:color w:val="000000" w:themeColor="text1"/>
          <w:kern w:val="36"/>
          <w:sz w:val="24"/>
          <w:szCs w:val="24"/>
          <w:highlight w:val="none"/>
          <w14:textFill>
            <w14:solidFill>
              <w14:schemeClr w14:val="tx1"/>
            </w14:solidFill>
          </w14:textFill>
        </w:rPr>
      </w:pPr>
      <w:r>
        <w:rPr>
          <w:rFonts w:hint="eastAsia" w:ascii="宋体" w:hAnsi="宋体" w:cs="宋体"/>
          <w:b/>
          <w:bCs/>
          <w:color w:val="000000" w:themeColor="text1"/>
          <w:kern w:val="36"/>
          <w:sz w:val="24"/>
          <w:szCs w:val="24"/>
          <w:highlight w:val="none"/>
          <w14:textFill>
            <w14:solidFill>
              <w14:schemeClr w14:val="tx1"/>
            </w14:solidFill>
          </w14:textFill>
        </w:rPr>
        <w:t>四、采购标的的数量、采购项目交付或者实施的时间和地点</w:t>
      </w:r>
      <w:bookmarkEnd w:id="312"/>
    </w:p>
    <w:p w14:paraId="63ECF59A">
      <w:pPr>
        <w:spacing w:line="360" w:lineRule="auto"/>
        <w:ind w:firstLine="482" w:firstLineChars="200"/>
        <w:rPr>
          <w:rFonts w:hint="eastAsia"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1、采购数量：</w:t>
      </w:r>
    </w:p>
    <w:p w14:paraId="66EBFC2F">
      <w:pPr>
        <w:spacing w:line="360" w:lineRule="auto"/>
        <w:ind w:firstLine="482" w:firstLineChars="200"/>
        <w:rPr>
          <w:rFonts w:hint="eastAsia" w:ascii="宋体" w:hAnsi="宋体" w:eastAsia="宋体" w:cs="宋体"/>
          <w:b/>
          <w:bCs/>
          <w:color w:val="000000" w:themeColor="text1"/>
          <w:sz w:val="24"/>
          <w:szCs w:val="24"/>
          <w:highlight w:val="none"/>
          <w:lang w:eastAsia="zh-CN"/>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租赁服务的设备要求见下表</w:t>
      </w:r>
      <w:r>
        <w:rPr>
          <w:rFonts w:hint="eastAsia" w:ascii="宋体" w:hAnsi="宋体" w:cs="宋体"/>
          <w:b/>
          <w:bCs/>
          <w:color w:val="000000" w:themeColor="text1"/>
          <w:sz w:val="24"/>
          <w:szCs w:val="24"/>
          <w:highlight w:val="none"/>
          <w:lang w:eastAsia="zh-CN"/>
          <w14:textFill>
            <w14:solidFill>
              <w14:schemeClr w14:val="tx1"/>
            </w14:solidFill>
          </w14:textFill>
        </w:rPr>
        <w:t>：</w:t>
      </w:r>
    </w:p>
    <w:tbl>
      <w:tblPr>
        <w:tblStyle w:val="35"/>
        <w:tblW w:w="10048" w:type="dxa"/>
        <w:jc w:val="center"/>
        <w:tblBorders>
          <w:top w:val="single" w:color="080F17" w:sz="6" w:space="0"/>
          <w:left w:val="single" w:color="080F17" w:sz="6" w:space="0"/>
          <w:bottom w:val="single" w:color="080F17" w:sz="6" w:space="0"/>
          <w:right w:val="single" w:color="080F17" w:sz="6" w:space="0"/>
          <w:insideH w:val="single" w:color="080F17" w:sz="6" w:space="0"/>
          <w:insideV w:val="single" w:color="080F17" w:sz="6" w:space="0"/>
        </w:tblBorders>
        <w:tblLayout w:type="fixed"/>
        <w:tblCellMar>
          <w:top w:w="30" w:type="dxa"/>
          <w:left w:w="180" w:type="dxa"/>
          <w:bottom w:w="30" w:type="dxa"/>
          <w:right w:w="180" w:type="dxa"/>
        </w:tblCellMar>
      </w:tblPr>
      <w:tblGrid>
        <w:gridCol w:w="443"/>
        <w:gridCol w:w="900"/>
        <w:gridCol w:w="964"/>
        <w:gridCol w:w="1007"/>
        <w:gridCol w:w="5346"/>
        <w:gridCol w:w="788"/>
        <w:gridCol w:w="600"/>
      </w:tblGrid>
      <w:tr w14:paraId="78D3BAA5">
        <w:tblPrEx>
          <w:tblBorders>
            <w:top w:val="single" w:color="080F17" w:sz="6" w:space="0"/>
            <w:left w:val="single" w:color="080F17" w:sz="6" w:space="0"/>
            <w:bottom w:val="single" w:color="080F17" w:sz="6" w:space="0"/>
            <w:right w:val="single" w:color="080F17" w:sz="6" w:space="0"/>
            <w:insideH w:val="single" w:color="080F17" w:sz="6" w:space="0"/>
            <w:insideV w:val="single" w:color="080F17" w:sz="6" w:space="0"/>
          </w:tblBorders>
          <w:tblCellMar>
            <w:top w:w="30" w:type="dxa"/>
            <w:left w:w="180" w:type="dxa"/>
            <w:bottom w:w="30" w:type="dxa"/>
            <w:right w:w="180" w:type="dxa"/>
          </w:tblCellMar>
        </w:tblPrEx>
        <w:trPr>
          <w:tblHeader/>
          <w:jc w:val="center"/>
        </w:trPr>
        <w:tc>
          <w:tcPr>
            <w:tcW w:w="443" w:type="dxa"/>
            <w:vAlign w:val="center"/>
          </w:tcPr>
          <w:p w14:paraId="112DA278">
            <w:pPr>
              <w:widowControl w:val="0"/>
              <w:snapToGrid w:val="0"/>
              <w:jc w:val="center"/>
              <w:rPr>
                <w:rFonts w:ascii="宋体" w:hAnsi="宋体" w:eastAsia="Times New Roman" w:cs="宋体"/>
                <w:b/>
                <w:color w:val="000000" w:themeColor="text1"/>
                <w:highlight w:val="none"/>
                <w14:textFill>
                  <w14:solidFill>
                    <w14:schemeClr w14:val="tx1"/>
                  </w14:solidFill>
                </w14:textFill>
              </w:rPr>
            </w:pPr>
            <w:r>
              <w:rPr>
                <w:rFonts w:hint="eastAsia" w:ascii="宋体" w:hAnsi="宋体" w:eastAsia="Times New Roman" w:cs="宋体"/>
                <w:b/>
                <w:bCs/>
                <w:color w:val="000000" w:themeColor="text1"/>
                <w:highlight w:val="none"/>
                <w14:textFill>
                  <w14:solidFill>
                    <w14:schemeClr w14:val="tx1"/>
                  </w14:solidFill>
                </w14:textFill>
              </w:rPr>
              <w:t>序号</w:t>
            </w:r>
          </w:p>
        </w:tc>
        <w:tc>
          <w:tcPr>
            <w:tcW w:w="900" w:type="dxa"/>
            <w:vAlign w:val="center"/>
          </w:tcPr>
          <w:p w14:paraId="5A0444E7">
            <w:pPr>
              <w:widowControl w:val="0"/>
              <w:snapToGrid w:val="0"/>
              <w:jc w:val="center"/>
              <w:rPr>
                <w:rFonts w:ascii="宋体" w:hAnsi="宋体" w:eastAsia="Times New Roman" w:cs="宋体"/>
                <w:b/>
                <w:color w:val="000000" w:themeColor="text1"/>
                <w:highlight w:val="none"/>
                <w14:textFill>
                  <w14:solidFill>
                    <w14:schemeClr w14:val="tx1"/>
                  </w14:solidFill>
                </w14:textFill>
              </w:rPr>
            </w:pPr>
            <w:r>
              <w:rPr>
                <w:rFonts w:hint="eastAsia" w:ascii="宋体" w:hAnsi="宋体" w:eastAsia="Times New Roman" w:cs="宋体"/>
                <w:b/>
                <w:bCs/>
                <w:color w:val="000000" w:themeColor="text1"/>
                <w:highlight w:val="none"/>
                <w14:textFill>
                  <w14:solidFill>
                    <w14:schemeClr w14:val="tx1"/>
                  </w14:solidFill>
                </w14:textFill>
              </w:rPr>
              <w:t>总项</w:t>
            </w:r>
          </w:p>
        </w:tc>
        <w:tc>
          <w:tcPr>
            <w:tcW w:w="964" w:type="dxa"/>
            <w:vAlign w:val="center"/>
          </w:tcPr>
          <w:p w14:paraId="44F583C2">
            <w:pPr>
              <w:widowControl w:val="0"/>
              <w:snapToGrid w:val="0"/>
              <w:jc w:val="center"/>
              <w:rPr>
                <w:rFonts w:ascii="宋体" w:hAnsi="宋体" w:eastAsia="Times New Roman" w:cs="宋体"/>
                <w:b/>
                <w:color w:val="000000" w:themeColor="text1"/>
                <w:highlight w:val="none"/>
                <w14:textFill>
                  <w14:solidFill>
                    <w14:schemeClr w14:val="tx1"/>
                  </w14:solidFill>
                </w14:textFill>
              </w:rPr>
            </w:pPr>
            <w:r>
              <w:rPr>
                <w:rFonts w:hint="eastAsia" w:ascii="宋体" w:hAnsi="宋体" w:eastAsia="Times New Roman" w:cs="宋体"/>
                <w:b/>
                <w:bCs/>
                <w:color w:val="000000" w:themeColor="text1"/>
                <w:highlight w:val="none"/>
                <w14:textFill>
                  <w14:solidFill>
                    <w14:schemeClr w14:val="tx1"/>
                  </w14:solidFill>
                </w14:textFill>
              </w:rPr>
              <w:t>简述</w:t>
            </w:r>
          </w:p>
        </w:tc>
        <w:tc>
          <w:tcPr>
            <w:tcW w:w="1007" w:type="dxa"/>
            <w:vAlign w:val="center"/>
          </w:tcPr>
          <w:p w14:paraId="091D501E">
            <w:pPr>
              <w:widowControl w:val="0"/>
              <w:snapToGrid w:val="0"/>
              <w:jc w:val="center"/>
              <w:rPr>
                <w:rFonts w:ascii="宋体" w:hAnsi="宋体" w:eastAsia="Times New Roman" w:cs="宋体"/>
                <w:b/>
                <w:color w:val="000000" w:themeColor="text1"/>
                <w:highlight w:val="none"/>
                <w14:textFill>
                  <w14:solidFill>
                    <w14:schemeClr w14:val="tx1"/>
                  </w14:solidFill>
                </w14:textFill>
              </w:rPr>
            </w:pPr>
            <w:r>
              <w:rPr>
                <w:rFonts w:hint="eastAsia" w:ascii="宋体" w:hAnsi="宋体" w:eastAsia="Times New Roman" w:cs="宋体"/>
                <w:b/>
                <w:bCs/>
                <w:color w:val="000000" w:themeColor="text1"/>
                <w:highlight w:val="none"/>
                <w14:textFill>
                  <w14:solidFill>
                    <w14:schemeClr w14:val="tx1"/>
                  </w14:solidFill>
                </w14:textFill>
              </w:rPr>
              <w:t>分项</w:t>
            </w:r>
          </w:p>
        </w:tc>
        <w:tc>
          <w:tcPr>
            <w:tcW w:w="5346" w:type="dxa"/>
            <w:vAlign w:val="center"/>
          </w:tcPr>
          <w:p w14:paraId="4C99BF08">
            <w:pPr>
              <w:widowControl w:val="0"/>
              <w:snapToGrid w:val="0"/>
              <w:jc w:val="center"/>
              <w:rPr>
                <w:rFonts w:ascii="宋体" w:hAnsi="宋体" w:eastAsia="Times New Roman" w:cs="宋体"/>
                <w:b/>
                <w:color w:val="000000" w:themeColor="text1"/>
                <w:highlight w:val="none"/>
                <w14:textFill>
                  <w14:solidFill>
                    <w14:schemeClr w14:val="tx1"/>
                  </w14:solidFill>
                </w14:textFill>
              </w:rPr>
            </w:pPr>
            <w:r>
              <w:rPr>
                <w:rFonts w:hint="eastAsia" w:ascii="宋体" w:hAnsi="宋体" w:eastAsia="Times New Roman" w:cs="宋体"/>
                <w:b/>
                <w:bCs/>
                <w:color w:val="000000" w:themeColor="text1"/>
                <w:highlight w:val="none"/>
                <w14:textFill>
                  <w14:solidFill>
                    <w14:schemeClr w14:val="tx1"/>
                  </w14:solidFill>
                </w14:textFill>
              </w:rPr>
              <w:t>参数要求</w:t>
            </w:r>
          </w:p>
        </w:tc>
        <w:tc>
          <w:tcPr>
            <w:tcW w:w="788" w:type="dxa"/>
            <w:vAlign w:val="center"/>
          </w:tcPr>
          <w:p w14:paraId="5FBCBA67">
            <w:pPr>
              <w:widowControl w:val="0"/>
              <w:snapToGrid w:val="0"/>
              <w:jc w:val="center"/>
              <w:rPr>
                <w:rFonts w:ascii="宋体" w:hAnsi="宋体" w:eastAsia="Times New Roman" w:cs="宋体"/>
                <w:b/>
                <w:color w:val="000000" w:themeColor="text1"/>
                <w:highlight w:val="none"/>
                <w14:textFill>
                  <w14:solidFill>
                    <w14:schemeClr w14:val="tx1"/>
                  </w14:solidFill>
                </w14:textFill>
              </w:rPr>
            </w:pPr>
            <w:r>
              <w:rPr>
                <w:rFonts w:hint="eastAsia" w:ascii="宋体" w:hAnsi="宋体" w:eastAsia="Times New Roman" w:cs="宋体"/>
                <w:b/>
                <w:bCs/>
                <w:color w:val="000000" w:themeColor="text1"/>
                <w:highlight w:val="none"/>
                <w14:textFill>
                  <w14:solidFill>
                    <w14:schemeClr w14:val="tx1"/>
                  </w14:solidFill>
                </w14:textFill>
              </w:rPr>
              <w:t>数量</w:t>
            </w:r>
          </w:p>
        </w:tc>
        <w:tc>
          <w:tcPr>
            <w:tcW w:w="600" w:type="dxa"/>
            <w:vAlign w:val="center"/>
          </w:tcPr>
          <w:p w14:paraId="43B4F540">
            <w:pPr>
              <w:widowControl w:val="0"/>
              <w:snapToGrid w:val="0"/>
              <w:jc w:val="center"/>
              <w:rPr>
                <w:rFonts w:ascii="宋体" w:hAnsi="宋体" w:eastAsia="Times New Roman" w:cs="宋体"/>
                <w:b/>
                <w:color w:val="000000" w:themeColor="text1"/>
                <w:highlight w:val="none"/>
                <w14:textFill>
                  <w14:solidFill>
                    <w14:schemeClr w14:val="tx1"/>
                  </w14:solidFill>
                </w14:textFill>
              </w:rPr>
            </w:pPr>
            <w:r>
              <w:rPr>
                <w:rFonts w:hint="eastAsia" w:ascii="宋体" w:hAnsi="宋体" w:eastAsia="Times New Roman" w:cs="宋体"/>
                <w:b/>
                <w:bCs/>
                <w:color w:val="000000" w:themeColor="text1"/>
                <w:highlight w:val="none"/>
                <w14:textFill>
                  <w14:solidFill>
                    <w14:schemeClr w14:val="tx1"/>
                  </w14:solidFill>
                </w14:textFill>
              </w:rPr>
              <w:t>单位</w:t>
            </w:r>
          </w:p>
        </w:tc>
      </w:tr>
      <w:tr w14:paraId="4BC6BCA5">
        <w:tblPrEx>
          <w:tblBorders>
            <w:top w:val="single" w:color="080F17" w:sz="6" w:space="0"/>
            <w:left w:val="single" w:color="080F17" w:sz="6" w:space="0"/>
            <w:bottom w:val="single" w:color="080F17" w:sz="6" w:space="0"/>
            <w:right w:val="single" w:color="080F17" w:sz="6" w:space="0"/>
            <w:insideH w:val="single" w:color="080F17" w:sz="6" w:space="0"/>
            <w:insideV w:val="single" w:color="080F17" w:sz="6" w:space="0"/>
          </w:tblBorders>
          <w:tblCellMar>
            <w:top w:w="30" w:type="dxa"/>
            <w:left w:w="180" w:type="dxa"/>
            <w:bottom w:w="30" w:type="dxa"/>
            <w:right w:w="180" w:type="dxa"/>
          </w:tblCellMar>
        </w:tblPrEx>
        <w:trPr>
          <w:jc w:val="center"/>
        </w:trPr>
        <w:tc>
          <w:tcPr>
            <w:tcW w:w="443" w:type="dxa"/>
            <w:vMerge w:val="restart"/>
            <w:vAlign w:val="center"/>
          </w:tcPr>
          <w:p w14:paraId="2B3377BE">
            <w:pPr>
              <w:widowControl w:val="0"/>
              <w:snapToGrid w:val="0"/>
              <w:jc w:val="center"/>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1</w:t>
            </w:r>
          </w:p>
        </w:tc>
        <w:tc>
          <w:tcPr>
            <w:tcW w:w="900" w:type="dxa"/>
            <w:vMerge w:val="restart"/>
            <w:vAlign w:val="center"/>
          </w:tcPr>
          <w:p w14:paraId="6C3683DB">
            <w:pPr>
              <w:widowControl w:val="0"/>
              <w:snapToGrid w:val="0"/>
              <w:jc w:val="center"/>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灯光设备</w:t>
            </w:r>
          </w:p>
          <w:p w14:paraId="4F14DEF3">
            <w:pPr>
              <w:widowControl w:val="0"/>
              <w:snapToGrid w:val="0"/>
              <w:jc w:val="center"/>
              <w:rPr>
                <w:rFonts w:ascii="Calibri" w:hAnsi="Calibri" w:eastAsia="新宋体"/>
                <w:color w:val="000000" w:themeColor="text1"/>
                <w:highlight w:val="none"/>
                <w14:textFill>
                  <w14:solidFill>
                    <w14:schemeClr w14:val="tx1"/>
                  </w14:solidFill>
                </w14:textFill>
              </w:rPr>
            </w:pPr>
          </w:p>
        </w:tc>
        <w:tc>
          <w:tcPr>
            <w:tcW w:w="964" w:type="dxa"/>
            <w:vMerge w:val="restart"/>
            <w:vAlign w:val="center"/>
          </w:tcPr>
          <w:p w14:paraId="299971AC">
            <w:pPr>
              <w:widowControl w:val="0"/>
              <w:snapToGrid w:val="0"/>
              <w:jc w:val="center"/>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灯光设备</w:t>
            </w:r>
          </w:p>
          <w:p w14:paraId="37029ADB">
            <w:pPr>
              <w:widowControl w:val="0"/>
              <w:snapToGrid w:val="0"/>
              <w:jc w:val="center"/>
              <w:rPr>
                <w:rFonts w:ascii="Calibri" w:hAnsi="Calibri" w:eastAsia="新宋体"/>
                <w:color w:val="000000" w:themeColor="text1"/>
                <w:highlight w:val="none"/>
                <w14:textFill>
                  <w14:solidFill>
                    <w14:schemeClr w14:val="tx1"/>
                  </w14:solidFill>
                </w14:textFill>
              </w:rPr>
            </w:pPr>
          </w:p>
        </w:tc>
        <w:tc>
          <w:tcPr>
            <w:tcW w:w="1007" w:type="dxa"/>
            <w:vAlign w:val="center"/>
          </w:tcPr>
          <w:p w14:paraId="5157CEAA">
            <w:pPr>
              <w:widowControl w:val="0"/>
              <w:snapToGrid w:val="0"/>
              <w:jc w:val="left"/>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防雨光束灯</w:t>
            </w:r>
          </w:p>
        </w:tc>
        <w:tc>
          <w:tcPr>
            <w:tcW w:w="5346" w:type="dxa"/>
            <w:vAlign w:val="center"/>
          </w:tcPr>
          <w:p w14:paraId="62374DB9">
            <w:pPr>
              <w:widowControl w:val="0"/>
              <w:snapToGrid w:val="0"/>
              <w:jc w:val="left"/>
              <w:rPr>
                <w:rFonts w:ascii="Calibri" w:hAnsi="Calibri" w:eastAsia="新宋体"/>
                <w:color w:val="000000" w:themeColor="text1"/>
                <w:highlight w:val="none"/>
                <w14:textFill>
                  <w14:solidFill>
                    <w14:schemeClr w14:val="tx1"/>
                  </w14:solidFill>
                </w14:textFill>
              </w:rPr>
            </w:pPr>
            <w:r>
              <w:rPr>
                <w:rStyle w:val="37"/>
                <w:rFonts w:ascii="Calibri" w:hAnsi="Calibri" w:eastAsia="新宋体"/>
                <w:b w:val="0"/>
                <w:color w:val="000000" w:themeColor="text1"/>
                <w:highlight w:val="none"/>
                <w:shd w:val="clear" w:color="auto" w:fill="FFFFFF"/>
                <w14:textFill>
                  <w14:solidFill>
                    <w14:schemeClr w14:val="tx1"/>
                  </w14:solidFill>
                </w14:textFill>
              </w:rPr>
              <w:t>光源：</w:t>
            </w:r>
            <w:r>
              <w:rPr>
                <w:rFonts w:ascii="Calibri" w:hAnsi="Calibri" w:eastAsia="新宋体"/>
                <w:color w:val="000000" w:themeColor="text1"/>
                <w:highlight w:val="none"/>
                <w:shd w:val="clear" w:color="auto" w:fill="FFFFFF"/>
                <w14:textFill>
                  <w14:solidFill>
                    <w14:schemeClr w14:val="tx1"/>
                  </w14:solidFill>
                </w14:textFill>
              </w:rPr>
              <w:t>光束灯灯泡</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颜色盘：</w:t>
            </w:r>
            <w:r>
              <w:rPr>
                <w:rFonts w:ascii="Calibri" w:hAnsi="Calibri" w:eastAsia="新宋体"/>
                <w:color w:val="000000" w:themeColor="text1"/>
                <w:highlight w:val="none"/>
                <w:shd w:val="clear" w:color="auto" w:fill="FFFFFF"/>
                <w14:textFill>
                  <w14:solidFill>
                    <w14:schemeClr w14:val="tx1"/>
                  </w14:solidFill>
                </w14:textFill>
              </w:rPr>
              <w:t>1个颜色盘，14种颜色+白光，支持彩虹流水效果</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图案盘：</w:t>
            </w:r>
            <w:r>
              <w:rPr>
                <w:rFonts w:ascii="Calibri" w:hAnsi="Calibri" w:eastAsia="新宋体"/>
                <w:color w:val="000000" w:themeColor="text1"/>
                <w:highlight w:val="none"/>
                <w:shd w:val="clear" w:color="auto" w:fill="FFFFFF"/>
                <w14:textFill>
                  <w14:solidFill>
                    <w14:schemeClr w14:val="tx1"/>
                  </w14:solidFill>
                </w14:textFill>
              </w:rPr>
              <w:t>1个固定图案盘，16个图案+白光，支持图案抖动、流水效果</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棱镜：</w:t>
            </w:r>
            <w:r>
              <w:rPr>
                <w:rFonts w:ascii="Calibri" w:hAnsi="Calibri" w:eastAsia="新宋体"/>
                <w:color w:val="000000" w:themeColor="text1"/>
                <w:highlight w:val="none"/>
                <w:shd w:val="clear" w:color="auto" w:fill="FFFFFF"/>
                <w14:textFill>
                  <w14:solidFill>
                    <w14:schemeClr w14:val="tx1"/>
                  </w14:solidFill>
                </w14:textFill>
              </w:rPr>
              <w:t>2个独立棱镜，均可双向旋转，支持棱镜叠加</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光束角度：</w:t>
            </w:r>
            <w:r>
              <w:rPr>
                <w:rFonts w:ascii="Calibri" w:hAnsi="Calibri" w:eastAsia="新宋体"/>
                <w:color w:val="000000" w:themeColor="text1"/>
                <w:highlight w:val="none"/>
                <w:shd w:val="clear" w:color="auto" w:fill="FFFFFF"/>
                <w14:textFill>
                  <w14:solidFill>
                    <w14:schemeClr w14:val="tx1"/>
                  </w14:solidFill>
                </w14:textFill>
              </w:rPr>
              <w:t>由调焦通道控制</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调焦：</w:t>
            </w:r>
            <w:r>
              <w:rPr>
                <w:rFonts w:ascii="Calibri" w:hAnsi="Calibri" w:eastAsia="新宋体"/>
                <w:color w:val="000000" w:themeColor="text1"/>
                <w:highlight w:val="none"/>
                <w:shd w:val="clear" w:color="auto" w:fill="FFFFFF"/>
                <w14:textFill>
                  <w14:solidFill>
                    <w14:schemeClr w14:val="tx1"/>
                  </w14:solidFill>
                </w14:textFill>
              </w:rPr>
              <w:t>线性电子调焦（0-255由远到近）</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调光：</w:t>
            </w:r>
            <w:r>
              <w:rPr>
                <w:rFonts w:ascii="Calibri" w:hAnsi="Calibri" w:eastAsia="新宋体"/>
                <w:color w:val="000000" w:themeColor="text1"/>
                <w:highlight w:val="none"/>
                <w:shd w:val="clear" w:color="auto" w:fill="FFFFFF"/>
                <w14:textFill>
                  <w14:solidFill>
                    <w14:schemeClr w14:val="tx1"/>
                  </w14:solidFill>
                </w14:textFill>
              </w:rPr>
              <w:t>0-100%线性调光，带调光微调通道（16Bit）</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频闪：</w:t>
            </w:r>
            <w:r>
              <w:rPr>
                <w:rFonts w:ascii="Calibri" w:hAnsi="Calibri" w:eastAsia="新宋体"/>
                <w:color w:val="000000" w:themeColor="text1"/>
                <w:highlight w:val="none"/>
                <w:shd w:val="clear" w:color="auto" w:fill="FFFFFF"/>
                <w14:textFill>
                  <w14:solidFill>
                    <w14:schemeClr w14:val="tx1"/>
                  </w14:solidFill>
                </w14:textFill>
              </w:rPr>
              <w:t>双片式频闪，0-20Hz可调，支持脉冲、渐开渐关、随机频闪</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扫描角度：</w:t>
            </w:r>
            <w:r>
              <w:rPr>
                <w:rFonts w:ascii="Calibri" w:hAnsi="Calibri" w:eastAsia="新宋体"/>
                <w:color w:val="000000" w:themeColor="text1"/>
                <w:highlight w:val="none"/>
                <w:shd w:val="clear" w:color="auto" w:fill="FFFFFF"/>
                <w14:textFill>
                  <w14:solidFill>
                    <w14:schemeClr w14:val="tx1"/>
                  </w14:solidFill>
                </w14:textFill>
              </w:rPr>
              <w:t>水平540°（16Bit），垂直270°（16Bit），带XY速度通道</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控制通道：</w:t>
            </w:r>
            <w:r>
              <w:rPr>
                <w:rFonts w:ascii="Calibri" w:hAnsi="Calibri" w:eastAsia="新宋体"/>
                <w:color w:val="000000" w:themeColor="text1"/>
                <w:highlight w:val="none"/>
                <w:shd w:val="clear" w:color="auto" w:fill="FFFFFF"/>
                <w14:textFill>
                  <w14:solidFill>
                    <w14:schemeClr w14:val="tx1"/>
                  </w14:solidFill>
                </w14:textFill>
              </w:rPr>
              <w:t>多种通道模式可选</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防护等级：</w:t>
            </w:r>
            <w:r>
              <w:rPr>
                <w:rFonts w:ascii="Calibri" w:hAnsi="Calibri" w:eastAsia="新宋体"/>
                <w:color w:val="000000" w:themeColor="text1"/>
                <w:highlight w:val="none"/>
                <w:shd w:val="clear" w:color="auto" w:fill="FFFFFF"/>
                <w14:textFill>
                  <w14:solidFill>
                    <w14:schemeClr w14:val="tx1"/>
                  </w14:solidFill>
                </w14:textFill>
              </w:rPr>
              <w:t>防雨设计（室内外通用）</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其他功能：</w:t>
            </w:r>
            <w:r>
              <w:rPr>
                <w:rFonts w:ascii="Calibri" w:hAnsi="Calibri" w:eastAsia="新宋体"/>
                <w:color w:val="000000" w:themeColor="text1"/>
                <w:highlight w:val="none"/>
                <w:shd w:val="clear" w:color="auto" w:fill="FFFFFF"/>
                <w14:textFill>
                  <w14:solidFill>
                    <w14:schemeClr w14:val="tx1"/>
                  </w14:solidFill>
                </w14:textFill>
              </w:rPr>
              <w:t>支持RDM远程管理、中英文彩屏触摸按键、场景编辑、雾化效果、自动/声控/主从模式、灯具使用时间记录、故障自检</w:t>
            </w:r>
          </w:p>
        </w:tc>
        <w:tc>
          <w:tcPr>
            <w:tcW w:w="788" w:type="dxa"/>
            <w:vAlign w:val="center"/>
          </w:tcPr>
          <w:p w14:paraId="7853BAEA">
            <w:pPr>
              <w:widowControl w:val="0"/>
              <w:snapToGrid w:val="0"/>
              <w:jc w:val="left"/>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100</w:t>
            </w:r>
          </w:p>
        </w:tc>
        <w:tc>
          <w:tcPr>
            <w:tcW w:w="600" w:type="dxa"/>
            <w:vAlign w:val="center"/>
          </w:tcPr>
          <w:p w14:paraId="540F90AF">
            <w:pPr>
              <w:widowControl w:val="0"/>
              <w:snapToGrid w:val="0"/>
              <w:jc w:val="center"/>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台</w:t>
            </w:r>
          </w:p>
        </w:tc>
      </w:tr>
      <w:tr w14:paraId="03DD855E">
        <w:tblPrEx>
          <w:tblBorders>
            <w:top w:val="single" w:color="080F17" w:sz="6" w:space="0"/>
            <w:left w:val="single" w:color="080F17" w:sz="6" w:space="0"/>
            <w:bottom w:val="single" w:color="080F17" w:sz="6" w:space="0"/>
            <w:right w:val="single" w:color="080F17" w:sz="6" w:space="0"/>
            <w:insideH w:val="single" w:color="080F17" w:sz="6" w:space="0"/>
            <w:insideV w:val="single" w:color="080F17" w:sz="6" w:space="0"/>
          </w:tblBorders>
          <w:tblCellMar>
            <w:top w:w="30" w:type="dxa"/>
            <w:left w:w="180" w:type="dxa"/>
            <w:bottom w:w="30" w:type="dxa"/>
            <w:right w:w="180" w:type="dxa"/>
          </w:tblCellMar>
        </w:tblPrEx>
        <w:trPr>
          <w:jc w:val="center"/>
        </w:trPr>
        <w:tc>
          <w:tcPr>
            <w:tcW w:w="443" w:type="dxa"/>
            <w:vMerge w:val="continue"/>
            <w:vAlign w:val="center"/>
          </w:tcPr>
          <w:p w14:paraId="76E95C25">
            <w:pPr>
              <w:widowControl w:val="0"/>
              <w:snapToGrid w:val="0"/>
              <w:jc w:val="center"/>
              <w:rPr>
                <w:rFonts w:ascii="Calibri" w:hAnsi="Calibri" w:eastAsia="新宋体"/>
                <w:color w:val="000000" w:themeColor="text1"/>
                <w:highlight w:val="none"/>
                <w14:textFill>
                  <w14:solidFill>
                    <w14:schemeClr w14:val="tx1"/>
                  </w14:solidFill>
                </w14:textFill>
              </w:rPr>
            </w:pPr>
          </w:p>
        </w:tc>
        <w:tc>
          <w:tcPr>
            <w:tcW w:w="900" w:type="dxa"/>
            <w:vMerge w:val="continue"/>
            <w:vAlign w:val="center"/>
          </w:tcPr>
          <w:p w14:paraId="304D84B9">
            <w:pPr>
              <w:widowControl w:val="0"/>
              <w:snapToGrid w:val="0"/>
              <w:jc w:val="center"/>
              <w:rPr>
                <w:rFonts w:ascii="Calibri" w:hAnsi="Calibri" w:eastAsia="新宋体"/>
                <w:color w:val="000000" w:themeColor="text1"/>
                <w:highlight w:val="none"/>
                <w14:textFill>
                  <w14:solidFill>
                    <w14:schemeClr w14:val="tx1"/>
                  </w14:solidFill>
                </w14:textFill>
              </w:rPr>
            </w:pPr>
          </w:p>
        </w:tc>
        <w:tc>
          <w:tcPr>
            <w:tcW w:w="964" w:type="dxa"/>
            <w:vMerge w:val="continue"/>
            <w:vAlign w:val="center"/>
          </w:tcPr>
          <w:p w14:paraId="40FCB982">
            <w:pPr>
              <w:widowControl w:val="0"/>
              <w:snapToGrid w:val="0"/>
              <w:jc w:val="center"/>
              <w:rPr>
                <w:rFonts w:ascii="Calibri" w:hAnsi="Calibri" w:eastAsia="新宋体"/>
                <w:color w:val="000000" w:themeColor="text1"/>
                <w:highlight w:val="none"/>
                <w14:textFill>
                  <w14:solidFill>
                    <w14:schemeClr w14:val="tx1"/>
                  </w14:solidFill>
                </w14:textFill>
              </w:rPr>
            </w:pPr>
          </w:p>
        </w:tc>
        <w:tc>
          <w:tcPr>
            <w:tcW w:w="1007" w:type="dxa"/>
            <w:vAlign w:val="center"/>
          </w:tcPr>
          <w:p w14:paraId="1519BA03">
            <w:pPr>
              <w:widowControl w:val="0"/>
              <w:snapToGrid w:val="0"/>
              <w:jc w:val="left"/>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户外染色LED PAR灯</w:t>
            </w:r>
          </w:p>
        </w:tc>
        <w:tc>
          <w:tcPr>
            <w:tcW w:w="5346" w:type="dxa"/>
            <w:vAlign w:val="center"/>
          </w:tcPr>
          <w:p w14:paraId="3386A6A3">
            <w:pPr>
              <w:widowControl w:val="0"/>
              <w:snapToGrid w:val="0"/>
              <w:jc w:val="left"/>
              <w:rPr>
                <w:rFonts w:ascii="Calibri" w:hAnsi="Calibri" w:eastAsia="新宋体"/>
                <w:color w:val="000000" w:themeColor="text1"/>
                <w:highlight w:val="none"/>
                <w14:textFill>
                  <w14:solidFill>
                    <w14:schemeClr w14:val="tx1"/>
                  </w14:solidFill>
                </w14:textFill>
              </w:rPr>
            </w:pPr>
            <w:r>
              <w:rPr>
                <w:rStyle w:val="37"/>
                <w:rFonts w:ascii="Calibri" w:hAnsi="Calibri" w:eastAsia="新宋体"/>
                <w:b w:val="0"/>
                <w:color w:val="000000" w:themeColor="text1"/>
                <w:highlight w:val="none"/>
                <w:shd w:val="clear" w:color="auto" w:fill="FFFFFF"/>
                <w14:textFill>
                  <w14:solidFill>
                    <w14:schemeClr w14:val="tx1"/>
                  </w14:solidFill>
                </w14:textFill>
              </w:rPr>
              <w:t>光源：</w:t>
            </w:r>
            <w:r>
              <w:rPr>
                <w:rFonts w:ascii="Calibri" w:hAnsi="Calibri" w:eastAsia="新宋体"/>
                <w:color w:val="000000" w:themeColor="text1"/>
                <w:highlight w:val="none"/>
                <w:shd w:val="clear" w:color="auto" w:fill="FFFFFF"/>
                <w14:textFill>
                  <w14:solidFill>
                    <w14:schemeClr w14:val="tx1"/>
                  </w14:solidFill>
                </w14:textFill>
              </w:rPr>
              <w:t>12颗 × 15W 高亮 RGBW 四合一 LED 灯珠</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灯珠寿命：</w:t>
            </w:r>
            <w:r>
              <w:rPr>
                <w:rFonts w:ascii="Calibri" w:hAnsi="Calibri" w:eastAsia="新宋体"/>
                <w:color w:val="000000" w:themeColor="text1"/>
                <w:highlight w:val="none"/>
                <w:shd w:val="clear" w:color="auto" w:fill="FFFFFF"/>
                <w14:textFill>
                  <w14:solidFill>
                    <w14:schemeClr w14:val="tx1"/>
                  </w14:solidFill>
                </w14:textFill>
              </w:rPr>
              <w:t>50000小时</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混色：</w:t>
            </w:r>
            <w:r>
              <w:rPr>
                <w:rFonts w:ascii="Calibri" w:hAnsi="Calibri" w:eastAsia="新宋体"/>
                <w:color w:val="000000" w:themeColor="text1"/>
                <w:highlight w:val="none"/>
                <w:shd w:val="clear" w:color="auto" w:fill="FFFFFF"/>
                <w14:textFill>
                  <w14:solidFill>
                    <w14:schemeClr w14:val="tx1"/>
                  </w14:solidFill>
                </w14:textFill>
              </w:rPr>
              <w:t>RGBW 均匀混色，16Bit线性调光</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变焦角度：</w:t>
            </w:r>
            <w:r>
              <w:rPr>
                <w:rFonts w:ascii="Calibri" w:hAnsi="Calibri" w:eastAsia="新宋体"/>
                <w:color w:val="000000" w:themeColor="text1"/>
                <w:highlight w:val="none"/>
                <w:shd w:val="clear" w:color="auto" w:fill="FFFFFF"/>
                <w14:textFill>
                  <w14:solidFill>
                    <w14:schemeClr w14:val="tx1"/>
                  </w14:solidFill>
                </w14:textFill>
              </w:rPr>
              <w:t>标配25°（可选15°、45°等）</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控制通道：</w:t>
            </w:r>
            <w:r>
              <w:rPr>
                <w:rFonts w:ascii="Calibri" w:hAnsi="Calibri" w:eastAsia="新宋体"/>
                <w:color w:val="000000" w:themeColor="text1"/>
                <w:highlight w:val="none"/>
                <w:shd w:val="clear" w:color="auto" w:fill="FFFFFF"/>
                <w14:textFill>
                  <w14:solidFill>
                    <w14:schemeClr w14:val="tx1"/>
                  </w14:solidFill>
                </w14:textFill>
              </w:rPr>
              <w:t>4CH / 8CH 可选</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频闪：</w:t>
            </w:r>
            <w:r>
              <w:rPr>
                <w:rFonts w:ascii="Calibri" w:hAnsi="Calibri" w:eastAsia="新宋体"/>
                <w:color w:val="000000" w:themeColor="text1"/>
                <w:highlight w:val="none"/>
                <w:shd w:val="clear" w:color="auto" w:fill="FFFFFF"/>
                <w14:textFill>
                  <w14:solidFill>
                    <w14:schemeClr w14:val="tx1"/>
                  </w14:solidFill>
                </w14:textFill>
              </w:rPr>
              <w:t>0-20Hz 可调</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调光：</w:t>
            </w:r>
            <w:r>
              <w:rPr>
                <w:rFonts w:ascii="Calibri" w:hAnsi="Calibri" w:eastAsia="新宋体"/>
                <w:color w:val="000000" w:themeColor="text1"/>
                <w:highlight w:val="none"/>
                <w:shd w:val="clear" w:color="auto" w:fill="FFFFFF"/>
                <w14:textFill>
                  <w14:solidFill>
                    <w14:schemeClr w14:val="tx1"/>
                  </w14:solidFill>
                </w14:textFill>
              </w:rPr>
              <w:t>0-100%顺滑调光，4种调光曲线可选</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防护等级：</w:t>
            </w:r>
            <w:r>
              <w:rPr>
                <w:rFonts w:ascii="Calibri" w:hAnsi="Calibri" w:eastAsia="新宋体"/>
                <w:color w:val="000000" w:themeColor="text1"/>
                <w:highlight w:val="none"/>
                <w:shd w:val="clear" w:color="auto" w:fill="FFFFFF"/>
                <w14:textFill>
                  <w14:solidFill>
                    <w14:schemeClr w14:val="tx1"/>
                  </w14:solidFill>
                </w14:textFill>
              </w:rPr>
              <w:t>IP65</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外壳：</w:t>
            </w:r>
            <w:r>
              <w:rPr>
                <w:rFonts w:ascii="Calibri" w:hAnsi="Calibri" w:eastAsia="新宋体"/>
                <w:color w:val="000000" w:themeColor="text1"/>
                <w:highlight w:val="none"/>
                <w:shd w:val="clear" w:color="auto" w:fill="FFFFFF"/>
                <w14:textFill>
                  <w14:solidFill>
                    <w14:schemeClr w14:val="tx1"/>
                  </w14:solidFill>
                </w14:textFill>
              </w:rPr>
              <w:t>压铸铝</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功能：</w:t>
            </w:r>
            <w:r>
              <w:rPr>
                <w:rFonts w:ascii="Calibri" w:hAnsi="Calibri" w:eastAsia="新宋体"/>
                <w:color w:val="000000" w:themeColor="text1"/>
                <w:highlight w:val="none"/>
                <w:shd w:val="clear" w:color="auto" w:fill="FFFFFF"/>
                <w14:textFill>
                  <w14:solidFill>
                    <w14:schemeClr w14:val="tx1"/>
                  </w14:solidFill>
                </w14:textFill>
              </w:rPr>
              <w:t>支持RDM远程拨码、自走程序、声控模式、宏颜色、高级电流微调</w:t>
            </w:r>
          </w:p>
        </w:tc>
        <w:tc>
          <w:tcPr>
            <w:tcW w:w="788" w:type="dxa"/>
            <w:vAlign w:val="center"/>
          </w:tcPr>
          <w:p w14:paraId="09F9C5BF">
            <w:pPr>
              <w:widowControl w:val="0"/>
              <w:snapToGrid w:val="0"/>
              <w:jc w:val="left"/>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180</w:t>
            </w:r>
          </w:p>
        </w:tc>
        <w:tc>
          <w:tcPr>
            <w:tcW w:w="600" w:type="dxa"/>
            <w:vAlign w:val="center"/>
          </w:tcPr>
          <w:p w14:paraId="2482BEAB">
            <w:pPr>
              <w:widowControl w:val="0"/>
              <w:snapToGrid w:val="0"/>
              <w:jc w:val="center"/>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台</w:t>
            </w:r>
          </w:p>
        </w:tc>
      </w:tr>
      <w:tr w14:paraId="3B670EF8">
        <w:tblPrEx>
          <w:tblBorders>
            <w:top w:val="single" w:color="080F17" w:sz="6" w:space="0"/>
            <w:left w:val="single" w:color="080F17" w:sz="6" w:space="0"/>
            <w:bottom w:val="single" w:color="080F17" w:sz="6" w:space="0"/>
            <w:right w:val="single" w:color="080F17" w:sz="6" w:space="0"/>
            <w:insideH w:val="single" w:color="080F17" w:sz="6" w:space="0"/>
            <w:insideV w:val="single" w:color="080F17" w:sz="6" w:space="0"/>
          </w:tblBorders>
          <w:tblCellMar>
            <w:top w:w="30" w:type="dxa"/>
            <w:left w:w="180" w:type="dxa"/>
            <w:bottom w:w="30" w:type="dxa"/>
            <w:right w:w="180" w:type="dxa"/>
          </w:tblCellMar>
        </w:tblPrEx>
        <w:trPr>
          <w:jc w:val="center"/>
        </w:trPr>
        <w:tc>
          <w:tcPr>
            <w:tcW w:w="443" w:type="dxa"/>
            <w:vMerge w:val="continue"/>
            <w:vAlign w:val="center"/>
          </w:tcPr>
          <w:p w14:paraId="3BAB748A">
            <w:pPr>
              <w:widowControl w:val="0"/>
              <w:snapToGrid w:val="0"/>
              <w:jc w:val="center"/>
              <w:rPr>
                <w:rFonts w:ascii="Calibri" w:hAnsi="Calibri" w:eastAsia="新宋体"/>
                <w:color w:val="000000" w:themeColor="text1"/>
                <w:highlight w:val="none"/>
                <w14:textFill>
                  <w14:solidFill>
                    <w14:schemeClr w14:val="tx1"/>
                  </w14:solidFill>
                </w14:textFill>
              </w:rPr>
            </w:pPr>
          </w:p>
        </w:tc>
        <w:tc>
          <w:tcPr>
            <w:tcW w:w="900" w:type="dxa"/>
            <w:vMerge w:val="continue"/>
            <w:vAlign w:val="center"/>
          </w:tcPr>
          <w:p w14:paraId="6AEB048A">
            <w:pPr>
              <w:widowControl w:val="0"/>
              <w:snapToGrid w:val="0"/>
              <w:jc w:val="center"/>
              <w:rPr>
                <w:rFonts w:ascii="Calibri" w:hAnsi="Calibri" w:eastAsia="新宋体"/>
                <w:color w:val="000000" w:themeColor="text1"/>
                <w:highlight w:val="none"/>
                <w14:textFill>
                  <w14:solidFill>
                    <w14:schemeClr w14:val="tx1"/>
                  </w14:solidFill>
                </w14:textFill>
              </w:rPr>
            </w:pPr>
          </w:p>
        </w:tc>
        <w:tc>
          <w:tcPr>
            <w:tcW w:w="964" w:type="dxa"/>
            <w:vMerge w:val="continue"/>
            <w:vAlign w:val="center"/>
          </w:tcPr>
          <w:p w14:paraId="1EBBEF44">
            <w:pPr>
              <w:widowControl w:val="0"/>
              <w:snapToGrid w:val="0"/>
              <w:jc w:val="center"/>
              <w:rPr>
                <w:rFonts w:ascii="Calibri" w:hAnsi="Calibri" w:eastAsia="新宋体"/>
                <w:color w:val="000000" w:themeColor="text1"/>
                <w:highlight w:val="none"/>
                <w14:textFill>
                  <w14:solidFill>
                    <w14:schemeClr w14:val="tx1"/>
                  </w14:solidFill>
                </w14:textFill>
              </w:rPr>
            </w:pPr>
          </w:p>
        </w:tc>
        <w:tc>
          <w:tcPr>
            <w:tcW w:w="1007" w:type="dxa"/>
            <w:vAlign w:val="center"/>
          </w:tcPr>
          <w:p w14:paraId="3FF37F4F">
            <w:pPr>
              <w:widowControl w:val="0"/>
              <w:snapToGrid w:val="0"/>
              <w:jc w:val="left"/>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方形频闪灯</w:t>
            </w:r>
          </w:p>
        </w:tc>
        <w:tc>
          <w:tcPr>
            <w:tcW w:w="5346" w:type="dxa"/>
            <w:vAlign w:val="center"/>
          </w:tcPr>
          <w:p w14:paraId="6C2143B8">
            <w:pPr>
              <w:widowControl w:val="0"/>
              <w:snapToGrid w:val="0"/>
              <w:jc w:val="left"/>
              <w:rPr>
                <w:rFonts w:ascii="Calibri" w:hAnsi="Calibri" w:eastAsia="新宋体"/>
                <w:color w:val="000000" w:themeColor="text1"/>
                <w:highlight w:val="none"/>
                <w14:textFill>
                  <w14:solidFill>
                    <w14:schemeClr w14:val="tx1"/>
                  </w14:solidFill>
                </w14:textFill>
              </w:rPr>
            </w:pPr>
            <w:r>
              <w:rPr>
                <w:rStyle w:val="37"/>
                <w:rFonts w:ascii="Calibri" w:hAnsi="Calibri" w:eastAsia="新宋体"/>
                <w:b w:val="0"/>
                <w:color w:val="000000" w:themeColor="text1"/>
                <w:highlight w:val="none"/>
                <w:shd w:val="clear" w:color="auto" w:fill="FFFFFF"/>
                <w14:textFill>
                  <w14:solidFill>
                    <w14:schemeClr w14:val="tx1"/>
                  </w14:solidFill>
                </w14:textFill>
              </w:rPr>
              <w:t>光源：</w:t>
            </w:r>
            <w:r>
              <w:rPr>
                <w:rFonts w:ascii="Calibri" w:hAnsi="Calibri" w:eastAsia="新宋体"/>
                <w:color w:val="000000" w:themeColor="text1"/>
                <w:highlight w:val="none"/>
                <w:shd w:val="clear" w:color="auto" w:fill="FFFFFF"/>
                <w14:textFill>
                  <w14:solidFill>
                    <w14:schemeClr w14:val="tx1"/>
                  </w14:solidFill>
                </w14:textFill>
              </w:rPr>
              <w:t>960颗高亮SMD灯珠（RGB各320颗，白光320颗），50段RGB+20段白光</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功率：</w:t>
            </w:r>
            <w:r>
              <w:rPr>
                <w:rFonts w:ascii="Calibri" w:hAnsi="Calibri" w:eastAsia="新宋体"/>
                <w:color w:val="000000" w:themeColor="text1"/>
                <w:highlight w:val="none"/>
                <w:shd w:val="clear" w:color="auto" w:fill="FFFFFF"/>
                <w14:textFill>
                  <w14:solidFill>
                    <w14:schemeClr w14:val="tx1"/>
                  </w14:solidFill>
                </w14:textFill>
              </w:rPr>
              <w:t>总功率500W</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色温：</w:t>
            </w:r>
            <w:r>
              <w:rPr>
                <w:rFonts w:ascii="Calibri" w:hAnsi="Calibri" w:eastAsia="新宋体"/>
                <w:color w:val="000000" w:themeColor="text1"/>
                <w:highlight w:val="none"/>
                <w:shd w:val="clear" w:color="auto" w:fill="FFFFFF"/>
                <w14:textFill>
                  <w14:solidFill>
                    <w14:schemeClr w14:val="tx1"/>
                  </w14:solidFill>
                </w14:textFill>
              </w:rPr>
              <w:t>白光7000K</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频闪效果：</w:t>
            </w:r>
            <w:r>
              <w:rPr>
                <w:rFonts w:ascii="Calibri" w:hAnsi="Calibri" w:eastAsia="新宋体"/>
                <w:color w:val="000000" w:themeColor="text1"/>
                <w:highlight w:val="none"/>
                <w:shd w:val="clear" w:color="auto" w:fill="FFFFFF"/>
                <w14:textFill>
                  <w14:solidFill>
                    <w14:schemeClr w14:val="tx1"/>
                  </w14:solidFill>
                </w14:textFill>
              </w:rPr>
              <w:t>0-20Hz线性可调，多种频闪模式（普通/雷电/随机），RGB与W频闪可独立控制</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调光：</w:t>
            </w:r>
            <w:r>
              <w:rPr>
                <w:rFonts w:ascii="Calibri" w:hAnsi="Calibri" w:eastAsia="新宋体"/>
                <w:color w:val="000000" w:themeColor="text1"/>
                <w:highlight w:val="none"/>
                <w:shd w:val="clear" w:color="auto" w:fill="FFFFFF"/>
                <w14:textFill>
                  <w14:solidFill>
                    <w14:schemeClr w14:val="tx1"/>
                  </w14:solidFill>
                </w14:textFill>
              </w:rPr>
              <w:t>0-100%线性调光，16Bit调光技术</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控制方式：</w:t>
            </w:r>
            <w:r>
              <w:rPr>
                <w:rFonts w:ascii="Calibri" w:hAnsi="Calibri" w:eastAsia="新宋体"/>
                <w:color w:val="000000" w:themeColor="text1"/>
                <w:highlight w:val="none"/>
                <w:shd w:val="clear" w:color="auto" w:fill="FFFFFF"/>
                <w14:textFill>
                  <w14:solidFill>
                    <w14:schemeClr w14:val="tx1"/>
                  </w14:solidFill>
                </w14:textFill>
              </w:rPr>
              <w:t>DMX512（标准4/14/16/51/170CH），支持RDM、主从、自走、声控</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内置效果：</w:t>
            </w:r>
            <w:r>
              <w:rPr>
                <w:rFonts w:ascii="Calibri" w:hAnsi="Calibri" w:eastAsia="新宋体"/>
                <w:color w:val="000000" w:themeColor="text1"/>
                <w:highlight w:val="none"/>
                <w:shd w:val="clear" w:color="auto" w:fill="FFFFFF"/>
                <w14:textFill>
                  <w14:solidFill>
                    <w14:schemeClr w14:val="tx1"/>
                  </w14:solidFill>
                </w14:textFill>
              </w:rPr>
              <w:t>内置丰富的RGB/W宏效果程序，支持背景色及淡入淡出</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防护等级：</w:t>
            </w:r>
            <w:r>
              <w:rPr>
                <w:rFonts w:ascii="Calibri" w:hAnsi="Calibri" w:eastAsia="新宋体"/>
                <w:color w:val="000000" w:themeColor="text1"/>
                <w:highlight w:val="none"/>
                <w:shd w:val="clear" w:color="auto" w:fill="FFFFFF"/>
                <w14:textFill>
                  <w14:solidFill>
                    <w14:schemeClr w14:val="tx1"/>
                  </w14:solidFill>
                </w14:textFill>
              </w:rPr>
              <w:t>IP65</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外壳：</w:t>
            </w:r>
            <w:r>
              <w:rPr>
                <w:rFonts w:ascii="Calibri" w:hAnsi="Calibri" w:eastAsia="新宋体"/>
                <w:color w:val="000000" w:themeColor="text1"/>
                <w:highlight w:val="none"/>
                <w:shd w:val="clear" w:color="auto" w:fill="FFFFFF"/>
                <w14:textFill>
                  <w14:solidFill>
                    <w14:schemeClr w14:val="tx1"/>
                  </w14:solidFill>
                </w14:textFill>
              </w:rPr>
              <w:t>压铸铝+钢化玻璃</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安装：</w:t>
            </w:r>
            <w:r>
              <w:rPr>
                <w:rFonts w:ascii="Calibri" w:hAnsi="Calibri" w:eastAsia="新宋体"/>
                <w:color w:val="000000" w:themeColor="text1"/>
                <w:highlight w:val="none"/>
                <w:shd w:val="clear" w:color="auto" w:fill="FFFFFF"/>
                <w14:textFill>
                  <w14:solidFill>
                    <w14:schemeClr w14:val="tx1"/>
                  </w14:solidFill>
                </w14:textFill>
              </w:rPr>
              <w:t>可四面无缝拼接</w:t>
            </w:r>
          </w:p>
        </w:tc>
        <w:tc>
          <w:tcPr>
            <w:tcW w:w="788" w:type="dxa"/>
            <w:vAlign w:val="center"/>
          </w:tcPr>
          <w:p w14:paraId="14B932C2">
            <w:pPr>
              <w:widowControl w:val="0"/>
              <w:snapToGrid w:val="0"/>
              <w:jc w:val="left"/>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58</w:t>
            </w:r>
          </w:p>
        </w:tc>
        <w:tc>
          <w:tcPr>
            <w:tcW w:w="600" w:type="dxa"/>
            <w:vAlign w:val="center"/>
          </w:tcPr>
          <w:p w14:paraId="2137F21A">
            <w:pPr>
              <w:widowControl w:val="0"/>
              <w:snapToGrid w:val="0"/>
              <w:jc w:val="center"/>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台</w:t>
            </w:r>
          </w:p>
        </w:tc>
      </w:tr>
      <w:tr w14:paraId="20858520">
        <w:tblPrEx>
          <w:tblBorders>
            <w:top w:val="single" w:color="080F17" w:sz="6" w:space="0"/>
            <w:left w:val="single" w:color="080F17" w:sz="6" w:space="0"/>
            <w:bottom w:val="single" w:color="080F17" w:sz="6" w:space="0"/>
            <w:right w:val="single" w:color="080F17" w:sz="6" w:space="0"/>
            <w:insideH w:val="single" w:color="080F17" w:sz="6" w:space="0"/>
            <w:insideV w:val="single" w:color="080F17" w:sz="6" w:space="0"/>
          </w:tblBorders>
          <w:tblCellMar>
            <w:top w:w="30" w:type="dxa"/>
            <w:left w:w="180" w:type="dxa"/>
            <w:bottom w:w="30" w:type="dxa"/>
            <w:right w:w="180" w:type="dxa"/>
          </w:tblCellMar>
        </w:tblPrEx>
        <w:trPr>
          <w:jc w:val="center"/>
        </w:trPr>
        <w:tc>
          <w:tcPr>
            <w:tcW w:w="443" w:type="dxa"/>
            <w:vMerge w:val="continue"/>
            <w:vAlign w:val="center"/>
          </w:tcPr>
          <w:p w14:paraId="2B24E25F">
            <w:pPr>
              <w:widowControl w:val="0"/>
              <w:snapToGrid w:val="0"/>
              <w:jc w:val="center"/>
              <w:rPr>
                <w:rFonts w:ascii="Calibri" w:hAnsi="Calibri" w:eastAsia="新宋体"/>
                <w:color w:val="000000" w:themeColor="text1"/>
                <w:highlight w:val="none"/>
                <w14:textFill>
                  <w14:solidFill>
                    <w14:schemeClr w14:val="tx1"/>
                  </w14:solidFill>
                </w14:textFill>
              </w:rPr>
            </w:pPr>
          </w:p>
        </w:tc>
        <w:tc>
          <w:tcPr>
            <w:tcW w:w="900" w:type="dxa"/>
            <w:vMerge w:val="continue"/>
            <w:vAlign w:val="center"/>
          </w:tcPr>
          <w:p w14:paraId="26C318DC">
            <w:pPr>
              <w:widowControl w:val="0"/>
              <w:snapToGrid w:val="0"/>
              <w:jc w:val="center"/>
              <w:rPr>
                <w:rFonts w:ascii="Calibri" w:hAnsi="Calibri" w:eastAsia="新宋体"/>
                <w:color w:val="000000" w:themeColor="text1"/>
                <w:highlight w:val="none"/>
                <w14:textFill>
                  <w14:solidFill>
                    <w14:schemeClr w14:val="tx1"/>
                  </w14:solidFill>
                </w14:textFill>
              </w:rPr>
            </w:pPr>
          </w:p>
        </w:tc>
        <w:tc>
          <w:tcPr>
            <w:tcW w:w="964" w:type="dxa"/>
            <w:vMerge w:val="continue"/>
            <w:vAlign w:val="center"/>
          </w:tcPr>
          <w:p w14:paraId="22792088">
            <w:pPr>
              <w:widowControl w:val="0"/>
              <w:snapToGrid w:val="0"/>
              <w:jc w:val="center"/>
              <w:rPr>
                <w:rFonts w:ascii="Calibri" w:hAnsi="Calibri" w:eastAsia="新宋体"/>
                <w:color w:val="000000" w:themeColor="text1"/>
                <w:highlight w:val="none"/>
                <w14:textFill>
                  <w14:solidFill>
                    <w14:schemeClr w14:val="tx1"/>
                  </w14:solidFill>
                </w14:textFill>
              </w:rPr>
            </w:pPr>
          </w:p>
        </w:tc>
        <w:tc>
          <w:tcPr>
            <w:tcW w:w="1007" w:type="dxa"/>
            <w:vAlign w:val="center"/>
          </w:tcPr>
          <w:p w14:paraId="70FF35C1">
            <w:pPr>
              <w:widowControl w:val="0"/>
              <w:snapToGrid w:val="0"/>
              <w:jc w:val="left"/>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条形频闪灯</w:t>
            </w:r>
          </w:p>
        </w:tc>
        <w:tc>
          <w:tcPr>
            <w:tcW w:w="5346" w:type="dxa"/>
            <w:vAlign w:val="center"/>
          </w:tcPr>
          <w:p w14:paraId="2B4FED9C">
            <w:pPr>
              <w:widowControl w:val="0"/>
              <w:snapToGrid w:val="0"/>
              <w:jc w:val="left"/>
              <w:rPr>
                <w:rFonts w:ascii="Calibri" w:hAnsi="Calibri" w:eastAsia="新宋体"/>
                <w:color w:val="000000" w:themeColor="text1"/>
                <w:highlight w:val="none"/>
                <w14:textFill>
                  <w14:solidFill>
                    <w14:schemeClr w14:val="tx1"/>
                  </w14:solidFill>
                </w14:textFill>
              </w:rPr>
            </w:pPr>
            <w:r>
              <w:rPr>
                <w:rStyle w:val="37"/>
                <w:rFonts w:ascii="Calibri" w:hAnsi="Calibri" w:eastAsia="新宋体"/>
                <w:b w:val="0"/>
                <w:color w:val="000000" w:themeColor="text1"/>
                <w:highlight w:val="none"/>
                <w:shd w:val="clear" w:color="auto" w:fill="FFFFFF"/>
                <w14:textFill>
                  <w14:solidFill>
                    <w14:schemeClr w14:val="tx1"/>
                  </w14:solidFill>
                </w14:textFill>
              </w:rPr>
              <w:t>光源：</w:t>
            </w:r>
            <w:r>
              <w:rPr>
                <w:rFonts w:ascii="Calibri" w:hAnsi="Calibri" w:eastAsia="新宋体"/>
                <w:color w:val="000000" w:themeColor="text1"/>
                <w:highlight w:val="none"/>
                <w:shd w:val="clear" w:color="auto" w:fill="FFFFFF"/>
                <w14:textFill>
                  <w14:solidFill>
                    <w14:schemeClr w14:val="tx1"/>
                  </w14:solidFill>
                </w14:textFill>
              </w:rPr>
              <w:t>RGB 672颗×0.3W + 白光112颗×3W，带电子雾化玻璃</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功率：</w:t>
            </w:r>
            <w:r>
              <w:rPr>
                <w:rFonts w:ascii="Calibri" w:hAnsi="Calibri" w:eastAsia="新宋体"/>
                <w:color w:val="000000" w:themeColor="text1"/>
                <w:highlight w:val="none"/>
                <w:shd w:val="clear" w:color="auto" w:fill="FFFFFF"/>
                <w14:textFill>
                  <w14:solidFill>
                    <w14:schemeClr w14:val="tx1"/>
                  </w14:solidFill>
                </w14:textFill>
              </w:rPr>
              <w:t>总功率600W</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色温：</w:t>
            </w:r>
            <w:r>
              <w:rPr>
                <w:rFonts w:ascii="Calibri" w:hAnsi="Calibri" w:eastAsia="新宋体"/>
                <w:color w:val="000000" w:themeColor="text1"/>
                <w:highlight w:val="none"/>
                <w:shd w:val="clear" w:color="auto" w:fill="FFFFFF"/>
                <w14:textFill>
                  <w14:solidFill>
                    <w14:schemeClr w14:val="tx1"/>
                  </w14:solidFill>
                </w14:textFill>
              </w:rPr>
              <w:t>白光7000K</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频闪效果：</w:t>
            </w:r>
            <w:r>
              <w:rPr>
                <w:rFonts w:ascii="Calibri" w:hAnsi="Calibri" w:eastAsia="新宋体"/>
                <w:color w:val="000000" w:themeColor="text1"/>
                <w:highlight w:val="none"/>
                <w:shd w:val="clear" w:color="auto" w:fill="FFFFFF"/>
                <w14:textFill>
                  <w14:solidFill>
                    <w14:schemeClr w14:val="tx1"/>
                  </w14:solidFill>
                </w14:textFill>
              </w:rPr>
              <w:t>0-25Hz可调，多种特效模式（慢开快关、闪电、随机），带持续时间/速率控制</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调光：</w:t>
            </w:r>
            <w:r>
              <w:rPr>
                <w:rFonts w:ascii="Calibri" w:hAnsi="Calibri" w:eastAsia="新宋体"/>
                <w:color w:val="000000" w:themeColor="text1"/>
                <w:highlight w:val="none"/>
                <w:shd w:val="clear" w:color="auto" w:fill="FFFFFF"/>
                <w14:textFill>
                  <w14:solidFill>
                    <w14:schemeClr w14:val="tx1"/>
                  </w14:solidFill>
                </w14:textFill>
              </w:rPr>
              <w:t>0-100%线性调光</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控制方式：</w:t>
            </w:r>
            <w:r>
              <w:rPr>
                <w:rFonts w:ascii="Calibri" w:hAnsi="Calibri" w:eastAsia="新宋体"/>
                <w:color w:val="000000" w:themeColor="text1"/>
                <w:highlight w:val="none"/>
                <w:shd w:val="clear" w:color="auto" w:fill="FFFFFF"/>
                <w14:textFill>
                  <w14:solidFill>
                    <w14:schemeClr w14:val="tx1"/>
                  </w14:solidFill>
                </w14:textFill>
              </w:rPr>
              <w:t>DMX512，多种通道模式可选（7/15/21/39/112/17/33/65/68/117/70CH），支持RDM、Art-Net、sACN网络协议</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功能：</w:t>
            </w:r>
            <w:r>
              <w:rPr>
                <w:rFonts w:ascii="Calibri" w:hAnsi="Calibri" w:eastAsia="新宋体"/>
                <w:color w:val="000000" w:themeColor="text1"/>
                <w:highlight w:val="none"/>
                <w:shd w:val="clear" w:color="auto" w:fill="FFFFFF"/>
                <w14:textFill>
                  <w14:solidFill>
                    <w14:schemeClr w14:val="tx1"/>
                  </w14:solidFill>
                </w14:textFill>
              </w:rPr>
              <w:t>支持像素映射、内置效果（40种RGB+9种W）、雾化、主从/自走</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防护等级：</w:t>
            </w:r>
            <w:r>
              <w:rPr>
                <w:rFonts w:ascii="Calibri" w:hAnsi="Calibri" w:eastAsia="新宋体"/>
                <w:color w:val="000000" w:themeColor="text1"/>
                <w:highlight w:val="none"/>
                <w:shd w:val="clear" w:color="auto" w:fill="FFFFFF"/>
                <w14:textFill>
                  <w14:solidFill>
                    <w14:schemeClr w14:val="tx1"/>
                  </w14:solidFill>
                </w14:textFill>
              </w:rPr>
              <w:t>IP65</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外壳：</w:t>
            </w:r>
            <w:r>
              <w:rPr>
                <w:rFonts w:ascii="Calibri" w:hAnsi="Calibri" w:eastAsia="新宋体"/>
                <w:color w:val="000000" w:themeColor="text1"/>
                <w:highlight w:val="none"/>
                <w:shd w:val="clear" w:color="auto" w:fill="FFFFFF"/>
                <w14:textFill>
                  <w14:solidFill>
                    <w14:schemeClr w14:val="tx1"/>
                  </w14:solidFill>
                </w14:textFill>
              </w:rPr>
              <w:t>铝合金型材+钢化玻璃</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尺寸/重量：</w:t>
            </w:r>
            <w:r>
              <w:rPr>
                <w:rFonts w:ascii="Calibri" w:hAnsi="Calibri" w:eastAsia="新宋体"/>
                <w:color w:val="000000" w:themeColor="text1"/>
                <w:highlight w:val="none"/>
                <w:shd w:val="clear" w:color="auto" w:fill="FFFFFF"/>
                <w14:textFill>
                  <w14:solidFill>
                    <w14:schemeClr w14:val="tx1"/>
                  </w14:solidFill>
                </w14:textFill>
              </w:rPr>
              <w:t>约8.5kg，侧边触摸液晶屏</w:t>
            </w:r>
          </w:p>
        </w:tc>
        <w:tc>
          <w:tcPr>
            <w:tcW w:w="788" w:type="dxa"/>
            <w:vAlign w:val="center"/>
          </w:tcPr>
          <w:p w14:paraId="36A4F1DF">
            <w:pPr>
              <w:widowControl w:val="0"/>
              <w:snapToGrid w:val="0"/>
              <w:jc w:val="left"/>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70</w:t>
            </w:r>
          </w:p>
        </w:tc>
        <w:tc>
          <w:tcPr>
            <w:tcW w:w="600" w:type="dxa"/>
            <w:vAlign w:val="center"/>
          </w:tcPr>
          <w:p w14:paraId="678A0AD7">
            <w:pPr>
              <w:widowControl w:val="0"/>
              <w:snapToGrid w:val="0"/>
              <w:jc w:val="center"/>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台</w:t>
            </w:r>
          </w:p>
        </w:tc>
      </w:tr>
      <w:tr w14:paraId="3D9E591D">
        <w:tblPrEx>
          <w:tblBorders>
            <w:top w:val="single" w:color="080F17" w:sz="6" w:space="0"/>
            <w:left w:val="single" w:color="080F17" w:sz="6" w:space="0"/>
            <w:bottom w:val="single" w:color="080F17" w:sz="6" w:space="0"/>
            <w:right w:val="single" w:color="080F17" w:sz="6" w:space="0"/>
            <w:insideH w:val="single" w:color="080F17" w:sz="6" w:space="0"/>
            <w:insideV w:val="single" w:color="080F17" w:sz="6" w:space="0"/>
          </w:tblBorders>
          <w:tblCellMar>
            <w:top w:w="30" w:type="dxa"/>
            <w:left w:w="180" w:type="dxa"/>
            <w:bottom w:w="30" w:type="dxa"/>
            <w:right w:w="180" w:type="dxa"/>
          </w:tblCellMar>
        </w:tblPrEx>
        <w:trPr>
          <w:jc w:val="center"/>
        </w:trPr>
        <w:tc>
          <w:tcPr>
            <w:tcW w:w="443" w:type="dxa"/>
            <w:vMerge w:val="continue"/>
            <w:vAlign w:val="center"/>
          </w:tcPr>
          <w:p w14:paraId="4BC40F2D">
            <w:pPr>
              <w:widowControl w:val="0"/>
              <w:snapToGrid w:val="0"/>
              <w:jc w:val="center"/>
              <w:rPr>
                <w:rFonts w:ascii="Calibri" w:hAnsi="Calibri" w:eastAsia="新宋体"/>
                <w:color w:val="000000" w:themeColor="text1"/>
                <w:highlight w:val="none"/>
                <w14:textFill>
                  <w14:solidFill>
                    <w14:schemeClr w14:val="tx1"/>
                  </w14:solidFill>
                </w14:textFill>
              </w:rPr>
            </w:pPr>
          </w:p>
        </w:tc>
        <w:tc>
          <w:tcPr>
            <w:tcW w:w="900" w:type="dxa"/>
            <w:vMerge w:val="continue"/>
            <w:vAlign w:val="center"/>
          </w:tcPr>
          <w:p w14:paraId="7FEA6B97">
            <w:pPr>
              <w:widowControl w:val="0"/>
              <w:snapToGrid w:val="0"/>
              <w:jc w:val="center"/>
              <w:rPr>
                <w:rFonts w:ascii="Calibri" w:hAnsi="Calibri" w:eastAsia="新宋体"/>
                <w:color w:val="000000" w:themeColor="text1"/>
                <w:highlight w:val="none"/>
                <w14:textFill>
                  <w14:solidFill>
                    <w14:schemeClr w14:val="tx1"/>
                  </w14:solidFill>
                </w14:textFill>
              </w:rPr>
            </w:pPr>
          </w:p>
        </w:tc>
        <w:tc>
          <w:tcPr>
            <w:tcW w:w="964" w:type="dxa"/>
            <w:vMerge w:val="continue"/>
            <w:vAlign w:val="center"/>
          </w:tcPr>
          <w:p w14:paraId="09998BB1">
            <w:pPr>
              <w:widowControl w:val="0"/>
              <w:snapToGrid w:val="0"/>
              <w:jc w:val="center"/>
              <w:rPr>
                <w:rFonts w:ascii="Calibri" w:hAnsi="Calibri" w:eastAsia="新宋体"/>
                <w:color w:val="000000" w:themeColor="text1"/>
                <w:highlight w:val="none"/>
                <w14:textFill>
                  <w14:solidFill>
                    <w14:schemeClr w14:val="tx1"/>
                  </w14:solidFill>
                </w14:textFill>
              </w:rPr>
            </w:pPr>
          </w:p>
        </w:tc>
        <w:tc>
          <w:tcPr>
            <w:tcW w:w="1007" w:type="dxa"/>
            <w:vAlign w:val="center"/>
          </w:tcPr>
          <w:p w14:paraId="7ECF609D">
            <w:pPr>
              <w:widowControl w:val="0"/>
              <w:snapToGrid w:val="0"/>
              <w:jc w:val="left"/>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LED切割灯</w:t>
            </w:r>
          </w:p>
        </w:tc>
        <w:tc>
          <w:tcPr>
            <w:tcW w:w="5346" w:type="dxa"/>
            <w:vAlign w:val="center"/>
          </w:tcPr>
          <w:p w14:paraId="72F42785">
            <w:pPr>
              <w:widowControl w:val="0"/>
              <w:snapToGrid w:val="0"/>
              <w:jc w:val="left"/>
              <w:rPr>
                <w:rFonts w:ascii="Calibri" w:hAnsi="Calibri" w:eastAsia="新宋体"/>
                <w:color w:val="000000" w:themeColor="text1"/>
                <w:highlight w:val="none"/>
                <w14:textFill>
                  <w14:solidFill>
                    <w14:schemeClr w14:val="tx1"/>
                  </w14:solidFill>
                </w14:textFill>
              </w:rPr>
            </w:pPr>
            <w:r>
              <w:rPr>
                <w:rStyle w:val="37"/>
                <w:rFonts w:ascii="Calibri" w:hAnsi="Calibri" w:eastAsia="新宋体"/>
                <w:b w:val="0"/>
                <w:color w:val="000000" w:themeColor="text1"/>
                <w:highlight w:val="none"/>
                <w:shd w:val="clear" w:color="auto" w:fill="FFFFFF"/>
                <w14:textFill>
                  <w14:solidFill>
                    <w14:schemeClr w14:val="tx1"/>
                  </w14:solidFill>
                </w14:textFill>
              </w:rPr>
              <w:t>光源：</w:t>
            </w:r>
            <w:r>
              <w:rPr>
                <w:rFonts w:ascii="Calibri" w:hAnsi="Calibri" w:eastAsia="新宋体"/>
                <w:color w:val="000000" w:themeColor="text1"/>
                <w:highlight w:val="none"/>
                <w:shd w:val="clear" w:color="auto" w:fill="FFFFFF"/>
                <w14:textFill>
                  <w14:solidFill>
                    <w14:schemeClr w14:val="tx1"/>
                  </w14:solidFill>
                </w14:textFill>
              </w:rPr>
              <w:t>单颗1400W双显LED（高亮/高显模式可切换）</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整灯输出光通量：</w:t>
            </w:r>
            <w:r>
              <w:rPr>
                <w:rFonts w:ascii="Calibri" w:hAnsi="Calibri" w:eastAsia="新宋体"/>
                <w:color w:val="000000" w:themeColor="text1"/>
                <w:highlight w:val="none"/>
                <w:shd w:val="clear" w:color="auto" w:fill="FFFFFF"/>
                <w14:textFill>
                  <w14:solidFill>
                    <w14:schemeClr w14:val="tx1"/>
                  </w14:solidFill>
                </w14:textFill>
              </w:rPr>
              <w:t>53000Lm（高亮模式）/ 32000Lm（高显模式）</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出光角度：</w:t>
            </w:r>
            <w:r>
              <w:rPr>
                <w:rFonts w:ascii="Calibri" w:hAnsi="Calibri" w:eastAsia="新宋体"/>
                <w:color w:val="000000" w:themeColor="text1"/>
                <w:highlight w:val="none"/>
                <w:shd w:val="clear" w:color="auto" w:fill="FFFFFF"/>
                <w14:textFill>
                  <w14:solidFill>
                    <w14:schemeClr w14:val="tx1"/>
                  </w14:solidFill>
                </w14:textFill>
              </w:rPr>
              <w:t>5°～53°线性变焦</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切割系统：</w:t>
            </w:r>
            <w:r>
              <w:rPr>
                <w:rFonts w:ascii="Calibri" w:hAnsi="Calibri" w:eastAsia="新宋体"/>
                <w:color w:val="000000" w:themeColor="text1"/>
                <w:highlight w:val="none"/>
                <w:shd w:val="clear" w:color="auto" w:fill="FFFFFF"/>
                <w14:textFill>
                  <w14:solidFill>
                    <w14:schemeClr w14:val="tx1"/>
                  </w14:solidFill>
                </w14:textFill>
              </w:rPr>
              <w:t>4块光栅实现快速、平滑切割，每块光栅切割方向及角度可单独控制，单片可实现完整闭光，整个切割模块可旋转±60°</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颜色盘：</w:t>
            </w:r>
            <w:r>
              <w:rPr>
                <w:rFonts w:ascii="Calibri" w:hAnsi="Calibri" w:eastAsia="新宋体"/>
                <w:color w:val="000000" w:themeColor="text1"/>
                <w:highlight w:val="none"/>
                <w:shd w:val="clear" w:color="auto" w:fill="FFFFFF"/>
                <w14:textFill>
                  <w14:solidFill>
                    <w14:schemeClr w14:val="tx1"/>
                  </w14:solidFill>
                </w14:textFill>
              </w:rPr>
              <w:t>1个颜色盘，含颜色片及CTB等</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图案盘：</w:t>
            </w:r>
            <w:r>
              <w:rPr>
                <w:rFonts w:ascii="Calibri" w:hAnsi="Calibri" w:eastAsia="新宋体"/>
                <w:color w:val="000000" w:themeColor="text1"/>
                <w:highlight w:val="none"/>
                <w:shd w:val="clear" w:color="auto" w:fill="FFFFFF"/>
                <w14:textFill>
                  <w14:solidFill>
                    <w14:schemeClr w14:val="tx1"/>
                  </w14:solidFill>
                </w14:textFill>
              </w:rPr>
              <w:t>2个旋转图案盘，各含6个可更换图案片+白光</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棱镜：</w:t>
            </w:r>
            <w:r>
              <w:rPr>
                <w:rFonts w:ascii="Calibri" w:hAnsi="Calibri" w:eastAsia="新宋体"/>
                <w:color w:val="000000" w:themeColor="text1"/>
                <w:highlight w:val="none"/>
                <w:shd w:val="clear" w:color="auto" w:fill="FFFFFF"/>
                <w14:textFill>
                  <w14:solidFill>
                    <w14:schemeClr w14:val="tx1"/>
                  </w14:solidFill>
                </w14:textFill>
              </w:rPr>
              <w:t>2个独立棱镜（4棱镜+6排镜），可双向旋转及叠加</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雾化：</w:t>
            </w:r>
            <w:r>
              <w:rPr>
                <w:rFonts w:ascii="Calibri" w:hAnsi="Calibri" w:eastAsia="新宋体"/>
                <w:color w:val="000000" w:themeColor="text1"/>
                <w:highlight w:val="none"/>
                <w:shd w:val="clear" w:color="auto" w:fill="FFFFFF"/>
                <w14:textFill>
                  <w14:solidFill>
                    <w14:schemeClr w14:val="tx1"/>
                  </w14:solidFill>
                </w14:textFill>
              </w:rPr>
              <w:t>轻雾化+重雾化</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调光：</w:t>
            </w:r>
            <w:r>
              <w:rPr>
                <w:rFonts w:ascii="Calibri" w:hAnsi="Calibri" w:eastAsia="新宋体"/>
                <w:color w:val="000000" w:themeColor="text1"/>
                <w:highlight w:val="none"/>
                <w:shd w:val="clear" w:color="auto" w:fill="FFFFFF"/>
                <w14:textFill>
                  <w14:solidFill>
                    <w14:schemeClr w14:val="tx1"/>
                  </w14:solidFill>
                </w14:textFill>
              </w:rPr>
              <w:t>0-100%线性调光，带调光微调通道（16Bit），4种调光曲线可选</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频闪：</w:t>
            </w:r>
            <w:r>
              <w:rPr>
                <w:rFonts w:ascii="Calibri" w:hAnsi="Calibri" w:eastAsia="新宋体"/>
                <w:color w:val="000000" w:themeColor="text1"/>
                <w:highlight w:val="none"/>
                <w:shd w:val="clear" w:color="auto" w:fill="FFFFFF"/>
                <w14:textFill>
                  <w14:solidFill>
                    <w14:schemeClr w14:val="tx1"/>
                  </w14:solidFill>
                </w14:textFill>
              </w:rPr>
              <w:t>快速电子频闪，1～25Hz可调</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扫描角度：</w:t>
            </w:r>
            <w:r>
              <w:rPr>
                <w:rFonts w:ascii="Calibri" w:hAnsi="Calibri" w:eastAsia="新宋体"/>
                <w:color w:val="000000" w:themeColor="text1"/>
                <w:highlight w:val="none"/>
                <w:shd w:val="clear" w:color="auto" w:fill="FFFFFF"/>
                <w14:textFill>
                  <w14:solidFill>
                    <w14:schemeClr w14:val="tx1"/>
                  </w14:solidFill>
                </w14:textFill>
              </w:rPr>
              <w:t>水平540°或630°（16Bit精度扫描），垂直270°（16Bit精度扫描）</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控制通道：</w:t>
            </w:r>
            <w:r>
              <w:rPr>
                <w:rFonts w:ascii="Calibri" w:hAnsi="Calibri" w:eastAsia="新宋体"/>
                <w:color w:val="000000" w:themeColor="text1"/>
                <w:highlight w:val="none"/>
                <w:shd w:val="clear" w:color="auto" w:fill="FFFFFF"/>
                <w14:textFill>
                  <w14:solidFill>
                    <w14:schemeClr w14:val="tx1"/>
                  </w14:solidFill>
                </w14:textFill>
              </w:rPr>
              <w:t>标准模式38CH / 扩展模式54CH</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控制协议：</w:t>
            </w:r>
            <w:r>
              <w:rPr>
                <w:rFonts w:ascii="Calibri" w:hAnsi="Calibri" w:eastAsia="新宋体"/>
                <w:color w:val="000000" w:themeColor="text1"/>
                <w:highlight w:val="none"/>
                <w:shd w:val="clear" w:color="auto" w:fill="FFFFFF"/>
                <w14:textFill>
                  <w14:solidFill>
                    <w14:schemeClr w14:val="tx1"/>
                  </w14:solidFill>
                </w14:textFill>
              </w:rPr>
              <w:t>DMX512，RDM</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防护等级：</w:t>
            </w:r>
            <w:r>
              <w:rPr>
                <w:rFonts w:ascii="Calibri" w:hAnsi="Calibri" w:eastAsia="新宋体"/>
                <w:color w:val="000000" w:themeColor="text1"/>
                <w:highlight w:val="none"/>
                <w:shd w:val="clear" w:color="auto" w:fill="FFFFFF"/>
                <w14:textFill>
                  <w14:solidFill>
                    <w14:schemeClr w14:val="tx1"/>
                  </w14:solidFill>
                </w14:textFill>
              </w:rPr>
              <w:t>IP20（室内使用）</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其他功能：</w:t>
            </w:r>
            <w:r>
              <w:rPr>
                <w:rFonts w:ascii="Calibri" w:hAnsi="Calibri" w:eastAsia="新宋体"/>
                <w:color w:val="000000" w:themeColor="text1"/>
                <w:highlight w:val="none"/>
                <w:shd w:val="clear" w:color="auto" w:fill="FFFFFF"/>
                <w14:textFill>
                  <w14:solidFill>
                    <w14:schemeClr w14:val="tx1"/>
                  </w14:solidFill>
                </w14:textFill>
              </w:rPr>
              <w:t>2.8"LCD显示屏（带充电电池）、XY轴速度通道、LED刷新率可调、风扇模式可选、USB软件升级</w:t>
            </w:r>
          </w:p>
        </w:tc>
        <w:tc>
          <w:tcPr>
            <w:tcW w:w="788" w:type="dxa"/>
            <w:vAlign w:val="center"/>
          </w:tcPr>
          <w:p w14:paraId="6B792BB4">
            <w:pPr>
              <w:widowControl w:val="0"/>
              <w:snapToGrid w:val="0"/>
              <w:jc w:val="left"/>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18</w:t>
            </w:r>
          </w:p>
        </w:tc>
        <w:tc>
          <w:tcPr>
            <w:tcW w:w="600" w:type="dxa"/>
            <w:vAlign w:val="center"/>
          </w:tcPr>
          <w:p w14:paraId="2198791C">
            <w:pPr>
              <w:widowControl w:val="0"/>
              <w:snapToGrid w:val="0"/>
              <w:jc w:val="center"/>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台</w:t>
            </w:r>
          </w:p>
        </w:tc>
      </w:tr>
      <w:tr w14:paraId="7B07E4C0">
        <w:tblPrEx>
          <w:tblBorders>
            <w:top w:val="single" w:color="080F17" w:sz="6" w:space="0"/>
            <w:left w:val="single" w:color="080F17" w:sz="6" w:space="0"/>
            <w:bottom w:val="single" w:color="080F17" w:sz="6" w:space="0"/>
            <w:right w:val="single" w:color="080F17" w:sz="6" w:space="0"/>
            <w:insideH w:val="single" w:color="080F17" w:sz="6" w:space="0"/>
            <w:insideV w:val="single" w:color="080F17" w:sz="6" w:space="0"/>
          </w:tblBorders>
          <w:tblCellMar>
            <w:top w:w="30" w:type="dxa"/>
            <w:left w:w="180" w:type="dxa"/>
            <w:bottom w:w="30" w:type="dxa"/>
            <w:right w:w="180" w:type="dxa"/>
          </w:tblCellMar>
        </w:tblPrEx>
        <w:trPr>
          <w:jc w:val="center"/>
        </w:trPr>
        <w:tc>
          <w:tcPr>
            <w:tcW w:w="443" w:type="dxa"/>
            <w:vMerge w:val="continue"/>
            <w:vAlign w:val="center"/>
          </w:tcPr>
          <w:p w14:paraId="70488658">
            <w:pPr>
              <w:widowControl w:val="0"/>
              <w:snapToGrid w:val="0"/>
              <w:jc w:val="center"/>
              <w:rPr>
                <w:rFonts w:ascii="Calibri" w:hAnsi="Calibri" w:eastAsia="新宋体"/>
                <w:color w:val="000000" w:themeColor="text1"/>
                <w:highlight w:val="none"/>
                <w14:textFill>
                  <w14:solidFill>
                    <w14:schemeClr w14:val="tx1"/>
                  </w14:solidFill>
                </w14:textFill>
              </w:rPr>
            </w:pPr>
          </w:p>
        </w:tc>
        <w:tc>
          <w:tcPr>
            <w:tcW w:w="900" w:type="dxa"/>
            <w:vMerge w:val="continue"/>
            <w:vAlign w:val="center"/>
          </w:tcPr>
          <w:p w14:paraId="4338CC49">
            <w:pPr>
              <w:widowControl w:val="0"/>
              <w:snapToGrid w:val="0"/>
              <w:jc w:val="center"/>
              <w:rPr>
                <w:rFonts w:ascii="Calibri" w:hAnsi="Calibri" w:eastAsia="新宋体"/>
                <w:color w:val="000000" w:themeColor="text1"/>
                <w:highlight w:val="none"/>
                <w14:textFill>
                  <w14:solidFill>
                    <w14:schemeClr w14:val="tx1"/>
                  </w14:solidFill>
                </w14:textFill>
              </w:rPr>
            </w:pPr>
          </w:p>
        </w:tc>
        <w:tc>
          <w:tcPr>
            <w:tcW w:w="964" w:type="dxa"/>
            <w:vMerge w:val="continue"/>
            <w:vAlign w:val="center"/>
          </w:tcPr>
          <w:p w14:paraId="4EC86D5C">
            <w:pPr>
              <w:widowControl w:val="0"/>
              <w:snapToGrid w:val="0"/>
              <w:jc w:val="center"/>
              <w:rPr>
                <w:rFonts w:ascii="Calibri" w:hAnsi="Calibri" w:eastAsia="新宋体"/>
                <w:color w:val="000000" w:themeColor="text1"/>
                <w:highlight w:val="none"/>
                <w14:textFill>
                  <w14:solidFill>
                    <w14:schemeClr w14:val="tx1"/>
                  </w14:solidFill>
                </w14:textFill>
              </w:rPr>
            </w:pPr>
          </w:p>
        </w:tc>
        <w:tc>
          <w:tcPr>
            <w:tcW w:w="1007" w:type="dxa"/>
            <w:vAlign w:val="center"/>
          </w:tcPr>
          <w:p w14:paraId="66945592">
            <w:pPr>
              <w:widowControl w:val="0"/>
              <w:snapToGrid w:val="0"/>
              <w:jc w:val="left"/>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灯光控台</w:t>
            </w:r>
          </w:p>
        </w:tc>
        <w:tc>
          <w:tcPr>
            <w:tcW w:w="5346" w:type="dxa"/>
            <w:vAlign w:val="center"/>
          </w:tcPr>
          <w:p w14:paraId="07B32209">
            <w:pPr>
              <w:widowControl w:val="0"/>
              <w:snapToGrid w:val="0"/>
              <w:jc w:val="left"/>
              <w:rPr>
                <w:rFonts w:ascii="Calibri" w:hAnsi="Calibri" w:eastAsia="新宋体"/>
                <w:color w:val="000000" w:themeColor="text1"/>
                <w:highlight w:val="none"/>
                <w14:textFill>
                  <w14:solidFill>
                    <w14:schemeClr w14:val="tx1"/>
                  </w14:solidFill>
                </w14:textFill>
              </w:rPr>
            </w:pPr>
            <w:r>
              <w:rPr>
                <w:rStyle w:val="37"/>
                <w:rFonts w:ascii="Calibri" w:hAnsi="Calibri" w:eastAsia="新宋体"/>
                <w:b w:val="0"/>
                <w:color w:val="000000" w:themeColor="text1"/>
                <w:highlight w:val="none"/>
                <w:shd w:val="clear" w:color="auto" w:fill="FFFFFF"/>
                <w14:textFill>
                  <w14:solidFill>
                    <w14:schemeClr w14:val="tx1"/>
                  </w14:solidFill>
                </w14:textFill>
              </w:rPr>
              <w:t>操作系统：</w:t>
            </w:r>
            <w:r>
              <w:rPr>
                <w:rFonts w:ascii="Calibri" w:hAnsi="Calibri" w:eastAsia="新宋体"/>
                <w:color w:val="000000" w:themeColor="text1"/>
                <w:highlight w:val="none"/>
                <w:shd w:val="clear" w:color="auto" w:fill="FFFFFF"/>
                <w14:textFill>
                  <w14:solidFill>
                    <w14:schemeClr w14:val="tx1"/>
                  </w14:solidFill>
                </w14:textFill>
              </w:rPr>
              <w:t>Linux</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DMX输出/输入：</w:t>
            </w:r>
            <w:r>
              <w:rPr>
                <w:rFonts w:ascii="Calibri" w:hAnsi="Calibri" w:eastAsia="新宋体"/>
                <w:color w:val="000000" w:themeColor="text1"/>
                <w:highlight w:val="none"/>
                <w:shd w:val="clear" w:color="auto" w:fill="FFFFFF"/>
                <w14:textFill>
                  <w14:solidFill>
                    <w14:schemeClr w14:val="tx1"/>
                  </w14:solidFill>
                </w14:textFill>
              </w:rPr>
              <w:t>7个</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触摸屏：</w:t>
            </w:r>
            <w:r>
              <w:rPr>
                <w:rFonts w:ascii="Calibri" w:hAnsi="Calibri" w:eastAsia="新宋体"/>
                <w:color w:val="000000" w:themeColor="text1"/>
                <w:highlight w:val="none"/>
                <w:shd w:val="clear" w:color="auto" w:fill="FFFFFF"/>
                <w14:textFill>
                  <w14:solidFill>
                    <w14:schemeClr w14:val="tx1"/>
                  </w14:solidFill>
                </w14:textFill>
              </w:rPr>
              <w:t>2个15英寸工业触摸屏（支持电动升降）+ 1个9英寸工业触摸屏</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电动推杆：</w:t>
            </w:r>
            <w:r>
              <w:rPr>
                <w:rFonts w:ascii="Calibri" w:hAnsi="Calibri" w:eastAsia="新宋体"/>
                <w:color w:val="000000" w:themeColor="text1"/>
                <w:highlight w:val="none"/>
                <w:shd w:val="clear" w:color="auto" w:fill="FFFFFF"/>
                <w14:textFill>
                  <w14:solidFill>
                    <w14:schemeClr w14:val="tx1"/>
                  </w14:solidFill>
                </w14:textFill>
              </w:rPr>
              <w:t>15个高精度60mm电动推杆（带RGB背光可调）</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A/B场电动推杆：</w:t>
            </w:r>
            <w:r>
              <w:rPr>
                <w:rFonts w:ascii="Calibri" w:hAnsi="Calibri" w:eastAsia="新宋体"/>
                <w:color w:val="000000" w:themeColor="text1"/>
                <w:highlight w:val="none"/>
                <w:shd w:val="clear" w:color="auto" w:fill="FFFFFF"/>
                <w14:textFill>
                  <w14:solidFill>
                    <w14:schemeClr w14:val="tx1"/>
                  </w14:solidFill>
                </w14:textFill>
              </w:rPr>
              <w:t>2个高精度100mm电动推杆（带RGB背光可调）</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主控电动推杆：</w:t>
            </w:r>
            <w:r>
              <w:rPr>
                <w:rFonts w:ascii="Calibri" w:hAnsi="Calibri" w:eastAsia="新宋体"/>
                <w:color w:val="000000" w:themeColor="text1"/>
                <w:highlight w:val="none"/>
                <w:shd w:val="clear" w:color="auto" w:fill="FFFFFF"/>
                <w14:textFill>
                  <w14:solidFill>
                    <w14:schemeClr w14:val="tx1"/>
                  </w14:solidFill>
                </w14:textFill>
              </w:rPr>
              <w:t>1个60mm电动推杆（带RGB背光）</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耐磨编码器：</w:t>
            </w:r>
            <w:r>
              <w:rPr>
                <w:rFonts w:ascii="Calibri" w:hAnsi="Calibri" w:eastAsia="新宋体"/>
                <w:color w:val="000000" w:themeColor="text1"/>
                <w:highlight w:val="none"/>
                <w:shd w:val="clear" w:color="auto" w:fill="FFFFFF"/>
                <w14:textFill>
                  <w14:solidFill>
                    <w14:schemeClr w14:val="tx1"/>
                  </w14:solidFill>
                </w14:textFill>
              </w:rPr>
              <w:t>6个（支持PUSH操作，带RGB背光）</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高灵敏轨迹球：</w:t>
            </w:r>
            <w:r>
              <w:rPr>
                <w:rFonts w:ascii="Calibri" w:hAnsi="Calibri" w:eastAsia="新宋体"/>
                <w:color w:val="000000" w:themeColor="text1"/>
                <w:highlight w:val="none"/>
                <w:shd w:val="clear" w:color="auto" w:fill="FFFFFF"/>
                <w14:textFill>
                  <w14:solidFill>
                    <w14:schemeClr w14:val="tx1"/>
                  </w14:solidFill>
                </w14:textFill>
              </w:rPr>
              <w:t>1个</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高精度调光轮：</w:t>
            </w:r>
            <w:r>
              <w:rPr>
                <w:rFonts w:ascii="Calibri" w:hAnsi="Calibri" w:eastAsia="新宋体"/>
                <w:color w:val="000000" w:themeColor="text1"/>
                <w:highlight w:val="none"/>
                <w:shd w:val="clear" w:color="auto" w:fill="FFFFFF"/>
                <w14:textFill>
                  <w14:solidFill>
                    <w14:schemeClr w14:val="tx1"/>
                  </w14:solidFill>
                </w14:textFill>
              </w:rPr>
              <w:t>1个</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千兆以太网口：</w:t>
            </w:r>
            <w:r>
              <w:rPr>
                <w:rFonts w:ascii="Calibri" w:hAnsi="Calibri" w:eastAsia="新宋体"/>
                <w:color w:val="000000" w:themeColor="text1"/>
                <w:highlight w:val="none"/>
                <w:shd w:val="clear" w:color="auto" w:fill="FFFFFF"/>
                <w14:textFill>
                  <w14:solidFill>
                    <w14:schemeClr w14:val="tx1"/>
                  </w14:solidFill>
                </w14:textFill>
              </w:rPr>
              <w:t>2个</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USB口：</w:t>
            </w:r>
            <w:r>
              <w:rPr>
                <w:rFonts w:ascii="Calibri" w:hAnsi="Calibri" w:eastAsia="新宋体"/>
                <w:color w:val="000000" w:themeColor="text1"/>
                <w:highlight w:val="none"/>
                <w:shd w:val="clear" w:color="auto" w:fill="FFFFFF"/>
                <w14:textFill>
                  <w14:solidFill>
                    <w14:schemeClr w14:val="tx1"/>
                  </w14:solidFill>
                </w14:textFill>
              </w:rPr>
              <w:t>4个</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LED鹅颈灯插口：</w:t>
            </w:r>
            <w:r>
              <w:rPr>
                <w:rFonts w:ascii="Calibri" w:hAnsi="Calibri" w:eastAsia="新宋体"/>
                <w:color w:val="000000" w:themeColor="text1"/>
                <w:highlight w:val="none"/>
                <w:shd w:val="clear" w:color="auto" w:fill="FFFFFF"/>
                <w14:textFill>
                  <w14:solidFill>
                    <w14:schemeClr w14:val="tx1"/>
                  </w14:solidFill>
                </w14:textFill>
              </w:rPr>
              <w:t>3个</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电源：</w:t>
            </w:r>
            <w:r>
              <w:rPr>
                <w:rFonts w:ascii="Calibri" w:hAnsi="Calibri" w:eastAsia="新宋体"/>
                <w:color w:val="000000" w:themeColor="text1"/>
                <w:highlight w:val="none"/>
                <w:shd w:val="clear" w:color="auto" w:fill="FFFFFF"/>
                <w14:textFill>
                  <w14:solidFill>
                    <w14:schemeClr w14:val="tx1"/>
                  </w14:solidFill>
                </w14:textFill>
              </w:rPr>
              <w:t>AC 90V～140V</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键盘抽屉：</w:t>
            </w:r>
            <w:r>
              <w:rPr>
                <w:rFonts w:ascii="Calibri" w:hAnsi="Calibri" w:eastAsia="新宋体"/>
                <w:color w:val="000000" w:themeColor="text1"/>
                <w:highlight w:val="none"/>
                <w:shd w:val="clear" w:color="auto" w:fill="FFFFFF"/>
                <w14:textFill>
                  <w14:solidFill>
                    <w14:schemeClr w14:val="tx1"/>
                  </w14:solidFill>
                </w14:textFill>
              </w:rPr>
              <w:t>2个（内置）</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通讯接口：</w:t>
            </w:r>
            <w:r>
              <w:rPr>
                <w:rFonts w:ascii="Calibri" w:hAnsi="Calibri" w:eastAsia="新宋体"/>
                <w:color w:val="000000" w:themeColor="text1"/>
                <w:highlight w:val="none"/>
                <w:shd w:val="clear" w:color="auto" w:fill="FFFFFF"/>
                <w14:textFill>
                  <w14:solidFill>
                    <w14:schemeClr w14:val="tx1"/>
                  </w14:solidFill>
                </w14:textFill>
              </w:rPr>
              <w:t>支持LTC/SMPTE/MIDI</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环境适应性：</w:t>
            </w:r>
            <w:r>
              <w:rPr>
                <w:rFonts w:ascii="Calibri" w:hAnsi="Calibri" w:eastAsia="新宋体"/>
                <w:color w:val="000000" w:themeColor="text1"/>
                <w:highlight w:val="none"/>
                <w:shd w:val="clear" w:color="auto" w:fill="FFFFFF"/>
                <w14:textFill>
                  <w14:solidFill>
                    <w14:schemeClr w14:val="tx1"/>
                  </w14:solidFill>
                </w14:textFill>
              </w:rPr>
              <w:t>高温60℃、低温-30℃，各持续24h试验后能正常工作</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物理尺寸：</w:t>
            </w:r>
            <w:r>
              <w:rPr>
                <w:rFonts w:ascii="Calibri" w:hAnsi="Calibri" w:eastAsia="新宋体"/>
                <w:color w:val="000000" w:themeColor="text1"/>
                <w:highlight w:val="none"/>
                <w:shd w:val="clear" w:color="auto" w:fill="FFFFFF"/>
                <w14:textFill>
                  <w14:solidFill>
                    <w14:schemeClr w14:val="tx1"/>
                  </w14:solidFill>
                </w14:textFill>
              </w:rPr>
              <w:t>986mm × 658.9mm × 217.4mm</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净重：</w:t>
            </w:r>
            <w:r>
              <w:rPr>
                <w:rFonts w:ascii="Calibri" w:hAnsi="Calibri" w:eastAsia="新宋体"/>
                <w:color w:val="000000" w:themeColor="text1"/>
                <w:highlight w:val="none"/>
                <w:shd w:val="clear" w:color="auto" w:fill="FFFFFF"/>
                <w14:textFill>
                  <w14:solidFill>
                    <w14:schemeClr w14:val="tx1"/>
                  </w14:solidFill>
                </w14:textFill>
              </w:rPr>
              <w:t>50.1kg</w:t>
            </w:r>
          </w:p>
        </w:tc>
        <w:tc>
          <w:tcPr>
            <w:tcW w:w="788" w:type="dxa"/>
            <w:vAlign w:val="center"/>
          </w:tcPr>
          <w:p w14:paraId="551CBAA3">
            <w:pPr>
              <w:widowControl w:val="0"/>
              <w:snapToGrid w:val="0"/>
              <w:jc w:val="left"/>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1</w:t>
            </w:r>
          </w:p>
        </w:tc>
        <w:tc>
          <w:tcPr>
            <w:tcW w:w="600" w:type="dxa"/>
            <w:vAlign w:val="center"/>
          </w:tcPr>
          <w:p w14:paraId="0A9DE92A">
            <w:pPr>
              <w:widowControl w:val="0"/>
              <w:snapToGrid w:val="0"/>
              <w:jc w:val="center"/>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台</w:t>
            </w:r>
          </w:p>
        </w:tc>
      </w:tr>
      <w:tr w14:paraId="7CC5201B">
        <w:tblPrEx>
          <w:tblBorders>
            <w:top w:val="single" w:color="080F17" w:sz="6" w:space="0"/>
            <w:left w:val="single" w:color="080F17" w:sz="6" w:space="0"/>
            <w:bottom w:val="single" w:color="080F17" w:sz="6" w:space="0"/>
            <w:right w:val="single" w:color="080F17" w:sz="6" w:space="0"/>
            <w:insideH w:val="single" w:color="080F17" w:sz="6" w:space="0"/>
            <w:insideV w:val="single" w:color="080F17" w:sz="6" w:space="0"/>
          </w:tblBorders>
          <w:tblCellMar>
            <w:top w:w="30" w:type="dxa"/>
            <w:left w:w="180" w:type="dxa"/>
            <w:bottom w:w="30" w:type="dxa"/>
            <w:right w:w="180" w:type="dxa"/>
          </w:tblCellMar>
        </w:tblPrEx>
        <w:trPr>
          <w:jc w:val="center"/>
        </w:trPr>
        <w:tc>
          <w:tcPr>
            <w:tcW w:w="443" w:type="dxa"/>
            <w:vMerge w:val="continue"/>
            <w:vAlign w:val="center"/>
          </w:tcPr>
          <w:p w14:paraId="27AB42C3">
            <w:pPr>
              <w:widowControl w:val="0"/>
              <w:snapToGrid w:val="0"/>
              <w:jc w:val="center"/>
              <w:rPr>
                <w:rFonts w:ascii="Calibri" w:hAnsi="Calibri" w:eastAsia="新宋体"/>
                <w:color w:val="000000" w:themeColor="text1"/>
                <w:highlight w:val="none"/>
                <w14:textFill>
                  <w14:solidFill>
                    <w14:schemeClr w14:val="tx1"/>
                  </w14:solidFill>
                </w14:textFill>
              </w:rPr>
            </w:pPr>
          </w:p>
        </w:tc>
        <w:tc>
          <w:tcPr>
            <w:tcW w:w="900" w:type="dxa"/>
            <w:vMerge w:val="restart"/>
            <w:vAlign w:val="center"/>
          </w:tcPr>
          <w:p w14:paraId="4E77DC0C">
            <w:pPr>
              <w:widowControl w:val="0"/>
              <w:snapToGrid w:val="0"/>
              <w:jc w:val="center"/>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特效设备</w:t>
            </w:r>
          </w:p>
        </w:tc>
        <w:tc>
          <w:tcPr>
            <w:tcW w:w="964" w:type="dxa"/>
            <w:vAlign w:val="center"/>
          </w:tcPr>
          <w:p w14:paraId="415AB737">
            <w:pPr>
              <w:widowControl w:val="0"/>
              <w:snapToGrid w:val="0"/>
              <w:jc w:val="center"/>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特效设备</w:t>
            </w:r>
          </w:p>
        </w:tc>
        <w:tc>
          <w:tcPr>
            <w:tcW w:w="1007" w:type="dxa"/>
            <w:vAlign w:val="center"/>
          </w:tcPr>
          <w:p w14:paraId="10C9C99E">
            <w:pPr>
              <w:widowControl w:val="0"/>
              <w:snapToGrid w:val="0"/>
              <w:jc w:val="left"/>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大型烟雾机</w:t>
            </w:r>
          </w:p>
        </w:tc>
        <w:tc>
          <w:tcPr>
            <w:tcW w:w="5346" w:type="dxa"/>
            <w:vAlign w:val="center"/>
          </w:tcPr>
          <w:p w14:paraId="6A0A64D9">
            <w:pPr>
              <w:widowControl w:val="0"/>
              <w:snapToGrid w:val="0"/>
              <w:jc w:val="left"/>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shd w:val="clear" w:color="auto" w:fill="FFFFFF"/>
                <w14:textFill>
                  <w14:solidFill>
                    <w14:schemeClr w14:val="tx1"/>
                  </w14:solidFill>
                </w14:textFill>
              </w:rPr>
              <w:t>烟雾输出量≥30000立方英尺/分钟，具备DMX控制，定时和定量输出，油桶容量≥5L，具备无线遥控功能。</w:t>
            </w:r>
          </w:p>
        </w:tc>
        <w:tc>
          <w:tcPr>
            <w:tcW w:w="788" w:type="dxa"/>
            <w:vAlign w:val="center"/>
          </w:tcPr>
          <w:p w14:paraId="378FF212">
            <w:pPr>
              <w:widowControl w:val="0"/>
              <w:snapToGrid w:val="0"/>
              <w:jc w:val="left"/>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4</w:t>
            </w:r>
          </w:p>
        </w:tc>
        <w:tc>
          <w:tcPr>
            <w:tcW w:w="600" w:type="dxa"/>
            <w:vAlign w:val="center"/>
          </w:tcPr>
          <w:p w14:paraId="6B008035">
            <w:pPr>
              <w:widowControl w:val="0"/>
              <w:snapToGrid w:val="0"/>
              <w:jc w:val="center"/>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台</w:t>
            </w:r>
          </w:p>
        </w:tc>
      </w:tr>
      <w:tr w14:paraId="79B0445D">
        <w:tblPrEx>
          <w:tblBorders>
            <w:top w:val="single" w:color="080F17" w:sz="6" w:space="0"/>
            <w:left w:val="single" w:color="080F17" w:sz="6" w:space="0"/>
            <w:bottom w:val="single" w:color="080F17" w:sz="6" w:space="0"/>
            <w:right w:val="single" w:color="080F17" w:sz="6" w:space="0"/>
            <w:insideH w:val="single" w:color="080F17" w:sz="6" w:space="0"/>
            <w:insideV w:val="single" w:color="080F17" w:sz="6" w:space="0"/>
          </w:tblBorders>
          <w:tblCellMar>
            <w:top w:w="30" w:type="dxa"/>
            <w:left w:w="180" w:type="dxa"/>
            <w:bottom w:w="30" w:type="dxa"/>
            <w:right w:w="180" w:type="dxa"/>
          </w:tblCellMar>
        </w:tblPrEx>
        <w:trPr>
          <w:trHeight w:val="1189" w:hRule="atLeast"/>
          <w:jc w:val="center"/>
        </w:trPr>
        <w:tc>
          <w:tcPr>
            <w:tcW w:w="443" w:type="dxa"/>
            <w:vMerge w:val="continue"/>
            <w:vAlign w:val="center"/>
          </w:tcPr>
          <w:p w14:paraId="063C5730">
            <w:pPr>
              <w:widowControl w:val="0"/>
              <w:snapToGrid w:val="0"/>
              <w:jc w:val="center"/>
              <w:rPr>
                <w:rFonts w:ascii="Calibri" w:hAnsi="Calibri" w:eastAsia="新宋体"/>
                <w:color w:val="000000" w:themeColor="text1"/>
                <w:highlight w:val="none"/>
                <w14:textFill>
                  <w14:solidFill>
                    <w14:schemeClr w14:val="tx1"/>
                  </w14:solidFill>
                </w14:textFill>
              </w:rPr>
            </w:pPr>
          </w:p>
        </w:tc>
        <w:tc>
          <w:tcPr>
            <w:tcW w:w="900" w:type="dxa"/>
            <w:vMerge w:val="continue"/>
            <w:vAlign w:val="center"/>
          </w:tcPr>
          <w:p w14:paraId="3362AB10">
            <w:pPr>
              <w:widowControl w:val="0"/>
              <w:snapToGrid w:val="0"/>
              <w:jc w:val="center"/>
              <w:rPr>
                <w:rFonts w:ascii="Calibri" w:hAnsi="Calibri" w:eastAsia="新宋体"/>
                <w:color w:val="000000" w:themeColor="text1"/>
                <w:highlight w:val="none"/>
                <w14:textFill>
                  <w14:solidFill>
                    <w14:schemeClr w14:val="tx1"/>
                  </w14:solidFill>
                </w14:textFill>
              </w:rPr>
            </w:pPr>
          </w:p>
        </w:tc>
        <w:tc>
          <w:tcPr>
            <w:tcW w:w="964" w:type="dxa"/>
            <w:vAlign w:val="center"/>
          </w:tcPr>
          <w:p w14:paraId="19113EB1">
            <w:pPr>
              <w:widowControl w:val="0"/>
              <w:snapToGrid w:val="0"/>
              <w:jc w:val="center"/>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特效设备</w:t>
            </w:r>
          </w:p>
        </w:tc>
        <w:tc>
          <w:tcPr>
            <w:tcW w:w="1007" w:type="dxa"/>
            <w:vAlign w:val="center"/>
          </w:tcPr>
          <w:p w14:paraId="425FD990">
            <w:pPr>
              <w:widowControl w:val="0"/>
              <w:jc w:val="left"/>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星火机</w:t>
            </w:r>
          </w:p>
        </w:tc>
        <w:tc>
          <w:tcPr>
            <w:tcW w:w="5346" w:type="dxa"/>
            <w:vAlign w:val="center"/>
          </w:tcPr>
          <w:p w14:paraId="20217D2D">
            <w:pPr>
              <w:widowControl w:val="0"/>
              <w:spacing w:line="480" w:lineRule="exact"/>
              <w:jc w:val="left"/>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1、功率≥500W</w:t>
            </w:r>
          </w:p>
          <w:p w14:paraId="553B4C4A">
            <w:pPr>
              <w:widowControl w:val="0"/>
              <w:spacing w:line="480" w:lineRule="exact"/>
              <w:jc w:val="left"/>
              <w:rPr>
                <w:rFonts w:ascii="Calibri" w:hAnsi="Calibri" w:eastAsia="新宋体"/>
                <w:color w:val="000000" w:themeColor="text1"/>
                <w:highlight w:val="none"/>
                <w:shd w:val="clear" w:color="auto" w:fill="FFFFFF"/>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2、DMX控制</w:t>
            </w:r>
          </w:p>
        </w:tc>
        <w:tc>
          <w:tcPr>
            <w:tcW w:w="788" w:type="dxa"/>
            <w:vAlign w:val="center"/>
          </w:tcPr>
          <w:p w14:paraId="5BD93925">
            <w:pPr>
              <w:widowControl w:val="0"/>
              <w:jc w:val="center"/>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10</w:t>
            </w:r>
          </w:p>
        </w:tc>
        <w:tc>
          <w:tcPr>
            <w:tcW w:w="600" w:type="dxa"/>
            <w:vAlign w:val="center"/>
          </w:tcPr>
          <w:p w14:paraId="26E86989">
            <w:pPr>
              <w:widowControl w:val="0"/>
              <w:jc w:val="center"/>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台</w:t>
            </w:r>
          </w:p>
        </w:tc>
      </w:tr>
      <w:tr w14:paraId="17DC7D64">
        <w:tblPrEx>
          <w:tblBorders>
            <w:top w:val="single" w:color="080F17" w:sz="6" w:space="0"/>
            <w:left w:val="single" w:color="080F17" w:sz="6" w:space="0"/>
            <w:bottom w:val="single" w:color="080F17" w:sz="6" w:space="0"/>
            <w:right w:val="single" w:color="080F17" w:sz="6" w:space="0"/>
            <w:insideH w:val="single" w:color="080F17" w:sz="6" w:space="0"/>
            <w:insideV w:val="single" w:color="080F17" w:sz="6" w:space="0"/>
          </w:tblBorders>
          <w:tblCellMar>
            <w:top w:w="30" w:type="dxa"/>
            <w:left w:w="180" w:type="dxa"/>
            <w:bottom w:w="30" w:type="dxa"/>
            <w:right w:w="180" w:type="dxa"/>
          </w:tblCellMar>
        </w:tblPrEx>
        <w:trPr>
          <w:jc w:val="center"/>
        </w:trPr>
        <w:tc>
          <w:tcPr>
            <w:tcW w:w="443" w:type="dxa"/>
            <w:vMerge w:val="continue"/>
            <w:vAlign w:val="center"/>
          </w:tcPr>
          <w:p w14:paraId="0A28805B">
            <w:pPr>
              <w:widowControl w:val="0"/>
              <w:snapToGrid w:val="0"/>
              <w:jc w:val="center"/>
              <w:rPr>
                <w:rFonts w:ascii="Calibri" w:hAnsi="Calibri" w:eastAsia="新宋体"/>
                <w:color w:val="000000" w:themeColor="text1"/>
                <w:highlight w:val="none"/>
                <w14:textFill>
                  <w14:solidFill>
                    <w14:schemeClr w14:val="tx1"/>
                  </w14:solidFill>
                </w14:textFill>
              </w:rPr>
            </w:pPr>
          </w:p>
        </w:tc>
        <w:tc>
          <w:tcPr>
            <w:tcW w:w="900" w:type="dxa"/>
            <w:vMerge w:val="continue"/>
            <w:vAlign w:val="center"/>
          </w:tcPr>
          <w:p w14:paraId="0CA75089">
            <w:pPr>
              <w:widowControl w:val="0"/>
              <w:snapToGrid w:val="0"/>
              <w:jc w:val="center"/>
              <w:rPr>
                <w:rFonts w:ascii="Calibri" w:hAnsi="Calibri" w:eastAsia="新宋体"/>
                <w:color w:val="000000" w:themeColor="text1"/>
                <w:highlight w:val="none"/>
                <w14:textFill>
                  <w14:solidFill>
                    <w14:schemeClr w14:val="tx1"/>
                  </w14:solidFill>
                </w14:textFill>
              </w:rPr>
            </w:pPr>
          </w:p>
        </w:tc>
        <w:tc>
          <w:tcPr>
            <w:tcW w:w="964" w:type="dxa"/>
            <w:vAlign w:val="center"/>
          </w:tcPr>
          <w:p w14:paraId="5699BBF9">
            <w:pPr>
              <w:widowControl w:val="0"/>
              <w:snapToGrid w:val="0"/>
              <w:jc w:val="center"/>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特效设备</w:t>
            </w:r>
          </w:p>
        </w:tc>
        <w:tc>
          <w:tcPr>
            <w:tcW w:w="1007" w:type="dxa"/>
            <w:vAlign w:val="center"/>
          </w:tcPr>
          <w:p w14:paraId="13708309">
            <w:pPr>
              <w:widowControl w:val="0"/>
              <w:snapToGrid w:val="0"/>
              <w:jc w:val="left"/>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气柱烟机</w:t>
            </w:r>
          </w:p>
        </w:tc>
        <w:tc>
          <w:tcPr>
            <w:tcW w:w="5346" w:type="dxa"/>
            <w:vAlign w:val="center"/>
          </w:tcPr>
          <w:p w14:paraId="6309D4B0">
            <w:pPr>
              <w:widowControl w:val="0"/>
              <w:snapToGrid w:val="0"/>
              <w:jc w:val="left"/>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shd w:val="clear" w:color="auto" w:fill="FFFFFF"/>
                <w14:textFill>
                  <w14:solidFill>
                    <w14:schemeClr w14:val="tx1"/>
                  </w14:solidFill>
                </w14:textFill>
              </w:rPr>
              <w:t>喷射高度≥8米，具备DMX控制，可调节喷射间隔和持续时间，油桶容量≥2.5L，具备无线遥控。</w:t>
            </w:r>
          </w:p>
        </w:tc>
        <w:tc>
          <w:tcPr>
            <w:tcW w:w="788" w:type="dxa"/>
            <w:vAlign w:val="center"/>
          </w:tcPr>
          <w:p w14:paraId="578E91A0">
            <w:pPr>
              <w:widowControl w:val="0"/>
              <w:snapToGrid w:val="0"/>
              <w:jc w:val="left"/>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10</w:t>
            </w:r>
          </w:p>
        </w:tc>
        <w:tc>
          <w:tcPr>
            <w:tcW w:w="600" w:type="dxa"/>
            <w:vAlign w:val="center"/>
          </w:tcPr>
          <w:p w14:paraId="49517180">
            <w:pPr>
              <w:widowControl w:val="0"/>
              <w:snapToGrid w:val="0"/>
              <w:jc w:val="center"/>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台</w:t>
            </w:r>
          </w:p>
        </w:tc>
      </w:tr>
      <w:tr w14:paraId="7704AB75">
        <w:tblPrEx>
          <w:tblBorders>
            <w:top w:val="single" w:color="080F17" w:sz="6" w:space="0"/>
            <w:left w:val="single" w:color="080F17" w:sz="6" w:space="0"/>
            <w:bottom w:val="single" w:color="080F17" w:sz="6" w:space="0"/>
            <w:right w:val="single" w:color="080F17" w:sz="6" w:space="0"/>
            <w:insideH w:val="single" w:color="080F17" w:sz="6" w:space="0"/>
            <w:insideV w:val="single" w:color="080F17" w:sz="6" w:space="0"/>
          </w:tblBorders>
          <w:tblCellMar>
            <w:top w:w="30" w:type="dxa"/>
            <w:left w:w="180" w:type="dxa"/>
            <w:bottom w:w="30" w:type="dxa"/>
            <w:right w:w="180" w:type="dxa"/>
          </w:tblCellMar>
        </w:tblPrEx>
        <w:trPr>
          <w:jc w:val="center"/>
        </w:trPr>
        <w:tc>
          <w:tcPr>
            <w:tcW w:w="443" w:type="dxa"/>
            <w:vMerge w:val="restart"/>
            <w:vAlign w:val="center"/>
          </w:tcPr>
          <w:p w14:paraId="4BA553D0">
            <w:pPr>
              <w:widowControl w:val="0"/>
              <w:snapToGrid w:val="0"/>
              <w:jc w:val="center"/>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2</w:t>
            </w:r>
          </w:p>
        </w:tc>
        <w:tc>
          <w:tcPr>
            <w:tcW w:w="900" w:type="dxa"/>
            <w:vMerge w:val="restart"/>
            <w:vAlign w:val="center"/>
          </w:tcPr>
          <w:p w14:paraId="542B31C9">
            <w:pPr>
              <w:widowControl w:val="0"/>
              <w:snapToGrid w:val="0"/>
              <w:jc w:val="center"/>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音响设备</w:t>
            </w:r>
          </w:p>
        </w:tc>
        <w:tc>
          <w:tcPr>
            <w:tcW w:w="964" w:type="dxa"/>
            <w:vAlign w:val="center"/>
          </w:tcPr>
          <w:p w14:paraId="57019ADF">
            <w:pPr>
              <w:widowControl w:val="0"/>
              <w:snapToGrid w:val="0"/>
              <w:jc w:val="center"/>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舞台主扩声</w:t>
            </w:r>
          </w:p>
        </w:tc>
        <w:tc>
          <w:tcPr>
            <w:tcW w:w="1007" w:type="dxa"/>
            <w:vAlign w:val="center"/>
          </w:tcPr>
          <w:p w14:paraId="6C3979B6">
            <w:pPr>
              <w:widowControl w:val="0"/>
              <w:snapToGrid w:val="0"/>
              <w:jc w:val="left"/>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双十二寸线阵列全频音箱</w:t>
            </w:r>
          </w:p>
        </w:tc>
        <w:tc>
          <w:tcPr>
            <w:tcW w:w="5346" w:type="dxa"/>
            <w:vAlign w:val="center"/>
          </w:tcPr>
          <w:p w14:paraId="0BD54D85">
            <w:pPr>
              <w:widowControl w:val="0"/>
              <w:snapToGrid w:val="0"/>
              <w:jc w:val="left"/>
              <w:rPr>
                <w:rFonts w:ascii="Calibri" w:hAnsi="Calibri" w:eastAsia="新宋体"/>
                <w:color w:val="000000" w:themeColor="text1"/>
                <w:highlight w:val="none"/>
                <w14:textFill>
                  <w14:solidFill>
                    <w14:schemeClr w14:val="tx1"/>
                  </w14:solidFill>
                </w14:textFill>
              </w:rPr>
            </w:pPr>
            <w:r>
              <w:rPr>
                <w:rStyle w:val="37"/>
                <w:rFonts w:ascii="Calibri" w:hAnsi="Calibri" w:eastAsia="新宋体"/>
                <w:b w:val="0"/>
                <w:color w:val="000000" w:themeColor="text1"/>
                <w:highlight w:val="none"/>
                <w:shd w:val="clear" w:color="auto" w:fill="FFFFFF"/>
                <w14:textFill>
                  <w14:solidFill>
                    <w14:schemeClr w14:val="tx1"/>
                  </w14:solidFill>
                </w14:textFill>
              </w:rPr>
              <w:t>单元配置：</w:t>
            </w:r>
            <w:r>
              <w:rPr>
                <w:rFonts w:ascii="Calibri" w:hAnsi="Calibri" w:eastAsia="新宋体"/>
                <w:color w:val="000000" w:themeColor="text1"/>
                <w:highlight w:val="none"/>
                <w:shd w:val="clear" w:color="auto" w:fill="FFFFFF"/>
                <w14:textFill>
                  <w14:solidFill>
                    <w14:schemeClr w14:val="tx1"/>
                  </w14:solidFill>
                </w14:textFill>
              </w:rPr>
              <w:t>2×12"钕磁低音单元 + 1×10"钕磁中音单元 + 2×3"钕磁高音单元（或双44芯高音）</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频率响应：</w:t>
            </w:r>
            <w:r>
              <w:rPr>
                <w:rFonts w:ascii="Calibri" w:hAnsi="Calibri" w:eastAsia="新宋体"/>
                <w:color w:val="000000" w:themeColor="text1"/>
                <w:highlight w:val="none"/>
                <w:shd w:val="clear" w:color="auto" w:fill="FFFFFF"/>
                <w14:textFill>
                  <w14:solidFill>
                    <w14:schemeClr w14:val="tx1"/>
                  </w14:solidFill>
                </w14:textFill>
              </w:rPr>
              <w:t>50Hz - 18kHz（±3dB）</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灵敏度：</w:t>
            </w:r>
            <w:r>
              <w:rPr>
                <w:rFonts w:ascii="Calibri" w:hAnsi="Calibri" w:eastAsia="新宋体"/>
                <w:color w:val="000000" w:themeColor="text1"/>
                <w:highlight w:val="none"/>
                <w:shd w:val="clear" w:color="auto" w:fill="FFFFFF"/>
                <w14:textFill>
                  <w14:solidFill>
                    <w14:schemeClr w14:val="tx1"/>
                  </w14:solidFill>
                </w14:textFill>
              </w:rPr>
              <w:t>HF:113dB / MF:107dB / LF:100dB（@1W/1m）</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额定功率：</w:t>
            </w:r>
            <w:r>
              <w:rPr>
                <w:rFonts w:ascii="Calibri" w:hAnsi="Calibri" w:eastAsia="新宋体"/>
                <w:color w:val="000000" w:themeColor="text1"/>
                <w:highlight w:val="none"/>
                <w:shd w:val="clear" w:color="auto" w:fill="FFFFFF"/>
                <w14:textFill>
                  <w14:solidFill>
                    <w14:schemeClr w14:val="tx1"/>
                  </w14:solidFill>
                </w14:textFill>
              </w:rPr>
              <w:t>HF:170W / MF:180W / LF:850W（AES标准）</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最大声压级：</w:t>
            </w:r>
            <w:r>
              <w:rPr>
                <w:rFonts w:ascii="Calibri" w:hAnsi="Calibri" w:eastAsia="新宋体"/>
                <w:color w:val="000000" w:themeColor="text1"/>
                <w:highlight w:val="none"/>
                <w:shd w:val="clear" w:color="auto" w:fill="FFFFFF"/>
                <w14:textFill>
                  <w14:solidFill>
                    <w14:schemeClr w14:val="tx1"/>
                  </w14:solidFill>
                </w14:textFill>
              </w:rPr>
              <w:t>HF:139dB / MF:134dB / LF:132dB（峰值）</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覆盖角度：</w:t>
            </w:r>
            <w:r>
              <w:rPr>
                <w:rFonts w:ascii="Calibri" w:hAnsi="Calibri" w:eastAsia="新宋体"/>
                <w:color w:val="000000" w:themeColor="text1"/>
                <w:highlight w:val="none"/>
                <w:shd w:val="clear" w:color="auto" w:fill="FFFFFF"/>
                <w14:textFill>
                  <w14:solidFill>
                    <w14:schemeClr w14:val="tx1"/>
                  </w14:solidFill>
                </w14:textFill>
              </w:rPr>
              <w:t>水平90°-110°，垂直依据阵列角度可调</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阻抗：</w:t>
            </w:r>
            <w:r>
              <w:rPr>
                <w:rFonts w:ascii="Calibri" w:hAnsi="Calibri" w:eastAsia="新宋体"/>
                <w:color w:val="000000" w:themeColor="text1"/>
                <w:highlight w:val="none"/>
                <w:shd w:val="clear" w:color="auto" w:fill="FFFFFF"/>
                <w14:textFill>
                  <w14:solidFill>
                    <w14:schemeClr w14:val="tx1"/>
                  </w14:solidFill>
                </w14:textFill>
              </w:rPr>
              <w:t>16Ω（三分频独立驱动）</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箱体工艺：</w:t>
            </w:r>
            <w:r>
              <w:rPr>
                <w:rFonts w:ascii="Calibri" w:hAnsi="Calibri" w:eastAsia="新宋体"/>
                <w:color w:val="000000" w:themeColor="text1"/>
                <w:highlight w:val="none"/>
                <w:shd w:val="clear" w:color="auto" w:fill="FFFFFF"/>
                <w14:textFill>
                  <w14:solidFill>
                    <w14:schemeClr w14:val="tx1"/>
                  </w14:solidFill>
                </w14:textFill>
              </w:rPr>
              <w:t>桦木夹板，聚脲喷涂防水漆</w:t>
            </w:r>
          </w:p>
        </w:tc>
        <w:tc>
          <w:tcPr>
            <w:tcW w:w="788" w:type="dxa"/>
            <w:vAlign w:val="center"/>
          </w:tcPr>
          <w:p w14:paraId="0EBF535A">
            <w:pPr>
              <w:widowControl w:val="0"/>
              <w:snapToGrid w:val="0"/>
              <w:jc w:val="left"/>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16</w:t>
            </w:r>
          </w:p>
        </w:tc>
        <w:tc>
          <w:tcPr>
            <w:tcW w:w="600" w:type="dxa"/>
            <w:vAlign w:val="center"/>
          </w:tcPr>
          <w:p w14:paraId="1ABF07DA">
            <w:pPr>
              <w:widowControl w:val="0"/>
              <w:snapToGrid w:val="0"/>
              <w:jc w:val="center"/>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只</w:t>
            </w:r>
          </w:p>
        </w:tc>
      </w:tr>
      <w:tr w14:paraId="59334D85">
        <w:tblPrEx>
          <w:tblBorders>
            <w:top w:val="single" w:color="080F17" w:sz="6" w:space="0"/>
            <w:left w:val="single" w:color="080F17" w:sz="6" w:space="0"/>
            <w:bottom w:val="single" w:color="080F17" w:sz="6" w:space="0"/>
            <w:right w:val="single" w:color="080F17" w:sz="6" w:space="0"/>
            <w:insideH w:val="single" w:color="080F17" w:sz="6" w:space="0"/>
            <w:insideV w:val="single" w:color="080F17" w:sz="6" w:space="0"/>
          </w:tblBorders>
          <w:tblCellMar>
            <w:top w:w="30" w:type="dxa"/>
            <w:left w:w="180" w:type="dxa"/>
            <w:bottom w:w="30" w:type="dxa"/>
            <w:right w:w="180" w:type="dxa"/>
          </w:tblCellMar>
        </w:tblPrEx>
        <w:trPr>
          <w:jc w:val="center"/>
        </w:trPr>
        <w:tc>
          <w:tcPr>
            <w:tcW w:w="443" w:type="dxa"/>
            <w:vMerge w:val="continue"/>
            <w:vAlign w:val="center"/>
          </w:tcPr>
          <w:p w14:paraId="5135CA07">
            <w:pPr>
              <w:widowControl w:val="0"/>
              <w:snapToGrid w:val="0"/>
              <w:jc w:val="center"/>
              <w:rPr>
                <w:rFonts w:ascii="Calibri" w:hAnsi="Calibri" w:eastAsia="新宋体"/>
                <w:color w:val="000000" w:themeColor="text1"/>
                <w:highlight w:val="none"/>
                <w14:textFill>
                  <w14:solidFill>
                    <w14:schemeClr w14:val="tx1"/>
                  </w14:solidFill>
                </w14:textFill>
              </w:rPr>
            </w:pPr>
          </w:p>
        </w:tc>
        <w:tc>
          <w:tcPr>
            <w:tcW w:w="900" w:type="dxa"/>
            <w:vMerge w:val="continue"/>
            <w:vAlign w:val="center"/>
          </w:tcPr>
          <w:p w14:paraId="4110E232">
            <w:pPr>
              <w:widowControl w:val="0"/>
              <w:snapToGrid w:val="0"/>
              <w:jc w:val="center"/>
              <w:rPr>
                <w:rFonts w:ascii="Calibri" w:hAnsi="Calibri" w:eastAsia="新宋体"/>
                <w:color w:val="000000" w:themeColor="text1"/>
                <w:highlight w:val="none"/>
                <w14:textFill>
                  <w14:solidFill>
                    <w14:schemeClr w14:val="tx1"/>
                  </w14:solidFill>
                </w14:textFill>
              </w:rPr>
            </w:pPr>
          </w:p>
        </w:tc>
        <w:tc>
          <w:tcPr>
            <w:tcW w:w="964" w:type="dxa"/>
            <w:vAlign w:val="center"/>
          </w:tcPr>
          <w:p w14:paraId="59E67179">
            <w:pPr>
              <w:widowControl w:val="0"/>
              <w:snapToGrid w:val="0"/>
              <w:jc w:val="center"/>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舞台主扩声</w:t>
            </w:r>
          </w:p>
        </w:tc>
        <w:tc>
          <w:tcPr>
            <w:tcW w:w="1007" w:type="dxa"/>
            <w:vAlign w:val="center"/>
          </w:tcPr>
          <w:p w14:paraId="5B8676B9">
            <w:pPr>
              <w:widowControl w:val="0"/>
              <w:snapToGrid w:val="0"/>
              <w:jc w:val="left"/>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双十八寸超低音音箱</w:t>
            </w:r>
          </w:p>
        </w:tc>
        <w:tc>
          <w:tcPr>
            <w:tcW w:w="5346" w:type="dxa"/>
            <w:vAlign w:val="center"/>
          </w:tcPr>
          <w:p w14:paraId="6F36A5F7">
            <w:pPr>
              <w:widowControl w:val="0"/>
              <w:snapToGrid w:val="0"/>
              <w:jc w:val="left"/>
              <w:rPr>
                <w:rFonts w:ascii="Calibri" w:hAnsi="Calibri" w:eastAsia="新宋体"/>
                <w:color w:val="000000" w:themeColor="text1"/>
                <w:highlight w:val="none"/>
                <w14:textFill>
                  <w14:solidFill>
                    <w14:schemeClr w14:val="tx1"/>
                  </w14:solidFill>
                </w14:textFill>
              </w:rPr>
            </w:pPr>
            <w:r>
              <w:rPr>
                <w:rStyle w:val="37"/>
                <w:rFonts w:ascii="Calibri" w:hAnsi="Calibri" w:eastAsia="新宋体"/>
                <w:b w:val="0"/>
                <w:color w:val="000000" w:themeColor="text1"/>
                <w:highlight w:val="none"/>
                <w:shd w:val="clear" w:color="auto" w:fill="FFFFFF"/>
                <w14:textFill>
                  <w14:solidFill>
                    <w14:schemeClr w14:val="tx1"/>
                  </w14:solidFill>
                </w14:textFill>
              </w:rPr>
              <w:t>单元配置：</w:t>
            </w:r>
            <w:r>
              <w:rPr>
                <w:rFonts w:ascii="Calibri" w:hAnsi="Calibri" w:eastAsia="新宋体"/>
                <w:color w:val="000000" w:themeColor="text1"/>
                <w:highlight w:val="none"/>
                <w:shd w:val="clear" w:color="auto" w:fill="FFFFFF"/>
                <w14:textFill>
                  <w14:solidFill>
                    <w14:schemeClr w14:val="tx1"/>
                  </w14:solidFill>
                </w14:textFill>
              </w:rPr>
              <w:t>2×18"长冲程钕磁低音单元</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频率响应：</w:t>
            </w:r>
            <w:r>
              <w:rPr>
                <w:rFonts w:ascii="Calibri" w:hAnsi="Calibri" w:eastAsia="新宋体"/>
                <w:color w:val="000000" w:themeColor="text1"/>
                <w:highlight w:val="none"/>
                <w:shd w:val="clear" w:color="auto" w:fill="FFFFFF"/>
                <w14:textFill>
                  <w14:solidFill>
                    <w14:schemeClr w14:val="tx1"/>
                  </w14:solidFill>
                </w14:textFill>
              </w:rPr>
              <w:t>28Hz - 200Hz（±3dB）</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灵敏度：</w:t>
            </w:r>
            <w:r>
              <w:rPr>
                <w:rFonts w:ascii="Calibri" w:hAnsi="Calibri" w:eastAsia="新宋体"/>
                <w:color w:val="000000" w:themeColor="text1"/>
                <w:highlight w:val="none"/>
                <w:shd w:val="clear" w:color="auto" w:fill="FFFFFF"/>
                <w14:textFill>
                  <w14:solidFill>
                    <w14:schemeClr w14:val="tx1"/>
                  </w14:solidFill>
                </w14:textFill>
              </w:rPr>
              <w:t>105dB（@1W/1m）</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额定功率：</w:t>
            </w:r>
            <w:r>
              <w:rPr>
                <w:rFonts w:ascii="Calibri" w:hAnsi="Calibri" w:eastAsia="新宋体"/>
                <w:color w:val="000000" w:themeColor="text1"/>
                <w:highlight w:val="none"/>
                <w:shd w:val="clear" w:color="auto" w:fill="FFFFFF"/>
                <w14:textFill>
                  <w14:solidFill>
                    <w14:schemeClr w14:val="tx1"/>
                  </w14:solidFill>
                </w14:textFill>
              </w:rPr>
              <w:t>1600W - 2000W（AES标准）</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最大声压级：</w:t>
            </w:r>
            <w:r>
              <w:rPr>
                <w:rFonts w:ascii="Calibri" w:hAnsi="Calibri" w:eastAsia="新宋体"/>
                <w:color w:val="000000" w:themeColor="text1"/>
                <w:highlight w:val="none"/>
                <w:shd w:val="clear" w:color="auto" w:fill="FFFFFF"/>
                <w14:textFill>
                  <w14:solidFill>
                    <w14:schemeClr w14:val="tx1"/>
                  </w14:solidFill>
                </w14:textFill>
              </w:rPr>
              <w:t>144dB（峰值）</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阻抗：</w:t>
            </w:r>
            <w:r>
              <w:rPr>
                <w:rFonts w:ascii="Calibri" w:hAnsi="Calibri" w:eastAsia="新宋体"/>
                <w:color w:val="000000" w:themeColor="text1"/>
                <w:highlight w:val="none"/>
                <w:shd w:val="clear" w:color="auto" w:fill="FFFFFF"/>
                <w14:textFill>
                  <w14:solidFill>
                    <w14:schemeClr w14:val="tx1"/>
                  </w14:solidFill>
                </w14:textFill>
              </w:rPr>
              <w:t>4Ω 或 8Ω</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功能：</w:t>
            </w:r>
            <w:r>
              <w:rPr>
                <w:rFonts w:ascii="Calibri" w:hAnsi="Calibri" w:eastAsia="新宋体"/>
                <w:color w:val="000000" w:themeColor="text1"/>
                <w:highlight w:val="none"/>
                <w:shd w:val="clear" w:color="auto" w:fill="FFFFFF"/>
                <w14:textFill>
                  <w14:solidFill>
                    <w14:schemeClr w14:val="tx1"/>
                  </w14:solidFill>
                </w14:textFill>
              </w:rPr>
              <w:t>具备心形指向控制功能（可选），减少后方低频串扰</w:t>
            </w:r>
          </w:p>
        </w:tc>
        <w:tc>
          <w:tcPr>
            <w:tcW w:w="788" w:type="dxa"/>
            <w:vAlign w:val="center"/>
          </w:tcPr>
          <w:p w14:paraId="40F6E8E7">
            <w:pPr>
              <w:widowControl w:val="0"/>
              <w:snapToGrid w:val="0"/>
              <w:jc w:val="left"/>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8</w:t>
            </w:r>
          </w:p>
        </w:tc>
        <w:tc>
          <w:tcPr>
            <w:tcW w:w="600" w:type="dxa"/>
            <w:vAlign w:val="center"/>
          </w:tcPr>
          <w:p w14:paraId="61E921AA">
            <w:pPr>
              <w:widowControl w:val="0"/>
              <w:snapToGrid w:val="0"/>
              <w:jc w:val="center"/>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只</w:t>
            </w:r>
          </w:p>
        </w:tc>
      </w:tr>
      <w:tr w14:paraId="5F432B28">
        <w:tblPrEx>
          <w:tblBorders>
            <w:top w:val="single" w:color="080F17" w:sz="6" w:space="0"/>
            <w:left w:val="single" w:color="080F17" w:sz="6" w:space="0"/>
            <w:bottom w:val="single" w:color="080F17" w:sz="6" w:space="0"/>
            <w:right w:val="single" w:color="080F17" w:sz="6" w:space="0"/>
            <w:insideH w:val="single" w:color="080F17" w:sz="6" w:space="0"/>
            <w:insideV w:val="single" w:color="080F17" w:sz="6" w:space="0"/>
          </w:tblBorders>
          <w:tblCellMar>
            <w:top w:w="30" w:type="dxa"/>
            <w:left w:w="180" w:type="dxa"/>
            <w:bottom w:w="30" w:type="dxa"/>
            <w:right w:w="180" w:type="dxa"/>
          </w:tblCellMar>
        </w:tblPrEx>
        <w:trPr>
          <w:jc w:val="center"/>
        </w:trPr>
        <w:tc>
          <w:tcPr>
            <w:tcW w:w="443" w:type="dxa"/>
            <w:vMerge w:val="continue"/>
            <w:vAlign w:val="center"/>
          </w:tcPr>
          <w:p w14:paraId="2032AAA8">
            <w:pPr>
              <w:widowControl w:val="0"/>
              <w:snapToGrid w:val="0"/>
              <w:jc w:val="center"/>
              <w:rPr>
                <w:rFonts w:ascii="Calibri" w:hAnsi="Calibri" w:eastAsia="新宋体"/>
                <w:color w:val="000000" w:themeColor="text1"/>
                <w:highlight w:val="none"/>
                <w14:textFill>
                  <w14:solidFill>
                    <w14:schemeClr w14:val="tx1"/>
                  </w14:solidFill>
                </w14:textFill>
              </w:rPr>
            </w:pPr>
          </w:p>
        </w:tc>
        <w:tc>
          <w:tcPr>
            <w:tcW w:w="900" w:type="dxa"/>
            <w:vMerge w:val="continue"/>
            <w:vAlign w:val="center"/>
          </w:tcPr>
          <w:p w14:paraId="5C01C884">
            <w:pPr>
              <w:widowControl w:val="0"/>
              <w:snapToGrid w:val="0"/>
              <w:jc w:val="center"/>
              <w:rPr>
                <w:rFonts w:ascii="Calibri" w:hAnsi="Calibri" w:eastAsia="新宋体"/>
                <w:color w:val="000000" w:themeColor="text1"/>
                <w:highlight w:val="none"/>
                <w14:textFill>
                  <w14:solidFill>
                    <w14:schemeClr w14:val="tx1"/>
                  </w14:solidFill>
                </w14:textFill>
              </w:rPr>
            </w:pPr>
          </w:p>
        </w:tc>
        <w:tc>
          <w:tcPr>
            <w:tcW w:w="964" w:type="dxa"/>
            <w:vAlign w:val="center"/>
          </w:tcPr>
          <w:p w14:paraId="6E55F6E5">
            <w:pPr>
              <w:widowControl w:val="0"/>
              <w:snapToGrid w:val="0"/>
              <w:jc w:val="center"/>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舞台返听</w:t>
            </w:r>
          </w:p>
        </w:tc>
        <w:tc>
          <w:tcPr>
            <w:tcW w:w="1007" w:type="dxa"/>
            <w:vAlign w:val="center"/>
          </w:tcPr>
          <w:p w14:paraId="46E8BD11">
            <w:pPr>
              <w:widowControl w:val="0"/>
              <w:snapToGrid w:val="0"/>
              <w:jc w:val="left"/>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舞台返听</w:t>
            </w:r>
          </w:p>
        </w:tc>
        <w:tc>
          <w:tcPr>
            <w:tcW w:w="5346" w:type="dxa"/>
            <w:vAlign w:val="center"/>
          </w:tcPr>
          <w:p w14:paraId="76F8B397">
            <w:pPr>
              <w:widowControl w:val="0"/>
              <w:snapToGrid w:val="0"/>
              <w:jc w:val="left"/>
              <w:rPr>
                <w:rFonts w:ascii="Calibri" w:hAnsi="Calibri" w:eastAsia="新宋体"/>
                <w:color w:val="000000" w:themeColor="text1"/>
                <w:highlight w:val="none"/>
                <w14:textFill>
                  <w14:solidFill>
                    <w14:schemeClr w14:val="tx1"/>
                  </w14:solidFill>
                </w14:textFill>
              </w:rPr>
            </w:pPr>
            <w:r>
              <w:rPr>
                <w:rStyle w:val="37"/>
                <w:rFonts w:ascii="Calibri" w:hAnsi="Calibri" w:eastAsia="新宋体"/>
                <w:b w:val="0"/>
                <w:color w:val="000000" w:themeColor="text1"/>
                <w:highlight w:val="none"/>
                <w:shd w:val="clear" w:color="auto" w:fill="FFFFFF"/>
                <w14:textFill>
                  <w14:solidFill>
                    <w14:schemeClr w14:val="tx1"/>
                  </w14:solidFill>
                </w14:textFill>
              </w:rPr>
              <w:t>单元配置：</w:t>
            </w:r>
            <w:r>
              <w:rPr>
                <w:rFonts w:ascii="Calibri" w:hAnsi="Calibri" w:eastAsia="新宋体"/>
                <w:color w:val="000000" w:themeColor="text1"/>
                <w:highlight w:val="none"/>
                <w:shd w:val="clear" w:color="auto" w:fill="FFFFFF"/>
                <w14:textFill>
                  <w14:solidFill>
                    <w14:schemeClr w14:val="tx1"/>
                  </w14:solidFill>
                </w14:textFill>
              </w:rPr>
              <w:t>单12"钕磁低音 + 44芯钕磁高音</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频率响应：</w:t>
            </w:r>
            <w:r>
              <w:rPr>
                <w:rFonts w:ascii="Calibri" w:hAnsi="Calibri" w:eastAsia="新宋体"/>
                <w:color w:val="000000" w:themeColor="text1"/>
                <w:highlight w:val="none"/>
                <w:shd w:val="clear" w:color="auto" w:fill="FFFFFF"/>
                <w14:textFill>
                  <w14:solidFill>
                    <w14:schemeClr w14:val="tx1"/>
                  </w14:solidFill>
                </w14:textFill>
              </w:rPr>
              <w:t>60Hz - 18kHz</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额定功率：</w:t>
            </w:r>
            <w:r>
              <w:rPr>
                <w:rFonts w:ascii="Calibri" w:hAnsi="Calibri" w:eastAsia="新宋体"/>
                <w:color w:val="000000" w:themeColor="text1"/>
                <w:highlight w:val="none"/>
                <w:shd w:val="clear" w:color="auto" w:fill="FFFFFF"/>
                <w14:textFill>
                  <w14:solidFill>
                    <w14:schemeClr w14:val="tx1"/>
                  </w14:solidFill>
                </w14:textFill>
              </w:rPr>
              <w:t>500W（AES标准）</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最大声压级：</w:t>
            </w:r>
            <w:r>
              <w:rPr>
                <w:rFonts w:ascii="Calibri" w:hAnsi="Calibri" w:eastAsia="新宋体"/>
                <w:color w:val="000000" w:themeColor="text1"/>
                <w:highlight w:val="none"/>
                <w:shd w:val="clear" w:color="auto" w:fill="FFFFFF"/>
                <w14:textFill>
                  <w14:solidFill>
                    <w14:schemeClr w14:val="tx1"/>
                  </w14:solidFill>
                </w14:textFill>
              </w:rPr>
              <w:t>132dB（峰值）</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覆盖角度：</w:t>
            </w:r>
            <w:r>
              <w:rPr>
                <w:rFonts w:ascii="Calibri" w:hAnsi="Calibri" w:eastAsia="新宋体"/>
                <w:color w:val="000000" w:themeColor="text1"/>
                <w:highlight w:val="none"/>
                <w:shd w:val="clear" w:color="auto" w:fill="FFFFFF"/>
                <w14:textFill>
                  <w14:solidFill>
                    <w14:schemeClr w14:val="tx1"/>
                  </w14:solidFill>
                </w14:textFill>
              </w:rPr>
              <w:t>水平90°×垂直60°（地面返听仰角设计）</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防护等级：</w:t>
            </w:r>
            <w:r>
              <w:rPr>
                <w:rFonts w:ascii="Calibri" w:hAnsi="Calibri" w:eastAsia="新宋体"/>
                <w:color w:val="000000" w:themeColor="text1"/>
                <w:highlight w:val="none"/>
                <w:shd w:val="clear" w:color="auto" w:fill="FFFFFF"/>
                <w14:textFill>
                  <w14:solidFill>
                    <w14:schemeClr w14:val="tx1"/>
                  </w14:solidFill>
                </w14:textFill>
              </w:rPr>
              <w:t>网罩防雨设计，满足户外流动演出需求</w:t>
            </w:r>
          </w:p>
        </w:tc>
        <w:tc>
          <w:tcPr>
            <w:tcW w:w="788" w:type="dxa"/>
            <w:vAlign w:val="center"/>
          </w:tcPr>
          <w:p w14:paraId="3281A2A7">
            <w:pPr>
              <w:widowControl w:val="0"/>
              <w:snapToGrid w:val="0"/>
              <w:jc w:val="left"/>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8</w:t>
            </w:r>
          </w:p>
        </w:tc>
        <w:tc>
          <w:tcPr>
            <w:tcW w:w="600" w:type="dxa"/>
            <w:vAlign w:val="center"/>
          </w:tcPr>
          <w:p w14:paraId="52FC3EB9">
            <w:pPr>
              <w:widowControl w:val="0"/>
              <w:snapToGrid w:val="0"/>
              <w:jc w:val="center"/>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只</w:t>
            </w:r>
          </w:p>
        </w:tc>
      </w:tr>
      <w:tr w14:paraId="70EA1C5C">
        <w:tblPrEx>
          <w:tblBorders>
            <w:top w:val="single" w:color="080F17" w:sz="6" w:space="0"/>
            <w:left w:val="single" w:color="080F17" w:sz="6" w:space="0"/>
            <w:bottom w:val="single" w:color="080F17" w:sz="6" w:space="0"/>
            <w:right w:val="single" w:color="080F17" w:sz="6" w:space="0"/>
            <w:insideH w:val="single" w:color="080F17" w:sz="6" w:space="0"/>
            <w:insideV w:val="single" w:color="080F17" w:sz="6" w:space="0"/>
          </w:tblBorders>
          <w:tblCellMar>
            <w:top w:w="30" w:type="dxa"/>
            <w:left w:w="180" w:type="dxa"/>
            <w:bottom w:w="30" w:type="dxa"/>
            <w:right w:w="180" w:type="dxa"/>
          </w:tblCellMar>
        </w:tblPrEx>
        <w:trPr>
          <w:trHeight w:val="2425" w:hRule="atLeast"/>
          <w:jc w:val="center"/>
        </w:trPr>
        <w:tc>
          <w:tcPr>
            <w:tcW w:w="443" w:type="dxa"/>
            <w:vMerge w:val="continue"/>
            <w:vAlign w:val="center"/>
          </w:tcPr>
          <w:p w14:paraId="01276D73">
            <w:pPr>
              <w:widowControl w:val="0"/>
              <w:snapToGrid w:val="0"/>
              <w:jc w:val="center"/>
              <w:rPr>
                <w:rFonts w:ascii="Calibri" w:hAnsi="Calibri" w:eastAsia="新宋体"/>
                <w:color w:val="000000" w:themeColor="text1"/>
                <w:highlight w:val="none"/>
                <w14:textFill>
                  <w14:solidFill>
                    <w14:schemeClr w14:val="tx1"/>
                  </w14:solidFill>
                </w14:textFill>
              </w:rPr>
            </w:pPr>
          </w:p>
        </w:tc>
        <w:tc>
          <w:tcPr>
            <w:tcW w:w="900" w:type="dxa"/>
            <w:vMerge w:val="continue"/>
            <w:vAlign w:val="center"/>
          </w:tcPr>
          <w:p w14:paraId="0504B3DB">
            <w:pPr>
              <w:widowControl w:val="0"/>
              <w:snapToGrid w:val="0"/>
              <w:jc w:val="center"/>
              <w:rPr>
                <w:rFonts w:ascii="Calibri" w:hAnsi="Calibri" w:eastAsia="新宋体"/>
                <w:color w:val="000000" w:themeColor="text1"/>
                <w:highlight w:val="none"/>
                <w14:textFill>
                  <w14:solidFill>
                    <w14:schemeClr w14:val="tx1"/>
                  </w14:solidFill>
                </w14:textFill>
              </w:rPr>
            </w:pPr>
          </w:p>
        </w:tc>
        <w:tc>
          <w:tcPr>
            <w:tcW w:w="964" w:type="dxa"/>
            <w:vAlign w:val="center"/>
          </w:tcPr>
          <w:p w14:paraId="699FA13C">
            <w:pPr>
              <w:widowControl w:val="0"/>
              <w:snapToGrid w:val="0"/>
              <w:jc w:val="center"/>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前区补声</w:t>
            </w:r>
          </w:p>
        </w:tc>
        <w:tc>
          <w:tcPr>
            <w:tcW w:w="1007" w:type="dxa"/>
            <w:vAlign w:val="center"/>
          </w:tcPr>
          <w:p w14:paraId="570445F5">
            <w:pPr>
              <w:widowControl w:val="0"/>
              <w:snapToGrid w:val="0"/>
              <w:jc w:val="left"/>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台唇补声线阵音响</w:t>
            </w:r>
          </w:p>
        </w:tc>
        <w:tc>
          <w:tcPr>
            <w:tcW w:w="5346" w:type="dxa"/>
            <w:vAlign w:val="center"/>
          </w:tcPr>
          <w:p w14:paraId="295C3893">
            <w:pPr>
              <w:widowControl/>
              <w:spacing w:line="480" w:lineRule="exact"/>
              <w:jc w:val="left"/>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 xml:space="preserve">1.双10寸单元，音响内含高、中、低频单元，提供相应证明材料。                                                                                 </w:t>
            </w:r>
          </w:p>
          <w:p w14:paraId="2B27982E">
            <w:pPr>
              <w:widowControl/>
              <w:spacing w:line="480" w:lineRule="exact"/>
              <w:jc w:val="left"/>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2.声压级：≥136dB(continuous)/ 142dB(peak)</w:t>
            </w:r>
          </w:p>
          <w:p w14:paraId="00F54BE0">
            <w:pPr>
              <w:widowControl/>
              <w:spacing w:line="480" w:lineRule="exact"/>
              <w:jc w:val="left"/>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3.功率≥910W，尺寸≤312×600×461mm；                                            4.采用数字功放，功率≥4*2000W</w:t>
            </w:r>
          </w:p>
          <w:p w14:paraId="5B1C490D">
            <w:pPr>
              <w:pStyle w:val="29"/>
              <w:widowControl w:val="0"/>
              <w:spacing w:before="0" w:beforeAutospacing="0" w:after="0" w:afterAutospacing="0" w:line="480" w:lineRule="exact"/>
              <w:jc w:val="left"/>
              <w:rPr>
                <w:rFonts w:ascii="Calibri" w:hAnsi="Calibri" w:eastAsia="新宋体"/>
                <w:color w:val="000000" w:themeColor="text1"/>
                <w:sz w:val="21"/>
                <w:szCs w:val="21"/>
                <w:highlight w:val="none"/>
                <w14:textFill>
                  <w14:solidFill>
                    <w14:schemeClr w14:val="tx1"/>
                  </w14:solidFill>
                </w14:textFill>
              </w:rPr>
            </w:pPr>
            <w:r>
              <w:rPr>
                <w:rFonts w:ascii="Calibri" w:hAnsi="Calibri" w:eastAsia="新宋体"/>
                <w:color w:val="000000" w:themeColor="text1"/>
                <w:sz w:val="21"/>
                <w:szCs w:val="21"/>
                <w:highlight w:val="none"/>
                <w14:textFill>
                  <w14:solidFill>
                    <w14:schemeClr w14:val="tx1"/>
                  </w14:solidFill>
                </w14:textFill>
              </w:rPr>
              <w:t>5.中高音采用同轴设计</w:t>
            </w:r>
          </w:p>
          <w:p w14:paraId="5866EFDE">
            <w:pPr>
              <w:widowControl w:val="0"/>
              <w:snapToGrid w:val="0"/>
              <w:jc w:val="left"/>
              <w:rPr>
                <w:rStyle w:val="37"/>
                <w:rFonts w:ascii="Calibri" w:hAnsi="Calibri" w:eastAsia="新宋体"/>
                <w:b w:val="0"/>
                <w:color w:val="000000" w:themeColor="text1"/>
                <w:highlight w:val="none"/>
                <w:shd w:val="clear" w:color="auto" w:fill="FFFFFF"/>
                <w14:textFill>
                  <w14:solidFill>
                    <w14:schemeClr w14:val="tx1"/>
                  </w14:solidFill>
                </w14:textFill>
              </w:rPr>
            </w:pPr>
            <w:r>
              <w:rPr>
                <w:rFonts w:ascii="Calibri" w:hAnsi="Calibri" w:eastAsia="新宋体"/>
                <w:color w:val="000000" w:themeColor="text1"/>
                <w:kern w:val="2"/>
                <w:highlight w:val="none"/>
                <w14:textFill>
                  <w14:solidFill>
                    <w14:schemeClr w14:val="tx1"/>
                  </w14:solidFill>
                </w14:textFill>
              </w:rPr>
              <w:t>6.最大声压级125dB SPL</w:t>
            </w:r>
          </w:p>
        </w:tc>
        <w:tc>
          <w:tcPr>
            <w:tcW w:w="788" w:type="dxa"/>
            <w:vAlign w:val="center"/>
          </w:tcPr>
          <w:p w14:paraId="725DD983">
            <w:pPr>
              <w:widowControl w:val="0"/>
              <w:snapToGrid w:val="0"/>
              <w:jc w:val="left"/>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8</w:t>
            </w:r>
          </w:p>
        </w:tc>
        <w:tc>
          <w:tcPr>
            <w:tcW w:w="600" w:type="dxa"/>
            <w:vAlign w:val="center"/>
          </w:tcPr>
          <w:p w14:paraId="306B939C">
            <w:pPr>
              <w:widowControl w:val="0"/>
              <w:snapToGrid w:val="0"/>
              <w:jc w:val="center"/>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只</w:t>
            </w:r>
          </w:p>
        </w:tc>
      </w:tr>
      <w:tr w14:paraId="231EF106">
        <w:tblPrEx>
          <w:tblBorders>
            <w:top w:val="single" w:color="080F17" w:sz="6" w:space="0"/>
            <w:left w:val="single" w:color="080F17" w:sz="6" w:space="0"/>
            <w:bottom w:val="single" w:color="080F17" w:sz="6" w:space="0"/>
            <w:right w:val="single" w:color="080F17" w:sz="6" w:space="0"/>
            <w:insideH w:val="single" w:color="080F17" w:sz="6" w:space="0"/>
            <w:insideV w:val="single" w:color="080F17" w:sz="6" w:space="0"/>
          </w:tblBorders>
          <w:tblCellMar>
            <w:top w:w="30" w:type="dxa"/>
            <w:left w:w="180" w:type="dxa"/>
            <w:bottom w:w="30" w:type="dxa"/>
            <w:right w:w="180" w:type="dxa"/>
          </w:tblCellMar>
        </w:tblPrEx>
        <w:trPr>
          <w:trHeight w:val="1690" w:hRule="atLeast"/>
          <w:jc w:val="center"/>
        </w:trPr>
        <w:tc>
          <w:tcPr>
            <w:tcW w:w="443" w:type="dxa"/>
            <w:vMerge w:val="continue"/>
            <w:vAlign w:val="center"/>
          </w:tcPr>
          <w:p w14:paraId="1982ABD5">
            <w:pPr>
              <w:widowControl w:val="0"/>
              <w:snapToGrid w:val="0"/>
              <w:jc w:val="center"/>
              <w:rPr>
                <w:rFonts w:ascii="Calibri" w:hAnsi="Calibri" w:eastAsia="新宋体"/>
                <w:color w:val="000000" w:themeColor="text1"/>
                <w:highlight w:val="none"/>
                <w14:textFill>
                  <w14:solidFill>
                    <w14:schemeClr w14:val="tx1"/>
                  </w14:solidFill>
                </w14:textFill>
              </w:rPr>
            </w:pPr>
          </w:p>
        </w:tc>
        <w:tc>
          <w:tcPr>
            <w:tcW w:w="900" w:type="dxa"/>
            <w:vMerge w:val="continue"/>
            <w:vAlign w:val="center"/>
          </w:tcPr>
          <w:p w14:paraId="3FB48209">
            <w:pPr>
              <w:widowControl w:val="0"/>
              <w:snapToGrid w:val="0"/>
              <w:jc w:val="center"/>
              <w:rPr>
                <w:rFonts w:ascii="Calibri" w:hAnsi="Calibri" w:eastAsia="新宋体"/>
                <w:color w:val="000000" w:themeColor="text1"/>
                <w:highlight w:val="none"/>
                <w14:textFill>
                  <w14:solidFill>
                    <w14:schemeClr w14:val="tx1"/>
                  </w14:solidFill>
                </w14:textFill>
              </w:rPr>
            </w:pPr>
          </w:p>
        </w:tc>
        <w:tc>
          <w:tcPr>
            <w:tcW w:w="964" w:type="dxa"/>
            <w:vAlign w:val="center"/>
          </w:tcPr>
          <w:p w14:paraId="68035DB9">
            <w:pPr>
              <w:widowControl w:val="0"/>
              <w:snapToGrid w:val="0"/>
              <w:jc w:val="center"/>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前区补声</w:t>
            </w:r>
          </w:p>
        </w:tc>
        <w:tc>
          <w:tcPr>
            <w:tcW w:w="1007" w:type="dxa"/>
            <w:vAlign w:val="center"/>
          </w:tcPr>
          <w:p w14:paraId="78792DB1">
            <w:pPr>
              <w:widowControl w:val="0"/>
              <w:snapToGrid w:val="0"/>
              <w:jc w:val="left"/>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台唇补声线阵音响</w:t>
            </w:r>
          </w:p>
        </w:tc>
        <w:tc>
          <w:tcPr>
            <w:tcW w:w="5346" w:type="dxa"/>
            <w:vAlign w:val="center"/>
          </w:tcPr>
          <w:p w14:paraId="761FF63C">
            <w:pPr>
              <w:widowControl/>
              <w:spacing w:line="480" w:lineRule="exact"/>
              <w:jc w:val="left"/>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1.喇叭单元≥18寸，提供相应证明材料</w:t>
            </w:r>
          </w:p>
          <w:p w14:paraId="7109B482">
            <w:pPr>
              <w:widowControl w:val="0"/>
              <w:snapToGrid w:val="0"/>
              <w:jc w:val="left"/>
              <w:rPr>
                <w:rFonts w:ascii="Calibri" w:hAnsi="Calibri" w:eastAsia="新宋体"/>
                <w:color w:val="000000" w:themeColor="text1"/>
                <w:kern w:val="2"/>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2.声压级≥131dB(continuous)/ 137dB(peak)；</w:t>
            </w:r>
          </w:p>
        </w:tc>
        <w:tc>
          <w:tcPr>
            <w:tcW w:w="788" w:type="dxa"/>
            <w:vAlign w:val="center"/>
          </w:tcPr>
          <w:p w14:paraId="32DC53A1">
            <w:pPr>
              <w:widowControl w:val="0"/>
              <w:snapToGrid w:val="0"/>
              <w:jc w:val="left"/>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4</w:t>
            </w:r>
          </w:p>
        </w:tc>
        <w:tc>
          <w:tcPr>
            <w:tcW w:w="600" w:type="dxa"/>
            <w:vAlign w:val="center"/>
          </w:tcPr>
          <w:p w14:paraId="750ACCF6">
            <w:pPr>
              <w:widowControl w:val="0"/>
              <w:snapToGrid w:val="0"/>
              <w:jc w:val="center"/>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只</w:t>
            </w:r>
          </w:p>
        </w:tc>
      </w:tr>
      <w:tr w14:paraId="61716EA9">
        <w:tblPrEx>
          <w:tblBorders>
            <w:top w:val="single" w:color="080F17" w:sz="6" w:space="0"/>
            <w:left w:val="single" w:color="080F17" w:sz="6" w:space="0"/>
            <w:bottom w:val="single" w:color="080F17" w:sz="6" w:space="0"/>
            <w:right w:val="single" w:color="080F17" w:sz="6" w:space="0"/>
            <w:insideH w:val="single" w:color="080F17" w:sz="6" w:space="0"/>
            <w:insideV w:val="single" w:color="080F17" w:sz="6" w:space="0"/>
          </w:tblBorders>
          <w:tblCellMar>
            <w:top w:w="30" w:type="dxa"/>
            <w:left w:w="180" w:type="dxa"/>
            <w:bottom w:w="30" w:type="dxa"/>
            <w:right w:w="180" w:type="dxa"/>
          </w:tblCellMar>
        </w:tblPrEx>
        <w:trPr>
          <w:jc w:val="center"/>
        </w:trPr>
        <w:tc>
          <w:tcPr>
            <w:tcW w:w="443" w:type="dxa"/>
            <w:vMerge w:val="continue"/>
            <w:vAlign w:val="center"/>
          </w:tcPr>
          <w:p w14:paraId="1043F72C">
            <w:pPr>
              <w:widowControl w:val="0"/>
              <w:snapToGrid w:val="0"/>
              <w:jc w:val="center"/>
              <w:rPr>
                <w:rFonts w:ascii="Calibri" w:hAnsi="Calibri" w:eastAsia="新宋体"/>
                <w:color w:val="000000" w:themeColor="text1"/>
                <w:highlight w:val="none"/>
                <w14:textFill>
                  <w14:solidFill>
                    <w14:schemeClr w14:val="tx1"/>
                  </w14:solidFill>
                </w14:textFill>
              </w:rPr>
            </w:pPr>
          </w:p>
        </w:tc>
        <w:tc>
          <w:tcPr>
            <w:tcW w:w="900" w:type="dxa"/>
            <w:vMerge w:val="continue"/>
            <w:vAlign w:val="center"/>
          </w:tcPr>
          <w:p w14:paraId="7D456665">
            <w:pPr>
              <w:widowControl w:val="0"/>
              <w:snapToGrid w:val="0"/>
              <w:jc w:val="center"/>
              <w:rPr>
                <w:rFonts w:ascii="Calibri" w:hAnsi="Calibri" w:eastAsia="新宋体"/>
                <w:color w:val="000000" w:themeColor="text1"/>
                <w:highlight w:val="none"/>
                <w14:textFill>
                  <w14:solidFill>
                    <w14:schemeClr w14:val="tx1"/>
                  </w14:solidFill>
                </w14:textFill>
              </w:rPr>
            </w:pPr>
          </w:p>
        </w:tc>
        <w:tc>
          <w:tcPr>
            <w:tcW w:w="964" w:type="dxa"/>
            <w:vAlign w:val="center"/>
          </w:tcPr>
          <w:p w14:paraId="1E2D7DE5">
            <w:pPr>
              <w:widowControl w:val="0"/>
              <w:snapToGrid w:val="0"/>
              <w:jc w:val="center"/>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控制及话筒</w:t>
            </w:r>
          </w:p>
        </w:tc>
        <w:tc>
          <w:tcPr>
            <w:tcW w:w="1007" w:type="dxa"/>
            <w:vAlign w:val="center"/>
          </w:tcPr>
          <w:p w14:paraId="3057E441">
            <w:pPr>
              <w:widowControl w:val="0"/>
              <w:snapToGrid w:val="0"/>
              <w:jc w:val="left"/>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数字调音台（音响控台）</w:t>
            </w:r>
          </w:p>
        </w:tc>
        <w:tc>
          <w:tcPr>
            <w:tcW w:w="5346" w:type="dxa"/>
            <w:vAlign w:val="center"/>
          </w:tcPr>
          <w:p w14:paraId="3604093E">
            <w:pPr>
              <w:widowControl w:val="0"/>
              <w:snapToGrid w:val="0"/>
              <w:jc w:val="left"/>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shd w:val="clear" w:color="auto" w:fill="FFFFFF"/>
                <w14:textFill>
                  <w14:solidFill>
                    <w14:schemeClr w14:val="tx1"/>
                  </w14:solidFill>
                </w14:textFill>
              </w:rPr>
              <w:t>32路数字调音台，配音频接口箱。参数要求：≥32个输入通道，≥16个混音输出，≥8个DCA编组，7英寸以上触摸屏，支持Dante或MADI协议，具备多轨录音功能。</w:t>
            </w:r>
          </w:p>
        </w:tc>
        <w:tc>
          <w:tcPr>
            <w:tcW w:w="788" w:type="dxa"/>
            <w:vAlign w:val="center"/>
          </w:tcPr>
          <w:p w14:paraId="057FB087">
            <w:pPr>
              <w:widowControl w:val="0"/>
              <w:snapToGrid w:val="0"/>
              <w:jc w:val="left"/>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1</w:t>
            </w:r>
          </w:p>
        </w:tc>
        <w:tc>
          <w:tcPr>
            <w:tcW w:w="600" w:type="dxa"/>
            <w:vAlign w:val="center"/>
          </w:tcPr>
          <w:p w14:paraId="0CD106FE">
            <w:pPr>
              <w:widowControl w:val="0"/>
              <w:snapToGrid w:val="0"/>
              <w:jc w:val="center"/>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台</w:t>
            </w:r>
          </w:p>
        </w:tc>
      </w:tr>
      <w:tr w14:paraId="798609F4">
        <w:tblPrEx>
          <w:tblBorders>
            <w:top w:val="single" w:color="080F17" w:sz="6" w:space="0"/>
            <w:left w:val="single" w:color="080F17" w:sz="6" w:space="0"/>
            <w:bottom w:val="single" w:color="080F17" w:sz="6" w:space="0"/>
            <w:right w:val="single" w:color="080F17" w:sz="6" w:space="0"/>
            <w:insideH w:val="single" w:color="080F17" w:sz="6" w:space="0"/>
            <w:insideV w:val="single" w:color="080F17" w:sz="6" w:space="0"/>
          </w:tblBorders>
          <w:tblCellMar>
            <w:top w:w="30" w:type="dxa"/>
            <w:left w:w="180" w:type="dxa"/>
            <w:bottom w:w="30" w:type="dxa"/>
            <w:right w:w="180" w:type="dxa"/>
          </w:tblCellMar>
        </w:tblPrEx>
        <w:trPr>
          <w:jc w:val="center"/>
        </w:trPr>
        <w:tc>
          <w:tcPr>
            <w:tcW w:w="443" w:type="dxa"/>
            <w:vMerge w:val="continue"/>
            <w:vAlign w:val="center"/>
          </w:tcPr>
          <w:p w14:paraId="34966E5A">
            <w:pPr>
              <w:widowControl w:val="0"/>
              <w:snapToGrid w:val="0"/>
              <w:jc w:val="center"/>
              <w:rPr>
                <w:rFonts w:ascii="Calibri" w:hAnsi="Calibri" w:eastAsia="新宋体"/>
                <w:color w:val="000000" w:themeColor="text1"/>
                <w:highlight w:val="none"/>
                <w14:textFill>
                  <w14:solidFill>
                    <w14:schemeClr w14:val="tx1"/>
                  </w14:solidFill>
                </w14:textFill>
              </w:rPr>
            </w:pPr>
          </w:p>
        </w:tc>
        <w:tc>
          <w:tcPr>
            <w:tcW w:w="900" w:type="dxa"/>
            <w:vMerge w:val="continue"/>
            <w:vAlign w:val="center"/>
          </w:tcPr>
          <w:p w14:paraId="575E1457">
            <w:pPr>
              <w:widowControl w:val="0"/>
              <w:snapToGrid w:val="0"/>
              <w:jc w:val="center"/>
              <w:rPr>
                <w:rFonts w:ascii="Calibri" w:hAnsi="Calibri" w:eastAsia="新宋体"/>
                <w:color w:val="000000" w:themeColor="text1"/>
                <w:highlight w:val="none"/>
                <w14:textFill>
                  <w14:solidFill>
                    <w14:schemeClr w14:val="tx1"/>
                  </w14:solidFill>
                </w14:textFill>
              </w:rPr>
            </w:pPr>
          </w:p>
        </w:tc>
        <w:tc>
          <w:tcPr>
            <w:tcW w:w="964" w:type="dxa"/>
            <w:vAlign w:val="center"/>
          </w:tcPr>
          <w:p w14:paraId="1D2CA174">
            <w:pPr>
              <w:widowControl w:val="0"/>
              <w:snapToGrid w:val="0"/>
              <w:jc w:val="center"/>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控制及话筒</w:t>
            </w:r>
          </w:p>
        </w:tc>
        <w:tc>
          <w:tcPr>
            <w:tcW w:w="1007" w:type="dxa"/>
            <w:vAlign w:val="center"/>
          </w:tcPr>
          <w:p w14:paraId="342B25A4">
            <w:pPr>
              <w:widowControl w:val="0"/>
              <w:snapToGrid w:val="0"/>
              <w:jc w:val="left"/>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音频接口箱</w:t>
            </w:r>
          </w:p>
        </w:tc>
        <w:tc>
          <w:tcPr>
            <w:tcW w:w="5346" w:type="dxa"/>
            <w:vAlign w:val="center"/>
          </w:tcPr>
          <w:p w14:paraId="01C5A4D2">
            <w:pPr>
              <w:widowControl w:val="0"/>
              <w:snapToGrid w:val="0"/>
              <w:jc w:val="left"/>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shd w:val="clear" w:color="auto" w:fill="FFFFFF"/>
                <w14:textFill>
                  <w14:solidFill>
                    <w14:schemeClr w14:val="tx1"/>
                  </w14:solidFill>
                </w14:textFill>
              </w:rPr>
              <w:t>与调音台配套，≥32路输入，≥16路输出，支持Dante或MADI，具备冗余电源。</w:t>
            </w:r>
          </w:p>
        </w:tc>
        <w:tc>
          <w:tcPr>
            <w:tcW w:w="788" w:type="dxa"/>
            <w:vAlign w:val="center"/>
          </w:tcPr>
          <w:p w14:paraId="25DBE7EC">
            <w:pPr>
              <w:widowControl w:val="0"/>
              <w:snapToGrid w:val="0"/>
              <w:jc w:val="left"/>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1</w:t>
            </w:r>
          </w:p>
        </w:tc>
        <w:tc>
          <w:tcPr>
            <w:tcW w:w="600" w:type="dxa"/>
            <w:vAlign w:val="center"/>
          </w:tcPr>
          <w:p w14:paraId="1C2C666C">
            <w:pPr>
              <w:widowControl w:val="0"/>
              <w:snapToGrid w:val="0"/>
              <w:jc w:val="center"/>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台</w:t>
            </w:r>
          </w:p>
        </w:tc>
      </w:tr>
      <w:tr w14:paraId="7C188CE9">
        <w:tblPrEx>
          <w:tblBorders>
            <w:top w:val="single" w:color="080F17" w:sz="6" w:space="0"/>
            <w:left w:val="single" w:color="080F17" w:sz="6" w:space="0"/>
            <w:bottom w:val="single" w:color="080F17" w:sz="6" w:space="0"/>
            <w:right w:val="single" w:color="080F17" w:sz="6" w:space="0"/>
            <w:insideH w:val="single" w:color="080F17" w:sz="6" w:space="0"/>
            <w:insideV w:val="single" w:color="080F17" w:sz="6" w:space="0"/>
          </w:tblBorders>
          <w:tblCellMar>
            <w:top w:w="30" w:type="dxa"/>
            <w:left w:w="180" w:type="dxa"/>
            <w:bottom w:w="30" w:type="dxa"/>
            <w:right w:w="180" w:type="dxa"/>
          </w:tblCellMar>
        </w:tblPrEx>
        <w:trPr>
          <w:jc w:val="center"/>
        </w:trPr>
        <w:tc>
          <w:tcPr>
            <w:tcW w:w="443" w:type="dxa"/>
            <w:vMerge w:val="continue"/>
            <w:vAlign w:val="center"/>
          </w:tcPr>
          <w:p w14:paraId="0021F03C">
            <w:pPr>
              <w:widowControl w:val="0"/>
              <w:snapToGrid w:val="0"/>
              <w:jc w:val="center"/>
              <w:rPr>
                <w:rFonts w:ascii="Calibri" w:hAnsi="Calibri" w:eastAsia="新宋体"/>
                <w:color w:val="000000" w:themeColor="text1"/>
                <w:highlight w:val="none"/>
                <w14:textFill>
                  <w14:solidFill>
                    <w14:schemeClr w14:val="tx1"/>
                  </w14:solidFill>
                </w14:textFill>
              </w:rPr>
            </w:pPr>
          </w:p>
        </w:tc>
        <w:tc>
          <w:tcPr>
            <w:tcW w:w="900" w:type="dxa"/>
            <w:vMerge w:val="continue"/>
            <w:vAlign w:val="center"/>
          </w:tcPr>
          <w:p w14:paraId="3A7A2250">
            <w:pPr>
              <w:widowControl w:val="0"/>
              <w:snapToGrid w:val="0"/>
              <w:jc w:val="center"/>
              <w:rPr>
                <w:rFonts w:ascii="Calibri" w:hAnsi="Calibri" w:eastAsia="新宋体"/>
                <w:color w:val="000000" w:themeColor="text1"/>
                <w:highlight w:val="none"/>
                <w14:textFill>
                  <w14:solidFill>
                    <w14:schemeClr w14:val="tx1"/>
                  </w14:solidFill>
                </w14:textFill>
              </w:rPr>
            </w:pPr>
          </w:p>
        </w:tc>
        <w:tc>
          <w:tcPr>
            <w:tcW w:w="964" w:type="dxa"/>
            <w:vAlign w:val="center"/>
          </w:tcPr>
          <w:p w14:paraId="0990EE38">
            <w:pPr>
              <w:widowControl w:val="0"/>
              <w:snapToGrid w:val="0"/>
              <w:jc w:val="center"/>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控制及话筒</w:t>
            </w:r>
          </w:p>
        </w:tc>
        <w:tc>
          <w:tcPr>
            <w:tcW w:w="1007" w:type="dxa"/>
            <w:vAlign w:val="center"/>
          </w:tcPr>
          <w:p w14:paraId="364C1304">
            <w:pPr>
              <w:widowControl w:val="0"/>
              <w:snapToGrid w:val="0"/>
              <w:jc w:val="left"/>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无线话筒（手持）</w:t>
            </w:r>
          </w:p>
        </w:tc>
        <w:tc>
          <w:tcPr>
            <w:tcW w:w="5346" w:type="dxa"/>
            <w:vAlign w:val="center"/>
          </w:tcPr>
          <w:p w14:paraId="339665B6">
            <w:pPr>
              <w:widowControl w:val="0"/>
              <w:snapToGrid w:val="0"/>
              <w:jc w:val="left"/>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shd w:val="clear" w:color="auto" w:fill="FFFFFF"/>
                <w14:textFill>
                  <w14:solidFill>
                    <w14:schemeClr w14:val="tx1"/>
                  </w14:solidFill>
                </w14:textFill>
              </w:rPr>
              <w:t>满足主持、演讲、演唱等高保真扩声需求，含接收器；射频载波频率范围：470-937MHz；工作范围直线距离≥50m；延迟＜4毫秒；频率响应20Hz-20kHz（+1、-2dB）；总谐波失真＜0.02%。</w:t>
            </w:r>
          </w:p>
        </w:tc>
        <w:tc>
          <w:tcPr>
            <w:tcW w:w="788" w:type="dxa"/>
            <w:vAlign w:val="center"/>
          </w:tcPr>
          <w:p w14:paraId="0F5074B7">
            <w:pPr>
              <w:widowControl w:val="0"/>
              <w:snapToGrid w:val="0"/>
              <w:jc w:val="left"/>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10</w:t>
            </w:r>
          </w:p>
        </w:tc>
        <w:tc>
          <w:tcPr>
            <w:tcW w:w="600" w:type="dxa"/>
            <w:vAlign w:val="center"/>
          </w:tcPr>
          <w:p w14:paraId="1F9E18AD">
            <w:pPr>
              <w:widowControl w:val="0"/>
              <w:snapToGrid w:val="0"/>
              <w:jc w:val="center"/>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只</w:t>
            </w:r>
          </w:p>
        </w:tc>
      </w:tr>
      <w:tr w14:paraId="5A8440F8">
        <w:tblPrEx>
          <w:tblBorders>
            <w:top w:val="single" w:color="080F17" w:sz="6" w:space="0"/>
            <w:left w:val="single" w:color="080F17" w:sz="6" w:space="0"/>
            <w:bottom w:val="single" w:color="080F17" w:sz="6" w:space="0"/>
            <w:right w:val="single" w:color="080F17" w:sz="6" w:space="0"/>
            <w:insideH w:val="single" w:color="080F17" w:sz="6" w:space="0"/>
            <w:insideV w:val="single" w:color="080F17" w:sz="6" w:space="0"/>
          </w:tblBorders>
          <w:tblCellMar>
            <w:top w:w="30" w:type="dxa"/>
            <w:left w:w="180" w:type="dxa"/>
            <w:bottom w:w="30" w:type="dxa"/>
            <w:right w:w="180" w:type="dxa"/>
          </w:tblCellMar>
        </w:tblPrEx>
        <w:trPr>
          <w:jc w:val="center"/>
        </w:trPr>
        <w:tc>
          <w:tcPr>
            <w:tcW w:w="443" w:type="dxa"/>
            <w:vMerge w:val="continue"/>
            <w:vAlign w:val="center"/>
          </w:tcPr>
          <w:p w14:paraId="719C3792">
            <w:pPr>
              <w:widowControl w:val="0"/>
              <w:snapToGrid w:val="0"/>
              <w:jc w:val="center"/>
              <w:rPr>
                <w:rFonts w:ascii="Calibri" w:hAnsi="Calibri" w:eastAsia="新宋体"/>
                <w:color w:val="000000" w:themeColor="text1"/>
                <w:highlight w:val="none"/>
                <w14:textFill>
                  <w14:solidFill>
                    <w14:schemeClr w14:val="tx1"/>
                  </w14:solidFill>
                </w14:textFill>
              </w:rPr>
            </w:pPr>
          </w:p>
        </w:tc>
        <w:tc>
          <w:tcPr>
            <w:tcW w:w="900" w:type="dxa"/>
            <w:vMerge w:val="continue"/>
            <w:vAlign w:val="center"/>
          </w:tcPr>
          <w:p w14:paraId="29CDF737">
            <w:pPr>
              <w:widowControl w:val="0"/>
              <w:snapToGrid w:val="0"/>
              <w:jc w:val="center"/>
              <w:rPr>
                <w:rFonts w:ascii="Calibri" w:hAnsi="Calibri" w:eastAsia="新宋体"/>
                <w:color w:val="000000" w:themeColor="text1"/>
                <w:highlight w:val="none"/>
                <w14:textFill>
                  <w14:solidFill>
                    <w14:schemeClr w14:val="tx1"/>
                  </w14:solidFill>
                </w14:textFill>
              </w:rPr>
            </w:pPr>
          </w:p>
        </w:tc>
        <w:tc>
          <w:tcPr>
            <w:tcW w:w="964" w:type="dxa"/>
            <w:vAlign w:val="center"/>
          </w:tcPr>
          <w:p w14:paraId="6670900F">
            <w:pPr>
              <w:widowControl w:val="0"/>
              <w:snapToGrid w:val="0"/>
              <w:jc w:val="center"/>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控制及话筒</w:t>
            </w:r>
          </w:p>
        </w:tc>
        <w:tc>
          <w:tcPr>
            <w:tcW w:w="1007" w:type="dxa"/>
            <w:vAlign w:val="center"/>
          </w:tcPr>
          <w:p w14:paraId="42CA21A3">
            <w:pPr>
              <w:widowControl w:val="0"/>
              <w:snapToGrid w:val="0"/>
              <w:jc w:val="left"/>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头戴/耳麦话筒</w:t>
            </w:r>
          </w:p>
        </w:tc>
        <w:tc>
          <w:tcPr>
            <w:tcW w:w="5346" w:type="dxa"/>
            <w:vAlign w:val="center"/>
          </w:tcPr>
          <w:p w14:paraId="1FE81AEB">
            <w:pPr>
              <w:widowControl w:val="0"/>
              <w:snapToGrid w:val="0"/>
              <w:jc w:val="left"/>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shd w:val="clear" w:color="auto" w:fill="FFFFFF"/>
                <w14:textFill>
                  <w14:solidFill>
                    <w14:schemeClr w14:val="tx1"/>
                  </w14:solidFill>
                </w14:textFill>
              </w:rPr>
              <w:t>电容式，心形指向，频率响应20Hz-20kHz，含无线发射器和接收器，与无线话筒系统兼容。</w:t>
            </w:r>
          </w:p>
        </w:tc>
        <w:tc>
          <w:tcPr>
            <w:tcW w:w="788" w:type="dxa"/>
            <w:vAlign w:val="center"/>
          </w:tcPr>
          <w:p w14:paraId="3101CCA4">
            <w:pPr>
              <w:widowControl w:val="0"/>
              <w:snapToGrid w:val="0"/>
              <w:jc w:val="left"/>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12</w:t>
            </w:r>
          </w:p>
        </w:tc>
        <w:tc>
          <w:tcPr>
            <w:tcW w:w="600" w:type="dxa"/>
            <w:vAlign w:val="center"/>
          </w:tcPr>
          <w:p w14:paraId="21C7C134">
            <w:pPr>
              <w:widowControl w:val="0"/>
              <w:snapToGrid w:val="0"/>
              <w:jc w:val="center"/>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只</w:t>
            </w:r>
          </w:p>
        </w:tc>
      </w:tr>
      <w:tr w14:paraId="4378569A">
        <w:tblPrEx>
          <w:tblBorders>
            <w:top w:val="single" w:color="080F17" w:sz="6" w:space="0"/>
            <w:left w:val="single" w:color="080F17" w:sz="6" w:space="0"/>
            <w:bottom w:val="single" w:color="080F17" w:sz="6" w:space="0"/>
            <w:right w:val="single" w:color="080F17" w:sz="6" w:space="0"/>
            <w:insideH w:val="single" w:color="080F17" w:sz="6" w:space="0"/>
            <w:insideV w:val="single" w:color="080F17" w:sz="6" w:space="0"/>
          </w:tblBorders>
          <w:tblCellMar>
            <w:top w:w="30" w:type="dxa"/>
            <w:left w:w="180" w:type="dxa"/>
            <w:bottom w:w="30" w:type="dxa"/>
            <w:right w:w="180" w:type="dxa"/>
          </w:tblCellMar>
        </w:tblPrEx>
        <w:trPr>
          <w:trHeight w:val="1081" w:hRule="atLeast"/>
          <w:jc w:val="center"/>
        </w:trPr>
        <w:tc>
          <w:tcPr>
            <w:tcW w:w="443" w:type="dxa"/>
            <w:vMerge w:val="continue"/>
            <w:vAlign w:val="center"/>
          </w:tcPr>
          <w:p w14:paraId="444F5965">
            <w:pPr>
              <w:widowControl w:val="0"/>
              <w:snapToGrid w:val="0"/>
              <w:jc w:val="center"/>
              <w:rPr>
                <w:rFonts w:ascii="Calibri" w:hAnsi="Calibri" w:eastAsia="新宋体"/>
                <w:color w:val="000000" w:themeColor="text1"/>
                <w:highlight w:val="none"/>
                <w14:textFill>
                  <w14:solidFill>
                    <w14:schemeClr w14:val="tx1"/>
                  </w14:solidFill>
                </w14:textFill>
              </w:rPr>
            </w:pPr>
          </w:p>
        </w:tc>
        <w:tc>
          <w:tcPr>
            <w:tcW w:w="900" w:type="dxa"/>
            <w:vMerge w:val="continue"/>
            <w:vAlign w:val="center"/>
          </w:tcPr>
          <w:p w14:paraId="1FAE235F">
            <w:pPr>
              <w:widowControl w:val="0"/>
              <w:snapToGrid w:val="0"/>
              <w:jc w:val="center"/>
              <w:rPr>
                <w:rFonts w:ascii="Calibri" w:hAnsi="Calibri" w:eastAsia="新宋体"/>
                <w:color w:val="000000" w:themeColor="text1"/>
                <w:highlight w:val="none"/>
                <w14:textFill>
                  <w14:solidFill>
                    <w14:schemeClr w14:val="tx1"/>
                  </w14:solidFill>
                </w14:textFill>
              </w:rPr>
            </w:pPr>
          </w:p>
        </w:tc>
        <w:tc>
          <w:tcPr>
            <w:tcW w:w="964" w:type="dxa"/>
            <w:vAlign w:val="center"/>
          </w:tcPr>
          <w:p w14:paraId="46FA552A">
            <w:pPr>
              <w:widowControl w:val="0"/>
              <w:snapToGrid w:val="0"/>
              <w:jc w:val="center"/>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控制及话筒</w:t>
            </w:r>
          </w:p>
        </w:tc>
        <w:tc>
          <w:tcPr>
            <w:tcW w:w="1007" w:type="dxa"/>
            <w:vAlign w:val="center"/>
          </w:tcPr>
          <w:p w14:paraId="3E672819">
            <w:pPr>
              <w:widowControl w:val="0"/>
              <w:snapToGrid w:val="0"/>
              <w:jc w:val="left"/>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电容话筒</w:t>
            </w:r>
          </w:p>
        </w:tc>
        <w:tc>
          <w:tcPr>
            <w:tcW w:w="5346" w:type="dxa"/>
            <w:shd w:val="clear" w:color="auto" w:fill="auto"/>
            <w:vAlign w:val="center"/>
          </w:tcPr>
          <w:p w14:paraId="77D2E62D">
            <w:pPr>
              <w:widowControl w:val="0"/>
              <w:spacing w:line="480" w:lineRule="exact"/>
              <w:jc w:val="left"/>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1、拾音模式：心形</w:t>
            </w:r>
          </w:p>
          <w:p w14:paraId="7A6F3B86">
            <w:pPr>
              <w:widowControl w:val="0"/>
              <w:spacing w:line="480" w:lineRule="exact"/>
              <w:jc w:val="left"/>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2、频率响应：20Hz-20kHz</w:t>
            </w:r>
          </w:p>
          <w:p w14:paraId="3EECA6EF">
            <w:pPr>
              <w:widowControl w:val="0"/>
              <w:spacing w:line="480" w:lineRule="exact"/>
              <w:jc w:val="left"/>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3、等效自噪≤20db</w:t>
            </w:r>
          </w:p>
          <w:p w14:paraId="2C25E60E">
            <w:pPr>
              <w:widowControl w:val="0"/>
              <w:spacing w:line="480" w:lineRule="exact"/>
              <w:jc w:val="left"/>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4、最大声压级Pad off≥120db</w:t>
            </w:r>
          </w:p>
        </w:tc>
        <w:tc>
          <w:tcPr>
            <w:tcW w:w="788" w:type="dxa"/>
            <w:vAlign w:val="center"/>
          </w:tcPr>
          <w:p w14:paraId="0EA86AA4">
            <w:pPr>
              <w:widowControl w:val="0"/>
              <w:snapToGrid w:val="0"/>
              <w:jc w:val="left"/>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8</w:t>
            </w:r>
          </w:p>
        </w:tc>
        <w:tc>
          <w:tcPr>
            <w:tcW w:w="600" w:type="dxa"/>
            <w:vAlign w:val="center"/>
          </w:tcPr>
          <w:p w14:paraId="7BCE60F2">
            <w:pPr>
              <w:widowControl w:val="0"/>
              <w:snapToGrid w:val="0"/>
              <w:jc w:val="center"/>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只</w:t>
            </w:r>
          </w:p>
        </w:tc>
      </w:tr>
      <w:tr w14:paraId="6ACDA5C2">
        <w:tblPrEx>
          <w:tblBorders>
            <w:top w:val="single" w:color="080F17" w:sz="6" w:space="0"/>
            <w:left w:val="single" w:color="080F17" w:sz="6" w:space="0"/>
            <w:bottom w:val="single" w:color="080F17" w:sz="6" w:space="0"/>
            <w:right w:val="single" w:color="080F17" w:sz="6" w:space="0"/>
            <w:insideH w:val="single" w:color="080F17" w:sz="6" w:space="0"/>
            <w:insideV w:val="single" w:color="080F17" w:sz="6" w:space="0"/>
          </w:tblBorders>
          <w:tblCellMar>
            <w:top w:w="30" w:type="dxa"/>
            <w:left w:w="180" w:type="dxa"/>
            <w:bottom w:w="30" w:type="dxa"/>
            <w:right w:w="180" w:type="dxa"/>
          </w:tblCellMar>
        </w:tblPrEx>
        <w:trPr>
          <w:jc w:val="center"/>
        </w:trPr>
        <w:tc>
          <w:tcPr>
            <w:tcW w:w="443" w:type="dxa"/>
            <w:vMerge w:val="continue"/>
            <w:vAlign w:val="center"/>
          </w:tcPr>
          <w:p w14:paraId="4AA2096F">
            <w:pPr>
              <w:widowControl w:val="0"/>
              <w:snapToGrid w:val="0"/>
              <w:jc w:val="center"/>
              <w:rPr>
                <w:rFonts w:ascii="Calibri" w:hAnsi="Calibri" w:eastAsia="新宋体"/>
                <w:color w:val="000000" w:themeColor="text1"/>
                <w:highlight w:val="none"/>
                <w14:textFill>
                  <w14:solidFill>
                    <w14:schemeClr w14:val="tx1"/>
                  </w14:solidFill>
                </w14:textFill>
              </w:rPr>
            </w:pPr>
          </w:p>
        </w:tc>
        <w:tc>
          <w:tcPr>
            <w:tcW w:w="900" w:type="dxa"/>
            <w:vMerge w:val="continue"/>
            <w:vAlign w:val="center"/>
          </w:tcPr>
          <w:p w14:paraId="2A24B04C">
            <w:pPr>
              <w:widowControl w:val="0"/>
              <w:snapToGrid w:val="0"/>
              <w:jc w:val="center"/>
              <w:rPr>
                <w:rFonts w:ascii="Calibri" w:hAnsi="Calibri" w:eastAsia="新宋体"/>
                <w:color w:val="000000" w:themeColor="text1"/>
                <w:highlight w:val="none"/>
                <w14:textFill>
                  <w14:solidFill>
                    <w14:schemeClr w14:val="tx1"/>
                  </w14:solidFill>
                </w14:textFill>
              </w:rPr>
            </w:pPr>
          </w:p>
        </w:tc>
        <w:tc>
          <w:tcPr>
            <w:tcW w:w="964" w:type="dxa"/>
            <w:vAlign w:val="center"/>
          </w:tcPr>
          <w:p w14:paraId="63D478DF">
            <w:pPr>
              <w:widowControl w:val="0"/>
              <w:snapToGrid w:val="0"/>
              <w:jc w:val="center"/>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控制及话筒</w:t>
            </w:r>
          </w:p>
        </w:tc>
        <w:tc>
          <w:tcPr>
            <w:tcW w:w="1007" w:type="dxa"/>
            <w:vAlign w:val="center"/>
          </w:tcPr>
          <w:p w14:paraId="616B2434">
            <w:pPr>
              <w:widowControl w:val="0"/>
              <w:snapToGrid w:val="0"/>
              <w:jc w:val="left"/>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话筒支架（落地式）</w:t>
            </w:r>
          </w:p>
        </w:tc>
        <w:tc>
          <w:tcPr>
            <w:tcW w:w="5346" w:type="dxa"/>
            <w:vAlign w:val="center"/>
          </w:tcPr>
          <w:p w14:paraId="06073308">
            <w:pPr>
              <w:widowControl w:val="0"/>
              <w:snapToGrid w:val="0"/>
              <w:jc w:val="left"/>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shd w:val="clear" w:color="auto" w:fill="FFFFFF"/>
                <w14:textFill>
                  <w14:solidFill>
                    <w14:schemeClr w14:val="tx1"/>
                  </w14:solidFill>
                </w14:textFill>
              </w:rPr>
              <w:t>重型圆底或三角支架，高度可调（0.9m-1.8m），带话筒夹，金属材质。</w:t>
            </w:r>
          </w:p>
        </w:tc>
        <w:tc>
          <w:tcPr>
            <w:tcW w:w="788" w:type="dxa"/>
            <w:vAlign w:val="center"/>
          </w:tcPr>
          <w:p w14:paraId="2F0961FF">
            <w:pPr>
              <w:widowControl w:val="0"/>
              <w:snapToGrid w:val="0"/>
              <w:jc w:val="left"/>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20</w:t>
            </w:r>
          </w:p>
        </w:tc>
        <w:tc>
          <w:tcPr>
            <w:tcW w:w="600" w:type="dxa"/>
            <w:vAlign w:val="center"/>
          </w:tcPr>
          <w:p w14:paraId="47870448">
            <w:pPr>
              <w:widowControl w:val="0"/>
              <w:snapToGrid w:val="0"/>
              <w:jc w:val="center"/>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个</w:t>
            </w:r>
          </w:p>
        </w:tc>
      </w:tr>
      <w:tr w14:paraId="6A2D7015">
        <w:tblPrEx>
          <w:tblBorders>
            <w:top w:val="single" w:color="080F17" w:sz="6" w:space="0"/>
            <w:left w:val="single" w:color="080F17" w:sz="6" w:space="0"/>
            <w:bottom w:val="single" w:color="080F17" w:sz="6" w:space="0"/>
            <w:right w:val="single" w:color="080F17" w:sz="6" w:space="0"/>
            <w:insideH w:val="single" w:color="080F17" w:sz="6" w:space="0"/>
            <w:insideV w:val="single" w:color="080F17" w:sz="6" w:space="0"/>
          </w:tblBorders>
          <w:tblCellMar>
            <w:top w:w="30" w:type="dxa"/>
            <w:left w:w="180" w:type="dxa"/>
            <w:bottom w:w="30" w:type="dxa"/>
            <w:right w:w="180" w:type="dxa"/>
          </w:tblCellMar>
        </w:tblPrEx>
        <w:trPr>
          <w:jc w:val="center"/>
        </w:trPr>
        <w:tc>
          <w:tcPr>
            <w:tcW w:w="443" w:type="dxa"/>
            <w:vMerge w:val="restart"/>
            <w:vAlign w:val="center"/>
          </w:tcPr>
          <w:p w14:paraId="6A258015">
            <w:pPr>
              <w:widowControl w:val="0"/>
              <w:snapToGrid w:val="0"/>
              <w:jc w:val="center"/>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3</w:t>
            </w:r>
          </w:p>
        </w:tc>
        <w:tc>
          <w:tcPr>
            <w:tcW w:w="900" w:type="dxa"/>
            <w:vMerge w:val="restart"/>
            <w:vAlign w:val="center"/>
          </w:tcPr>
          <w:p w14:paraId="0CF9F877">
            <w:pPr>
              <w:widowControl w:val="0"/>
              <w:snapToGrid w:val="0"/>
              <w:jc w:val="center"/>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视频设备</w:t>
            </w:r>
          </w:p>
        </w:tc>
        <w:tc>
          <w:tcPr>
            <w:tcW w:w="964" w:type="dxa"/>
            <w:vAlign w:val="center"/>
          </w:tcPr>
          <w:p w14:paraId="405B0BB8">
            <w:pPr>
              <w:widowControl w:val="0"/>
              <w:snapToGrid w:val="0"/>
              <w:jc w:val="center"/>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大屏显示</w:t>
            </w:r>
          </w:p>
        </w:tc>
        <w:tc>
          <w:tcPr>
            <w:tcW w:w="1007" w:type="dxa"/>
            <w:vAlign w:val="center"/>
          </w:tcPr>
          <w:p w14:paraId="325ACC2C">
            <w:pPr>
              <w:widowControl w:val="0"/>
              <w:snapToGrid w:val="0"/>
              <w:jc w:val="left"/>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全彩LED显示屏（主屏）</w:t>
            </w:r>
          </w:p>
        </w:tc>
        <w:tc>
          <w:tcPr>
            <w:tcW w:w="5346" w:type="dxa"/>
            <w:vAlign w:val="center"/>
          </w:tcPr>
          <w:p w14:paraId="4270E090">
            <w:pPr>
              <w:widowControl w:val="0"/>
              <w:snapToGrid w:val="0"/>
              <w:jc w:val="left"/>
              <w:rPr>
                <w:rFonts w:ascii="Calibri" w:hAnsi="Calibri" w:eastAsia="新宋体"/>
                <w:color w:val="000000" w:themeColor="text1"/>
                <w:highlight w:val="none"/>
                <w14:textFill>
                  <w14:solidFill>
                    <w14:schemeClr w14:val="tx1"/>
                  </w14:solidFill>
                </w14:textFill>
              </w:rPr>
            </w:pPr>
            <w:r>
              <w:rPr>
                <w:rStyle w:val="37"/>
                <w:rFonts w:ascii="Calibri" w:hAnsi="Calibri" w:eastAsia="新宋体"/>
                <w:b w:val="0"/>
                <w:color w:val="000000" w:themeColor="text1"/>
                <w:highlight w:val="none"/>
                <w:shd w:val="clear" w:color="auto" w:fill="FFFFFF"/>
                <w14:textFill>
                  <w14:solidFill>
                    <w14:schemeClr w14:val="tx1"/>
                  </w14:solidFill>
                </w14:textFill>
              </w:rPr>
              <w:t>像素间距：</w:t>
            </w:r>
            <w:r>
              <w:rPr>
                <w:rFonts w:ascii="Calibri" w:hAnsi="Calibri" w:eastAsia="新宋体"/>
                <w:color w:val="000000" w:themeColor="text1"/>
                <w:highlight w:val="none"/>
                <w:shd w:val="clear" w:color="auto" w:fill="FFFFFF"/>
                <w14:textFill>
                  <w14:solidFill>
                    <w14:schemeClr w14:val="tx1"/>
                  </w14:solidFill>
                </w14:textFill>
              </w:rPr>
              <w:t>3.91mm（户外/室内通用高刷屏）</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箱体尺寸：</w:t>
            </w:r>
            <w:r>
              <w:rPr>
                <w:rFonts w:ascii="Calibri" w:hAnsi="Calibri" w:eastAsia="新宋体"/>
                <w:color w:val="000000" w:themeColor="text1"/>
                <w:highlight w:val="none"/>
                <w:shd w:val="clear" w:color="auto" w:fill="FFFFFF"/>
                <w14:textFill>
                  <w14:solidFill>
                    <w14:schemeClr w14:val="tx1"/>
                  </w14:solidFill>
                </w14:textFill>
              </w:rPr>
              <w:t>500mm×500mm 或 500mm×1000mm</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箱体材质：</w:t>
            </w:r>
            <w:r>
              <w:rPr>
                <w:rFonts w:ascii="Calibri" w:hAnsi="Calibri" w:eastAsia="新宋体"/>
                <w:color w:val="000000" w:themeColor="text1"/>
                <w:highlight w:val="none"/>
                <w:shd w:val="clear" w:color="auto" w:fill="FFFFFF"/>
                <w14:textFill>
                  <w14:solidFill>
                    <w14:schemeClr w14:val="tx1"/>
                  </w14:solidFill>
                </w14:textFill>
              </w:rPr>
              <w:t>压铸铝，重量≤7.5kg/个</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维护方式：</w:t>
            </w:r>
            <w:r>
              <w:rPr>
                <w:rFonts w:ascii="Calibri" w:hAnsi="Calibri" w:eastAsia="新宋体"/>
                <w:color w:val="000000" w:themeColor="text1"/>
                <w:highlight w:val="none"/>
                <w:shd w:val="clear" w:color="auto" w:fill="FFFFFF"/>
                <w14:textFill>
                  <w14:solidFill>
                    <w14:schemeClr w14:val="tx1"/>
                  </w14:solidFill>
                </w14:textFill>
              </w:rPr>
              <w:t>全前维护或后维护</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防护等级：</w:t>
            </w:r>
            <w:r>
              <w:rPr>
                <w:rFonts w:ascii="Calibri" w:hAnsi="Calibri" w:eastAsia="新宋体"/>
                <w:color w:val="000000" w:themeColor="text1"/>
                <w:highlight w:val="none"/>
                <w:shd w:val="clear" w:color="auto" w:fill="FFFFFF"/>
                <w14:textFill>
                  <w14:solidFill>
                    <w14:schemeClr w14:val="tx1"/>
                  </w14:solidFill>
                </w14:textFill>
              </w:rPr>
              <w:t>正面IP65，背面IP54</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亮度：</w:t>
            </w:r>
            <w:r>
              <w:rPr>
                <w:rFonts w:ascii="Calibri" w:hAnsi="Calibri" w:eastAsia="新宋体"/>
                <w:color w:val="000000" w:themeColor="text1"/>
                <w:highlight w:val="none"/>
                <w:shd w:val="clear" w:color="auto" w:fill="FFFFFF"/>
                <w14:textFill>
                  <w14:solidFill>
                    <w14:schemeClr w14:val="tx1"/>
                  </w14:solidFill>
                </w14:textFill>
              </w:rPr>
              <w:t>≥4000cd/m²（户外）/ ≥1000cd/m²（室内）</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刷新频率：</w:t>
            </w:r>
            <w:r>
              <w:rPr>
                <w:rFonts w:ascii="Calibri" w:hAnsi="Calibri" w:eastAsia="新宋体"/>
                <w:color w:val="000000" w:themeColor="text1"/>
                <w:highlight w:val="none"/>
                <w:shd w:val="clear" w:color="auto" w:fill="FFFFFF"/>
                <w14:textFill>
                  <w14:solidFill>
                    <w14:schemeClr w14:val="tx1"/>
                  </w14:solidFill>
                </w14:textFill>
              </w:rPr>
              <w:t>≥3840Hz</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灰度等级：</w:t>
            </w:r>
            <w:r>
              <w:rPr>
                <w:rFonts w:ascii="Calibri" w:hAnsi="Calibri" w:eastAsia="新宋体"/>
                <w:color w:val="000000" w:themeColor="text1"/>
                <w:highlight w:val="none"/>
                <w:shd w:val="clear" w:color="auto" w:fill="FFFFFF"/>
                <w14:textFill>
                  <w14:solidFill>
                    <w14:schemeClr w14:val="tx1"/>
                  </w14:solidFill>
                </w14:textFill>
              </w:rPr>
              <w:t>14-16Bit</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视角：</w:t>
            </w:r>
            <w:r>
              <w:rPr>
                <w:rFonts w:ascii="Calibri" w:hAnsi="Calibri" w:eastAsia="新宋体"/>
                <w:color w:val="000000" w:themeColor="text1"/>
                <w:highlight w:val="none"/>
                <w:shd w:val="clear" w:color="auto" w:fill="FFFFFF"/>
                <w14:textFill>
                  <w14:solidFill>
                    <w14:schemeClr w14:val="tx1"/>
                  </w14:solidFill>
                </w14:textFill>
              </w:rPr>
              <w:t>水平140°-160°，垂直140°</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最大功耗：</w:t>
            </w:r>
            <w:r>
              <w:rPr>
                <w:rFonts w:ascii="Calibri" w:hAnsi="Calibri" w:eastAsia="新宋体"/>
                <w:color w:val="000000" w:themeColor="text1"/>
                <w:highlight w:val="none"/>
                <w:shd w:val="clear" w:color="auto" w:fill="FFFFFF"/>
                <w14:textFill>
                  <w14:solidFill>
                    <w14:schemeClr w14:val="tx1"/>
                  </w14:solidFill>
                </w14:textFill>
              </w:rPr>
              <w:t>≤650W/m²，平均功耗≤280W/m²</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拼接精度：</w:t>
            </w:r>
            <w:r>
              <w:rPr>
                <w:rFonts w:ascii="Calibri" w:hAnsi="Calibri" w:eastAsia="新宋体"/>
                <w:color w:val="000000" w:themeColor="text1"/>
                <w:highlight w:val="none"/>
                <w:shd w:val="clear" w:color="auto" w:fill="FFFFFF"/>
                <w14:textFill>
                  <w14:solidFill>
                    <w14:schemeClr w14:val="tx1"/>
                  </w14:solidFill>
                </w14:textFill>
              </w:rPr>
              <w:t>箱体间缝隙＜0.1mm</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其他功能：</w:t>
            </w:r>
            <w:r>
              <w:rPr>
                <w:rFonts w:ascii="Calibri" w:hAnsi="Calibri" w:eastAsia="新宋体"/>
                <w:color w:val="000000" w:themeColor="text1"/>
                <w:highlight w:val="none"/>
                <w:shd w:val="clear" w:color="auto" w:fill="FFFFFF"/>
                <w14:textFill>
                  <w14:solidFill>
                    <w14:schemeClr w14:val="tx1"/>
                  </w14:solidFill>
                </w14:textFill>
              </w:rPr>
              <w:t>支持曲面/弧形安装（±15°调节），具备GOB防水防撞镀膜工艺，支持FHD/4K点对点显示</w:t>
            </w:r>
          </w:p>
        </w:tc>
        <w:tc>
          <w:tcPr>
            <w:tcW w:w="788" w:type="dxa"/>
            <w:vAlign w:val="center"/>
          </w:tcPr>
          <w:p w14:paraId="1EDA0AF3">
            <w:pPr>
              <w:widowControl w:val="0"/>
              <w:snapToGrid w:val="0"/>
              <w:jc w:val="left"/>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200</w:t>
            </w:r>
          </w:p>
        </w:tc>
        <w:tc>
          <w:tcPr>
            <w:tcW w:w="600" w:type="dxa"/>
            <w:vAlign w:val="center"/>
          </w:tcPr>
          <w:p w14:paraId="4EB100CC">
            <w:pPr>
              <w:widowControl w:val="0"/>
              <w:snapToGrid w:val="0"/>
              <w:jc w:val="center"/>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m²</w:t>
            </w:r>
          </w:p>
        </w:tc>
      </w:tr>
      <w:tr w14:paraId="4DE15547">
        <w:tblPrEx>
          <w:tblBorders>
            <w:top w:val="single" w:color="080F17" w:sz="6" w:space="0"/>
            <w:left w:val="single" w:color="080F17" w:sz="6" w:space="0"/>
            <w:bottom w:val="single" w:color="080F17" w:sz="6" w:space="0"/>
            <w:right w:val="single" w:color="080F17" w:sz="6" w:space="0"/>
            <w:insideH w:val="single" w:color="080F17" w:sz="6" w:space="0"/>
            <w:insideV w:val="single" w:color="080F17" w:sz="6" w:space="0"/>
          </w:tblBorders>
          <w:tblCellMar>
            <w:top w:w="30" w:type="dxa"/>
            <w:left w:w="180" w:type="dxa"/>
            <w:bottom w:w="30" w:type="dxa"/>
            <w:right w:w="180" w:type="dxa"/>
          </w:tblCellMar>
        </w:tblPrEx>
        <w:trPr>
          <w:jc w:val="center"/>
        </w:trPr>
        <w:tc>
          <w:tcPr>
            <w:tcW w:w="443" w:type="dxa"/>
            <w:vMerge w:val="continue"/>
            <w:vAlign w:val="center"/>
          </w:tcPr>
          <w:p w14:paraId="3BE41E84">
            <w:pPr>
              <w:widowControl w:val="0"/>
              <w:snapToGrid w:val="0"/>
              <w:jc w:val="center"/>
              <w:rPr>
                <w:rFonts w:ascii="Calibri" w:hAnsi="Calibri" w:eastAsia="新宋体"/>
                <w:color w:val="000000" w:themeColor="text1"/>
                <w:highlight w:val="none"/>
                <w14:textFill>
                  <w14:solidFill>
                    <w14:schemeClr w14:val="tx1"/>
                  </w14:solidFill>
                </w14:textFill>
              </w:rPr>
            </w:pPr>
          </w:p>
        </w:tc>
        <w:tc>
          <w:tcPr>
            <w:tcW w:w="900" w:type="dxa"/>
            <w:vMerge w:val="continue"/>
            <w:vAlign w:val="center"/>
          </w:tcPr>
          <w:p w14:paraId="4D2A08AC">
            <w:pPr>
              <w:widowControl w:val="0"/>
              <w:snapToGrid w:val="0"/>
              <w:jc w:val="center"/>
              <w:rPr>
                <w:rFonts w:ascii="Calibri" w:hAnsi="Calibri" w:eastAsia="新宋体"/>
                <w:color w:val="000000" w:themeColor="text1"/>
                <w:highlight w:val="none"/>
                <w14:textFill>
                  <w14:solidFill>
                    <w14:schemeClr w14:val="tx1"/>
                  </w14:solidFill>
                </w14:textFill>
              </w:rPr>
            </w:pPr>
          </w:p>
        </w:tc>
        <w:tc>
          <w:tcPr>
            <w:tcW w:w="964" w:type="dxa"/>
            <w:vAlign w:val="center"/>
          </w:tcPr>
          <w:p w14:paraId="077C1E53">
            <w:pPr>
              <w:widowControl w:val="0"/>
              <w:snapToGrid w:val="0"/>
              <w:jc w:val="center"/>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视频控制</w:t>
            </w:r>
          </w:p>
        </w:tc>
        <w:tc>
          <w:tcPr>
            <w:tcW w:w="1007" w:type="dxa"/>
            <w:vAlign w:val="center"/>
          </w:tcPr>
          <w:p w14:paraId="2677A71B">
            <w:pPr>
              <w:widowControl w:val="0"/>
              <w:snapToGrid w:val="0"/>
              <w:jc w:val="left"/>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视频控制台</w:t>
            </w:r>
          </w:p>
        </w:tc>
        <w:tc>
          <w:tcPr>
            <w:tcW w:w="5346" w:type="dxa"/>
            <w:vAlign w:val="center"/>
          </w:tcPr>
          <w:p w14:paraId="79E98FE0">
            <w:pPr>
              <w:widowControl w:val="0"/>
              <w:snapToGrid w:val="0"/>
              <w:jc w:val="left"/>
              <w:rPr>
                <w:rFonts w:ascii="Calibri" w:hAnsi="Calibri" w:eastAsia="新宋体"/>
                <w:color w:val="000000" w:themeColor="text1"/>
                <w:highlight w:val="none"/>
                <w14:textFill>
                  <w14:solidFill>
                    <w14:schemeClr w14:val="tx1"/>
                  </w14:solidFill>
                </w14:textFill>
              </w:rPr>
            </w:pPr>
            <w:r>
              <w:rPr>
                <w:rStyle w:val="37"/>
                <w:rFonts w:ascii="Calibri" w:hAnsi="Calibri" w:eastAsia="新宋体"/>
                <w:b w:val="0"/>
                <w:color w:val="000000" w:themeColor="text1"/>
                <w:highlight w:val="none"/>
                <w:shd w:val="clear" w:color="auto" w:fill="FFFFFF"/>
                <w14:textFill>
                  <w14:solidFill>
                    <w14:schemeClr w14:val="tx1"/>
                  </w14:solidFill>
                </w14:textFill>
              </w:rPr>
              <w:t>主屏：</w:t>
            </w:r>
            <w:r>
              <w:rPr>
                <w:rFonts w:ascii="Calibri" w:hAnsi="Calibri" w:eastAsia="新宋体"/>
                <w:color w:val="000000" w:themeColor="text1"/>
                <w:highlight w:val="none"/>
                <w:shd w:val="clear" w:color="auto" w:fill="FFFFFF"/>
                <w14:textFill>
                  <w14:solidFill>
                    <w14:schemeClr w14:val="tx1"/>
                  </w14:solidFill>
                </w14:textFill>
              </w:rPr>
              <w:t>43.8英寸超清多点触控电容屏（分辨率3840×1080）</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智慧屏：</w:t>
            </w:r>
            <w:r>
              <w:rPr>
                <w:rFonts w:ascii="Calibri" w:hAnsi="Calibri" w:eastAsia="新宋体"/>
                <w:color w:val="000000" w:themeColor="text1"/>
                <w:highlight w:val="none"/>
                <w:shd w:val="clear" w:color="auto" w:fill="FFFFFF"/>
                <w14:textFill>
                  <w14:solidFill>
                    <w14:schemeClr w14:val="tx1"/>
                  </w14:solidFill>
                </w14:textFill>
              </w:rPr>
              <w:t>8英寸触摸屏</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按键：</w:t>
            </w:r>
            <w:r>
              <w:rPr>
                <w:rFonts w:ascii="Calibri" w:hAnsi="Calibri" w:eastAsia="新宋体"/>
                <w:color w:val="000000" w:themeColor="text1"/>
                <w:highlight w:val="none"/>
                <w:shd w:val="clear" w:color="auto" w:fill="FFFFFF"/>
                <w14:textFill>
                  <w14:solidFill>
                    <w14:schemeClr w14:val="tx1"/>
                  </w14:solidFill>
                </w14:textFill>
              </w:rPr>
              <w:t>一体化可编程液晶按键，支持自定义</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控制方式：</w:t>
            </w:r>
            <w:r>
              <w:rPr>
                <w:rFonts w:ascii="Calibri" w:hAnsi="Calibri" w:eastAsia="新宋体"/>
                <w:color w:val="000000" w:themeColor="text1"/>
                <w:highlight w:val="none"/>
                <w:shd w:val="clear" w:color="auto" w:fill="FFFFFF"/>
                <w14:textFill>
                  <w14:solidFill>
                    <w14:schemeClr w14:val="tx1"/>
                  </w14:solidFill>
                </w14:textFill>
              </w:rPr>
              <w:t>T-bar手动64级控制、鼠标、键盘、触控</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时间码：</w:t>
            </w:r>
            <w:r>
              <w:rPr>
                <w:rFonts w:ascii="Calibri" w:hAnsi="Calibri" w:eastAsia="新宋体"/>
                <w:color w:val="000000" w:themeColor="text1"/>
                <w:highlight w:val="none"/>
                <w:shd w:val="clear" w:color="auto" w:fill="FFFFFF"/>
                <w14:textFill>
                  <w14:solidFill>
                    <w14:schemeClr w14:val="tx1"/>
                  </w14:solidFill>
                </w14:textFill>
              </w:rPr>
              <w:t>支持LTC、MTC、USB MTC、Gen输入及转码输出</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网络接口：</w:t>
            </w:r>
            <w:r>
              <w:rPr>
                <w:rFonts w:ascii="Calibri" w:hAnsi="Calibri" w:eastAsia="新宋体"/>
                <w:color w:val="000000" w:themeColor="text1"/>
                <w:highlight w:val="none"/>
                <w:shd w:val="clear" w:color="auto" w:fill="FFFFFF"/>
                <w14:textFill>
                  <w14:solidFill>
                    <w14:schemeClr w14:val="tx1"/>
                  </w14:solidFill>
                </w14:textFill>
              </w:rPr>
              <w:t>2个千兆网口（互备或独立）</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其他接口：</w:t>
            </w:r>
            <w:r>
              <w:rPr>
                <w:rFonts w:ascii="Calibri" w:hAnsi="Calibri" w:eastAsia="新宋体"/>
                <w:color w:val="000000" w:themeColor="text1"/>
                <w:highlight w:val="none"/>
                <w:shd w:val="clear" w:color="auto" w:fill="FFFFFF"/>
                <w14:textFill>
                  <w14:solidFill>
                    <w14:schemeClr w14:val="tx1"/>
                  </w14:solidFill>
                </w14:textFill>
              </w:rPr>
              <w:t>USB2.0×4、USB3.0×2、HDMI 2.0×2、HDMI 1.3×1、MIDI/KVM、鹅颈灯接口</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电源：</w:t>
            </w:r>
            <w:r>
              <w:rPr>
                <w:rFonts w:ascii="Calibri" w:hAnsi="Calibri" w:eastAsia="新宋体"/>
                <w:color w:val="000000" w:themeColor="text1"/>
                <w:highlight w:val="none"/>
                <w:shd w:val="clear" w:color="auto" w:fill="FFFFFF"/>
                <w14:textFill>
                  <w14:solidFill>
                    <w14:schemeClr w14:val="tx1"/>
                  </w14:solidFill>
                </w14:textFill>
              </w:rPr>
              <w:t>100-240V~，最大功耗330W</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尺寸：</w:t>
            </w:r>
            <w:r>
              <w:rPr>
                <w:rFonts w:ascii="Calibri" w:hAnsi="Calibri" w:eastAsia="新宋体"/>
                <w:color w:val="000000" w:themeColor="text1"/>
                <w:highlight w:val="none"/>
                <w:shd w:val="clear" w:color="auto" w:fill="FFFFFF"/>
                <w14:textFill>
                  <w14:solidFill>
                    <w14:schemeClr w14:val="tx1"/>
                  </w14:solidFill>
                </w14:textFill>
              </w:rPr>
              <w:t>1129.6×422.7×695.4mm</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净重：</w:t>
            </w:r>
            <w:r>
              <w:rPr>
                <w:rFonts w:ascii="Calibri" w:hAnsi="Calibri" w:eastAsia="新宋体"/>
                <w:color w:val="000000" w:themeColor="text1"/>
                <w:highlight w:val="none"/>
                <w:shd w:val="clear" w:color="auto" w:fill="FFFFFF"/>
                <w14:textFill>
                  <w14:solidFill>
                    <w14:schemeClr w14:val="tx1"/>
                  </w14:solidFill>
                </w14:textFill>
              </w:rPr>
              <w:t>46kg，航空箱总重107kg</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功能：</w:t>
            </w:r>
            <w:r>
              <w:rPr>
                <w:rFonts w:ascii="Calibri" w:hAnsi="Calibri" w:eastAsia="新宋体"/>
                <w:color w:val="000000" w:themeColor="text1"/>
                <w:highlight w:val="none"/>
                <w:shd w:val="clear" w:color="auto" w:fill="FFFFFF"/>
                <w14:textFill>
                  <w14:solidFill>
                    <w14:schemeClr w14:val="tx1"/>
                  </w14:solidFill>
                </w14:textFill>
              </w:rPr>
              <w:t>支持一控多设备，最大1024个用户场景，支持KVM漫游、PTC云台控制、MIDI联控等</w:t>
            </w:r>
          </w:p>
        </w:tc>
        <w:tc>
          <w:tcPr>
            <w:tcW w:w="788" w:type="dxa"/>
            <w:vAlign w:val="center"/>
          </w:tcPr>
          <w:p w14:paraId="01C552EF">
            <w:pPr>
              <w:widowControl w:val="0"/>
              <w:snapToGrid w:val="0"/>
              <w:jc w:val="left"/>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1</w:t>
            </w:r>
          </w:p>
        </w:tc>
        <w:tc>
          <w:tcPr>
            <w:tcW w:w="600" w:type="dxa"/>
            <w:vAlign w:val="center"/>
          </w:tcPr>
          <w:p w14:paraId="2A259CBB">
            <w:pPr>
              <w:widowControl w:val="0"/>
              <w:snapToGrid w:val="0"/>
              <w:jc w:val="center"/>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台</w:t>
            </w:r>
          </w:p>
        </w:tc>
      </w:tr>
      <w:tr w14:paraId="5EEE9016">
        <w:tblPrEx>
          <w:tblBorders>
            <w:top w:val="single" w:color="080F17" w:sz="6" w:space="0"/>
            <w:left w:val="single" w:color="080F17" w:sz="6" w:space="0"/>
            <w:bottom w:val="single" w:color="080F17" w:sz="6" w:space="0"/>
            <w:right w:val="single" w:color="080F17" w:sz="6" w:space="0"/>
            <w:insideH w:val="single" w:color="080F17" w:sz="6" w:space="0"/>
            <w:insideV w:val="single" w:color="080F17" w:sz="6" w:space="0"/>
          </w:tblBorders>
          <w:tblCellMar>
            <w:top w:w="30" w:type="dxa"/>
            <w:left w:w="180" w:type="dxa"/>
            <w:bottom w:w="30" w:type="dxa"/>
            <w:right w:w="180" w:type="dxa"/>
          </w:tblCellMar>
        </w:tblPrEx>
        <w:trPr>
          <w:jc w:val="center"/>
        </w:trPr>
        <w:tc>
          <w:tcPr>
            <w:tcW w:w="443" w:type="dxa"/>
            <w:vMerge w:val="continue"/>
            <w:vAlign w:val="center"/>
          </w:tcPr>
          <w:p w14:paraId="5CF595C7">
            <w:pPr>
              <w:widowControl w:val="0"/>
              <w:snapToGrid w:val="0"/>
              <w:jc w:val="center"/>
              <w:rPr>
                <w:rFonts w:ascii="Calibri" w:hAnsi="Calibri" w:eastAsia="新宋体"/>
                <w:color w:val="000000" w:themeColor="text1"/>
                <w:highlight w:val="none"/>
                <w14:textFill>
                  <w14:solidFill>
                    <w14:schemeClr w14:val="tx1"/>
                  </w14:solidFill>
                </w14:textFill>
              </w:rPr>
            </w:pPr>
          </w:p>
        </w:tc>
        <w:tc>
          <w:tcPr>
            <w:tcW w:w="900" w:type="dxa"/>
            <w:vMerge w:val="continue"/>
            <w:vAlign w:val="center"/>
          </w:tcPr>
          <w:p w14:paraId="44B75D1C">
            <w:pPr>
              <w:widowControl w:val="0"/>
              <w:snapToGrid w:val="0"/>
              <w:jc w:val="center"/>
              <w:rPr>
                <w:rFonts w:ascii="Calibri" w:hAnsi="Calibri" w:eastAsia="新宋体"/>
                <w:color w:val="000000" w:themeColor="text1"/>
                <w:highlight w:val="none"/>
                <w14:textFill>
                  <w14:solidFill>
                    <w14:schemeClr w14:val="tx1"/>
                  </w14:solidFill>
                </w14:textFill>
              </w:rPr>
            </w:pPr>
          </w:p>
        </w:tc>
        <w:tc>
          <w:tcPr>
            <w:tcW w:w="964" w:type="dxa"/>
            <w:vAlign w:val="center"/>
          </w:tcPr>
          <w:p w14:paraId="2E8CE8C5">
            <w:pPr>
              <w:widowControl w:val="0"/>
              <w:snapToGrid w:val="0"/>
              <w:jc w:val="center"/>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媒体服务器</w:t>
            </w:r>
          </w:p>
        </w:tc>
        <w:tc>
          <w:tcPr>
            <w:tcW w:w="1007" w:type="dxa"/>
            <w:vAlign w:val="center"/>
          </w:tcPr>
          <w:p w14:paraId="2633DBCD">
            <w:pPr>
              <w:widowControl w:val="0"/>
              <w:snapToGrid w:val="0"/>
              <w:jc w:val="left"/>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全媒体总控服务器</w:t>
            </w:r>
          </w:p>
        </w:tc>
        <w:tc>
          <w:tcPr>
            <w:tcW w:w="5346" w:type="dxa"/>
            <w:vAlign w:val="center"/>
          </w:tcPr>
          <w:p w14:paraId="38572128">
            <w:pPr>
              <w:widowControl w:val="0"/>
              <w:snapToGrid w:val="0"/>
              <w:jc w:val="left"/>
              <w:rPr>
                <w:rFonts w:ascii="Calibri" w:hAnsi="Calibri" w:eastAsia="新宋体"/>
                <w:color w:val="000000" w:themeColor="text1"/>
                <w:highlight w:val="none"/>
                <w14:textFill>
                  <w14:solidFill>
                    <w14:schemeClr w14:val="tx1"/>
                  </w14:solidFill>
                </w14:textFill>
              </w:rPr>
            </w:pPr>
            <w:r>
              <w:rPr>
                <w:rStyle w:val="37"/>
                <w:rFonts w:ascii="Calibri" w:hAnsi="Calibri" w:eastAsia="新宋体"/>
                <w:b w:val="0"/>
                <w:color w:val="000000" w:themeColor="text1"/>
                <w:highlight w:val="none"/>
                <w:shd w:val="clear" w:color="auto" w:fill="FFFFFF"/>
                <w14:textFill>
                  <w14:solidFill>
                    <w14:schemeClr w14:val="tx1"/>
                  </w14:solidFill>
                </w14:textFill>
              </w:rPr>
              <w:t>处理器：</w:t>
            </w:r>
            <w:r>
              <w:rPr>
                <w:rFonts w:ascii="Calibri" w:hAnsi="Calibri" w:eastAsia="新宋体"/>
                <w:color w:val="000000" w:themeColor="text1"/>
                <w:highlight w:val="none"/>
                <w:shd w:val="clear" w:color="auto" w:fill="FFFFFF"/>
                <w14:textFill>
                  <w14:solidFill>
                    <w14:schemeClr w14:val="tx1"/>
                  </w14:solidFill>
                </w14:textFill>
              </w:rPr>
              <w:t>英特尔酷睿8核高频处理器</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显卡：</w:t>
            </w:r>
            <w:r>
              <w:rPr>
                <w:rFonts w:ascii="Calibri" w:hAnsi="Calibri" w:eastAsia="新宋体"/>
                <w:color w:val="000000" w:themeColor="text1"/>
                <w:highlight w:val="none"/>
                <w:shd w:val="clear" w:color="auto" w:fill="FFFFFF"/>
                <w14:textFill>
                  <w14:solidFill>
                    <w14:schemeClr w14:val="tx1"/>
                  </w14:solidFill>
                </w14:textFill>
              </w:rPr>
              <w:t>Quadro 5GB专业图形卡</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内存：</w:t>
            </w:r>
            <w:r>
              <w:rPr>
                <w:rFonts w:ascii="Calibri" w:hAnsi="Calibri" w:eastAsia="新宋体"/>
                <w:color w:val="000000" w:themeColor="text1"/>
                <w:highlight w:val="none"/>
                <w:shd w:val="clear" w:color="auto" w:fill="FFFFFF"/>
                <w14:textFill>
                  <w14:solidFill>
                    <w14:schemeClr w14:val="tx1"/>
                  </w14:solidFill>
                </w14:textFill>
              </w:rPr>
              <w:t>16G DDR4 2666MHz</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硬盘：</w:t>
            </w:r>
            <w:r>
              <w:rPr>
                <w:rFonts w:ascii="Calibri" w:hAnsi="Calibri" w:eastAsia="新宋体"/>
                <w:color w:val="000000" w:themeColor="text1"/>
                <w:highlight w:val="none"/>
                <w:shd w:val="clear" w:color="auto" w:fill="FFFFFF"/>
                <w14:textFill>
                  <w14:solidFill>
                    <w14:schemeClr w14:val="tx1"/>
                  </w14:solidFill>
                </w14:textFill>
              </w:rPr>
              <w:t>500G M.2高速固态硬盘（可扩容）</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视频输出：</w:t>
            </w:r>
            <w:r>
              <w:rPr>
                <w:rFonts w:ascii="Calibri" w:hAnsi="Calibri" w:eastAsia="新宋体"/>
                <w:color w:val="000000" w:themeColor="text1"/>
                <w:highlight w:val="none"/>
                <w:shd w:val="clear" w:color="auto" w:fill="FFFFFF"/>
                <w14:textFill>
                  <w14:solidFill>
                    <w14:schemeClr w14:val="tx1"/>
                  </w14:solidFill>
                </w14:textFill>
              </w:rPr>
              <w:t>4×DisplayPort 1.4（单路最大3840×2160）+ 1×DVI（预监）</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视频输入（标配）：</w:t>
            </w:r>
            <w:r>
              <w:rPr>
                <w:rFonts w:ascii="Calibri" w:hAnsi="Calibri" w:eastAsia="新宋体"/>
                <w:color w:val="000000" w:themeColor="text1"/>
                <w:highlight w:val="none"/>
                <w:shd w:val="clear" w:color="auto" w:fill="FFFFFF"/>
                <w14:textFill>
                  <w14:solidFill>
                    <w14:schemeClr w14:val="tx1"/>
                  </w14:solidFill>
                </w14:textFill>
              </w:rPr>
              <w:t>2×HDMI + 2×DVI；可选SDI输入</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采集卡：</w:t>
            </w:r>
            <w:r>
              <w:rPr>
                <w:rFonts w:ascii="Calibri" w:hAnsi="Calibri" w:eastAsia="新宋体"/>
                <w:color w:val="000000" w:themeColor="text1"/>
                <w:highlight w:val="none"/>
                <w:shd w:val="clear" w:color="auto" w:fill="FFFFFF"/>
                <w14:textFill>
                  <w14:solidFill>
                    <w14:schemeClr w14:val="tx1"/>
                  </w14:solidFill>
                </w14:textFill>
              </w:rPr>
              <w:t>定制采集卡，支持4路同时采集</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音频：</w:t>
            </w:r>
            <w:r>
              <w:rPr>
                <w:rFonts w:ascii="Calibri" w:hAnsi="Calibri" w:eastAsia="新宋体"/>
                <w:color w:val="000000" w:themeColor="text1"/>
                <w:highlight w:val="none"/>
                <w:shd w:val="clear" w:color="auto" w:fill="FFFFFF"/>
                <w14:textFill>
                  <w14:solidFill>
                    <w14:schemeClr w14:val="tx1"/>
                  </w14:solidFill>
                </w14:textFill>
              </w:rPr>
              <w:t>3.5mm 7.1声道 + 卡农接口，内置音频隔离</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机箱：</w:t>
            </w:r>
            <w:r>
              <w:rPr>
                <w:rFonts w:ascii="Calibri" w:hAnsi="Calibri" w:eastAsia="新宋体"/>
                <w:color w:val="000000" w:themeColor="text1"/>
                <w:highlight w:val="none"/>
                <w:shd w:val="clear" w:color="auto" w:fill="FFFFFF"/>
                <w14:textFill>
                  <w14:solidFill>
                    <w14:schemeClr w14:val="tx1"/>
                  </w14:solidFill>
                </w14:textFill>
              </w:rPr>
              <w:t>4U机架式，尺寸483×178×633mm，重量18kg</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电源：</w:t>
            </w:r>
            <w:r>
              <w:rPr>
                <w:rFonts w:ascii="Calibri" w:hAnsi="Calibri" w:eastAsia="新宋体"/>
                <w:color w:val="000000" w:themeColor="text1"/>
                <w:highlight w:val="none"/>
                <w:shd w:val="clear" w:color="auto" w:fill="FFFFFF"/>
                <w14:textFill>
                  <w14:solidFill>
                    <w14:schemeClr w14:val="tx1"/>
                  </w14:solidFill>
                </w14:textFill>
              </w:rPr>
              <w:t>600W金牌电源，防脱落插头</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触摸屏：</w:t>
            </w:r>
            <w:r>
              <w:rPr>
                <w:rFonts w:ascii="Calibri" w:hAnsi="Calibri" w:eastAsia="新宋体"/>
                <w:color w:val="000000" w:themeColor="text1"/>
                <w:highlight w:val="none"/>
                <w:shd w:val="clear" w:color="auto" w:fill="FFFFFF"/>
                <w14:textFill>
                  <w14:solidFill>
                    <w14:schemeClr w14:val="tx1"/>
                  </w14:solidFill>
                </w14:textFill>
              </w:rPr>
              <w:t>前置小屏，可监控CPU/显卡/温度/运行时长，一键设置IP、清空缓存等</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航空箱：</w:t>
            </w:r>
            <w:r>
              <w:rPr>
                <w:rFonts w:ascii="Calibri" w:hAnsi="Calibri" w:eastAsia="新宋体"/>
                <w:color w:val="000000" w:themeColor="text1"/>
                <w:highlight w:val="none"/>
                <w:shd w:val="clear" w:color="auto" w:fill="FFFFFF"/>
                <w14:textFill>
                  <w14:solidFill>
                    <w14:schemeClr w14:val="tx1"/>
                  </w14:solidFill>
                </w14:textFill>
              </w:rPr>
              <w:t>定制航空箱</w:t>
            </w:r>
          </w:p>
        </w:tc>
        <w:tc>
          <w:tcPr>
            <w:tcW w:w="788" w:type="dxa"/>
            <w:vAlign w:val="center"/>
          </w:tcPr>
          <w:p w14:paraId="3B645F19">
            <w:pPr>
              <w:widowControl w:val="0"/>
              <w:snapToGrid w:val="0"/>
              <w:jc w:val="left"/>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2</w:t>
            </w:r>
          </w:p>
        </w:tc>
        <w:tc>
          <w:tcPr>
            <w:tcW w:w="600" w:type="dxa"/>
            <w:vAlign w:val="center"/>
          </w:tcPr>
          <w:p w14:paraId="26766ABC">
            <w:pPr>
              <w:widowControl w:val="0"/>
              <w:snapToGrid w:val="0"/>
              <w:jc w:val="center"/>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台</w:t>
            </w:r>
          </w:p>
        </w:tc>
      </w:tr>
      <w:tr w14:paraId="4AF71194">
        <w:tblPrEx>
          <w:tblBorders>
            <w:top w:val="single" w:color="080F17" w:sz="6" w:space="0"/>
            <w:left w:val="single" w:color="080F17" w:sz="6" w:space="0"/>
            <w:bottom w:val="single" w:color="080F17" w:sz="6" w:space="0"/>
            <w:right w:val="single" w:color="080F17" w:sz="6" w:space="0"/>
            <w:insideH w:val="single" w:color="080F17" w:sz="6" w:space="0"/>
            <w:insideV w:val="single" w:color="080F17" w:sz="6" w:space="0"/>
          </w:tblBorders>
          <w:tblCellMar>
            <w:top w:w="30" w:type="dxa"/>
            <w:left w:w="180" w:type="dxa"/>
            <w:bottom w:w="30" w:type="dxa"/>
            <w:right w:w="180" w:type="dxa"/>
          </w:tblCellMar>
        </w:tblPrEx>
        <w:trPr>
          <w:jc w:val="center"/>
        </w:trPr>
        <w:tc>
          <w:tcPr>
            <w:tcW w:w="443" w:type="dxa"/>
            <w:vMerge w:val="restart"/>
            <w:vAlign w:val="center"/>
          </w:tcPr>
          <w:p w14:paraId="32186ED5">
            <w:pPr>
              <w:widowControl w:val="0"/>
              <w:snapToGrid w:val="0"/>
              <w:jc w:val="center"/>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4</w:t>
            </w:r>
          </w:p>
        </w:tc>
        <w:tc>
          <w:tcPr>
            <w:tcW w:w="900" w:type="dxa"/>
            <w:vMerge w:val="restart"/>
            <w:vAlign w:val="center"/>
          </w:tcPr>
          <w:p w14:paraId="4379660B">
            <w:pPr>
              <w:widowControl w:val="0"/>
              <w:snapToGrid w:val="0"/>
              <w:jc w:val="center"/>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舞台结构</w:t>
            </w:r>
          </w:p>
        </w:tc>
        <w:tc>
          <w:tcPr>
            <w:tcW w:w="964" w:type="dxa"/>
            <w:vMerge w:val="restart"/>
            <w:vAlign w:val="center"/>
          </w:tcPr>
          <w:p w14:paraId="38E874DE">
            <w:pPr>
              <w:widowControl w:val="0"/>
              <w:snapToGrid w:val="0"/>
              <w:jc w:val="center"/>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舞台搭建</w:t>
            </w:r>
          </w:p>
          <w:p w14:paraId="73D2BAE8">
            <w:pPr>
              <w:widowControl w:val="0"/>
              <w:snapToGrid w:val="0"/>
              <w:jc w:val="center"/>
              <w:rPr>
                <w:rFonts w:ascii="Calibri" w:hAnsi="Calibri" w:eastAsia="新宋体"/>
                <w:color w:val="000000" w:themeColor="text1"/>
                <w:highlight w:val="none"/>
                <w14:textFill>
                  <w14:solidFill>
                    <w14:schemeClr w14:val="tx1"/>
                  </w14:solidFill>
                </w14:textFill>
              </w:rPr>
            </w:pPr>
          </w:p>
        </w:tc>
        <w:tc>
          <w:tcPr>
            <w:tcW w:w="1007" w:type="dxa"/>
            <w:vAlign w:val="center"/>
          </w:tcPr>
          <w:p w14:paraId="1A6EC3BA">
            <w:pPr>
              <w:widowControl w:val="0"/>
              <w:snapToGrid w:val="0"/>
              <w:jc w:val="left"/>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舞台架子（铝合金桁架）</w:t>
            </w:r>
          </w:p>
        </w:tc>
        <w:tc>
          <w:tcPr>
            <w:tcW w:w="5346" w:type="dxa"/>
            <w:vAlign w:val="center"/>
          </w:tcPr>
          <w:p w14:paraId="06130C42">
            <w:pPr>
              <w:widowControl w:val="0"/>
              <w:snapToGrid w:val="0"/>
              <w:jc w:val="left"/>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shd w:val="clear" w:color="auto" w:fill="FFFFFF"/>
                <w14:textFill>
                  <w14:solidFill>
                    <w14:schemeClr w14:val="tx1"/>
                  </w14:solidFill>
                </w14:textFill>
              </w:rPr>
              <w:t>铝合金桁架，主管50×3mm，副管40×2mm，最大跨度≥15m，承重≥500kg/m，符合行业安全标准。</w:t>
            </w:r>
          </w:p>
        </w:tc>
        <w:tc>
          <w:tcPr>
            <w:tcW w:w="788" w:type="dxa"/>
            <w:vAlign w:val="center"/>
          </w:tcPr>
          <w:p w14:paraId="75B81EA7">
            <w:pPr>
              <w:widowControl w:val="0"/>
              <w:snapToGrid w:val="0"/>
              <w:jc w:val="left"/>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4</w:t>
            </w:r>
          </w:p>
        </w:tc>
        <w:tc>
          <w:tcPr>
            <w:tcW w:w="600" w:type="dxa"/>
            <w:vAlign w:val="center"/>
          </w:tcPr>
          <w:p w14:paraId="3C703593">
            <w:pPr>
              <w:widowControl w:val="0"/>
              <w:snapToGrid w:val="0"/>
              <w:jc w:val="center"/>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套</w:t>
            </w:r>
          </w:p>
        </w:tc>
      </w:tr>
      <w:tr w14:paraId="3D9ACFD2">
        <w:tblPrEx>
          <w:tblBorders>
            <w:top w:val="single" w:color="080F17" w:sz="6" w:space="0"/>
            <w:left w:val="single" w:color="080F17" w:sz="6" w:space="0"/>
            <w:bottom w:val="single" w:color="080F17" w:sz="6" w:space="0"/>
            <w:right w:val="single" w:color="080F17" w:sz="6" w:space="0"/>
            <w:insideH w:val="single" w:color="080F17" w:sz="6" w:space="0"/>
            <w:insideV w:val="single" w:color="080F17" w:sz="6" w:space="0"/>
          </w:tblBorders>
          <w:tblCellMar>
            <w:top w:w="30" w:type="dxa"/>
            <w:left w:w="180" w:type="dxa"/>
            <w:bottom w:w="30" w:type="dxa"/>
            <w:right w:w="180" w:type="dxa"/>
          </w:tblCellMar>
        </w:tblPrEx>
        <w:trPr>
          <w:jc w:val="center"/>
        </w:trPr>
        <w:tc>
          <w:tcPr>
            <w:tcW w:w="443" w:type="dxa"/>
            <w:vMerge w:val="continue"/>
            <w:vAlign w:val="center"/>
          </w:tcPr>
          <w:p w14:paraId="0628741F">
            <w:pPr>
              <w:widowControl w:val="0"/>
              <w:snapToGrid w:val="0"/>
              <w:jc w:val="center"/>
              <w:rPr>
                <w:rFonts w:ascii="Calibri" w:hAnsi="Calibri" w:eastAsia="新宋体"/>
                <w:color w:val="000000" w:themeColor="text1"/>
                <w:highlight w:val="none"/>
                <w14:textFill>
                  <w14:solidFill>
                    <w14:schemeClr w14:val="tx1"/>
                  </w14:solidFill>
                </w14:textFill>
              </w:rPr>
            </w:pPr>
          </w:p>
        </w:tc>
        <w:tc>
          <w:tcPr>
            <w:tcW w:w="900" w:type="dxa"/>
            <w:vMerge w:val="continue"/>
            <w:vAlign w:val="center"/>
          </w:tcPr>
          <w:p w14:paraId="26C50137">
            <w:pPr>
              <w:widowControl w:val="0"/>
              <w:snapToGrid w:val="0"/>
              <w:jc w:val="center"/>
              <w:rPr>
                <w:rFonts w:ascii="Calibri" w:hAnsi="Calibri" w:eastAsia="新宋体"/>
                <w:color w:val="000000" w:themeColor="text1"/>
                <w:highlight w:val="none"/>
                <w14:textFill>
                  <w14:solidFill>
                    <w14:schemeClr w14:val="tx1"/>
                  </w14:solidFill>
                </w14:textFill>
              </w:rPr>
            </w:pPr>
          </w:p>
        </w:tc>
        <w:tc>
          <w:tcPr>
            <w:tcW w:w="964" w:type="dxa"/>
            <w:vMerge w:val="continue"/>
            <w:vAlign w:val="center"/>
          </w:tcPr>
          <w:p w14:paraId="7B0970FC">
            <w:pPr>
              <w:widowControl w:val="0"/>
              <w:snapToGrid w:val="0"/>
              <w:jc w:val="center"/>
              <w:rPr>
                <w:rFonts w:ascii="Calibri" w:hAnsi="Calibri" w:eastAsia="新宋体"/>
                <w:color w:val="000000" w:themeColor="text1"/>
                <w:highlight w:val="none"/>
                <w14:textFill>
                  <w14:solidFill>
                    <w14:schemeClr w14:val="tx1"/>
                  </w14:solidFill>
                </w14:textFill>
              </w:rPr>
            </w:pPr>
          </w:p>
        </w:tc>
        <w:tc>
          <w:tcPr>
            <w:tcW w:w="1007" w:type="dxa"/>
            <w:vAlign w:val="center"/>
          </w:tcPr>
          <w:p w14:paraId="73DBF1EC">
            <w:pPr>
              <w:widowControl w:val="0"/>
              <w:snapToGrid w:val="0"/>
              <w:jc w:val="left"/>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雷亚架结构系统</w:t>
            </w:r>
          </w:p>
        </w:tc>
        <w:tc>
          <w:tcPr>
            <w:tcW w:w="5346" w:type="dxa"/>
            <w:vAlign w:val="center"/>
          </w:tcPr>
          <w:p w14:paraId="0ACA91EC">
            <w:pPr>
              <w:widowControl w:val="0"/>
              <w:snapToGrid w:val="0"/>
              <w:jc w:val="left"/>
              <w:rPr>
                <w:rFonts w:ascii="Calibri" w:hAnsi="Calibri" w:eastAsia="新宋体"/>
                <w:color w:val="000000" w:themeColor="text1"/>
                <w:highlight w:val="none"/>
                <w14:textFill>
                  <w14:solidFill>
                    <w14:schemeClr w14:val="tx1"/>
                  </w14:solidFill>
                </w14:textFill>
              </w:rPr>
            </w:pPr>
            <w:r>
              <w:rPr>
                <w:rStyle w:val="37"/>
                <w:rFonts w:ascii="Calibri" w:hAnsi="Calibri" w:eastAsia="新宋体"/>
                <w:b w:val="0"/>
                <w:color w:val="000000" w:themeColor="text1"/>
                <w:highlight w:val="none"/>
                <w:shd w:val="clear" w:color="auto" w:fill="FFFFFF"/>
                <w14:textFill>
                  <w14:solidFill>
                    <w14:schemeClr w14:val="tx1"/>
                  </w14:solidFill>
                </w14:textFill>
              </w:rPr>
              <w:t>立柱：</w:t>
            </w:r>
            <w:r>
              <w:rPr>
                <w:rFonts w:ascii="Calibri" w:hAnsi="Calibri" w:eastAsia="新宋体"/>
                <w:color w:val="000000" w:themeColor="text1"/>
                <w:highlight w:val="none"/>
                <w:shd w:val="clear" w:color="auto" w:fill="FFFFFF"/>
                <w14:textFill>
                  <w14:solidFill>
                    <w14:schemeClr w14:val="tx1"/>
                  </w14:solidFill>
                </w14:textFill>
              </w:rPr>
              <w:t>2m，Q355B材质，Φ48.3mm×3.25mm（国标足厚）</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横梁：</w:t>
            </w:r>
            <w:r>
              <w:rPr>
                <w:rFonts w:ascii="Calibri" w:hAnsi="Calibri" w:eastAsia="新宋体"/>
                <w:color w:val="000000" w:themeColor="text1"/>
                <w:highlight w:val="none"/>
                <w:shd w:val="clear" w:color="auto" w:fill="FFFFFF"/>
                <w14:textFill>
                  <w14:solidFill>
                    <w14:schemeClr w14:val="tx1"/>
                  </w14:solidFill>
                </w14:textFill>
              </w:rPr>
              <w:t>2m，Q235材质，Φ48.3mm×2.75mm（国标足厚）</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斜拉：</w:t>
            </w:r>
            <w:r>
              <w:rPr>
                <w:rFonts w:ascii="Calibri" w:hAnsi="Calibri" w:eastAsia="新宋体"/>
                <w:color w:val="000000" w:themeColor="text1"/>
                <w:highlight w:val="none"/>
                <w:shd w:val="clear" w:color="auto" w:fill="FFFFFF"/>
                <w14:textFill>
                  <w14:solidFill>
                    <w14:schemeClr w14:val="tx1"/>
                  </w14:solidFill>
                </w14:textFill>
              </w:rPr>
              <w:t>2.44m，Q195材质，Φ40mm×2.5mm（国标足厚）</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工艺：</w:t>
            </w:r>
            <w:r>
              <w:rPr>
                <w:rFonts w:ascii="Calibri" w:hAnsi="Calibri" w:eastAsia="新宋体"/>
                <w:color w:val="000000" w:themeColor="text1"/>
                <w:highlight w:val="none"/>
                <w:shd w:val="clear" w:color="auto" w:fill="FFFFFF"/>
                <w14:textFill>
                  <w14:solidFill>
                    <w14:schemeClr w14:val="tx1"/>
                  </w14:solidFill>
                </w14:textFill>
              </w:rPr>
              <w:t>全自动焊接+先镀锌打底+再大颗粒喷砂+磷化+高温黑色涂装，磨砂防滑</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配套运输框：</w:t>
            </w:r>
            <w:r>
              <w:rPr>
                <w:rFonts w:ascii="Calibri" w:hAnsi="Calibri" w:eastAsia="新宋体"/>
                <w:color w:val="000000" w:themeColor="text1"/>
                <w:highlight w:val="none"/>
                <w:shd w:val="clear" w:color="auto" w:fill="FFFFFF"/>
                <w14:textFill>
                  <w14:solidFill>
                    <w14:schemeClr w14:val="tx1"/>
                  </w14:solidFill>
                </w14:textFill>
              </w:rPr>
              <w:t>可装立柱55支/横杆120支/斜拉150支，采用50mm×实厚2.5mm国标镀锌管焊接</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承重：</w:t>
            </w:r>
            <w:r>
              <w:rPr>
                <w:rFonts w:ascii="Calibri" w:hAnsi="Calibri" w:eastAsia="新宋体"/>
                <w:color w:val="000000" w:themeColor="text1"/>
                <w:highlight w:val="none"/>
                <w:shd w:val="clear" w:color="auto" w:fill="FFFFFF"/>
                <w14:textFill>
                  <w14:solidFill>
                    <w14:schemeClr w14:val="tx1"/>
                  </w14:solidFill>
                </w14:textFill>
              </w:rPr>
              <w:t>满足悬挂灯光、音响、大屏等设备要求</w:t>
            </w:r>
          </w:p>
        </w:tc>
        <w:tc>
          <w:tcPr>
            <w:tcW w:w="788" w:type="dxa"/>
            <w:vAlign w:val="center"/>
          </w:tcPr>
          <w:p w14:paraId="78C269F5">
            <w:pPr>
              <w:widowControl w:val="0"/>
              <w:snapToGrid w:val="0"/>
              <w:jc w:val="left"/>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3980</w:t>
            </w:r>
          </w:p>
        </w:tc>
        <w:tc>
          <w:tcPr>
            <w:tcW w:w="600" w:type="dxa"/>
            <w:vAlign w:val="center"/>
          </w:tcPr>
          <w:p w14:paraId="633FF785">
            <w:pPr>
              <w:widowControl w:val="0"/>
              <w:snapToGrid w:val="0"/>
              <w:jc w:val="center"/>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根</w:t>
            </w:r>
          </w:p>
        </w:tc>
      </w:tr>
      <w:tr w14:paraId="4724460A">
        <w:tblPrEx>
          <w:tblBorders>
            <w:top w:val="single" w:color="080F17" w:sz="6" w:space="0"/>
            <w:left w:val="single" w:color="080F17" w:sz="6" w:space="0"/>
            <w:bottom w:val="single" w:color="080F17" w:sz="6" w:space="0"/>
            <w:right w:val="single" w:color="080F17" w:sz="6" w:space="0"/>
            <w:insideH w:val="single" w:color="080F17" w:sz="6" w:space="0"/>
            <w:insideV w:val="single" w:color="080F17" w:sz="6" w:space="0"/>
          </w:tblBorders>
          <w:tblCellMar>
            <w:top w:w="30" w:type="dxa"/>
            <w:left w:w="180" w:type="dxa"/>
            <w:bottom w:w="30" w:type="dxa"/>
            <w:right w:w="180" w:type="dxa"/>
          </w:tblCellMar>
        </w:tblPrEx>
        <w:trPr>
          <w:trHeight w:val="946" w:hRule="atLeast"/>
          <w:jc w:val="center"/>
        </w:trPr>
        <w:tc>
          <w:tcPr>
            <w:tcW w:w="443" w:type="dxa"/>
            <w:vMerge w:val="continue"/>
            <w:vAlign w:val="center"/>
          </w:tcPr>
          <w:p w14:paraId="408C872E">
            <w:pPr>
              <w:widowControl w:val="0"/>
              <w:snapToGrid w:val="0"/>
              <w:jc w:val="center"/>
              <w:rPr>
                <w:rFonts w:ascii="Calibri" w:hAnsi="Calibri" w:eastAsia="新宋体"/>
                <w:color w:val="000000" w:themeColor="text1"/>
                <w:highlight w:val="none"/>
                <w14:textFill>
                  <w14:solidFill>
                    <w14:schemeClr w14:val="tx1"/>
                  </w14:solidFill>
                </w14:textFill>
              </w:rPr>
            </w:pPr>
          </w:p>
        </w:tc>
        <w:tc>
          <w:tcPr>
            <w:tcW w:w="900" w:type="dxa"/>
            <w:vMerge w:val="continue"/>
            <w:vAlign w:val="center"/>
          </w:tcPr>
          <w:p w14:paraId="05028FE8">
            <w:pPr>
              <w:widowControl w:val="0"/>
              <w:snapToGrid w:val="0"/>
              <w:jc w:val="center"/>
              <w:rPr>
                <w:rFonts w:ascii="Calibri" w:hAnsi="Calibri" w:eastAsia="新宋体"/>
                <w:color w:val="000000" w:themeColor="text1"/>
                <w:highlight w:val="none"/>
                <w14:textFill>
                  <w14:solidFill>
                    <w14:schemeClr w14:val="tx1"/>
                  </w14:solidFill>
                </w14:textFill>
              </w:rPr>
            </w:pPr>
          </w:p>
        </w:tc>
        <w:tc>
          <w:tcPr>
            <w:tcW w:w="964" w:type="dxa"/>
            <w:vMerge w:val="continue"/>
            <w:vAlign w:val="center"/>
          </w:tcPr>
          <w:p w14:paraId="2FDB1D8B">
            <w:pPr>
              <w:widowControl w:val="0"/>
              <w:snapToGrid w:val="0"/>
              <w:jc w:val="center"/>
              <w:rPr>
                <w:rFonts w:ascii="Calibri" w:hAnsi="Calibri" w:eastAsia="新宋体"/>
                <w:color w:val="000000" w:themeColor="text1"/>
                <w:highlight w:val="none"/>
                <w14:textFill>
                  <w14:solidFill>
                    <w14:schemeClr w14:val="tx1"/>
                  </w14:solidFill>
                </w14:textFill>
              </w:rPr>
            </w:pPr>
          </w:p>
        </w:tc>
        <w:tc>
          <w:tcPr>
            <w:tcW w:w="1007" w:type="dxa"/>
            <w:vAlign w:val="center"/>
          </w:tcPr>
          <w:p w14:paraId="368F0154">
            <w:pPr>
              <w:widowControl w:val="0"/>
              <w:jc w:val="left"/>
              <w:rPr>
                <w:rFonts w:ascii="Calibri" w:hAnsi="Calibri" w:eastAsia="新宋体"/>
                <w:color w:val="000000" w:themeColor="text1"/>
                <w:highlight w:val="none"/>
                <w14:textFill>
                  <w14:solidFill>
                    <w14:schemeClr w14:val="tx1"/>
                  </w14:solidFill>
                </w14:textFill>
              </w:rPr>
            </w:pPr>
            <w:r>
              <w:rPr>
                <w:rFonts w:hint="eastAsia" w:ascii="宋体" w:hAnsi="宋体" w:eastAsia="Times New Roman" w:cs="宋体"/>
                <w:color w:val="000000" w:themeColor="text1"/>
                <w:sz w:val="24"/>
                <w:szCs w:val="24"/>
                <w:highlight w:val="none"/>
                <w14:textFill>
                  <w14:solidFill>
                    <w14:schemeClr w14:val="tx1"/>
                  </w14:solidFill>
                </w14:textFill>
              </w:rPr>
              <w:t>黑色网</w:t>
            </w:r>
          </w:p>
        </w:tc>
        <w:tc>
          <w:tcPr>
            <w:tcW w:w="5346" w:type="dxa"/>
            <w:vAlign w:val="center"/>
          </w:tcPr>
          <w:p w14:paraId="26DD1150">
            <w:pPr>
              <w:widowControl w:val="0"/>
              <w:spacing w:line="480" w:lineRule="exact"/>
              <w:jc w:val="left"/>
              <w:rPr>
                <w:rStyle w:val="37"/>
                <w:rFonts w:ascii="Calibri" w:hAnsi="Calibri" w:eastAsia="新宋体"/>
                <w:b w:val="0"/>
                <w:color w:val="000000" w:themeColor="text1"/>
                <w:highlight w:val="none"/>
                <w:shd w:val="clear" w:color="auto" w:fill="FFFFFF"/>
                <w14:textFill>
                  <w14:solidFill>
                    <w14:schemeClr w14:val="tx1"/>
                  </w14:solidFill>
                </w14:textFill>
              </w:rPr>
            </w:pPr>
            <w:r>
              <w:rPr>
                <w:rFonts w:hint="eastAsia" w:ascii="宋体" w:hAnsi="宋体" w:eastAsia="Times New Roman" w:cs="宋体"/>
                <w:color w:val="000000" w:themeColor="text1"/>
                <w:sz w:val="24"/>
                <w:szCs w:val="24"/>
                <w:highlight w:val="none"/>
                <w14:textFill>
                  <w14:solidFill>
                    <w14:schemeClr w14:val="tx1"/>
                  </w14:solidFill>
                </w14:textFill>
              </w:rPr>
              <w:t>1、网密度≥3针</w:t>
            </w:r>
          </w:p>
        </w:tc>
        <w:tc>
          <w:tcPr>
            <w:tcW w:w="788" w:type="dxa"/>
            <w:vAlign w:val="center"/>
          </w:tcPr>
          <w:p w14:paraId="67008DA3">
            <w:pPr>
              <w:widowControl w:val="0"/>
              <w:jc w:val="center"/>
              <w:rPr>
                <w:rFonts w:ascii="Calibri" w:hAnsi="Calibri" w:eastAsia="新宋体"/>
                <w:color w:val="000000" w:themeColor="text1"/>
                <w:highlight w:val="none"/>
                <w14:textFill>
                  <w14:solidFill>
                    <w14:schemeClr w14:val="tx1"/>
                  </w14:solidFill>
                </w14:textFill>
              </w:rPr>
            </w:pPr>
            <w:r>
              <w:rPr>
                <w:rFonts w:hint="eastAsia" w:ascii="宋体" w:hAnsi="宋体" w:eastAsia="Times New Roman" w:cs="宋体"/>
                <w:color w:val="000000" w:themeColor="text1"/>
                <w:sz w:val="24"/>
                <w:szCs w:val="24"/>
                <w:highlight w:val="none"/>
                <w14:textFill>
                  <w14:solidFill>
                    <w14:schemeClr w14:val="tx1"/>
                  </w14:solidFill>
                </w14:textFill>
              </w:rPr>
              <w:t>300</w:t>
            </w:r>
          </w:p>
        </w:tc>
        <w:tc>
          <w:tcPr>
            <w:tcW w:w="600" w:type="dxa"/>
            <w:vAlign w:val="center"/>
          </w:tcPr>
          <w:p w14:paraId="6C290C49">
            <w:pPr>
              <w:widowControl w:val="0"/>
              <w:jc w:val="center"/>
              <w:rPr>
                <w:rFonts w:ascii="Calibri" w:hAnsi="Calibri" w:eastAsia="新宋体"/>
                <w:color w:val="000000" w:themeColor="text1"/>
                <w:highlight w:val="none"/>
                <w14:textFill>
                  <w14:solidFill>
                    <w14:schemeClr w14:val="tx1"/>
                  </w14:solidFill>
                </w14:textFill>
              </w:rPr>
            </w:pPr>
            <w:r>
              <w:rPr>
                <w:rFonts w:hint="eastAsia" w:ascii="宋体" w:hAnsi="宋体" w:eastAsia="Times New Roman" w:cs="宋体"/>
                <w:color w:val="000000" w:themeColor="text1"/>
                <w:sz w:val="24"/>
                <w:szCs w:val="24"/>
                <w:highlight w:val="none"/>
                <w14:textFill>
                  <w14:solidFill>
                    <w14:schemeClr w14:val="tx1"/>
                  </w14:solidFill>
                </w14:textFill>
              </w:rPr>
              <w:t>平米</w:t>
            </w:r>
          </w:p>
        </w:tc>
      </w:tr>
      <w:tr w14:paraId="798E670F">
        <w:tblPrEx>
          <w:tblBorders>
            <w:top w:val="single" w:color="080F17" w:sz="6" w:space="0"/>
            <w:left w:val="single" w:color="080F17" w:sz="6" w:space="0"/>
            <w:bottom w:val="single" w:color="080F17" w:sz="6" w:space="0"/>
            <w:right w:val="single" w:color="080F17" w:sz="6" w:space="0"/>
            <w:insideH w:val="single" w:color="080F17" w:sz="6" w:space="0"/>
            <w:insideV w:val="single" w:color="080F17" w:sz="6" w:space="0"/>
          </w:tblBorders>
          <w:tblCellMar>
            <w:top w:w="30" w:type="dxa"/>
            <w:left w:w="180" w:type="dxa"/>
            <w:bottom w:w="30" w:type="dxa"/>
            <w:right w:w="180" w:type="dxa"/>
          </w:tblCellMar>
        </w:tblPrEx>
        <w:trPr>
          <w:trHeight w:val="946" w:hRule="atLeast"/>
          <w:jc w:val="center"/>
        </w:trPr>
        <w:tc>
          <w:tcPr>
            <w:tcW w:w="443" w:type="dxa"/>
            <w:vMerge w:val="continue"/>
            <w:vAlign w:val="center"/>
          </w:tcPr>
          <w:p w14:paraId="70957431">
            <w:pPr>
              <w:widowControl w:val="0"/>
              <w:snapToGrid w:val="0"/>
              <w:jc w:val="center"/>
              <w:rPr>
                <w:rFonts w:ascii="Calibri" w:hAnsi="Calibri" w:eastAsia="新宋体"/>
                <w:color w:val="000000" w:themeColor="text1"/>
                <w:highlight w:val="none"/>
                <w14:textFill>
                  <w14:solidFill>
                    <w14:schemeClr w14:val="tx1"/>
                  </w14:solidFill>
                </w14:textFill>
              </w:rPr>
            </w:pPr>
          </w:p>
        </w:tc>
        <w:tc>
          <w:tcPr>
            <w:tcW w:w="900" w:type="dxa"/>
            <w:vMerge w:val="continue"/>
            <w:vAlign w:val="center"/>
          </w:tcPr>
          <w:p w14:paraId="6F1DC1A8">
            <w:pPr>
              <w:widowControl w:val="0"/>
              <w:snapToGrid w:val="0"/>
              <w:jc w:val="center"/>
              <w:rPr>
                <w:rFonts w:ascii="Calibri" w:hAnsi="Calibri" w:eastAsia="新宋体"/>
                <w:color w:val="000000" w:themeColor="text1"/>
                <w:highlight w:val="none"/>
                <w14:textFill>
                  <w14:solidFill>
                    <w14:schemeClr w14:val="tx1"/>
                  </w14:solidFill>
                </w14:textFill>
              </w:rPr>
            </w:pPr>
          </w:p>
        </w:tc>
        <w:tc>
          <w:tcPr>
            <w:tcW w:w="964" w:type="dxa"/>
            <w:vMerge w:val="continue"/>
            <w:vAlign w:val="center"/>
          </w:tcPr>
          <w:p w14:paraId="28AFCB74">
            <w:pPr>
              <w:widowControl w:val="0"/>
              <w:snapToGrid w:val="0"/>
              <w:jc w:val="center"/>
              <w:rPr>
                <w:rFonts w:ascii="Calibri" w:hAnsi="Calibri" w:eastAsia="新宋体"/>
                <w:color w:val="000000" w:themeColor="text1"/>
                <w:highlight w:val="none"/>
                <w14:textFill>
                  <w14:solidFill>
                    <w14:schemeClr w14:val="tx1"/>
                  </w14:solidFill>
                </w14:textFill>
              </w:rPr>
            </w:pPr>
          </w:p>
        </w:tc>
        <w:tc>
          <w:tcPr>
            <w:tcW w:w="1007" w:type="dxa"/>
            <w:vAlign w:val="center"/>
          </w:tcPr>
          <w:p w14:paraId="188C9106">
            <w:pPr>
              <w:widowControl w:val="0"/>
              <w:jc w:val="left"/>
              <w:rPr>
                <w:rFonts w:ascii="Calibri" w:hAnsi="Calibri" w:eastAsia="新宋体"/>
                <w:color w:val="000000" w:themeColor="text1"/>
                <w:highlight w:val="none"/>
                <w14:textFill>
                  <w14:solidFill>
                    <w14:schemeClr w14:val="tx1"/>
                  </w14:solidFill>
                </w14:textFill>
              </w:rPr>
            </w:pPr>
            <w:r>
              <w:rPr>
                <w:rFonts w:hint="eastAsia" w:ascii="宋体" w:hAnsi="宋体" w:eastAsia="Times New Roman" w:cs="宋体"/>
                <w:color w:val="000000" w:themeColor="text1"/>
                <w:sz w:val="24"/>
                <w:szCs w:val="24"/>
                <w:highlight w:val="none"/>
                <w14:textFill>
                  <w14:solidFill>
                    <w14:schemeClr w14:val="tx1"/>
                  </w14:solidFill>
                </w14:textFill>
              </w:rPr>
              <w:t>加厚地毯</w:t>
            </w:r>
          </w:p>
        </w:tc>
        <w:tc>
          <w:tcPr>
            <w:tcW w:w="5346" w:type="dxa"/>
            <w:vAlign w:val="center"/>
          </w:tcPr>
          <w:p w14:paraId="2ADFAAC3">
            <w:pPr>
              <w:widowControl w:val="0"/>
              <w:spacing w:line="480" w:lineRule="exact"/>
              <w:jc w:val="left"/>
              <w:rPr>
                <w:rStyle w:val="37"/>
                <w:rFonts w:ascii="Calibri" w:hAnsi="Calibri" w:eastAsia="新宋体"/>
                <w:b w:val="0"/>
                <w:color w:val="000000" w:themeColor="text1"/>
                <w:highlight w:val="none"/>
                <w:shd w:val="clear" w:color="auto" w:fill="FFFFFF"/>
                <w14:textFill>
                  <w14:solidFill>
                    <w14:schemeClr w14:val="tx1"/>
                  </w14:solidFill>
                </w14:textFill>
              </w:rPr>
            </w:pPr>
            <w:r>
              <w:rPr>
                <w:rFonts w:hint="eastAsia" w:ascii="宋体" w:hAnsi="宋体" w:eastAsia="Times New Roman" w:cs="宋体"/>
                <w:color w:val="000000" w:themeColor="text1"/>
                <w:sz w:val="24"/>
                <w:szCs w:val="24"/>
                <w:highlight w:val="none"/>
                <w14:textFill>
                  <w14:solidFill>
                    <w14:schemeClr w14:val="tx1"/>
                  </w14:solidFill>
                </w14:textFill>
              </w:rPr>
              <w:t>1、防火阻燃加厚，颜色根据活动确定</w:t>
            </w:r>
          </w:p>
        </w:tc>
        <w:tc>
          <w:tcPr>
            <w:tcW w:w="788" w:type="dxa"/>
            <w:vAlign w:val="center"/>
          </w:tcPr>
          <w:p w14:paraId="16B7CA06">
            <w:pPr>
              <w:widowControl w:val="0"/>
              <w:jc w:val="center"/>
              <w:rPr>
                <w:rFonts w:ascii="Calibri" w:hAnsi="Calibri" w:eastAsia="新宋体"/>
                <w:color w:val="000000" w:themeColor="text1"/>
                <w:highlight w:val="none"/>
                <w14:textFill>
                  <w14:solidFill>
                    <w14:schemeClr w14:val="tx1"/>
                  </w14:solidFill>
                </w14:textFill>
              </w:rPr>
            </w:pPr>
            <w:r>
              <w:rPr>
                <w:rFonts w:hint="eastAsia" w:ascii="宋体" w:hAnsi="宋体" w:eastAsia="Times New Roman" w:cs="宋体"/>
                <w:color w:val="000000" w:themeColor="text1"/>
                <w:sz w:val="24"/>
                <w:szCs w:val="24"/>
                <w:highlight w:val="none"/>
                <w14:textFill>
                  <w14:solidFill>
                    <w14:schemeClr w14:val="tx1"/>
                  </w14:solidFill>
                </w14:textFill>
              </w:rPr>
              <w:t>360</w:t>
            </w:r>
          </w:p>
        </w:tc>
        <w:tc>
          <w:tcPr>
            <w:tcW w:w="600" w:type="dxa"/>
            <w:vAlign w:val="center"/>
          </w:tcPr>
          <w:p w14:paraId="223073D4">
            <w:pPr>
              <w:widowControl w:val="0"/>
              <w:jc w:val="center"/>
              <w:rPr>
                <w:rFonts w:ascii="Calibri" w:hAnsi="Calibri" w:eastAsia="新宋体"/>
                <w:color w:val="000000" w:themeColor="text1"/>
                <w:highlight w:val="none"/>
                <w14:textFill>
                  <w14:solidFill>
                    <w14:schemeClr w14:val="tx1"/>
                  </w14:solidFill>
                </w14:textFill>
              </w:rPr>
            </w:pPr>
            <w:r>
              <w:rPr>
                <w:rFonts w:hint="eastAsia" w:ascii="宋体" w:hAnsi="宋体" w:eastAsia="Times New Roman" w:cs="宋体"/>
                <w:color w:val="000000" w:themeColor="text1"/>
                <w:sz w:val="24"/>
                <w:szCs w:val="24"/>
                <w:highlight w:val="none"/>
                <w14:textFill>
                  <w14:solidFill>
                    <w14:schemeClr w14:val="tx1"/>
                  </w14:solidFill>
                </w14:textFill>
              </w:rPr>
              <w:t>平米</w:t>
            </w:r>
          </w:p>
        </w:tc>
      </w:tr>
      <w:tr w14:paraId="6F61BDED">
        <w:tblPrEx>
          <w:tblBorders>
            <w:top w:val="single" w:color="080F17" w:sz="6" w:space="0"/>
            <w:left w:val="single" w:color="080F17" w:sz="6" w:space="0"/>
            <w:bottom w:val="single" w:color="080F17" w:sz="6" w:space="0"/>
            <w:right w:val="single" w:color="080F17" w:sz="6" w:space="0"/>
            <w:insideH w:val="single" w:color="080F17" w:sz="6" w:space="0"/>
            <w:insideV w:val="single" w:color="080F17" w:sz="6" w:space="0"/>
          </w:tblBorders>
          <w:tblCellMar>
            <w:top w:w="30" w:type="dxa"/>
            <w:left w:w="180" w:type="dxa"/>
            <w:bottom w:w="30" w:type="dxa"/>
            <w:right w:w="180" w:type="dxa"/>
          </w:tblCellMar>
        </w:tblPrEx>
        <w:trPr>
          <w:jc w:val="center"/>
        </w:trPr>
        <w:tc>
          <w:tcPr>
            <w:tcW w:w="443" w:type="dxa"/>
            <w:vMerge w:val="continue"/>
            <w:vAlign w:val="center"/>
          </w:tcPr>
          <w:p w14:paraId="4FA18CA8">
            <w:pPr>
              <w:widowControl w:val="0"/>
              <w:snapToGrid w:val="0"/>
              <w:jc w:val="center"/>
              <w:rPr>
                <w:rFonts w:ascii="Calibri" w:hAnsi="Calibri" w:eastAsia="新宋体"/>
                <w:color w:val="000000" w:themeColor="text1"/>
                <w:highlight w:val="none"/>
                <w14:textFill>
                  <w14:solidFill>
                    <w14:schemeClr w14:val="tx1"/>
                  </w14:solidFill>
                </w14:textFill>
              </w:rPr>
            </w:pPr>
          </w:p>
        </w:tc>
        <w:tc>
          <w:tcPr>
            <w:tcW w:w="900" w:type="dxa"/>
            <w:vMerge w:val="continue"/>
            <w:vAlign w:val="center"/>
          </w:tcPr>
          <w:p w14:paraId="13EC44AB">
            <w:pPr>
              <w:widowControl w:val="0"/>
              <w:snapToGrid w:val="0"/>
              <w:jc w:val="center"/>
              <w:rPr>
                <w:rFonts w:ascii="Calibri" w:hAnsi="Calibri" w:eastAsia="新宋体"/>
                <w:color w:val="000000" w:themeColor="text1"/>
                <w:highlight w:val="none"/>
                <w14:textFill>
                  <w14:solidFill>
                    <w14:schemeClr w14:val="tx1"/>
                  </w14:solidFill>
                </w14:textFill>
              </w:rPr>
            </w:pPr>
          </w:p>
        </w:tc>
        <w:tc>
          <w:tcPr>
            <w:tcW w:w="964" w:type="dxa"/>
            <w:vMerge w:val="continue"/>
            <w:vAlign w:val="center"/>
          </w:tcPr>
          <w:p w14:paraId="31367BE8">
            <w:pPr>
              <w:widowControl w:val="0"/>
              <w:snapToGrid w:val="0"/>
              <w:jc w:val="center"/>
              <w:rPr>
                <w:rFonts w:ascii="Calibri" w:hAnsi="Calibri" w:eastAsia="新宋体"/>
                <w:color w:val="000000" w:themeColor="text1"/>
                <w:highlight w:val="none"/>
                <w14:textFill>
                  <w14:solidFill>
                    <w14:schemeClr w14:val="tx1"/>
                  </w14:solidFill>
                </w14:textFill>
              </w:rPr>
            </w:pPr>
          </w:p>
        </w:tc>
        <w:tc>
          <w:tcPr>
            <w:tcW w:w="1007" w:type="dxa"/>
            <w:vAlign w:val="center"/>
          </w:tcPr>
          <w:p w14:paraId="0626F0B4">
            <w:pPr>
              <w:widowControl w:val="0"/>
              <w:snapToGrid w:val="0"/>
              <w:jc w:val="left"/>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雷亚舞台板及配件</w:t>
            </w:r>
          </w:p>
        </w:tc>
        <w:tc>
          <w:tcPr>
            <w:tcW w:w="5346" w:type="dxa"/>
            <w:vAlign w:val="center"/>
          </w:tcPr>
          <w:p w14:paraId="2508666D">
            <w:pPr>
              <w:widowControl w:val="0"/>
              <w:snapToGrid w:val="0"/>
              <w:jc w:val="left"/>
              <w:rPr>
                <w:rFonts w:ascii="Calibri" w:hAnsi="Calibri" w:eastAsia="新宋体"/>
                <w:color w:val="000000" w:themeColor="text1"/>
                <w:highlight w:val="none"/>
                <w14:textFill>
                  <w14:solidFill>
                    <w14:schemeClr w14:val="tx1"/>
                  </w14:solidFill>
                </w14:textFill>
              </w:rPr>
            </w:pPr>
            <w:r>
              <w:rPr>
                <w:rStyle w:val="37"/>
                <w:rFonts w:ascii="Calibri" w:hAnsi="Calibri" w:eastAsia="新宋体"/>
                <w:b w:val="0"/>
                <w:color w:val="000000" w:themeColor="text1"/>
                <w:highlight w:val="none"/>
                <w:shd w:val="clear" w:color="auto" w:fill="FFFFFF"/>
                <w14:textFill>
                  <w14:solidFill>
                    <w14:schemeClr w14:val="tx1"/>
                  </w14:solidFill>
                </w14:textFill>
              </w:rPr>
              <w:t>舞台板：</w:t>
            </w:r>
            <w:r>
              <w:rPr>
                <w:rFonts w:ascii="Calibri" w:hAnsi="Calibri" w:eastAsia="新宋体"/>
                <w:color w:val="000000" w:themeColor="text1"/>
                <w:highlight w:val="none"/>
                <w:shd w:val="clear" w:color="auto" w:fill="FFFFFF"/>
                <w14:textFill>
                  <w14:solidFill>
                    <w14:schemeClr w14:val="tx1"/>
                  </w14:solidFill>
                </w14:textFill>
              </w:rPr>
              <w:t>1×2米包边雷亚舞台，防滑板采用18mm桉木+酚醛胶（水煮72小时不开胶），框架为30mm×68mm×2.0mm矩形管</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舞台立柱：</w:t>
            </w:r>
            <w:r>
              <w:rPr>
                <w:rFonts w:ascii="Calibri" w:hAnsi="Calibri" w:eastAsia="新宋体"/>
                <w:color w:val="000000" w:themeColor="text1"/>
                <w:highlight w:val="none"/>
                <w:shd w:val="clear" w:color="auto" w:fill="FFFFFF"/>
                <w14:textFill>
                  <w14:solidFill>
                    <w14:schemeClr w14:val="tx1"/>
                  </w14:solidFill>
                </w14:textFill>
              </w:rPr>
              <w:t>银色镀锌管，单盘，Φ48mm×2mm（高度0.4/0.6/0.8m可选）</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舞台横杆：</w:t>
            </w:r>
            <w:r>
              <w:rPr>
                <w:rFonts w:ascii="Calibri" w:hAnsi="Calibri" w:eastAsia="新宋体"/>
                <w:color w:val="000000" w:themeColor="text1"/>
                <w:highlight w:val="none"/>
                <w:shd w:val="clear" w:color="auto" w:fill="FFFFFF"/>
                <w14:textFill>
                  <w14:solidFill>
                    <w14:schemeClr w14:val="tx1"/>
                  </w14:solidFill>
                </w14:textFill>
              </w:rPr>
              <w:t>银色镀锌管，Φ48mm×1.5mm（长度1m、2m及收边横杆）</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舞台托爪：</w:t>
            </w:r>
            <w:r>
              <w:rPr>
                <w:rFonts w:ascii="Calibri" w:hAnsi="Calibri" w:eastAsia="新宋体"/>
                <w:color w:val="000000" w:themeColor="text1"/>
                <w:highlight w:val="none"/>
                <w:shd w:val="clear" w:color="auto" w:fill="FFFFFF"/>
                <w14:textFill>
                  <w14:solidFill>
                    <w14:schemeClr w14:val="tx1"/>
                  </w14:solidFill>
                </w14:textFill>
              </w:rPr>
              <w:t>配套使用</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重型调节丝：</w:t>
            </w:r>
            <w:r>
              <w:rPr>
                <w:rFonts w:ascii="Calibri" w:hAnsi="Calibri" w:eastAsia="新宋体"/>
                <w:color w:val="000000" w:themeColor="text1"/>
                <w:highlight w:val="none"/>
                <w:shd w:val="clear" w:color="auto" w:fill="FFFFFF"/>
                <w14:textFill>
                  <w14:solidFill>
                    <w14:schemeClr w14:val="tx1"/>
                  </w14:solidFill>
                </w14:textFill>
              </w:rPr>
              <w:t>150mm×150mm方形底座，高度30cm</w:t>
            </w:r>
          </w:p>
        </w:tc>
        <w:tc>
          <w:tcPr>
            <w:tcW w:w="788" w:type="dxa"/>
            <w:vAlign w:val="center"/>
          </w:tcPr>
          <w:p w14:paraId="227BA018">
            <w:pPr>
              <w:widowControl w:val="0"/>
              <w:snapToGrid w:val="0"/>
              <w:jc w:val="left"/>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300</w:t>
            </w:r>
          </w:p>
        </w:tc>
        <w:tc>
          <w:tcPr>
            <w:tcW w:w="600" w:type="dxa"/>
            <w:vAlign w:val="center"/>
          </w:tcPr>
          <w:p w14:paraId="5C6BBDBA">
            <w:pPr>
              <w:widowControl w:val="0"/>
              <w:snapToGrid w:val="0"/>
              <w:jc w:val="center"/>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平米</w:t>
            </w:r>
          </w:p>
        </w:tc>
      </w:tr>
      <w:tr w14:paraId="7173557F">
        <w:tblPrEx>
          <w:tblBorders>
            <w:top w:val="single" w:color="080F17" w:sz="6" w:space="0"/>
            <w:left w:val="single" w:color="080F17" w:sz="6" w:space="0"/>
            <w:bottom w:val="single" w:color="080F17" w:sz="6" w:space="0"/>
            <w:right w:val="single" w:color="080F17" w:sz="6" w:space="0"/>
            <w:insideH w:val="single" w:color="080F17" w:sz="6" w:space="0"/>
            <w:insideV w:val="single" w:color="080F17" w:sz="6" w:space="0"/>
          </w:tblBorders>
          <w:tblCellMar>
            <w:top w:w="30" w:type="dxa"/>
            <w:left w:w="180" w:type="dxa"/>
            <w:bottom w:w="30" w:type="dxa"/>
            <w:right w:w="180" w:type="dxa"/>
          </w:tblCellMar>
        </w:tblPrEx>
        <w:trPr>
          <w:jc w:val="center"/>
        </w:trPr>
        <w:tc>
          <w:tcPr>
            <w:tcW w:w="443" w:type="dxa"/>
            <w:vMerge w:val="continue"/>
            <w:vAlign w:val="center"/>
          </w:tcPr>
          <w:p w14:paraId="184487BA">
            <w:pPr>
              <w:widowControl w:val="0"/>
              <w:snapToGrid w:val="0"/>
              <w:jc w:val="center"/>
              <w:rPr>
                <w:rFonts w:ascii="Calibri" w:hAnsi="Calibri" w:eastAsia="新宋体"/>
                <w:color w:val="000000" w:themeColor="text1"/>
                <w:highlight w:val="none"/>
                <w14:textFill>
                  <w14:solidFill>
                    <w14:schemeClr w14:val="tx1"/>
                  </w14:solidFill>
                </w14:textFill>
              </w:rPr>
            </w:pPr>
          </w:p>
        </w:tc>
        <w:tc>
          <w:tcPr>
            <w:tcW w:w="900" w:type="dxa"/>
            <w:vMerge w:val="continue"/>
            <w:vAlign w:val="center"/>
          </w:tcPr>
          <w:p w14:paraId="5ED58CAF">
            <w:pPr>
              <w:widowControl w:val="0"/>
              <w:snapToGrid w:val="0"/>
              <w:jc w:val="center"/>
              <w:rPr>
                <w:rFonts w:ascii="Calibri" w:hAnsi="Calibri" w:eastAsia="新宋体"/>
                <w:color w:val="000000" w:themeColor="text1"/>
                <w:highlight w:val="none"/>
                <w14:textFill>
                  <w14:solidFill>
                    <w14:schemeClr w14:val="tx1"/>
                  </w14:solidFill>
                </w14:textFill>
              </w:rPr>
            </w:pPr>
          </w:p>
        </w:tc>
        <w:tc>
          <w:tcPr>
            <w:tcW w:w="964" w:type="dxa"/>
            <w:vMerge w:val="restart"/>
            <w:vAlign w:val="center"/>
          </w:tcPr>
          <w:p w14:paraId="28A47E49">
            <w:pPr>
              <w:widowControl w:val="0"/>
              <w:snapToGrid w:val="0"/>
              <w:jc w:val="center"/>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吊挂系统</w:t>
            </w:r>
          </w:p>
        </w:tc>
        <w:tc>
          <w:tcPr>
            <w:tcW w:w="1007" w:type="dxa"/>
            <w:vAlign w:val="center"/>
          </w:tcPr>
          <w:p w14:paraId="7D1CD8A3">
            <w:pPr>
              <w:widowControl w:val="0"/>
              <w:snapToGrid w:val="0"/>
              <w:jc w:val="left"/>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电动葫芦</w:t>
            </w:r>
          </w:p>
        </w:tc>
        <w:tc>
          <w:tcPr>
            <w:tcW w:w="5346" w:type="dxa"/>
            <w:vAlign w:val="center"/>
          </w:tcPr>
          <w:p w14:paraId="62C7BB17">
            <w:pPr>
              <w:widowControl w:val="0"/>
              <w:snapToGrid w:val="0"/>
              <w:jc w:val="left"/>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shd w:val="clear" w:color="auto" w:fill="FFFFFF"/>
                <w14:textFill>
                  <w14:solidFill>
                    <w14:schemeClr w14:val="tx1"/>
                  </w14:solidFill>
                </w14:textFill>
              </w:rPr>
              <w:t>IP54防护，单台载重≥1吨，链条长度≥20m，具备限位开关和紧急制动，控制方式为有线遥控或无线遥控。</w:t>
            </w:r>
          </w:p>
        </w:tc>
        <w:tc>
          <w:tcPr>
            <w:tcW w:w="788" w:type="dxa"/>
            <w:vAlign w:val="center"/>
          </w:tcPr>
          <w:p w14:paraId="0B101D0B">
            <w:pPr>
              <w:widowControl w:val="0"/>
              <w:snapToGrid w:val="0"/>
              <w:jc w:val="left"/>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4</w:t>
            </w:r>
          </w:p>
        </w:tc>
        <w:tc>
          <w:tcPr>
            <w:tcW w:w="600" w:type="dxa"/>
            <w:vAlign w:val="center"/>
          </w:tcPr>
          <w:p w14:paraId="11F3A6CB">
            <w:pPr>
              <w:widowControl w:val="0"/>
              <w:snapToGrid w:val="0"/>
              <w:jc w:val="center"/>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台</w:t>
            </w:r>
          </w:p>
        </w:tc>
      </w:tr>
      <w:tr w14:paraId="3B54CA08">
        <w:tblPrEx>
          <w:tblBorders>
            <w:top w:val="single" w:color="080F17" w:sz="6" w:space="0"/>
            <w:left w:val="single" w:color="080F17" w:sz="6" w:space="0"/>
            <w:bottom w:val="single" w:color="080F17" w:sz="6" w:space="0"/>
            <w:right w:val="single" w:color="080F17" w:sz="6" w:space="0"/>
            <w:insideH w:val="single" w:color="080F17" w:sz="6" w:space="0"/>
            <w:insideV w:val="single" w:color="080F17" w:sz="6" w:space="0"/>
          </w:tblBorders>
          <w:tblCellMar>
            <w:top w:w="30" w:type="dxa"/>
            <w:left w:w="180" w:type="dxa"/>
            <w:bottom w:w="30" w:type="dxa"/>
            <w:right w:w="180" w:type="dxa"/>
          </w:tblCellMar>
        </w:tblPrEx>
        <w:trPr>
          <w:jc w:val="center"/>
        </w:trPr>
        <w:tc>
          <w:tcPr>
            <w:tcW w:w="443" w:type="dxa"/>
            <w:vMerge w:val="continue"/>
            <w:vAlign w:val="center"/>
          </w:tcPr>
          <w:p w14:paraId="0E21E0DD">
            <w:pPr>
              <w:widowControl w:val="0"/>
              <w:snapToGrid w:val="0"/>
              <w:jc w:val="center"/>
              <w:rPr>
                <w:rFonts w:ascii="Calibri" w:hAnsi="Calibri" w:eastAsia="新宋体"/>
                <w:color w:val="000000" w:themeColor="text1"/>
                <w:highlight w:val="none"/>
                <w14:textFill>
                  <w14:solidFill>
                    <w14:schemeClr w14:val="tx1"/>
                  </w14:solidFill>
                </w14:textFill>
              </w:rPr>
            </w:pPr>
          </w:p>
        </w:tc>
        <w:tc>
          <w:tcPr>
            <w:tcW w:w="900" w:type="dxa"/>
            <w:vMerge w:val="continue"/>
            <w:vAlign w:val="center"/>
          </w:tcPr>
          <w:p w14:paraId="0633C149">
            <w:pPr>
              <w:widowControl w:val="0"/>
              <w:snapToGrid w:val="0"/>
              <w:jc w:val="center"/>
              <w:rPr>
                <w:rFonts w:ascii="Calibri" w:hAnsi="Calibri" w:eastAsia="新宋体"/>
                <w:color w:val="000000" w:themeColor="text1"/>
                <w:highlight w:val="none"/>
                <w14:textFill>
                  <w14:solidFill>
                    <w14:schemeClr w14:val="tx1"/>
                  </w14:solidFill>
                </w14:textFill>
              </w:rPr>
            </w:pPr>
          </w:p>
        </w:tc>
        <w:tc>
          <w:tcPr>
            <w:tcW w:w="964" w:type="dxa"/>
            <w:vMerge w:val="continue"/>
            <w:vAlign w:val="center"/>
          </w:tcPr>
          <w:p w14:paraId="47D01F93">
            <w:pPr>
              <w:widowControl w:val="0"/>
              <w:snapToGrid w:val="0"/>
              <w:jc w:val="center"/>
              <w:rPr>
                <w:rFonts w:ascii="Calibri" w:hAnsi="Calibri" w:eastAsia="新宋体"/>
                <w:color w:val="000000" w:themeColor="text1"/>
                <w:highlight w:val="none"/>
                <w14:textFill>
                  <w14:solidFill>
                    <w14:schemeClr w14:val="tx1"/>
                  </w14:solidFill>
                </w14:textFill>
              </w:rPr>
            </w:pPr>
          </w:p>
        </w:tc>
        <w:tc>
          <w:tcPr>
            <w:tcW w:w="1007" w:type="dxa"/>
            <w:vAlign w:val="center"/>
          </w:tcPr>
          <w:p w14:paraId="19F442E8">
            <w:pPr>
              <w:widowControl w:val="0"/>
              <w:snapToGrid w:val="0"/>
              <w:jc w:val="left"/>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吊架（葫芦吊梁）</w:t>
            </w:r>
          </w:p>
        </w:tc>
        <w:tc>
          <w:tcPr>
            <w:tcW w:w="5346" w:type="dxa"/>
            <w:vAlign w:val="center"/>
          </w:tcPr>
          <w:p w14:paraId="0CF9EDE8">
            <w:pPr>
              <w:widowControl w:val="0"/>
              <w:snapToGrid w:val="0"/>
              <w:jc w:val="left"/>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shd w:val="clear" w:color="auto" w:fill="FFFFFF"/>
                <w14:textFill>
                  <w14:solidFill>
                    <w14:schemeClr w14:val="tx1"/>
                  </w14:solidFill>
                </w14:textFill>
              </w:rPr>
              <w:t>钢制桁架式吊梁，与电动葫芦配套，承重≥2吨，含吊带、卸扣等配件。</w:t>
            </w:r>
          </w:p>
        </w:tc>
        <w:tc>
          <w:tcPr>
            <w:tcW w:w="788" w:type="dxa"/>
            <w:vAlign w:val="center"/>
          </w:tcPr>
          <w:p w14:paraId="495D7A41">
            <w:pPr>
              <w:widowControl w:val="0"/>
              <w:snapToGrid w:val="0"/>
              <w:jc w:val="left"/>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4</w:t>
            </w:r>
          </w:p>
        </w:tc>
        <w:tc>
          <w:tcPr>
            <w:tcW w:w="600" w:type="dxa"/>
            <w:vAlign w:val="center"/>
          </w:tcPr>
          <w:p w14:paraId="1EDC4773">
            <w:pPr>
              <w:widowControl w:val="0"/>
              <w:snapToGrid w:val="0"/>
              <w:jc w:val="center"/>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套</w:t>
            </w:r>
          </w:p>
        </w:tc>
      </w:tr>
      <w:tr w14:paraId="7F2A3CBD">
        <w:tblPrEx>
          <w:tblBorders>
            <w:top w:val="single" w:color="080F17" w:sz="6" w:space="0"/>
            <w:left w:val="single" w:color="080F17" w:sz="6" w:space="0"/>
            <w:bottom w:val="single" w:color="080F17" w:sz="6" w:space="0"/>
            <w:right w:val="single" w:color="080F17" w:sz="6" w:space="0"/>
            <w:insideH w:val="single" w:color="080F17" w:sz="6" w:space="0"/>
            <w:insideV w:val="single" w:color="080F17" w:sz="6" w:space="0"/>
          </w:tblBorders>
          <w:tblCellMar>
            <w:top w:w="30" w:type="dxa"/>
            <w:left w:w="180" w:type="dxa"/>
            <w:bottom w:w="30" w:type="dxa"/>
            <w:right w:w="180" w:type="dxa"/>
          </w:tblCellMar>
        </w:tblPrEx>
        <w:trPr>
          <w:jc w:val="center"/>
        </w:trPr>
        <w:tc>
          <w:tcPr>
            <w:tcW w:w="443" w:type="dxa"/>
            <w:vMerge w:val="restart"/>
            <w:vAlign w:val="center"/>
          </w:tcPr>
          <w:p w14:paraId="5E2C97C4">
            <w:pPr>
              <w:widowControl w:val="0"/>
              <w:snapToGrid w:val="0"/>
              <w:jc w:val="center"/>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5</w:t>
            </w:r>
          </w:p>
        </w:tc>
        <w:tc>
          <w:tcPr>
            <w:tcW w:w="900" w:type="dxa"/>
            <w:vMerge w:val="restart"/>
            <w:vAlign w:val="center"/>
          </w:tcPr>
          <w:p w14:paraId="23510962">
            <w:pPr>
              <w:widowControl w:val="0"/>
              <w:snapToGrid w:val="0"/>
              <w:jc w:val="center"/>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配电设备</w:t>
            </w:r>
          </w:p>
        </w:tc>
        <w:tc>
          <w:tcPr>
            <w:tcW w:w="964" w:type="dxa"/>
            <w:vMerge w:val="restart"/>
            <w:vAlign w:val="center"/>
          </w:tcPr>
          <w:p w14:paraId="3FA2F0B1">
            <w:pPr>
              <w:widowControl w:val="0"/>
              <w:snapToGrid w:val="0"/>
              <w:jc w:val="center"/>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电力传输</w:t>
            </w:r>
          </w:p>
        </w:tc>
        <w:tc>
          <w:tcPr>
            <w:tcW w:w="1007" w:type="dxa"/>
            <w:vAlign w:val="center"/>
          </w:tcPr>
          <w:p w14:paraId="791A6E0D">
            <w:pPr>
              <w:widowControl w:val="0"/>
              <w:snapToGrid w:val="0"/>
              <w:jc w:val="left"/>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主电缆（三相五线）</w:t>
            </w:r>
          </w:p>
        </w:tc>
        <w:tc>
          <w:tcPr>
            <w:tcW w:w="5346" w:type="dxa"/>
            <w:vAlign w:val="center"/>
          </w:tcPr>
          <w:p w14:paraId="7F51F685">
            <w:pPr>
              <w:widowControl w:val="0"/>
              <w:snapToGrid w:val="0"/>
              <w:jc w:val="left"/>
              <w:rPr>
                <w:rFonts w:ascii="Calibri" w:hAnsi="Calibri" w:eastAsia="新宋体"/>
                <w:color w:val="000000" w:themeColor="text1"/>
                <w:highlight w:val="none"/>
                <w14:textFill>
                  <w14:solidFill>
                    <w14:schemeClr w14:val="tx1"/>
                  </w14:solidFill>
                </w14:textFill>
              </w:rPr>
            </w:pPr>
            <w:r>
              <w:rPr>
                <w:rStyle w:val="37"/>
                <w:rFonts w:ascii="Calibri" w:hAnsi="Calibri" w:eastAsia="新宋体"/>
                <w:b w:val="0"/>
                <w:color w:val="000000" w:themeColor="text1"/>
                <w:highlight w:val="none"/>
                <w:shd w:val="clear" w:color="auto" w:fill="FFFFFF"/>
                <w14:textFill>
                  <w14:solidFill>
                    <w14:schemeClr w14:val="tx1"/>
                  </w14:solidFill>
                </w14:textFill>
              </w:rPr>
              <w:t>型号：</w:t>
            </w:r>
            <w:r>
              <w:rPr>
                <w:rFonts w:ascii="Calibri" w:hAnsi="Calibri" w:eastAsia="新宋体"/>
                <w:color w:val="000000" w:themeColor="text1"/>
                <w:highlight w:val="none"/>
                <w:shd w:val="clear" w:color="auto" w:fill="FFFFFF"/>
                <w14:textFill>
                  <w14:solidFill>
                    <w14:schemeClr w14:val="tx1"/>
                  </w14:solidFill>
                </w14:textFill>
              </w:rPr>
              <w:t>YZW橡套阻燃电缆，软线</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规格：</w:t>
            </w:r>
            <w:r>
              <w:rPr>
                <w:rFonts w:ascii="Calibri" w:hAnsi="Calibri" w:eastAsia="新宋体"/>
                <w:color w:val="000000" w:themeColor="text1"/>
                <w:highlight w:val="none"/>
                <w:shd w:val="clear" w:color="auto" w:fill="FFFFFF"/>
                <w14:textFill>
                  <w14:solidFill>
                    <w14:schemeClr w14:val="tx1"/>
                  </w14:solidFill>
                </w14:textFill>
              </w:rPr>
              <w:t>5×16mm²、5×25mm²、5×35mm²等多种可选</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额定电压：</w:t>
            </w:r>
            <w:r>
              <w:rPr>
                <w:rFonts w:ascii="Calibri" w:hAnsi="Calibri" w:eastAsia="新宋体"/>
                <w:color w:val="000000" w:themeColor="text1"/>
                <w:highlight w:val="none"/>
                <w:shd w:val="clear" w:color="auto" w:fill="FFFFFF"/>
                <w14:textFill>
                  <w14:solidFill>
                    <w14:schemeClr w14:val="tx1"/>
                  </w14:solidFill>
                </w14:textFill>
              </w:rPr>
              <w:t>450/750V</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特点：</w:t>
            </w:r>
            <w:r>
              <w:rPr>
                <w:rFonts w:ascii="Calibri" w:hAnsi="Calibri" w:eastAsia="新宋体"/>
                <w:color w:val="000000" w:themeColor="text1"/>
                <w:highlight w:val="none"/>
                <w:shd w:val="clear" w:color="auto" w:fill="FFFFFF"/>
                <w14:textFill>
                  <w14:solidFill>
                    <w14:schemeClr w14:val="tx1"/>
                  </w14:solidFill>
                </w14:textFill>
              </w:rPr>
              <w:t>阻燃、耐磨、耐油，适合演出流动使用</w:t>
            </w:r>
          </w:p>
        </w:tc>
        <w:tc>
          <w:tcPr>
            <w:tcW w:w="788" w:type="dxa"/>
            <w:vAlign w:val="center"/>
          </w:tcPr>
          <w:p w14:paraId="305778F1">
            <w:pPr>
              <w:widowControl w:val="0"/>
              <w:snapToGrid w:val="0"/>
              <w:jc w:val="left"/>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200</w:t>
            </w:r>
          </w:p>
        </w:tc>
        <w:tc>
          <w:tcPr>
            <w:tcW w:w="600" w:type="dxa"/>
            <w:vAlign w:val="center"/>
          </w:tcPr>
          <w:p w14:paraId="1CF79626">
            <w:pPr>
              <w:widowControl w:val="0"/>
              <w:snapToGrid w:val="0"/>
              <w:jc w:val="center"/>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米</w:t>
            </w:r>
          </w:p>
        </w:tc>
      </w:tr>
      <w:tr w14:paraId="55098516">
        <w:tblPrEx>
          <w:tblBorders>
            <w:top w:val="single" w:color="080F17" w:sz="6" w:space="0"/>
            <w:left w:val="single" w:color="080F17" w:sz="6" w:space="0"/>
            <w:bottom w:val="single" w:color="080F17" w:sz="6" w:space="0"/>
            <w:right w:val="single" w:color="080F17" w:sz="6" w:space="0"/>
            <w:insideH w:val="single" w:color="080F17" w:sz="6" w:space="0"/>
            <w:insideV w:val="single" w:color="080F17" w:sz="6" w:space="0"/>
          </w:tblBorders>
          <w:tblCellMar>
            <w:top w:w="30" w:type="dxa"/>
            <w:left w:w="180" w:type="dxa"/>
            <w:bottom w:w="30" w:type="dxa"/>
            <w:right w:w="180" w:type="dxa"/>
          </w:tblCellMar>
        </w:tblPrEx>
        <w:trPr>
          <w:jc w:val="center"/>
        </w:trPr>
        <w:tc>
          <w:tcPr>
            <w:tcW w:w="443" w:type="dxa"/>
            <w:vMerge w:val="continue"/>
            <w:vAlign w:val="center"/>
          </w:tcPr>
          <w:p w14:paraId="4CBF4138">
            <w:pPr>
              <w:widowControl w:val="0"/>
              <w:snapToGrid w:val="0"/>
              <w:jc w:val="center"/>
              <w:rPr>
                <w:rFonts w:ascii="Calibri" w:hAnsi="Calibri" w:eastAsia="新宋体"/>
                <w:color w:val="000000" w:themeColor="text1"/>
                <w:highlight w:val="none"/>
                <w14:textFill>
                  <w14:solidFill>
                    <w14:schemeClr w14:val="tx1"/>
                  </w14:solidFill>
                </w14:textFill>
              </w:rPr>
            </w:pPr>
          </w:p>
        </w:tc>
        <w:tc>
          <w:tcPr>
            <w:tcW w:w="900" w:type="dxa"/>
            <w:vMerge w:val="continue"/>
            <w:vAlign w:val="center"/>
          </w:tcPr>
          <w:p w14:paraId="17BC17B6">
            <w:pPr>
              <w:widowControl w:val="0"/>
              <w:snapToGrid w:val="0"/>
              <w:jc w:val="center"/>
              <w:rPr>
                <w:rFonts w:ascii="Calibri" w:hAnsi="Calibri" w:eastAsia="新宋体"/>
                <w:color w:val="000000" w:themeColor="text1"/>
                <w:highlight w:val="none"/>
                <w14:textFill>
                  <w14:solidFill>
                    <w14:schemeClr w14:val="tx1"/>
                  </w14:solidFill>
                </w14:textFill>
              </w:rPr>
            </w:pPr>
          </w:p>
        </w:tc>
        <w:tc>
          <w:tcPr>
            <w:tcW w:w="964" w:type="dxa"/>
            <w:vMerge w:val="continue"/>
            <w:vAlign w:val="center"/>
          </w:tcPr>
          <w:p w14:paraId="7F58C5D3">
            <w:pPr>
              <w:widowControl w:val="0"/>
              <w:snapToGrid w:val="0"/>
              <w:jc w:val="center"/>
              <w:rPr>
                <w:rFonts w:ascii="Calibri" w:hAnsi="Calibri" w:eastAsia="新宋体"/>
                <w:color w:val="000000" w:themeColor="text1"/>
                <w:highlight w:val="none"/>
                <w14:textFill>
                  <w14:solidFill>
                    <w14:schemeClr w14:val="tx1"/>
                  </w14:solidFill>
                </w14:textFill>
              </w:rPr>
            </w:pPr>
          </w:p>
        </w:tc>
        <w:tc>
          <w:tcPr>
            <w:tcW w:w="1007" w:type="dxa"/>
            <w:vAlign w:val="center"/>
          </w:tcPr>
          <w:p w14:paraId="573A0F60">
            <w:pPr>
              <w:widowControl w:val="0"/>
              <w:snapToGrid w:val="0"/>
              <w:jc w:val="left"/>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电源直通柜（主配电）</w:t>
            </w:r>
          </w:p>
        </w:tc>
        <w:tc>
          <w:tcPr>
            <w:tcW w:w="5346" w:type="dxa"/>
            <w:vAlign w:val="center"/>
          </w:tcPr>
          <w:p w14:paraId="04CC2361">
            <w:pPr>
              <w:widowControl w:val="0"/>
              <w:snapToGrid w:val="0"/>
              <w:jc w:val="left"/>
              <w:rPr>
                <w:rFonts w:ascii="Calibri" w:hAnsi="Calibri" w:eastAsia="新宋体"/>
                <w:color w:val="000000" w:themeColor="text1"/>
                <w:highlight w:val="none"/>
                <w14:textFill>
                  <w14:solidFill>
                    <w14:schemeClr w14:val="tx1"/>
                  </w14:solidFill>
                </w14:textFill>
              </w:rPr>
            </w:pPr>
            <w:r>
              <w:rPr>
                <w:rStyle w:val="37"/>
                <w:rFonts w:ascii="Calibri" w:hAnsi="Calibri" w:eastAsia="新宋体"/>
                <w:b w:val="0"/>
                <w:color w:val="000000" w:themeColor="text1"/>
                <w:highlight w:val="none"/>
                <w:shd w:val="clear" w:color="auto" w:fill="FFFFFF"/>
                <w14:textFill>
                  <w14:solidFill>
                    <w14:schemeClr w14:val="tx1"/>
                  </w14:solidFill>
                </w14:textFill>
              </w:rPr>
              <w:t>供电：</w:t>
            </w:r>
            <w:r>
              <w:rPr>
                <w:rFonts w:ascii="Calibri" w:hAnsi="Calibri" w:eastAsia="新宋体"/>
                <w:color w:val="000000" w:themeColor="text1"/>
                <w:highlight w:val="none"/>
                <w:shd w:val="clear" w:color="auto" w:fill="FFFFFF"/>
                <w14:textFill>
                  <w14:solidFill>
                    <w14:schemeClr w14:val="tx1"/>
                  </w14:solidFill>
                </w14:textFill>
              </w:rPr>
              <w:t>三相五线AC380V±10%，50/60Hz</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输入电流：</w:t>
            </w:r>
            <w:r>
              <w:rPr>
                <w:rFonts w:ascii="Calibri" w:hAnsi="Calibri" w:eastAsia="新宋体"/>
                <w:color w:val="000000" w:themeColor="text1"/>
                <w:highlight w:val="none"/>
                <w:shd w:val="clear" w:color="auto" w:fill="FFFFFF"/>
                <w14:textFill>
                  <w14:solidFill>
                    <w14:schemeClr w14:val="tx1"/>
                  </w14:solidFill>
                </w14:textFill>
              </w:rPr>
              <w:t>200A或400A犀牛插</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输出：</w:t>
            </w:r>
            <w:r>
              <w:rPr>
                <w:rFonts w:ascii="Calibri" w:hAnsi="Calibri" w:eastAsia="新宋体"/>
                <w:color w:val="000000" w:themeColor="text1"/>
                <w:highlight w:val="none"/>
                <w:shd w:val="clear" w:color="auto" w:fill="FFFFFF"/>
                <w14:textFill>
                  <w14:solidFill>
                    <w14:schemeClr w14:val="tx1"/>
                  </w14:solidFill>
                </w14:textFill>
              </w:rPr>
              <w:t>24路或36路16A防水输出，每路带指示灯</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显示：</w:t>
            </w:r>
            <w:r>
              <w:rPr>
                <w:rFonts w:ascii="Calibri" w:hAnsi="Calibri" w:eastAsia="新宋体"/>
                <w:color w:val="000000" w:themeColor="text1"/>
                <w:highlight w:val="none"/>
                <w:shd w:val="clear" w:color="auto" w:fill="FFFFFF"/>
                <w14:textFill>
                  <w14:solidFill>
                    <w14:schemeClr w14:val="tx1"/>
                  </w14:solidFill>
                </w14:textFill>
              </w:rPr>
              <w:t>三相独立液晶电流/电压表</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保护：</w:t>
            </w:r>
            <w:r>
              <w:rPr>
                <w:rFonts w:ascii="Calibri" w:hAnsi="Calibri" w:eastAsia="新宋体"/>
                <w:color w:val="000000" w:themeColor="text1"/>
                <w:highlight w:val="none"/>
                <w:shd w:val="clear" w:color="auto" w:fill="FFFFFF"/>
                <w14:textFill>
                  <w14:solidFill>
                    <w14:schemeClr w14:val="tx1"/>
                  </w14:solidFill>
                </w14:textFill>
              </w:rPr>
              <w:t>总空开+每路分空开，过载短路双重保护</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机身：</w:t>
            </w:r>
            <w:r>
              <w:rPr>
                <w:rFonts w:ascii="Calibri" w:hAnsi="Calibri" w:eastAsia="新宋体"/>
                <w:color w:val="000000" w:themeColor="text1"/>
                <w:highlight w:val="none"/>
                <w:shd w:val="clear" w:color="auto" w:fill="FFFFFF"/>
                <w14:textFill>
                  <w14:solidFill>
                    <w14:schemeClr w14:val="tx1"/>
                  </w14:solidFill>
                </w14:textFill>
              </w:rPr>
              <w:t>双层防震六角纹板材，静音轮</w:t>
            </w:r>
          </w:p>
        </w:tc>
        <w:tc>
          <w:tcPr>
            <w:tcW w:w="788" w:type="dxa"/>
            <w:vAlign w:val="center"/>
          </w:tcPr>
          <w:p w14:paraId="4BDD0EDC">
            <w:pPr>
              <w:widowControl w:val="0"/>
              <w:snapToGrid w:val="0"/>
              <w:jc w:val="left"/>
              <w:rPr>
                <w:rFonts w:ascii="Calibri" w:hAnsi="Calibri" w:eastAsia="新宋体"/>
                <w:color w:val="000000" w:themeColor="text1"/>
                <w:highlight w:val="none"/>
                <w14:textFill>
                  <w14:solidFill>
                    <w14:schemeClr w14:val="tx1"/>
                  </w14:solidFill>
                </w14:textFill>
              </w:rPr>
            </w:pPr>
            <w:r>
              <w:rPr>
                <w:rFonts w:hint="eastAsia" w:ascii="Calibri" w:hAnsi="Calibri" w:eastAsia="新宋体"/>
                <w:color w:val="000000" w:themeColor="text1"/>
                <w:highlight w:val="none"/>
                <w14:textFill>
                  <w14:solidFill>
                    <w14:schemeClr w14:val="tx1"/>
                  </w14:solidFill>
                </w14:textFill>
              </w:rPr>
              <w:t>6</w:t>
            </w:r>
          </w:p>
        </w:tc>
        <w:tc>
          <w:tcPr>
            <w:tcW w:w="600" w:type="dxa"/>
            <w:vAlign w:val="center"/>
          </w:tcPr>
          <w:p w14:paraId="170D9532">
            <w:pPr>
              <w:widowControl w:val="0"/>
              <w:snapToGrid w:val="0"/>
              <w:jc w:val="center"/>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台</w:t>
            </w:r>
          </w:p>
        </w:tc>
      </w:tr>
      <w:tr w14:paraId="6574090B">
        <w:tblPrEx>
          <w:tblBorders>
            <w:top w:val="single" w:color="080F17" w:sz="6" w:space="0"/>
            <w:left w:val="single" w:color="080F17" w:sz="6" w:space="0"/>
            <w:bottom w:val="single" w:color="080F17" w:sz="6" w:space="0"/>
            <w:right w:val="single" w:color="080F17" w:sz="6" w:space="0"/>
            <w:insideH w:val="single" w:color="080F17" w:sz="6" w:space="0"/>
            <w:insideV w:val="single" w:color="080F17" w:sz="6" w:space="0"/>
          </w:tblBorders>
          <w:tblCellMar>
            <w:top w:w="30" w:type="dxa"/>
            <w:left w:w="180" w:type="dxa"/>
            <w:bottom w:w="30" w:type="dxa"/>
            <w:right w:w="180" w:type="dxa"/>
          </w:tblCellMar>
        </w:tblPrEx>
        <w:trPr>
          <w:jc w:val="center"/>
        </w:trPr>
        <w:tc>
          <w:tcPr>
            <w:tcW w:w="443" w:type="dxa"/>
            <w:vMerge w:val="continue"/>
            <w:vAlign w:val="center"/>
          </w:tcPr>
          <w:p w14:paraId="0ABA5BFD">
            <w:pPr>
              <w:widowControl w:val="0"/>
              <w:snapToGrid w:val="0"/>
              <w:jc w:val="center"/>
              <w:rPr>
                <w:rFonts w:ascii="Calibri" w:hAnsi="Calibri" w:eastAsia="新宋体"/>
                <w:color w:val="000000" w:themeColor="text1"/>
                <w:highlight w:val="none"/>
                <w14:textFill>
                  <w14:solidFill>
                    <w14:schemeClr w14:val="tx1"/>
                  </w14:solidFill>
                </w14:textFill>
              </w:rPr>
            </w:pPr>
          </w:p>
        </w:tc>
        <w:tc>
          <w:tcPr>
            <w:tcW w:w="900" w:type="dxa"/>
            <w:vMerge w:val="continue"/>
            <w:vAlign w:val="center"/>
          </w:tcPr>
          <w:p w14:paraId="53198332">
            <w:pPr>
              <w:widowControl w:val="0"/>
              <w:snapToGrid w:val="0"/>
              <w:jc w:val="center"/>
              <w:rPr>
                <w:rFonts w:ascii="Calibri" w:hAnsi="Calibri" w:eastAsia="新宋体"/>
                <w:color w:val="000000" w:themeColor="text1"/>
                <w:highlight w:val="none"/>
                <w14:textFill>
                  <w14:solidFill>
                    <w14:schemeClr w14:val="tx1"/>
                  </w14:solidFill>
                </w14:textFill>
              </w:rPr>
            </w:pPr>
          </w:p>
        </w:tc>
        <w:tc>
          <w:tcPr>
            <w:tcW w:w="964" w:type="dxa"/>
            <w:vMerge w:val="continue"/>
            <w:vAlign w:val="center"/>
          </w:tcPr>
          <w:p w14:paraId="69979D2F">
            <w:pPr>
              <w:widowControl w:val="0"/>
              <w:snapToGrid w:val="0"/>
              <w:jc w:val="center"/>
              <w:rPr>
                <w:rFonts w:ascii="Calibri" w:hAnsi="Calibri" w:eastAsia="新宋体"/>
                <w:color w:val="000000" w:themeColor="text1"/>
                <w:highlight w:val="none"/>
                <w14:textFill>
                  <w14:solidFill>
                    <w14:schemeClr w14:val="tx1"/>
                  </w14:solidFill>
                </w14:textFill>
              </w:rPr>
            </w:pPr>
          </w:p>
        </w:tc>
        <w:tc>
          <w:tcPr>
            <w:tcW w:w="1007" w:type="dxa"/>
            <w:vAlign w:val="center"/>
          </w:tcPr>
          <w:p w14:paraId="00F2A805">
            <w:pPr>
              <w:widowControl w:val="0"/>
              <w:snapToGrid w:val="0"/>
              <w:jc w:val="left"/>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信号放大器</w:t>
            </w:r>
          </w:p>
        </w:tc>
        <w:tc>
          <w:tcPr>
            <w:tcW w:w="5346" w:type="dxa"/>
            <w:vAlign w:val="center"/>
          </w:tcPr>
          <w:p w14:paraId="4B220415">
            <w:pPr>
              <w:widowControl w:val="0"/>
              <w:snapToGrid w:val="0"/>
              <w:jc w:val="left"/>
              <w:rPr>
                <w:rFonts w:ascii="Calibri" w:hAnsi="Calibri" w:eastAsia="新宋体"/>
                <w:color w:val="000000" w:themeColor="text1"/>
                <w:highlight w:val="none"/>
                <w14:textFill>
                  <w14:solidFill>
                    <w14:schemeClr w14:val="tx1"/>
                  </w14:solidFill>
                </w14:textFill>
              </w:rPr>
            </w:pPr>
            <w:r>
              <w:rPr>
                <w:rStyle w:val="37"/>
                <w:rFonts w:ascii="Calibri" w:hAnsi="Calibri" w:eastAsia="新宋体"/>
                <w:b w:val="0"/>
                <w:color w:val="000000" w:themeColor="text1"/>
                <w:highlight w:val="none"/>
                <w:shd w:val="clear" w:color="auto" w:fill="FFFFFF"/>
                <w14:textFill>
                  <w14:solidFill>
                    <w14:schemeClr w14:val="tx1"/>
                  </w14:solidFill>
                </w14:textFill>
              </w:rPr>
              <w:t>输入电压：</w:t>
            </w:r>
            <w:r>
              <w:rPr>
                <w:rFonts w:ascii="Calibri" w:hAnsi="Calibri" w:eastAsia="新宋体"/>
                <w:color w:val="000000" w:themeColor="text1"/>
                <w:highlight w:val="none"/>
                <w:shd w:val="clear" w:color="auto" w:fill="FFFFFF"/>
                <w14:textFill>
                  <w14:solidFill>
                    <w14:schemeClr w14:val="tx1"/>
                  </w14:solidFill>
                </w14:textFill>
              </w:rPr>
              <w:t>AC110V/240V，50-60Hz</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输入接口：</w:t>
            </w:r>
            <w:r>
              <w:rPr>
                <w:rFonts w:ascii="Calibri" w:hAnsi="Calibri" w:eastAsia="新宋体"/>
                <w:color w:val="000000" w:themeColor="text1"/>
                <w:highlight w:val="none"/>
                <w:shd w:val="clear" w:color="auto" w:fill="FFFFFF"/>
                <w14:textFill>
                  <w14:solidFill>
                    <w14:schemeClr w14:val="tx1"/>
                  </w14:solidFill>
                </w14:textFill>
              </w:rPr>
              <w:t>三芯/五芯卡侬公母座并接</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输出接口：</w:t>
            </w:r>
            <w:r>
              <w:rPr>
                <w:rFonts w:ascii="Calibri" w:hAnsi="Calibri" w:eastAsia="新宋体"/>
                <w:color w:val="000000" w:themeColor="text1"/>
                <w:highlight w:val="none"/>
                <w:shd w:val="clear" w:color="auto" w:fill="FFFFFF"/>
                <w14:textFill>
                  <w14:solidFill>
                    <w14:schemeClr w14:val="tx1"/>
                  </w14:solidFill>
                </w14:textFill>
              </w:rPr>
              <w:t>8路三芯卡侬母座</w:t>
            </w:r>
            <w:r>
              <w:rPr>
                <w:rFonts w:ascii="Calibri" w:hAnsi="Calibri" w:eastAsia="新宋体"/>
                <w:color w:val="000000" w:themeColor="text1"/>
                <w:highlight w:val="none"/>
                <w:shd w:val="clear" w:color="auto" w:fill="FFFFFF"/>
                <w14:textFill>
                  <w14:solidFill>
                    <w14:schemeClr w14:val="tx1"/>
                  </w14:solidFill>
                </w14:textFill>
              </w:rPr>
              <w:br w:type="textWrapping"/>
            </w:r>
            <w:r>
              <w:rPr>
                <w:rStyle w:val="37"/>
                <w:rFonts w:ascii="Calibri" w:hAnsi="Calibri" w:eastAsia="新宋体"/>
                <w:b w:val="0"/>
                <w:color w:val="000000" w:themeColor="text1"/>
                <w:highlight w:val="none"/>
                <w:shd w:val="clear" w:color="auto" w:fill="FFFFFF"/>
                <w14:textFill>
                  <w14:solidFill>
                    <w14:schemeClr w14:val="tx1"/>
                  </w14:solidFill>
                </w14:textFill>
              </w:rPr>
              <w:t>特点：</w:t>
            </w:r>
            <w:r>
              <w:rPr>
                <w:rFonts w:ascii="Calibri" w:hAnsi="Calibri" w:eastAsia="新宋体"/>
                <w:color w:val="000000" w:themeColor="text1"/>
                <w:highlight w:val="none"/>
                <w:shd w:val="clear" w:color="auto" w:fill="FFFFFF"/>
                <w14:textFill>
                  <w14:solidFill>
                    <w14:schemeClr w14:val="tx1"/>
                  </w14:solidFill>
                </w14:textFill>
              </w:rPr>
              <w:t>全方位光电隔离，每路独立电路，避免高压窜入</w:t>
            </w:r>
          </w:p>
        </w:tc>
        <w:tc>
          <w:tcPr>
            <w:tcW w:w="788" w:type="dxa"/>
            <w:vAlign w:val="center"/>
          </w:tcPr>
          <w:p w14:paraId="3BA3E741">
            <w:pPr>
              <w:widowControl w:val="0"/>
              <w:snapToGrid w:val="0"/>
              <w:jc w:val="left"/>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10</w:t>
            </w:r>
          </w:p>
        </w:tc>
        <w:tc>
          <w:tcPr>
            <w:tcW w:w="600" w:type="dxa"/>
            <w:vAlign w:val="center"/>
          </w:tcPr>
          <w:p w14:paraId="0A8084A6">
            <w:pPr>
              <w:widowControl w:val="0"/>
              <w:snapToGrid w:val="0"/>
              <w:jc w:val="center"/>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台</w:t>
            </w:r>
          </w:p>
        </w:tc>
      </w:tr>
      <w:tr w14:paraId="3AA3C5FD">
        <w:tblPrEx>
          <w:tblBorders>
            <w:top w:val="single" w:color="080F17" w:sz="6" w:space="0"/>
            <w:left w:val="single" w:color="080F17" w:sz="6" w:space="0"/>
            <w:bottom w:val="single" w:color="080F17" w:sz="6" w:space="0"/>
            <w:right w:val="single" w:color="080F17" w:sz="6" w:space="0"/>
            <w:insideH w:val="single" w:color="080F17" w:sz="6" w:space="0"/>
            <w:insideV w:val="single" w:color="080F17" w:sz="6" w:space="0"/>
          </w:tblBorders>
          <w:tblCellMar>
            <w:top w:w="30" w:type="dxa"/>
            <w:left w:w="180" w:type="dxa"/>
            <w:bottom w:w="30" w:type="dxa"/>
            <w:right w:w="180" w:type="dxa"/>
          </w:tblCellMar>
        </w:tblPrEx>
        <w:trPr>
          <w:jc w:val="center"/>
        </w:trPr>
        <w:tc>
          <w:tcPr>
            <w:tcW w:w="443" w:type="dxa"/>
            <w:vAlign w:val="center"/>
          </w:tcPr>
          <w:p w14:paraId="3330FD89">
            <w:pPr>
              <w:widowControl w:val="0"/>
              <w:snapToGrid w:val="0"/>
              <w:jc w:val="center"/>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6</w:t>
            </w:r>
          </w:p>
        </w:tc>
        <w:tc>
          <w:tcPr>
            <w:tcW w:w="900" w:type="dxa"/>
            <w:vAlign w:val="center"/>
          </w:tcPr>
          <w:p w14:paraId="3E117A08">
            <w:pPr>
              <w:widowControl w:val="0"/>
              <w:snapToGrid w:val="0"/>
              <w:jc w:val="center"/>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设备接入</w:t>
            </w:r>
          </w:p>
        </w:tc>
        <w:tc>
          <w:tcPr>
            <w:tcW w:w="964" w:type="dxa"/>
            <w:vAlign w:val="center"/>
          </w:tcPr>
          <w:p w14:paraId="351A082F">
            <w:pPr>
              <w:widowControl w:val="0"/>
              <w:snapToGrid w:val="0"/>
              <w:jc w:val="center"/>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设备接入</w:t>
            </w:r>
          </w:p>
        </w:tc>
        <w:tc>
          <w:tcPr>
            <w:tcW w:w="1007" w:type="dxa"/>
            <w:vAlign w:val="center"/>
          </w:tcPr>
          <w:p w14:paraId="17ADDA51">
            <w:pPr>
              <w:widowControl w:val="0"/>
              <w:snapToGrid w:val="0"/>
              <w:jc w:val="left"/>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灯光音响设备接入服务</w:t>
            </w:r>
          </w:p>
        </w:tc>
        <w:tc>
          <w:tcPr>
            <w:tcW w:w="5346" w:type="dxa"/>
            <w:vAlign w:val="center"/>
          </w:tcPr>
          <w:p w14:paraId="5F066683">
            <w:pPr>
              <w:widowControl w:val="0"/>
              <w:snapToGrid w:val="0"/>
              <w:jc w:val="left"/>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shd w:val="clear" w:color="auto" w:fill="FFFFFF"/>
                <w14:textFill>
                  <w14:solidFill>
                    <w14:schemeClr w14:val="tx1"/>
                  </w14:solidFill>
                </w14:textFill>
              </w:rPr>
              <w:t>校方指定的活动场所如有配备灯光音响设备，为提高设备利用率、提升活动现场效果，供应商需将其接入自有系统进行统一管理，并保障运行流畅。</w:t>
            </w:r>
          </w:p>
        </w:tc>
        <w:tc>
          <w:tcPr>
            <w:tcW w:w="788" w:type="dxa"/>
            <w:vAlign w:val="center"/>
          </w:tcPr>
          <w:p w14:paraId="2EA654AD">
            <w:pPr>
              <w:widowControl w:val="0"/>
              <w:snapToGrid w:val="0"/>
              <w:jc w:val="left"/>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1</w:t>
            </w:r>
          </w:p>
        </w:tc>
        <w:tc>
          <w:tcPr>
            <w:tcW w:w="600" w:type="dxa"/>
            <w:vAlign w:val="center"/>
          </w:tcPr>
          <w:p w14:paraId="313A002C">
            <w:pPr>
              <w:widowControl w:val="0"/>
              <w:snapToGrid w:val="0"/>
              <w:jc w:val="center"/>
              <w:rPr>
                <w:rFonts w:ascii="Calibri" w:hAnsi="Calibri" w:eastAsia="新宋体"/>
                <w:color w:val="000000" w:themeColor="text1"/>
                <w:highlight w:val="none"/>
                <w14:textFill>
                  <w14:solidFill>
                    <w14:schemeClr w14:val="tx1"/>
                  </w14:solidFill>
                </w14:textFill>
              </w:rPr>
            </w:pPr>
            <w:r>
              <w:rPr>
                <w:rFonts w:ascii="Calibri" w:hAnsi="Calibri" w:eastAsia="新宋体"/>
                <w:color w:val="000000" w:themeColor="text1"/>
                <w:highlight w:val="none"/>
                <w14:textFill>
                  <w14:solidFill>
                    <w14:schemeClr w14:val="tx1"/>
                  </w14:solidFill>
                </w14:textFill>
              </w:rPr>
              <w:t>项</w:t>
            </w:r>
          </w:p>
        </w:tc>
      </w:tr>
    </w:tbl>
    <w:p w14:paraId="10AAA1E7">
      <w:pPr>
        <w:spacing w:line="360" w:lineRule="auto"/>
        <w:ind w:firstLine="482" w:firstLineChars="200"/>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2、实施交付时间：</w:t>
      </w:r>
      <w:r>
        <w:rPr>
          <w:rFonts w:hint="eastAsia" w:ascii="宋体" w:hAnsi="宋体" w:cs="宋体"/>
          <w:color w:val="000000" w:themeColor="text1"/>
          <w:kern w:val="2"/>
          <w:sz w:val="24"/>
          <w:szCs w:val="24"/>
          <w:highlight w:val="none"/>
          <w14:textFill>
            <w14:solidFill>
              <w14:schemeClr w14:val="tx1"/>
            </w14:solidFill>
          </w14:textFill>
        </w:rPr>
        <w:t>合同签订之日起至活动结束。</w:t>
      </w:r>
    </w:p>
    <w:p w14:paraId="6A6F8C2F">
      <w:pPr>
        <w:spacing w:line="360" w:lineRule="auto"/>
        <w:ind w:firstLine="482"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3、交付地点：</w:t>
      </w:r>
      <w:r>
        <w:rPr>
          <w:rFonts w:hint="eastAsia" w:ascii="宋体" w:hAnsi="宋体" w:cs="宋体"/>
          <w:color w:val="000000" w:themeColor="text1"/>
          <w:kern w:val="2"/>
          <w:sz w:val="24"/>
          <w:szCs w:val="24"/>
          <w:highlight w:val="none"/>
          <w14:textFill>
            <w14:solidFill>
              <w14:schemeClr w14:val="tx1"/>
            </w14:solidFill>
          </w14:textFill>
        </w:rPr>
        <w:t>西南林业大学</w:t>
      </w:r>
      <w:r>
        <w:rPr>
          <w:rFonts w:hint="eastAsia" w:ascii="宋体" w:hAnsi="宋体" w:cs="宋体"/>
          <w:color w:val="000000" w:themeColor="text1"/>
          <w:sz w:val="24"/>
          <w:szCs w:val="24"/>
          <w:highlight w:val="none"/>
          <w14:textFill>
            <w14:solidFill>
              <w14:schemeClr w14:val="tx1"/>
            </w14:solidFill>
          </w14:textFill>
        </w:rPr>
        <w:t>。</w:t>
      </w:r>
    </w:p>
    <w:p w14:paraId="66EEEF0E">
      <w:pPr>
        <w:spacing w:line="360" w:lineRule="auto"/>
        <w:rPr>
          <w:rFonts w:ascii="宋体" w:hAnsi="宋体" w:cs="宋体"/>
          <w:b/>
          <w:bCs/>
          <w:color w:val="000000" w:themeColor="text1"/>
          <w:kern w:val="36"/>
          <w:sz w:val="24"/>
          <w:szCs w:val="24"/>
          <w:highlight w:val="none"/>
          <w14:textFill>
            <w14:solidFill>
              <w14:schemeClr w14:val="tx1"/>
            </w14:solidFill>
          </w14:textFill>
        </w:rPr>
      </w:pPr>
      <w:r>
        <w:rPr>
          <w:rFonts w:hint="eastAsia" w:ascii="宋体" w:hAnsi="宋体" w:cs="宋体"/>
          <w:b/>
          <w:bCs/>
          <w:color w:val="000000" w:themeColor="text1"/>
          <w:kern w:val="36"/>
          <w:sz w:val="24"/>
          <w:szCs w:val="24"/>
          <w:highlight w:val="none"/>
          <w14:textFill>
            <w14:solidFill>
              <w14:schemeClr w14:val="tx1"/>
            </w14:solidFill>
          </w14:textFill>
        </w:rPr>
        <w:t>五、采购标的需满足的质量标准、工期、效率等要求</w:t>
      </w:r>
    </w:p>
    <w:p w14:paraId="40E11BE1">
      <w:pPr>
        <w:spacing w:line="360" w:lineRule="auto"/>
        <w:ind w:firstLine="480" w:firstLineChars="200"/>
        <w:rPr>
          <w:rFonts w:ascii="宋体" w:hAnsi="宋体" w:cs="宋体"/>
          <w:b/>
          <w:bCs/>
          <w:color w:val="000000" w:themeColor="text1"/>
          <w:kern w:val="36"/>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质量标准：符合国家及地方有关现行标准、规范和规定并满足采购人使用需求。</w:t>
      </w:r>
    </w:p>
    <w:p w14:paraId="5D6CB7A4">
      <w:pPr>
        <w:spacing w:line="360" w:lineRule="auto"/>
        <w:rPr>
          <w:rFonts w:ascii="宋体" w:hAnsi="宋体" w:cs="宋体"/>
          <w:b/>
          <w:bCs/>
          <w:color w:val="000000" w:themeColor="text1"/>
          <w:kern w:val="36"/>
          <w:sz w:val="24"/>
          <w:szCs w:val="24"/>
          <w:highlight w:val="none"/>
          <w14:textFill>
            <w14:solidFill>
              <w14:schemeClr w14:val="tx1"/>
            </w14:solidFill>
          </w14:textFill>
        </w:rPr>
      </w:pPr>
      <w:r>
        <w:rPr>
          <w:rFonts w:hint="eastAsia" w:ascii="宋体" w:hAnsi="宋体" w:cs="宋体"/>
          <w:b/>
          <w:bCs/>
          <w:color w:val="000000" w:themeColor="text1"/>
          <w:kern w:val="36"/>
          <w:sz w:val="24"/>
          <w:szCs w:val="24"/>
          <w:highlight w:val="none"/>
          <w14:textFill>
            <w14:solidFill>
              <w14:schemeClr w14:val="tx1"/>
            </w14:solidFill>
          </w14:textFill>
        </w:rPr>
        <w:t>六、采购标的的验收标准</w:t>
      </w:r>
    </w:p>
    <w:p w14:paraId="7050E7C4">
      <w:pPr>
        <w:tabs>
          <w:tab w:val="left" w:pos="5775"/>
        </w:tabs>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按《西南林业大学采购履约验收管理办法》组织验收。</w:t>
      </w:r>
    </w:p>
    <w:p w14:paraId="302740BA">
      <w:pPr>
        <w:autoSpaceDE w:val="0"/>
        <w:autoSpaceDN w:val="0"/>
        <w:adjustRightInd w:val="0"/>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采购人按合同内容享受中标人提供的服务，具体的验收标准和要求如下：</w:t>
      </w:r>
    </w:p>
    <w:p w14:paraId="59E26E00">
      <w:pPr>
        <w:spacing w:line="48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1.验收由采购人负责实施；</w:t>
      </w:r>
    </w:p>
    <w:p w14:paraId="7BE1AC33">
      <w:pPr>
        <w:spacing w:line="48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2.验收依据：</w:t>
      </w:r>
    </w:p>
    <w:p w14:paraId="64510252">
      <w:pPr>
        <w:spacing w:line="48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2.1合同文件；</w:t>
      </w:r>
    </w:p>
    <w:p w14:paraId="4EE06966">
      <w:pPr>
        <w:spacing w:line="48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2.2中标人的投标文件；</w:t>
      </w:r>
    </w:p>
    <w:p w14:paraId="06FEB518">
      <w:pPr>
        <w:spacing w:line="48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3.设备质量：舞台及音响设备应为合格品，整体无污染，无侵权行为、无任何缺陷隐患，在中国境内可依常规安全合法使用。</w:t>
      </w:r>
    </w:p>
    <w:p w14:paraId="12FB54DF">
      <w:pPr>
        <w:spacing w:line="48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4.符合标准：依次序对照适用标准为：符合中华人民共和国国家安全质量标准、环保标准或行业标准。</w:t>
      </w:r>
    </w:p>
    <w:p w14:paraId="017CAF30">
      <w:pPr>
        <w:spacing w:line="48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5.安全要求：场地搭建和布线等应符合行业标准规范，做好加固处理、强电防护和其他安全防护处理等，避免安全隐患。</w:t>
      </w:r>
    </w:p>
    <w:p w14:paraId="20759EEF">
      <w:pPr>
        <w:spacing w:line="48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6.设备检查：在设备交付时，采购人应对设备进行全面检查，确保设备数量、型号、规格等与合同及投标文件一致。</w:t>
      </w:r>
    </w:p>
    <w:p w14:paraId="5F5829B3">
      <w:pPr>
        <w:spacing w:line="48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7.设备性能测试：对设备进行性能测试，确保设备能够正常工作，满足活动需求。</w:t>
      </w:r>
    </w:p>
    <w:p w14:paraId="343473F2">
      <w:pPr>
        <w:spacing w:line="48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8.安全检查：对设备的安全性进行检查，确保设备安装牢固，无安全隐患。</w:t>
      </w:r>
    </w:p>
    <w:p w14:paraId="25B5C99D">
      <w:pPr>
        <w:spacing w:line="48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9.整体舞台检测演排：符合采购人要求。</w:t>
      </w:r>
    </w:p>
    <w:p w14:paraId="0C7E5C2B">
      <w:pPr>
        <w:spacing w:line="48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10.双方签字确认设备状态，及舞台布局搭建效果呈现，注明验收时间、问题处理方式。</w:t>
      </w:r>
    </w:p>
    <w:p w14:paraId="0179A3AE">
      <w:pPr>
        <w:spacing w:line="360" w:lineRule="auto"/>
        <w:rPr>
          <w:rFonts w:ascii="宋体" w:hAnsi="宋体" w:cs="宋体"/>
          <w:b/>
          <w:bCs/>
          <w:color w:val="000000" w:themeColor="text1"/>
          <w:kern w:val="36"/>
          <w:sz w:val="24"/>
          <w:szCs w:val="24"/>
          <w:highlight w:val="none"/>
          <w14:textFill>
            <w14:solidFill>
              <w14:schemeClr w14:val="tx1"/>
            </w14:solidFill>
          </w14:textFill>
        </w:rPr>
      </w:pPr>
      <w:r>
        <w:rPr>
          <w:rFonts w:hint="eastAsia" w:ascii="宋体" w:hAnsi="宋体" w:cs="宋体"/>
          <w:b/>
          <w:bCs/>
          <w:color w:val="000000" w:themeColor="text1"/>
          <w:kern w:val="36"/>
          <w:sz w:val="24"/>
          <w:szCs w:val="24"/>
          <w:highlight w:val="none"/>
          <w14:textFill>
            <w14:solidFill>
              <w14:schemeClr w14:val="tx1"/>
            </w14:solidFill>
          </w14:textFill>
        </w:rPr>
        <w:t>七、采购标的的其他技术、服务等要求：</w:t>
      </w:r>
    </w:p>
    <w:p w14:paraId="2437AFB1">
      <w:pPr>
        <w:spacing w:line="480" w:lineRule="exact"/>
        <w:ind w:firstLine="480" w:firstLineChars="200"/>
        <w:rPr>
          <w:rFonts w:ascii="宋体" w:hAnsi="宋体" w:cs="宋体"/>
          <w:color w:val="000000" w:themeColor="text1"/>
          <w:sz w:val="24"/>
          <w:szCs w:val="24"/>
          <w:highlight w:val="none"/>
          <w14:textFill>
            <w14:solidFill>
              <w14:schemeClr w14:val="tx1"/>
            </w14:solidFill>
          </w14:textFill>
        </w:rPr>
      </w:pPr>
      <w:bookmarkStart w:id="319" w:name="_Toc82599973"/>
      <w:r>
        <w:rPr>
          <w:rFonts w:hint="eastAsia" w:ascii="宋体" w:hAnsi="宋体" w:cs="宋体"/>
          <w:color w:val="000000" w:themeColor="text1"/>
          <w:sz w:val="24"/>
          <w:szCs w:val="24"/>
          <w:highlight w:val="none"/>
          <w14:textFill>
            <w14:solidFill>
              <w14:schemeClr w14:val="tx1"/>
            </w14:solidFill>
          </w14:textFill>
        </w:rPr>
        <w:t>1.投标人需遵守西南林业大学的各项规章制度，服从学校的现场管理，不得擅自进入非活动区域，不得影响学校正常的教学、科研秩序；</w:t>
      </w:r>
    </w:p>
    <w:p w14:paraId="06B5E2BE">
      <w:pPr>
        <w:spacing w:line="48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2.供应商需负责设备运输、安装、拆卸、回收过程中的安全责任，若发生人员伤亡、设备损坏、场地损坏等事故，由供应商承担全部责任和相关费用；</w:t>
      </w:r>
    </w:p>
    <w:p w14:paraId="6C6EEF5B">
      <w:pPr>
        <w:spacing w:line="48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3.活动期间，供应商工作人员需遵守安全操作规程，佩戴安全防护用品，杜绝安全事故发生；</w:t>
      </w:r>
    </w:p>
    <w:p w14:paraId="754B6987">
      <w:pPr>
        <w:spacing w:line="48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4.供应商不得将本项目转包、分包给其他单位或个人，否则采购人有权终止合同，供应商需承担相应违约责任。</w:t>
      </w:r>
    </w:p>
    <w:p w14:paraId="5CF1AF65">
      <w:pPr>
        <w:keepNext/>
        <w:keepLines/>
        <w:adjustRightInd w:val="0"/>
        <w:spacing w:before="156" w:beforeLines="50" w:after="156" w:afterLines="50" w:line="360" w:lineRule="auto"/>
        <w:ind w:firstLine="480" w:firstLineChars="200"/>
        <w:textAlignment w:val="baseline"/>
        <w:rPr>
          <w:rFonts w:ascii="宋体" w:hAnsi="宋体" w:cs="宋体"/>
          <w:color w:val="000000" w:themeColor="text1"/>
          <w:sz w:val="24"/>
          <w:szCs w:val="24"/>
          <w:highlight w:val="none"/>
          <w14:textFill>
            <w14:solidFill>
              <w14:schemeClr w14:val="tx1"/>
            </w14:solidFill>
          </w14:textFill>
        </w:rPr>
        <w:sectPr>
          <w:headerReference r:id="rId11" w:type="default"/>
          <w:footerReference r:id="rId12" w:type="default"/>
          <w:pgSz w:w="11906" w:h="16838"/>
          <w:pgMar w:top="1440" w:right="1080" w:bottom="1440" w:left="1080" w:header="720" w:footer="720" w:gutter="0"/>
          <w:cols w:space="720" w:num="1"/>
          <w:docGrid w:type="lines" w:linePitch="312" w:charSpace="0"/>
        </w:sectPr>
      </w:pPr>
    </w:p>
    <w:p w14:paraId="747EE94A">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p>
    <w:bookmarkEnd w:id="319"/>
    <w:p w14:paraId="48B5E877">
      <w:pPr>
        <w:spacing w:before="101" w:line="219" w:lineRule="auto"/>
        <w:ind w:left="105"/>
        <w:jc w:val="center"/>
        <w:outlineLvl w:val="0"/>
        <w:rPr>
          <w:rFonts w:ascii="宋体" w:hAnsi="宋体" w:cs="宋体"/>
          <w:color w:val="000000" w:themeColor="text1"/>
          <w:highlight w:val="none"/>
          <w14:textFill>
            <w14:solidFill>
              <w14:schemeClr w14:val="tx1"/>
            </w14:solidFill>
          </w14:textFill>
        </w:rPr>
      </w:pPr>
      <w:bookmarkStart w:id="320" w:name="_Toc22092"/>
      <w:bookmarkStart w:id="321" w:name="_Toc8646"/>
      <w:bookmarkStart w:id="322" w:name="_Toc4116"/>
      <w:r>
        <w:rPr>
          <w:rFonts w:hint="eastAsia" w:ascii="宋体" w:hAnsi="宋体" w:cs="宋体"/>
          <w:b/>
          <w:bCs/>
          <w:color w:val="000000" w:themeColor="text1"/>
          <w:kern w:val="44"/>
          <w:sz w:val="44"/>
          <w:szCs w:val="44"/>
          <w:highlight w:val="none"/>
          <w14:textFill>
            <w14:solidFill>
              <w14:schemeClr w14:val="tx1"/>
            </w14:solidFill>
          </w14:textFill>
        </w:rPr>
        <w:t>第七章 投标文件格式</w:t>
      </w:r>
      <w:bookmarkEnd w:id="310"/>
      <w:bookmarkEnd w:id="320"/>
      <w:bookmarkEnd w:id="321"/>
      <w:bookmarkEnd w:id="322"/>
    </w:p>
    <w:p w14:paraId="53B02C55">
      <w:pPr>
        <w:rPr>
          <w:rFonts w:ascii="宋体" w:hAnsi="宋体" w:cs="宋体"/>
          <w:color w:val="000000" w:themeColor="text1"/>
          <w:highlight w:val="none"/>
          <w14:textFill>
            <w14:solidFill>
              <w14:schemeClr w14:val="tx1"/>
            </w14:solidFill>
          </w14:textFill>
        </w:rPr>
      </w:pPr>
    </w:p>
    <w:p w14:paraId="6CB83131">
      <w:pPr>
        <w:jc w:val="right"/>
        <w:rPr>
          <w:rFonts w:ascii="宋体" w:hAnsi="宋体" w:cs="宋体"/>
          <w:b/>
          <w:bCs/>
          <w:color w:val="000000" w:themeColor="text1"/>
          <w:sz w:val="44"/>
          <w:szCs w:val="48"/>
          <w:highlight w:val="none"/>
          <w14:textFill>
            <w14:solidFill>
              <w14:schemeClr w14:val="tx1"/>
            </w14:solidFill>
          </w14:textFill>
        </w:rPr>
      </w:pPr>
      <w:r>
        <w:rPr>
          <w:rFonts w:hint="eastAsia" w:ascii="宋体" w:hAnsi="宋体" w:cs="宋体"/>
          <w:b/>
          <w:bCs/>
          <w:color w:val="000000" w:themeColor="text1"/>
          <w:sz w:val="28"/>
          <w:szCs w:val="22"/>
          <w:highlight w:val="none"/>
          <w14:textFill>
            <w14:solidFill>
              <w14:schemeClr w14:val="tx1"/>
            </w14:solidFill>
          </w14:textFill>
        </w:rPr>
        <w:t>代理机构自编号：YDCTF20260580</w:t>
      </w:r>
    </w:p>
    <w:p w14:paraId="76EBFAFC">
      <w:pPr>
        <w:spacing w:before="312" w:beforeLines="100"/>
        <w:jc w:val="center"/>
        <w:rPr>
          <w:rFonts w:ascii="宋体" w:hAnsi="宋体" w:cs="宋体"/>
          <w:b/>
          <w:bCs/>
          <w:color w:val="000000" w:themeColor="text1"/>
          <w:spacing w:val="-6"/>
          <w:sz w:val="44"/>
          <w:szCs w:val="48"/>
          <w:highlight w:val="none"/>
          <w14:textFill>
            <w14:solidFill>
              <w14:schemeClr w14:val="tx1"/>
            </w14:solidFill>
          </w14:textFill>
        </w:rPr>
      </w:pPr>
      <w:r>
        <w:rPr>
          <w:rFonts w:hint="eastAsia" w:ascii="宋体" w:hAnsi="宋体" w:cs="宋体"/>
          <w:b/>
          <w:bCs/>
          <w:color w:val="000000" w:themeColor="text1"/>
          <w:spacing w:val="-6"/>
          <w:sz w:val="44"/>
          <w:szCs w:val="48"/>
          <w:highlight w:val="none"/>
          <w14:textFill>
            <w14:solidFill>
              <w14:schemeClr w14:val="tx1"/>
            </w14:solidFill>
          </w14:textFill>
        </w:rPr>
        <w:t>西南林业大学第二届智华联谊活动</w:t>
      </w:r>
    </w:p>
    <w:p w14:paraId="70CA5547">
      <w:pPr>
        <w:spacing w:before="312" w:beforeLines="100"/>
        <w:jc w:val="center"/>
        <w:rPr>
          <w:rFonts w:ascii="宋体" w:hAnsi="宋体" w:cs="宋体"/>
          <w:b/>
          <w:bCs/>
          <w:color w:val="000000" w:themeColor="text1"/>
          <w:sz w:val="48"/>
          <w:szCs w:val="52"/>
          <w:highlight w:val="none"/>
          <w14:textFill>
            <w14:solidFill>
              <w14:schemeClr w14:val="tx1"/>
            </w14:solidFill>
          </w14:textFill>
        </w:rPr>
      </w:pPr>
      <w:r>
        <w:rPr>
          <w:rFonts w:hint="eastAsia" w:ascii="宋体" w:hAnsi="宋体" w:cs="宋体"/>
          <w:b/>
          <w:bCs/>
          <w:color w:val="000000" w:themeColor="text1"/>
          <w:spacing w:val="-6"/>
          <w:sz w:val="44"/>
          <w:szCs w:val="48"/>
          <w:highlight w:val="none"/>
          <w14:textFill>
            <w14:solidFill>
              <w14:schemeClr w14:val="tx1"/>
            </w14:solidFill>
          </w14:textFill>
        </w:rPr>
        <w:t>舞台灯光音响租赁服务</w:t>
      </w:r>
    </w:p>
    <w:p w14:paraId="47451631">
      <w:pPr>
        <w:rPr>
          <w:rFonts w:ascii="宋体" w:hAnsi="宋体" w:cs="宋体"/>
          <w:b/>
          <w:bCs/>
          <w:color w:val="000000" w:themeColor="text1"/>
          <w:sz w:val="44"/>
          <w:szCs w:val="44"/>
          <w:highlight w:val="none"/>
          <w14:textFill>
            <w14:solidFill>
              <w14:schemeClr w14:val="tx1"/>
            </w14:solidFill>
          </w14:textFill>
        </w:rPr>
      </w:pPr>
    </w:p>
    <w:p w14:paraId="3C8409A7">
      <w:pPr>
        <w:pStyle w:val="9"/>
        <w:ind w:firstLine="0" w:firstLineChars="0"/>
        <w:jc w:val="both"/>
        <w:rPr>
          <w:rFonts w:ascii="宋体" w:hAnsi="宋体" w:cs="宋体"/>
          <w:color w:val="000000" w:themeColor="text1"/>
          <w:highlight w:val="none"/>
          <w14:textFill>
            <w14:solidFill>
              <w14:schemeClr w14:val="tx1"/>
            </w14:solidFill>
          </w14:textFill>
        </w:rPr>
      </w:pPr>
    </w:p>
    <w:p w14:paraId="1F40E110">
      <w:pPr>
        <w:pStyle w:val="9"/>
        <w:ind w:firstLine="0" w:firstLineChars="0"/>
        <w:jc w:val="both"/>
        <w:rPr>
          <w:rFonts w:ascii="宋体" w:hAnsi="宋体" w:cs="宋体"/>
          <w:color w:val="000000" w:themeColor="text1"/>
          <w:highlight w:val="none"/>
          <w14:textFill>
            <w14:solidFill>
              <w14:schemeClr w14:val="tx1"/>
            </w14:solidFill>
          </w14:textFill>
        </w:rPr>
      </w:pPr>
    </w:p>
    <w:p w14:paraId="60E98489">
      <w:pPr>
        <w:jc w:val="both"/>
        <w:rPr>
          <w:rFonts w:ascii="宋体" w:hAnsi="宋体" w:cs="宋体"/>
          <w:color w:val="000000" w:themeColor="text1"/>
          <w:highlight w:val="none"/>
          <w14:textFill>
            <w14:solidFill>
              <w14:schemeClr w14:val="tx1"/>
            </w14:solidFill>
          </w14:textFill>
        </w:rPr>
      </w:pPr>
    </w:p>
    <w:p w14:paraId="79BD0B2C">
      <w:pPr>
        <w:jc w:val="both"/>
        <w:rPr>
          <w:rFonts w:ascii="宋体" w:hAnsi="宋体" w:cs="宋体"/>
          <w:color w:val="000000" w:themeColor="text1"/>
          <w:highlight w:val="none"/>
          <w14:textFill>
            <w14:solidFill>
              <w14:schemeClr w14:val="tx1"/>
            </w14:solidFill>
          </w14:textFill>
        </w:rPr>
      </w:pPr>
    </w:p>
    <w:p w14:paraId="6E6C8318">
      <w:pPr>
        <w:pStyle w:val="9"/>
        <w:ind w:firstLine="0" w:firstLineChars="0"/>
        <w:jc w:val="both"/>
        <w:rPr>
          <w:rFonts w:ascii="宋体" w:hAnsi="宋体" w:cs="宋体"/>
          <w:color w:val="000000" w:themeColor="text1"/>
          <w:highlight w:val="none"/>
          <w14:textFill>
            <w14:solidFill>
              <w14:schemeClr w14:val="tx1"/>
            </w14:solidFill>
          </w14:textFill>
        </w:rPr>
      </w:pPr>
    </w:p>
    <w:p w14:paraId="77933576">
      <w:pPr>
        <w:pStyle w:val="9"/>
        <w:ind w:firstLine="0" w:firstLineChars="0"/>
        <w:jc w:val="both"/>
        <w:rPr>
          <w:rFonts w:ascii="宋体" w:hAnsi="宋体" w:cs="宋体"/>
          <w:color w:val="000000" w:themeColor="text1"/>
          <w:highlight w:val="none"/>
          <w14:textFill>
            <w14:solidFill>
              <w14:schemeClr w14:val="tx1"/>
            </w14:solidFill>
          </w14:textFill>
        </w:rPr>
      </w:pPr>
    </w:p>
    <w:p w14:paraId="67B8F2E9">
      <w:pPr>
        <w:pStyle w:val="9"/>
        <w:ind w:firstLine="0" w:firstLineChars="0"/>
        <w:jc w:val="both"/>
        <w:rPr>
          <w:rFonts w:ascii="宋体" w:hAnsi="宋体" w:cs="宋体"/>
          <w:color w:val="000000" w:themeColor="text1"/>
          <w:highlight w:val="none"/>
          <w14:textFill>
            <w14:solidFill>
              <w14:schemeClr w14:val="tx1"/>
            </w14:solidFill>
          </w14:textFill>
        </w:rPr>
      </w:pPr>
    </w:p>
    <w:p w14:paraId="3870E901">
      <w:pPr>
        <w:jc w:val="center"/>
        <w:rPr>
          <w:rFonts w:ascii="宋体" w:hAnsi="宋体" w:cs="宋体"/>
          <w:b/>
          <w:bCs/>
          <w:color w:val="000000" w:themeColor="text1"/>
          <w:sz w:val="60"/>
          <w:szCs w:val="60"/>
          <w:highlight w:val="none"/>
          <w14:textFill>
            <w14:solidFill>
              <w14:schemeClr w14:val="tx1"/>
            </w14:solidFill>
          </w14:textFill>
        </w:rPr>
      </w:pPr>
      <w:r>
        <w:rPr>
          <w:rFonts w:hint="eastAsia" w:ascii="宋体" w:hAnsi="宋体" w:cs="宋体"/>
          <w:b/>
          <w:bCs/>
          <w:color w:val="000000" w:themeColor="text1"/>
          <w:sz w:val="60"/>
          <w:szCs w:val="60"/>
          <w:highlight w:val="none"/>
          <w14:textFill>
            <w14:solidFill>
              <w14:schemeClr w14:val="tx1"/>
            </w14:solidFill>
          </w14:textFill>
        </w:rPr>
        <w:t>投 标 文 件</w:t>
      </w:r>
    </w:p>
    <w:p w14:paraId="59156B9E">
      <w:pPr>
        <w:jc w:val="center"/>
        <w:rPr>
          <w:rFonts w:ascii="宋体" w:hAnsi="宋体" w:cs="宋体"/>
          <w:b/>
          <w:bCs/>
          <w:color w:val="000000" w:themeColor="text1"/>
          <w:sz w:val="40"/>
          <w:szCs w:val="44"/>
          <w:highlight w:val="none"/>
          <w14:textFill>
            <w14:solidFill>
              <w14:schemeClr w14:val="tx1"/>
            </w14:solidFill>
          </w14:textFill>
        </w:rPr>
      </w:pPr>
      <w:r>
        <w:rPr>
          <w:rFonts w:hint="eastAsia" w:ascii="宋体" w:hAnsi="宋体" w:cs="宋体"/>
          <w:b/>
          <w:bCs/>
          <w:color w:val="000000" w:themeColor="text1"/>
          <w:sz w:val="40"/>
          <w:szCs w:val="44"/>
          <w:highlight w:val="none"/>
          <w14:textFill>
            <w14:solidFill>
              <w14:schemeClr w14:val="tx1"/>
            </w14:solidFill>
          </w14:textFill>
        </w:rPr>
        <w:t>(项目编号：</w:t>
      </w:r>
      <w:r>
        <w:rPr>
          <w:rFonts w:hint="eastAsia" w:ascii="宋体" w:hAnsi="宋体" w:cs="宋体"/>
          <w:b/>
          <w:bCs/>
          <w:color w:val="000000" w:themeColor="text1"/>
          <w:sz w:val="40"/>
          <w:szCs w:val="44"/>
          <w:highlight w:val="none"/>
          <w:lang w:eastAsia="zh-CN"/>
          <w14:textFill>
            <w14:solidFill>
              <w14:schemeClr w14:val="tx1"/>
            </w14:solidFill>
          </w14:textFill>
        </w:rPr>
        <w:t>YNZC2026-G3-02356-YYZX-0202</w:t>
      </w:r>
      <w:r>
        <w:rPr>
          <w:rFonts w:hint="eastAsia" w:ascii="宋体" w:hAnsi="宋体" w:cs="宋体"/>
          <w:b/>
          <w:bCs/>
          <w:color w:val="000000" w:themeColor="text1"/>
          <w:sz w:val="40"/>
          <w:szCs w:val="44"/>
          <w:highlight w:val="none"/>
          <w14:textFill>
            <w14:solidFill>
              <w14:schemeClr w14:val="tx1"/>
            </w14:solidFill>
          </w14:textFill>
        </w:rPr>
        <w:t>)</w:t>
      </w:r>
    </w:p>
    <w:p w14:paraId="64090643">
      <w:pPr>
        <w:rPr>
          <w:rFonts w:ascii="宋体" w:hAnsi="宋体" w:cs="宋体"/>
          <w:b/>
          <w:bCs/>
          <w:color w:val="000000" w:themeColor="text1"/>
          <w:sz w:val="44"/>
          <w:szCs w:val="44"/>
          <w:highlight w:val="none"/>
          <w14:textFill>
            <w14:solidFill>
              <w14:schemeClr w14:val="tx1"/>
            </w14:solidFill>
          </w14:textFill>
        </w:rPr>
      </w:pPr>
    </w:p>
    <w:p w14:paraId="18603752">
      <w:pPr>
        <w:pStyle w:val="9"/>
        <w:ind w:firstLine="0" w:firstLineChars="0"/>
        <w:rPr>
          <w:rFonts w:ascii="宋体" w:hAnsi="宋体" w:cs="宋体"/>
          <w:color w:val="000000" w:themeColor="text1"/>
          <w:highlight w:val="none"/>
          <w14:textFill>
            <w14:solidFill>
              <w14:schemeClr w14:val="tx1"/>
            </w14:solidFill>
          </w14:textFill>
        </w:rPr>
      </w:pPr>
    </w:p>
    <w:p w14:paraId="7B010AD4">
      <w:pPr>
        <w:rPr>
          <w:rFonts w:ascii="宋体" w:hAnsi="宋体" w:cs="宋体"/>
          <w:b/>
          <w:bCs/>
          <w:color w:val="000000" w:themeColor="text1"/>
          <w:sz w:val="44"/>
          <w:szCs w:val="44"/>
          <w:highlight w:val="none"/>
          <w14:textFill>
            <w14:solidFill>
              <w14:schemeClr w14:val="tx1"/>
            </w14:solidFill>
          </w14:textFill>
        </w:rPr>
      </w:pPr>
    </w:p>
    <w:p w14:paraId="4066DE70">
      <w:pPr>
        <w:pStyle w:val="9"/>
        <w:ind w:firstLine="0" w:firstLineChars="0"/>
        <w:rPr>
          <w:rFonts w:ascii="宋体" w:hAnsi="宋体" w:cs="宋体"/>
          <w:color w:val="000000" w:themeColor="text1"/>
          <w:highlight w:val="none"/>
          <w14:textFill>
            <w14:solidFill>
              <w14:schemeClr w14:val="tx1"/>
            </w14:solidFill>
          </w14:textFill>
        </w:rPr>
      </w:pPr>
    </w:p>
    <w:p w14:paraId="53051209">
      <w:pPr>
        <w:pStyle w:val="9"/>
        <w:ind w:firstLine="0" w:firstLineChars="0"/>
        <w:rPr>
          <w:rFonts w:ascii="宋体" w:hAnsi="宋体" w:cs="宋体"/>
          <w:color w:val="000000" w:themeColor="text1"/>
          <w:highlight w:val="none"/>
          <w14:textFill>
            <w14:solidFill>
              <w14:schemeClr w14:val="tx1"/>
            </w14:solidFill>
          </w14:textFill>
        </w:rPr>
      </w:pPr>
    </w:p>
    <w:p w14:paraId="61B6A36F">
      <w:pPr>
        <w:pStyle w:val="9"/>
        <w:ind w:firstLine="0" w:firstLineChars="0"/>
        <w:rPr>
          <w:rFonts w:ascii="宋体" w:hAnsi="宋体" w:cs="宋体"/>
          <w:color w:val="000000" w:themeColor="text1"/>
          <w:highlight w:val="none"/>
          <w14:textFill>
            <w14:solidFill>
              <w14:schemeClr w14:val="tx1"/>
            </w14:solidFill>
          </w14:textFill>
        </w:rPr>
      </w:pPr>
    </w:p>
    <w:p w14:paraId="08A0F29D">
      <w:pPr>
        <w:pStyle w:val="9"/>
        <w:ind w:firstLine="0" w:firstLineChars="0"/>
        <w:rPr>
          <w:rFonts w:ascii="宋体" w:hAnsi="宋体" w:cs="宋体"/>
          <w:color w:val="000000" w:themeColor="text1"/>
          <w:highlight w:val="none"/>
          <w14:textFill>
            <w14:solidFill>
              <w14:schemeClr w14:val="tx1"/>
            </w14:solidFill>
          </w14:textFill>
        </w:rPr>
      </w:pPr>
    </w:p>
    <w:p w14:paraId="4C71AEB9">
      <w:pPr>
        <w:pStyle w:val="9"/>
        <w:ind w:firstLine="0" w:firstLineChars="0"/>
        <w:rPr>
          <w:rFonts w:ascii="宋体" w:hAnsi="宋体" w:cs="宋体"/>
          <w:color w:val="000000" w:themeColor="text1"/>
          <w:highlight w:val="none"/>
          <w14:textFill>
            <w14:solidFill>
              <w14:schemeClr w14:val="tx1"/>
            </w14:solidFill>
          </w14:textFill>
        </w:rPr>
      </w:pPr>
    </w:p>
    <w:p w14:paraId="47845F44">
      <w:pPr>
        <w:rPr>
          <w:rFonts w:ascii="宋体" w:hAnsi="宋体" w:cs="宋体"/>
          <w:b/>
          <w:bCs/>
          <w:color w:val="000000" w:themeColor="text1"/>
          <w:sz w:val="44"/>
          <w:szCs w:val="44"/>
          <w:highlight w:val="none"/>
          <w14:textFill>
            <w14:solidFill>
              <w14:schemeClr w14:val="tx1"/>
            </w14:solidFill>
          </w14:textFill>
        </w:rPr>
      </w:pPr>
    </w:p>
    <w:p w14:paraId="6835D382">
      <w:pPr>
        <w:spacing w:line="360" w:lineRule="auto"/>
        <w:ind w:firstLine="1124" w:firstLineChars="400"/>
        <w:rPr>
          <w:rFonts w:ascii="宋体" w:hAnsi="宋体" w:cs="宋体"/>
          <w:b/>
          <w:color w:val="000000" w:themeColor="text1"/>
          <w:sz w:val="28"/>
          <w:szCs w:val="28"/>
          <w:highlight w:val="none"/>
          <w14:textFill>
            <w14:solidFill>
              <w14:schemeClr w14:val="tx1"/>
            </w14:solidFill>
          </w14:textFill>
        </w:rPr>
      </w:pPr>
      <w:r>
        <w:rPr>
          <w:rFonts w:hint="eastAsia" w:ascii="宋体" w:hAnsi="宋体" w:cs="宋体"/>
          <w:b/>
          <w:color w:val="000000" w:themeColor="text1"/>
          <w:sz w:val="28"/>
          <w:szCs w:val="28"/>
          <w:highlight w:val="none"/>
          <w14:textFill>
            <w14:solidFill>
              <w14:schemeClr w14:val="tx1"/>
            </w14:solidFill>
          </w14:textFill>
        </w:rPr>
        <w:t>投标人：</w:t>
      </w:r>
      <w:r>
        <w:rPr>
          <w:rFonts w:hint="eastAsia" w:ascii="宋体" w:hAnsi="宋体" w:cs="宋体"/>
          <w:b/>
          <w:color w:val="000000" w:themeColor="text1"/>
          <w:sz w:val="28"/>
          <w:szCs w:val="28"/>
          <w:highlight w:val="none"/>
          <w:u w:val="single"/>
          <w14:textFill>
            <w14:solidFill>
              <w14:schemeClr w14:val="tx1"/>
            </w14:solidFill>
          </w14:textFill>
        </w:rPr>
        <w:tab/>
      </w:r>
      <w:r>
        <w:rPr>
          <w:rFonts w:hint="eastAsia" w:ascii="宋体" w:hAnsi="宋体" w:cs="宋体"/>
          <w:b/>
          <w:color w:val="000000" w:themeColor="text1"/>
          <w:sz w:val="28"/>
          <w:szCs w:val="28"/>
          <w:highlight w:val="none"/>
          <w:u w:val="single"/>
          <w14:textFill>
            <w14:solidFill>
              <w14:schemeClr w14:val="tx1"/>
            </w14:solidFill>
          </w14:textFill>
        </w:rPr>
        <w:t xml:space="preserve">                                 </w:t>
      </w:r>
      <w:r>
        <w:rPr>
          <w:rFonts w:hint="eastAsia" w:ascii="宋体" w:hAnsi="宋体" w:cs="宋体"/>
          <w:b/>
          <w:color w:val="000000" w:themeColor="text1"/>
          <w:sz w:val="28"/>
          <w:szCs w:val="28"/>
          <w:highlight w:val="none"/>
          <w14:textFill>
            <w14:solidFill>
              <w14:schemeClr w14:val="tx1"/>
            </w14:solidFill>
          </w14:textFill>
        </w:rPr>
        <w:t>(电子签章)</w:t>
      </w:r>
    </w:p>
    <w:p w14:paraId="5F035802">
      <w:pPr>
        <w:spacing w:line="360" w:lineRule="auto"/>
        <w:ind w:firstLine="1124" w:firstLineChars="400"/>
        <w:rPr>
          <w:rFonts w:ascii="宋体" w:hAnsi="宋体" w:cs="宋体"/>
          <w:b/>
          <w:color w:val="000000" w:themeColor="text1"/>
          <w:sz w:val="28"/>
          <w:szCs w:val="28"/>
          <w:highlight w:val="none"/>
          <w14:textFill>
            <w14:solidFill>
              <w14:schemeClr w14:val="tx1"/>
            </w14:solidFill>
          </w14:textFill>
        </w:rPr>
      </w:pPr>
      <w:r>
        <w:rPr>
          <w:rFonts w:hint="eastAsia" w:ascii="宋体" w:hAnsi="宋体" w:cs="宋体"/>
          <w:b/>
          <w:color w:val="000000" w:themeColor="text1"/>
          <w:sz w:val="28"/>
          <w:szCs w:val="28"/>
          <w:highlight w:val="none"/>
          <w14:textFill>
            <w14:solidFill>
              <w14:schemeClr w14:val="tx1"/>
            </w14:solidFill>
          </w14:textFill>
        </w:rPr>
        <w:t>法定代表人(单位负责人)或其委托代理人：</w:t>
      </w:r>
      <w:r>
        <w:rPr>
          <w:rFonts w:hint="eastAsia" w:ascii="宋体" w:hAnsi="宋体" w:cs="宋体"/>
          <w:b/>
          <w:color w:val="000000" w:themeColor="text1"/>
          <w:sz w:val="28"/>
          <w:szCs w:val="28"/>
          <w:highlight w:val="none"/>
          <w:u w:val="single"/>
          <w14:textFill>
            <w14:solidFill>
              <w14:schemeClr w14:val="tx1"/>
            </w14:solidFill>
          </w14:textFill>
        </w:rPr>
        <w:tab/>
      </w:r>
      <w:r>
        <w:rPr>
          <w:rFonts w:hint="eastAsia" w:ascii="宋体" w:hAnsi="宋体" w:cs="宋体"/>
          <w:b/>
          <w:color w:val="000000" w:themeColor="text1"/>
          <w:sz w:val="28"/>
          <w:szCs w:val="28"/>
          <w:highlight w:val="none"/>
          <w:u w:val="single"/>
          <w14:textFill>
            <w14:solidFill>
              <w14:schemeClr w14:val="tx1"/>
            </w14:solidFill>
          </w14:textFill>
        </w:rPr>
        <w:t xml:space="preserve">   </w:t>
      </w:r>
      <w:r>
        <w:rPr>
          <w:rFonts w:hint="eastAsia" w:ascii="宋体" w:hAnsi="宋体" w:cs="宋体"/>
          <w:b/>
          <w:color w:val="000000" w:themeColor="text1"/>
          <w:sz w:val="28"/>
          <w:szCs w:val="28"/>
          <w:highlight w:val="none"/>
          <w14:textFill>
            <w14:solidFill>
              <w14:schemeClr w14:val="tx1"/>
            </w14:solidFill>
          </w14:textFill>
        </w:rPr>
        <w:t>(电子签章或签字)</w:t>
      </w:r>
    </w:p>
    <w:p w14:paraId="74E5659B">
      <w:pPr>
        <w:spacing w:line="360" w:lineRule="auto"/>
        <w:ind w:firstLine="1124" w:firstLineChars="400"/>
        <w:rPr>
          <w:rFonts w:ascii="宋体" w:hAnsi="宋体" w:cs="宋体"/>
          <w:b/>
          <w:color w:val="000000" w:themeColor="text1"/>
          <w:sz w:val="28"/>
          <w:szCs w:val="28"/>
          <w:highlight w:val="none"/>
          <w14:textFill>
            <w14:solidFill>
              <w14:schemeClr w14:val="tx1"/>
            </w14:solidFill>
          </w14:textFill>
        </w:rPr>
      </w:pPr>
      <w:r>
        <w:rPr>
          <w:rFonts w:hint="eastAsia" w:ascii="宋体" w:hAnsi="宋体" w:cs="宋体"/>
          <w:b/>
          <w:color w:val="000000" w:themeColor="text1"/>
          <w:sz w:val="28"/>
          <w:szCs w:val="28"/>
          <w:highlight w:val="none"/>
          <w14:textFill>
            <w14:solidFill>
              <w14:schemeClr w14:val="tx1"/>
            </w14:solidFill>
          </w14:textFill>
        </w:rPr>
        <w:t>日期：</w:t>
      </w:r>
      <w:r>
        <w:rPr>
          <w:rFonts w:hint="eastAsia" w:ascii="宋体" w:hAnsi="宋体" w:cs="宋体"/>
          <w:bCs/>
          <w:color w:val="000000" w:themeColor="text1"/>
          <w:sz w:val="28"/>
          <w:szCs w:val="28"/>
          <w:highlight w:val="none"/>
          <w:u w:val="single"/>
          <w14:textFill>
            <w14:solidFill>
              <w14:schemeClr w14:val="tx1"/>
            </w14:solidFill>
          </w14:textFill>
        </w:rPr>
        <w:t xml:space="preserve">      </w:t>
      </w:r>
      <w:r>
        <w:rPr>
          <w:rFonts w:hint="eastAsia" w:ascii="宋体" w:hAnsi="宋体" w:cs="宋体"/>
          <w:b/>
          <w:color w:val="000000" w:themeColor="text1"/>
          <w:sz w:val="28"/>
          <w:szCs w:val="28"/>
          <w:highlight w:val="none"/>
          <w14:textFill>
            <w14:solidFill>
              <w14:schemeClr w14:val="tx1"/>
            </w14:solidFill>
          </w14:textFill>
        </w:rPr>
        <w:t>年</w:t>
      </w:r>
      <w:r>
        <w:rPr>
          <w:rFonts w:hint="eastAsia" w:ascii="宋体" w:hAnsi="宋体" w:cs="宋体"/>
          <w:bCs/>
          <w:color w:val="000000" w:themeColor="text1"/>
          <w:sz w:val="28"/>
          <w:szCs w:val="28"/>
          <w:highlight w:val="none"/>
          <w:u w:val="single"/>
          <w14:textFill>
            <w14:solidFill>
              <w14:schemeClr w14:val="tx1"/>
            </w14:solidFill>
          </w14:textFill>
        </w:rPr>
        <w:t xml:space="preserve">     </w:t>
      </w:r>
      <w:r>
        <w:rPr>
          <w:rFonts w:hint="eastAsia" w:ascii="宋体" w:hAnsi="宋体" w:cs="宋体"/>
          <w:b/>
          <w:color w:val="000000" w:themeColor="text1"/>
          <w:sz w:val="28"/>
          <w:szCs w:val="28"/>
          <w:highlight w:val="none"/>
          <w14:textFill>
            <w14:solidFill>
              <w14:schemeClr w14:val="tx1"/>
            </w14:solidFill>
          </w14:textFill>
        </w:rPr>
        <w:t>月</w:t>
      </w:r>
      <w:r>
        <w:rPr>
          <w:rFonts w:hint="eastAsia" w:ascii="宋体" w:hAnsi="宋体" w:cs="宋体"/>
          <w:bCs/>
          <w:color w:val="000000" w:themeColor="text1"/>
          <w:sz w:val="28"/>
          <w:szCs w:val="28"/>
          <w:highlight w:val="none"/>
          <w:u w:val="single"/>
          <w14:textFill>
            <w14:solidFill>
              <w14:schemeClr w14:val="tx1"/>
            </w14:solidFill>
          </w14:textFill>
        </w:rPr>
        <w:t xml:space="preserve">     </w:t>
      </w:r>
      <w:r>
        <w:rPr>
          <w:rFonts w:hint="eastAsia" w:ascii="宋体" w:hAnsi="宋体" w:cs="宋体"/>
          <w:b/>
          <w:color w:val="000000" w:themeColor="text1"/>
          <w:sz w:val="28"/>
          <w:szCs w:val="28"/>
          <w:highlight w:val="none"/>
          <w14:textFill>
            <w14:solidFill>
              <w14:schemeClr w14:val="tx1"/>
            </w14:solidFill>
          </w14:textFill>
        </w:rPr>
        <w:t>日</w:t>
      </w:r>
    </w:p>
    <w:p w14:paraId="0EDAFAF4">
      <w:pPr>
        <w:ind w:firstLine="5280" w:firstLineChars="1200"/>
        <w:rPr>
          <w:rFonts w:ascii="宋体" w:hAnsi="宋体" w:cs="宋体"/>
          <w:color w:val="000000" w:themeColor="text1"/>
          <w:sz w:val="44"/>
          <w:szCs w:val="44"/>
          <w:highlight w:val="none"/>
          <w14:textFill>
            <w14:solidFill>
              <w14:schemeClr w14:val="tx1"/>
            </w14:solidFill>
          </w14:textFill>
        </w:rPr>
        <w:sectPr>
          <w:headerReference r:id="rId13" w:type="default"/>
          <w:footerReference r:id="rId14" w:type="default"/>
          <w:pgSz w:w="11906" w:h="16838"/>
          <w:pgMar w:top="1440" w:right="1080" w:bottom="1440" w:left="1080" w:header="720" w:footer="720" w:gutter="0"/>
          <w:cols w:space="720" w:num="1"/>
          <w:docGrid w:type="lines" w:linePitch="312" w:charSpace="0"/>
        </w:sectPr>
      </w:pPr>
    </w:p>
    <w:p w14:paraId="5E1284D9">
      <w:pPr>
        <w:pStyle w:val="3"/>
        <w:spacing w:before="0" w:after="0"/>
        <w:jc w:val="center"/>
        <w:rPr>
          <w:rFonts w:ascii="宋体" w:hAnsi="宋体" w:eastAsia="宋体" w:cs="宋体"/>
          <w:color w:val="000000" w:themeColor="text1"/>
          <w:highlight w:val="none"/>
          <w14:textFill>
            <w14:solidFill>
              <w14:schemeClr w14:val="tx1"/>
            </w14:solidFill>
          </w14:textFill>
        </w:rPr>
      </w:pPr>
      <w:bookmarkStart w:id="323" w:name="_Toc21685"/>
      <w:bookmarkStart w:id="324" w:name="_Toc26395"/>
      <w:bookmarkStart w:id="325" w:name="_Toc29565"/>
      <w:bookmarkStart w:id="326" w:name="_Toc496805395"/>
      <w:bookmarkStart w:id="327" w:name="_Toc21811"/>
      <w:bookmarkStart w:id="328" w:name="_Toc20384"/>
      <w:bookmarkStart w:id="329" w:name="_Toc470654589"/>
      <w:bookmarkStart w:id="330" w:name="_Toc30105"/>
      <w:bookmarkStart w:id="331" w:name="_Toc26518"/>
      <w:bookmarkStart w:id="332" w:name="_Toc32285"/>
      <w:bookmarkStart w:id="333" w:name="_Toc15382"/>
      <w:bookmarkStart w:id="334" w:name="_Toc27116"/>
      <w:bookmarkStart w:id="335" w:name="_Toc25187"/>
      <w:bookmarkStart w:id="336" w:name="_Toc25526"/>
      <w:bookmarkStart w:id="337" w:name="_Toc26283"/>
      <w:bookmarkStart w:id="338" w:name="_Toc5150"/>
      <w:bookmarkStart w:id="339" w:name="_Toc1872"/>
      <w:bookmarkStart w:id="340" w:name="_Toc4249"/>
      <w:bookmarkStart w:id="341" w:name="_Toc77"/>
      <w:bookmarkStart w:id="342" w:name="_Toc4672"/>
      <w:bookmarkStart w:id="343" w:name="_Toc9970"/>
      <w:bookmarkStart w:id="344" w:name="_Toc496805434"/>
      <w:bookmarkStart w:id="345" w:name="_Toc384279683"/>
      <w:r>
        <w:rPr>
          <w:rFonts w:hint="eastAsia" w:ascii="宋体" w:hAnsi="宋体" w:eastAsia="宋体" w:cs="宋体"/>
          <w:color w:val="000000" w:themeColor="text1"/>
          <w:highlight w:val="none"/>
          <w14:textFill>
            <w14:solidFill>
              <w14:schemeClr w14:val="tx1"/>
            </w14:solidFill>
          </w14:textFill>
        </w:rPr>
        <w:t>目录</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p w14:paraId="4400B37F">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（投标人自拟）</w:t>
      </w:r>
    </w:p>
    <w:p w14:paraId="73A4D913">
      <w:pPr>
        <w:spacing w:line="480" w:lineRule="auto"/>
        <w:ind w:firstLine="1205" w:firstLineChars="500"/>
        <w:rPr>
          <w:rFonts w:ascii="宋体" w:hAnsi="宋体" w:cs="宋体"/>
          <w:b/>
          <w:bCs/>
          <w:color w:val="000000" w:themeColor="text1"/>
          <w:sz w:val="24"/>
          <w:szCs w:val="24"/>
          <w:highlight w:val="none"/>
          <w14:textFill>
            <w14:solidFill>
              <w14:schemeClr w14:val="tx1"/>
            </w14:solidFill>
          </w14:textFill>
        </w:rPr>
        <w:sectPr>
          <w:headerReference r:id="rId15" w:type="first"/>
          <w:pgSz w:w="11905" w:h="16838"/>
          <w:pgMar w:top="1440" w:right="1080" w:bottom="1440" w:left="1080" w:header="850" w:footer="850" w:gutter="0"/>
          <w:cols w:space="720" w:num="1"/>
          <w:titlePg/>
          <w:docGrid w:linePitch="317" w:charSpace="0"/>
        </w:sectPr>
      </w:pPr>
    </w:p>
    <w:p w14:paraId="4A406BE3">
      <w:pPr>
        <w:spacing w:line="480" w:lineRule="auto"/>
        <w:jc w:val="center"/>
        <w:outlineLvl w:val="2"/>
        <w:rPr>
          <w:rFonts w:ascii="宋体" w:hAnsi="宋体" w:cs="宋体"/>
          <w:b/>
          <w:bCs/>
          <w:color w:val="000000" w:themeColor="text1"/>
          <w:sz w:val="24"/>
          <w:szCs w:val="24"/>
          <w:highlight w:val="none"/>
          <w14:textFill>
            <w14:solidFill>
              <w14:schemeClr w14:val="tx1"/>
            </w14:solidFill>
          </w14:textFill>
        </w:rPr>
      </w:pPr>
      <w:bookmarkStart w:id="346" w:name="_Toc17620"/>
      <w:bookmarkStart w:id="347" w:name="_Toc12875"/>
      <w:bookmarkStart w:id="348" w:name="_Toc22740"/>
      <w:bookmarkStart w:id="349" w:name="_Toc114132362"/>
      <w:r>
        <w:rPr>
          <w:rFonts w:hint="eastAsia" w:ascii="宋体" w:hAnsi="宋体" w:cs="宋体"/>
          <w:b/>
          <w:bCs/>
          <w:color w:val="000000" w:themeColor="text1"/>
          <w:sz w:val="32"/>
          <w:szCs w:val="32"/>
          <w:highlight w:val="none"/>
          <w14:textFill>
            <w14:solidFill>
              <w14:schemeClr w14:val="tx1"/>
            </w14:solidFill>
          </w14:textFill>
        </w:rPr>
        <w:t>资格审查部分</w:t>
      </w:r>
      <w:bookmarkEnd w:id="346"/>
      <w:bookmarkEnd w:id="347"/>
      <w:bookmarkEnd w:id="348"/>
      <w:bookmarkEnd w:id="349"/>
    </w:p>
    <w:p w14:paraId="0CFB2611">
      <w:pPr>
        <w:pStyle w:val="4"/>
        <w:spacing w:before="0" w:after="0" w:line="720" w:lineRule="auto"/>
        <w:jc w:val="center"/>
        <w:rPr>
          <w:rFonts w:ascii="宋体" w:hAnsi="宋体"/>
          <w:color w:val="000000" w:themeColor="text1"/>
          <w:sz w:val="24"/>
          <w:szCs w:val="24"/>
          <w:highlight w:val="none"/>
          <w14:textFill>
            <w14:solidFill>
              <w14:schemeClr w14:val="tx1"/>
            </w14:solidFill>
          </w14:textFill>
        </w:rPr>
      </w:pPr>
      <w:bookmarkStart w:id="350" w:name="_Toc29133"/>
      <w:bookmarkEnd w:id="350"/>
      <w:bookmarkStart w:id="351" w:name="_Toc14917"/>
      <w:bookmarkEnd w:id="351"/>
      <w:bookmarkStart w:id="352" w:name="_Toc24434"/>
      <w:bookmarkEnd w:id="352"/>
      <w:bookmarkStart w:id="353" w:name="_Toc184"/>
      <w:bookmarkEnd w:id="353"/>
      <w:bookmarkStart w:id="354" w:name="_Toc29829"/>
      <w:r>
        <w:rPr>
          <w:rFonts w:hint="eastAsia" w:ascii="宋体" w:hAnsi="宋体" w:cs="宋体"/>
          <w:color w:val="000000" w:themeColor="text1"/>
          <w:sz w:val="24"/>
          <w:szCs w:val="24"/>
          <w:highlight w:val="none"/>
          <w14:textFill>
            <w14:solidFill>
              <w14:schemeClr w14:val="tx1"/>
            </w14:solidFill>
          </w14:textFill>
        </w:rPr>
        <w:t>一、</w:t>
      </w:r>
      <w:r>
        <w:rPr>
          <w:rFonts w:hint="eastAsia" w:ascii="宋体" w:hAnsi="宋体"/>
          <w:color w:val="000000" w:themeColor="text1"/>
          <w:sz w:val="24"/>
          <w:szCs w:val="24"/>
          <w:highlight w:val="none"/>
          <w14:textFill>
            <w14:solidFill>
              <w14:schemeClr w14:val="tx1"/>
            </w14:solidFill>
          </w14:textFill>
        </w:rPr>
        <w:t>具有独立承担民事责任的能力</w:t>
      </w:r>
      <w:bookmarkEnd w:id="354"/>
    </w:p>
    <w:p w14:paraId="6D5FEC42">
      <w:pPr>
        <w:widowControl w:val="0"/>
        <w:spacing w:line="360" w:lineRule="auto"/>
        <w:ind w:firstLine="480" w:firstLineChars="200"/>
        <w:jc w:val="both"/>
        <w:rPr>
          <w:rFonts w:ascii="宋体" w:hAnsi="宋体" w:cs="宋体"/>
          <w:color w:val="000000" w:themeColor="text1"/>
          <w:kern w:val="2"/>
          <w:sz w:val="24"/>
          <w:szCs w:val="24"/>
          <w:highlight w:val="none"/>
          <w:lang w:bidi="ar"/>
          <w14:textFill>
            <w14:solidFill>
              <w14:schemeClr w14:val="tx1"/>
            </w14:solidFill>
          </w14:textFill>
        </w:rPr>
      </w:pPr>
      <w:bookmarkStart w:id="355" w:name="_Toc11747"/>
      <w:bookmarkStart w:id="356" w:name="_Toc24801"/>
      <w:r>
        <w:rPr>
          <w:rFonts w:hint="eastAsia" w:ascii="宋体" w:hAnsi="宋体" w:cs="宋体"/>
          <w:color w:val="000000" w:themeColor="text1"/>
          <w:kern w:val="2"/>
          <w:sz w:val="24"/>
          <w:szCs w:val="24"/>
          <w:highlight w:val="none"/>
          <w:lang w:bidi="ar"/>
          <w14:textFill>
            <w14:solidFill>
              <w14:schemeClr w14:val="tx1"/>
            </w14:solidFill>
          </w14:textFill>
        </w:rPr>
        <w:t>提供法人或者其他组织的营业执照等证明文件。</w:t>
      </w:r>
    </w:p>
    <w:p w14:paraId="18C8E5F3">
      <w:pPr>
        <w:pStyle w:val="14"/>
        <w:rPr>
          <w:rFonts w:ascii="宋体" w:hAnsi="宋体"/>
          <w:color w:val="000000" w:themeColor="text1"/>
          <w:highlight w:val="none"/>
          <w14:textFill>
            <w14:solidFill>
              <w14:schemeClr w14:val="tx1"/>
            </w14:solidFill>
          </w14:textFill>
        </w:rPr>
      </w:pPr>
    </w:p>
    <w:p w14:paraId="7C1A23C0">
      <w:pPr>
        <w:rPr>
          <w:color w:val="000000" w:themeColor="text1"/>
          <w:highlight w:val="none"/>
          <w14:textFill>
            <w14:solidFill>
              <w14:schemeClr w14:val="tx1"/>
            </w14:solidFill>
          </w14:textFill>
        </w:rPr>
      </w:pPr>
    </w:p>
    <w:p w14:paraId="604ECF0D">
      <w:pPr>
        <w:pStyle w:val="14"/>
        <w:rPr>
          <w:rFonts w:ascii="宋体" w:hAnsi="宋体"/>
          <w:color w:val="000000" w:themeColor="text1"/>
          <w:highlight w:val="none"/>
          <w14:textFill>
            <w14:solidFill>
              <w14:schemeClr w14:val="tx1"/>
            </w14:solidFill>
          </w14:textFill>
        </w:rPr>
      </w:pPr>
    </w:p>
    <w:p w14:paraId="424997FB">
      <w:pPr>
        <w:pStyle w:val="14"/>
        <w:rPr>
          <w:rFonts w:ascii="宋体" w:hAnsi="宋体"/>
          <w:color w:val="000000" w:themeColor="text1"/>
          <w:highlight w:val="none"/>
          <w14:textFill>
            <w14:solidFill>
              <w14:schemeClr w14:val="tx1"/>
            </w14:solidFill>
          </w14:textFill>
        </w:rPr>
      </w:pPr>
    </w:p>
    <w:p w14:paraId="331BC01F">
      <w:pPr>
        <w:rPr>
          <w:color w:val="000000" w:themeColor="text1"/>
          <w:highlight w:val="none"/>
          <w14:textFill>
            <w14:solidFill>
              <w14:schemeClr w14:val="tx1"/>
            </w14:solidFill>
          </w14:textFill>
        </w:rPr>
      </w:pPr>
    </w:p>
    <w:p w14:paraId="15575BB1">
      <w:pPr>
        <w:pStyle w:val="4"/>
        <w:spacing w:before="0" w:after="0" w:line="720" w:lineRule="auto"/>
        <w:jc w:val="center"/>
        <w:rPr>
          <w:rFonts w:ascii="宋体" w:hAnsi="宋体" w:cs="宋体"/>
          <w:color w:val="000000" w:themeColor="text1"/>
          <w:sz w:val="24"/>
          <w:szCs w:val="24"/>
          <w:highlight w:val="none"/>
          <w14:textFill>
            <w14:solidFill>
              <w14:schemeClr w14:val="tx1"/>
            </w14:solidFill>
          </w14:textFill>
        </w:rPr>
      </w:pPr>
      <w:bookmarkStart w:id="357" w:name="_Toc28121"/>
      <w:r>
        <w:rPr>
          <w:rFonts w:hint="eastAsia" w:ascii="宋体" w:hAnsi="宋体" w:cs="宋体"/>
          <w:color w:val="000000" w:themeColor="text1"/>
          <w:sz w:val="24"/>
          <w:szCs w:val="24"/>
          <w:highlight w:val="none"/>
          <w14:textFill>
            <w14:solidFill>
              <w14:schemeClr w14:val="tx1"/>
            </w14:solidFill>
          </w14:textFill>
        </w:rPr>
        <w:t>二、具有良好的商业信誉和健全的财务会计制度</w:t>
      </w:r>
      <w:bookmarkEnd w:id="355"/>
      <w:bookmarkEnd w:id="356"/>
      <w:bookmarkEnd w:id="357"/>
    </w:p>
    <w:p w14:paraId="3D7446E7">
      <w:pPr>
        <w:pStyle w:val="57"/>
        <w:ind w:firstLine="480" w:firstLineChars="200"/>
        <w:rPr>
          <w:rFonts w:ascii="宋体" w:hAnsi="宋体" w:eastAsia="宋体"/>
          <w:color w:val="000000" w:themeColor="text1"/>
          <w:sz w:val="24"/>
          <w:szCs w:val="24"/>
          <w:highlight w:val="none"/>
          <w14:textFill>
            <w14:solidFill>
              <w14:schemeClr w14:val="tx1"/>
            </w14:solidFill>
          </w14:textFill>
        </w:rPr>
      </w:pPr>
      <w:bookmarkStart w:id="358" w:name="_Toc27285"/>
      <w:bookmarkStart w:id="359" w:name="_Toc25770"/>
      <w:r>
        <w:rPr>
          <w:rFonts w:hint="eastAsia" w:ascii="宋体" w:hAnsi="宋体" w:eastAsia="宋体"/>
          <w:color w:val="000000" w:themeColor="text1"/>
          <w:sz w:val="24"/>
          <w:szCs w:val="24"/>
          <w:highlight w:val="none"/>
          <w14:textFill>
            <w14:solidFill>
              <w14:schemeClr w14:val="tx1"/>
            </w14:solidFill>
          </w14:textFill>
        </w:rPr>
        <w:t>投标人须提供财务状况报告，内容可为以下两者之一：</w:t>
      </w:r>
    </w:p>
    <w:p w14:paraId="6445AD25">
      <w:pPr>
        <w:pStyle w:val="57"/>
        <w:ind w:firstLine="480" w:firstLineChars="200"/>
        <w:rPr>
          <w:rFonts w:ascii="宋体" w:hAnsi="宋体" w:eastAsia="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①提供2024年或2025年经审计的财务报告(包括资产负债表、利润表、现金流量表、所有者权益变动表及其附注)，新成立不满1年的投标人提供自成立至今的财务报表；</w:t>
      </w:r>
    </w:p>
    <w:p w14:paraId="36D0A8CC">
      <w:pPr>
        <w:pStyle w:val="57"/>
        <w:ind w:firstLine="480" w:firstLineChars="200"/>
        <w:rPr>
          <w:rFonts w:ascii="宋体" w:hAnsi="宋体" w:eastAsia="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②提供自投标文件提交截止时间前三个月内基本开户银行出具的资信证明。</w:t>
      </w:r>
    </w:p>
    <w:p w14:paraId="10928F90">
      <w:pPr>
        <w:rPr>
          <w:rFonts w:ascii="宋体" w:hAnsi="宋体"/>
          <w:color w:val="000000" w:themeColor="text1"/>
          <w:highlight w:val="none"/>
          <w14:textFill>
            <w14:solidFill>
              <w14:schemeClr w14:val="tx1"/>
            </w14:solidFill>
          </w14:textFill>
        </w:rPr>
      </w:pPr>
    </w:p>
    <w:p w14:paraId="4CD6DD86">
      <w:pPr>
        <w:pStyle w:val="14"/>
        <w:rPr>
          <w:rFonts w:ascii="宋体" w:hAnsi="宋体"/>
          <w:color w:val="000000" w:themeColor="text1"/>
          <w:highlight w:val="none"/>
          <w14:textFill>
            <w14:solidFill>
              <w14:schemeClr w14:val="tx1"/>
            </w14:solidFill>
          </w14:textFill>
        </w:rPr>
      </w:pPr>
    </w:p>
    <w:p w14:paraId="28B40A47">
      <w:pPr>
        <w:pStyle w:val="14"/>
        <w:rPr>
          <w:rFonts w:ascii="宋体" w:hAnsi="宋体"/>
          <w:color w:val="000000" w:themeColor="text1"/>
          <w:highlight w:val="none"/>
          <w14:textFill>
            <w14:solidFill>
              <w14:schemeClr w14:val="tx1"/>
            </w14:solidFill>
          </w14:textFill>
        </w:rPr>
      </w:pPr>
    </w:p>
    <w:p w14:paraId="22859F74">
      <w:pPr>
        <w:rPr>
          <w:rFonts w:ascii="宋体" w:hAnsi="宋体"/>
          <w:color w:val="000000" w:themeColor="text1"/>
          <w:highlight w:val="none"/>
          <w14:textFill>
            <w14:solidFill>
              <w14:schemeClr w14:val="tx1"/>
            </w14:solidFill>
          </w14:textFill>
        </w:rPr>
      </w:pPr>
    </w:p>
    <w:p w14:paraId="434B9A01">
      <w:pPr>
        <w:rPr>
          <w:rFonts w:ascii="宋体" w:hAnsi="宋体"/>
          <w:color w:val="000000" w:themeColor="text1"/>
          <w:highlight w:val="none"/>
          <w14:textFill>
            <w14:solidFill>
              <w14:schemeClr w14:val="tx1"/>
            </w14:solidFill>
          </w14:textFill>
        </w:rPr>
      </w:pPr>
    </w:p>
    <w:p w14:paraId="18728498">
      <w:pPr>
        <w:pStyle w:val="14"/>
        <w:rPr>
          <w:rFonts w:ascii="宋体" w:hAnsi="宋体"/>
          <w:color w:val="000000" w:themeColor="text1"/>
          <w:highlight w:val="none"/>
          <w14:textFill>
            <w14:solidFill>
              <w14:schemeClr w14:val="tx1"/>
            </w14:solidFill>
          </w14:textFill>
        </w:rPr>
      </w:pPr>
    </w:p>
    <w:p w14:paraId="2FE40AEF">
      <w:pPr>
        <w:rPr>
          <w:color w:val="000000" w:themeColor="text1"/>
          <w:highlight w:val="none"/>
          <w14:textFill>
            <w14:solidFill>
              <w14:schemeClr w14:val="tx1"/>
            </w14:solidFill>
          </w14:textFill>
        </w:rPr>
      </w:pPr>
    </w:p>
    <w:p w14:paraId="572E29B3">
      <w:pPr>
        <w:pStyle w:val="4"/>
        <w:spacing w:before="0" w:after="0" w:line="720" w:lineRule="auto"/>
        <w:jc w:val="center"/>
        <w:rPr>
          <w:rFonts w:ascii="宋体" w:hAnsi="宋体" w:cs="宋体"/>
          <w:color w:val="000000" w:themeColor="text1"/>
          <w:sz w:val="24"/>
          <w:szCs w:val="24"/>
          <w:highlight w:val="none"/>
          <w14:textFill>
            <w14:solidFill>
              <w14:schemeClr w14:val="tx1"/>
            </w14:solidFill>
          </w14:textFill>
        </w:rPr>
      </w:pPr>
      <w:bookmarkStart w:id="360" w:name="_Toc3479"/>
      <w:r>
        <w:rPr>
          <w:rFonts w:hint="eastAsia" w:ascii="宋体" w:hAnsi="宋体" w:cs="宋体"/>
          <w:color w:val="000000" w:themeColor="text1"/>
          <w:sz w:val="24"/>
          <w:szCs w:val="24"/>
          <w:highlight w:val="none"/>
          <w14:textFill>
            <w14:solidFill>
              <w14:schemeClr w14:val="tx1"/>
            </w14:solidFill>
          </w14:textFill>
        </w:rPr>
        <w:t>三、</w:t>
      </w:r>
      <w:bookmarkEnd w:id="358"/>
      <w:bookmarkEnd w:id="359"/>
      <w:r>
        <w:rPr>
          <w:rFonts w:hint="eastAsia" w:ascii="宋体" w:hAnsi="宋体" w:cs="宋体"/>
          <w:color w:val="000000" w:themeColor="text1"/>
          <w:sz w:val="24"/>
          <w:szCs w:val="24"/>
          <w:highlight w:val="none"/>
          <w14:textFill>
            <w14:solidFill>
              <w14:schemeClr w14:val="tx1"/>
            </w14:solidFill>
          </w14:textFill>
        </w:rPr>
        <w:t>具有履行合同所必需的设备和专业技术能力</w:t>
      </w:r>
      <w:bookmarkEnd w:id="360"/>
    </w:p>
    <w:p w14:paraId="5C77ED8B">
      <w:pPr>
        <w:pStyle w:val="57"/>
        <w:ind w:firstLine="480" w:firstLineChars="200"/>
        <w:rPr>
          <w:rFonts w:ascii="宋体" w:hAnsi="宋体" w:eastAsia="宋体"/>
          <w:color w:val="000000" w:themeColor="text1"/>
          <w:sz w:val="24"/>
          <w:szCs w:val="24"/>
          <w:highlight w:val="none"/>
          <w14:textFill>
            <w14:solidFill>
              <w14:schemeClr w14:val="tx1"/>
            </w14:solidFill>
          </w14:textFill>
        </w:rPr>
      </w:pPr>
      <w:bookmarkStart w:id="361" w:name="_Toc14504"/>
      <w:bookmarkEnd w:id="361"/>
      <w:bookmarkStart w:id="362" w:name="_Toc1209"/>
      <w:bookmarkStart w:id="363" w:name="_Toc23521"/>
      <w:r>
        <w:rPr>
          <w:rFonts w:hint="eastAsia" w:ascii="宋体" w:hAnsi="宋体" w:eastAsia="宋体"/>
          <w:color w:val="000000" w:themeColor="text1"/>
          <w:sz w:val="24"/>
          <w:szCs w:val="24"/>
          <w:highlight w:val="none"/>
          <w14:textFill>
            <w14:solidFill>
              <w14:schemeClr w14:val="tx1"/>
            </w14:solidFill>
          </w14:textFill>
        </w:rPr>
        <w:t>提供具备履行合同所必需的设备和专业技术能力的证明材料或承诺。</w:t>
      </w:r>
    </w:p>
    <w:p w14:paraId="7D6EB705">
      <w:pPr>
        <w:rPr>
          <w:rFonts w:ascii="宋体" w:hAnsi="宋体"/>
          <w:color w:val="000000" w:themeColor="text1"/>
          <w:highlight w:val="none"/>
          <w14:textFill>
            <w14:solidFill>
              <w14:schemeClr w14:val="tx1"/>
            </w14:solidFill>
          </w14:textFill>
        </w:rPr>
      </w:pPr>
    </w:p>
    <w:p w14:paraId="10366B59">
      <w:pPr>
        <w:rPr>
          <w:rFonts w:ascii="宋体" w:hAnsi="宋体"/>
          <w:color w:val="000000" w:themeColor="text1"/>
          <w:highlight w:val="none"/>
          <w14:textFill>
            <w14:solidFill>
              <w14:schemeClr w14:val="tx1"/>
            </w14:solidFill>
          </w14:textFill>
        </w:rPr>
      </w:pPr>
    </w:p>
    <w:p w14:paraId="29FF4471">
      <w:pPr>
        <w:pStyle w:val="14"/>
        <w:rPr>
          <w:rFonts w:ascii="宋体" w:hAnsi="宋体"/>
          <w:color w:val="000000" w:themeColor="text1"/>
          <w:highlight w:val="none"/>
          <w14:textFill>
            <w14:solidFill>
              <w14:schemeClr w14:val="tx1"/>
            </w14:solidFill>
          </w14:textFill>
        </w:rPr>
      </w:pPr>
    </w:p>
    <w:p w14:paraId="2F213461">
      <w:pPr>
        <w:pStyle w:val="14"/>
        <w:rPr>
          <w:rFonts w:ascii="宋体" w:hAnsi="宋体"/>
          <w:color w:val="000000" w:themeColor="text1"/>
          <w:highlight w:val="none"/>
          <w14:textFill>
            <w14:solidFill>
              <w14:schemeClr w14:val="tx1"/>
            </w14:solidFill>
          </w14:textFill>
        </w:rPr>
      </w:pPr>
    </w:p>
    <w:p w14:paraId="64C742D9">
      <w:pPr>
        <w:pStyle w:val="4"/>
        <w:spacing w:before="0" w:after="0" w:line="720" w:lineRule="auto"/>
        <w:jc w:val="center"/>
        <w:rPr>
          <w:rFonts w:ascii="宋体" w:hAnsi="宋体" w:cs="宋体"/>
          <w:color w:val="000000" w:themeColor="text1"/>
          <w:sz w:val="24"/>
          <w:szCs w:val="24"/>
          <w:highlight w:val="none"/>
          <w14:textFill>
            <w14:solidFill>
              <w14:schemeClr w14:val="tx1"/>
            </w14:solidFill>
          </w14:textFill>
        </w:rPr>
      </w:pPr>
      <w:bookmarkStart w:id="364" w:name="_Toc19482"/>
      <w:r>
        <w:rPr>
          <w:rFonts w:hint="eastAsia" w:ascii="宋体" w:hAnsi="宋体" w:cs="宋体"/>
          <w:color w:val="000000" w:themeColor="text1"/>
          <w:sz w:val="24"/>
          <w:szCs w:val="24"/>
          <w:highlight w:val="none"/>
          <w14:textFill>
            <w14:solidFill>
              <w14:schemeClr w14:val="tx1"/>
            </w14:solidFill>
          </w14:textFill>
        </w:rPr>
        <w:t>四、</w:t>
      </w:r>
      <w:bookmarkEnd w:id="362"/>
      <w:bookmarkEnd w:id="363"/>
      <w:r>
        <w:rPr>
          <w:rFonts w:hint="eastAsia" w:ascii="宋体" w:hAnsi="宋体" w:cs="宋体"/>
          <w:color w:val="000000" w:themeColor="text1"/>
          <w:sz w:val="24"/>
          <w:szCs w:val="24"/>
          <w:highlight w:val="none"/>
          <w14:textFill>
            <w14:solidFill>
              <w14:schemeClr w14:val="tx1"/>
            </w14:solidFill>
          </w14:textFill>
        </w:rPr>
        <w:t>有依法缴纳税收和社会保障资金的良好记录</w:t>
      </w:r>
      <w:bookmarkEnd w:id="364"/>
    </w:p>
    <w:p w14:paraId="29CCB739">
      <w:pPr>
        <w:spacing w:line="360" w:lineRule="auto"/>
        <w:ind w:firstLine="480" w:firstLineChars="200"/>
        <w:jc w:val="both"/>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提供缴税所属时间在2025年1月至本项目投标文件提交截止时间前任意3个月的税务局税收通用缴款书或银行电子缴税（费）凭证或税务局出具纳税情况的相关证明（注：成立未满3个月的投标人提供自成立以来的相关纳税证明或情况说明；依法免税的，应提供依法免税的相关证明文件）；</w:t>
      </w:r>
    </w:p>
    <w:p w14:paraId="3DDBD6C5">
      <w:pPr>
        <w:spacing w:line="360" w:lineRule="auto"/>
        <w:ind w:firstLine="480" w:firstLineChars="200"/>
        <w:jc w:val="both"/>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提供缴费所属时间在2025年1月至本项目投标文件提交截止时间前任意3个月的社会保险费缴款书或银行电子缴税（费）凭证或社保管理部门出具的有效的缴款证明（注：成立未满3个月的投标人提供自成立以来的相关缴款证明或情况说明；依法免缴的，应提供依法免缴的相关证明文件）。</w:t>
      </w:r>
    </w:p>
    <w:p w14:paraId="751D6B74">
      <w:pPr>
        <w:autoSpaceDE w:val="0"/>
        <w:spacing w:line="480" w:lineRule="auto"/>
        <w:rPr>
          <w:rFonts w:ascii="宋体" w:hAnsi="宋体"/>
          <w:color w:val="000000" w:themeColor="text1"/>
          <w:sz w:val="24"/>
          <w:szCs w:val="24"/>
          <w:highlight w:val="none"/>
          <w14:textFill>
            <w14:solidFill>
              <w14:schemeClr w14:val="tx1"/>
            </w14:solidFill>
          </w14:textFill>
        </w:rPr>
      </w:pPr>
    </w:p>
    <w:p w14:paraId="33D8E50C">
      <w:pPr>
        <w:pStyle w:val="4"/>
        <w:spacing w:before="0" w:after="0" w:line="240" w:lineRule="auto"/>
        <w:jc w:val="center"/>
        <w:rPr>
          <w:rFonts w:ascii="宋体" w:hAnsi="宋体" w:cs="宋体"/>
          <w:color w:val="000000" w:themeColor="text1"/>
          <w:highlight w:val="none"/>
          <w14:textFill>
            <w14:solidFill>
              <w14:schemeClr w14:val="tx1"/>
            </w14:solidFill>
          </w14:textFill>
        </w:rPr>
      </w:pPr>
      <w:bookmarkStart w:id="365" w:name="_Toc8069"/>
      <w:bookmarkEnd w:id="365"/>
      <w:r>
        <w:rPr>
          <w:rFonts w:hint="eastAsia" w:ascii="宋体" w:hAnsi="宋体" w:cs="宋体"/>
          <w:color w:val="000000" w:themeColor="text1"/>
          <w:highlight w:val="none"/>
          <w14:textFill>
            <w14:solidFill>
              <w14:schemeClr w14:val="tx1"/>
            </w14:solidFill>
          </w14:textFill>
        </w:rPr>
        <w:br w:type="page"/>
      </w:r>
      <w:bookmarkStart w:id="366" w:name="_Toc13450"/>
      <w:r>
        <w:rPr>
          <w:rFonts w:hint="eastAsia" w:ascii="宋体" w:hAnsi="宋体" w:cs="宋体"/>
          <w:color w:val="000000" w:themeColor="text1"/>
          <w:sz w:val="24"/>
          <w:szCs w:val="24"/>
          <w:highlight w:val="none"/>
          <w14:textFill>
            <w14:solidFill>
              <w14:schemeClr w14:val="tx1"/>
            </w14:solidFill>
          </w14:textFill>
        </w:rPr>
        <w:t>五、</w:t>
      </w:r>
      <w:bookmarkStart w:id="367" w:name="_Toc4022"/>
      <w:bookmarkEnd w:id="367"/>
      <w:bookmarkStart w:id="368" w:name="_Toc30512"/>
      <w:r>
        <w:rPr>
          <w:rFonts w:hint="eastAsia" w:ascii="宋体" w:hAnsi="宋体" w:cs="宋体"/>
          <w:color w:val="000000" w:themeColor="text1"/>
          <w:sz w:val="24"/>
          <w:szCs w:val="24"/>
          <w:highlight w:val="none"/>
          <w14:textFill>
            <w14:solidFill>
              <w14:schemeClr w14:val="tx1"/>
            </w14:solidFill>
          </w14:textFill>
        </w:rPr>
        <w:t>参加政府采购活动前三年内，在经营活动中没有重大违法记录</w:t>
      </w:r>
      <w:bookmarkEnd w:id="366"/>
    </w:p>
    <w:p w14:paraId="41B66917">
      <w:pPr>
        <w:spacing w:line="360" w:lineRule="auto"/>
        <w:ind w:firstLine="562" w:firstLineChars="200"/>
        <w:jc w:val="center"/>
        <w:rPr>
          <w:rFonts w:ascii="宋体" w:hAnsi="宋体" w:cs="宋体"/>
          <w:b/>
          <w:bCs/>
          <w:color w:val="000000" w:themeColor="text1"/>
          <w:sz w:val="28"/>
          <w:szCs w:val="28"/>
          <w:highlight w:val="none"/>
          <w14:textFill>
            <w14:solidFill>
              <w14:schemeClr w14:val="tx1"/>
            </w14:solidFill>
          </w14:textFill>
        </w:rPr>
      </w:pPr>
      <w:r>
        <w:rPr>
          <w:rFonts w:hint="eastAsia" w:ascii="宋体" w:hAnsi="宋体" w:cs="宋体"/>
          <w:b/>
          <w:bCs/>
          <w:color w:val="000000" w:themeColor="text1"/>
          <w:sz w:val="28"/>
          <w:szCs w:val="28"/>
          <w:highlight w:val="none"/>
          <w14:textFill>
            <w14:solidFill>
              <w14:schemeClr w14:val="tx1"/>
            </w14:solidFill>
          </w14:textFill>
        </w:rPr>
        <w:t>书面声明</w:t>
      </w:r>
    </w:p>
    <w:p w14:paraId="084596B5">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致：</w:t>
      </w:r>
      <w:r>
        <w:rPr>
          <w:rFonts w:hint="eastAsia" w:ascii="宋体" w:hAnsi="宋体" w:cs="宋体"/>
          <w:color w:val="000000" w:themeColor="text1"/>
          <w:sz w:val="24"/>
          <w:szCs w:val="24"/>
          <w:highlight w:val="none"/>
          <w:u w:val="single"/>
          <w14:textFill>
            <w14:solidFill>
              <w14:schemeClr w14:val="tx1"/>
            </w14:solidFill>
          </w14:textFill>
        </w:rPr>
        <w:t xml:space="preserve">        </w:t>
      </w:r>
      <w:r>
        <w:rPr>
          <w:rFonts w:hint="eastAsia" w:ascii="宋体" w:hAnsi="宋体" w:cs="宋体"/>
          <w:color w:val="000000" w:themeColor="text1"/>
          <w:sz w:val="24"/>
          <w:szCs w:val="24"/>
          <w:highlight w:val="none"/>
          <w14:textFill>
            <w14:solidFill>
              <w14:schemeClr w14:val="tx1"/>
            </w14:solidFill>
          </w14:textFill>
        </w:rPr>
        <w:t>（采购人）</w:t>
      </w:r>
    </w:p>
    <w:p w14:paraId="46A9EC44">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（投标人自行承诺及说明，内容自拟）</w:t>
      </w:r>
    </w:p>
    <w:p w14:paraId="2A6389FB">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p>
    <w:p w14:paraId="3C1D992C">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p>
    <w:p w14:paraId="26CC457C">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p>
    <w:p w14:paraId="22C847B1">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p>
    <w:p w14:paraId="1028C62E">
      <w:pPr>
        <w:ind w:firstLine="1205" w:firstLineChars="500"/>
        <w:rPr>
          <w:rFonts w:ascii="宋体" w:hAnsi="宋体" w:cs="宋体"/>
          <w:b/>
          <w:bCs/>
          <w:color w:val="000000" w:themeColor="text1"/>
          <w:sz w:val="24"/>
          <w:szCs w:val="24"/>
          <w:highlight w:val="none"/>
          <w14:textFill>
            <w14:solidFill>
              <w14:schemeClr w14:val="tx1"/>
            </w14:solidFill>
          </w14:textFill>
        </w:rPr>
      </w:pPr>
    </w:p>
    <w:p w14:paraId="6486B950">
      <w:pPr>
        <w:ind w:firstLine="1205" w:firstLineChars="500"/>
        <w:rPr>
          <w:rFonts w:ascii="宋体" w:hAnsi="宋体" w:cs="宋体"/>
          <w:b/>
          <w:bCs/>
          <w:color w:val="000000" w:themeColor="text1"/>
          <w:sz w:val="24"/>
          <w:szCs w:val="24"/>
          <w:highlight w:val="none"/>
          <w14:textFill>
            <w14:solidFill>
              <w14:schemeClr w14:val="tx1"/>
            </w14:solidFill>
          </w14:textFill>
        </w:rPr>
      </w:pPr>
    </w:p>
    <w:p w14:paraId="6D438CA8">
      <w:pPr>
        <w:ind w:firstLine="1205" w:firstLineChars="500"/>
        <w:rPr>
          <w:rFonts w:ascii="宋体" w:hAnsi="宋体" w:cs="宋体"/>
          <w:b/>
          <w:bCs/>
          <w:color w:val="000000" w:themeColor="text1"/>
          <w:sz w:val="24"/>
          <w:szCs w:val="24"/>
          <w:highlight w:val="none"/>
          <w14:textFill>
            <w14:solidFill>
              <w14:schemeClr w14:val="tx1"/>
            </w14:solidFill>
          </w14:textFill>
        </w:rPr>
      </w:pPr>
    </w:p>
    <w:p w14:paraId="1AC2D425">
      <w:pPr>
        <w:pStyle w:val="14"/>
        <w:rPr>
          <w:rFonts w:ascii="宋体" w:hAnsi="宋体"/>
          <w:color w:val="000000" w:themeColor="text1"/>
          <w:highlight w:val="none"/>
          <w14:textFill>
            <w14:solidFill>
              <w14:schemeClr w14:val="tx1"/>
            </w14:solidFill>
          </w14:textFill>
        </w:rPr>
      </w:pPr>
    </w:p>
    <w:p w14:paraId="64E59C07">
      <w:pPr>
        <w:ind w:firstLine="1205" w:firstLineChars="500"/>
        <w:rPr>
          <w:rFonts w:ascii="宋体" w:hAnsi="宋体" w:cs="宋体"/>
          <w:b/>
          <w:bCs/>
          <w:color w:val="000000" w:themeColor="text1"/>
          <w:sz w:val="24"/>
          <w:szCs w:val="24"/>
          <w:highlight w:val="none"/>
          <w14:textFill>
            <w14:solidFill>
              <w14:schemeClr w14:val="tx1"/>
            </w14:solidFill>
          </w14:textFill>
        </w:rPr>
      </w:pPr>
    </w:p>
    <w:p w14:paraId="02AE971C">
      <w:pPr>
        <w:ind w:firstLine="1205" w:firstLineChars="500"/>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投标人：</w:t>
      </w:r>
      <w:r>
        <w:rPr>
          <w:rFonts w:hint="eastAsia" w:ascii="宋体" w:hAnsi="宋体" w:cs="宋体"/>
          <w:b/>
          <w:bCs/>
          <w:color w:val="000000" w:themeColor="text1"/>
          <w:sz w:val="24"/>
          <w:szCs w:val="24"/>
          <w:highlight w:val="none"/>
          <w:u w:val="single"/>
          <w14:textFill>
            <w14:solidFill>
              <w14:schemeClr w14:val="tx1"/>
            </w14:solidFill>
          </w14:textFill>
        </w:rPr>
        <w:tab/>
      </w:r>
      <w:r>
        <w:rPr>
          <w:rFonts w:hint="eastAsia" w:ascii="宋体" w:hAnsi="宋体" w:cs="宋体"/>
          <w:b/>
          <w:bCs/>
          <w:color w:val="000000" w:themeColor="text1"/>
          <w:sz w:val="24"/>
          <w:szCs w:val="24"/>
          <w:highlight w:val="none"/>
          <w:u w:val="single"/>
          <w14:textFill>
            <w14:solidFill>
              <w14:schemeClr w14:val="tx1"/>
            </w14:solidFill>
          </w14:textFill>
        </w:rPr>
        <w:t xml:space="preserve">                                    </w:t>
      </w:r>
      <w:r>
        <w:rPr>
          <w:rFonts w:hint="eastAsia" w:ascii="宋体" w:hAnsi="宋体" w:cs="宋体"/>
          <w:b/>
          <w:bCs/>
          <w:color w:val="000000" w:themeColor="text1"/>
          <w:sz w:val="24"/>
          <w:szCs w:val="24"/>
          <w:highlight w:val="none"/>
          <w14:textFill>
            <w14:solidFill>
              <w14:schemeClr w14:val="tx1"/>
            </w14:solidFill>
          </w14:textFill>
        </w:rPr>
        <w:t>(电子签章)</w:t>
      </w:r>
    </w:p>
    <w:p w14:paraId="4711020D">
      <w:pPr>
        <w:rPr>
          <w:rFonts w:ascii="宋体" w:hAnsi="宋体" w:cs="宋体"/>
          <w:b/>
          <w:bCs/>
          <w:color w:val="000000" w:themeColor="text1"/>
          <w:sz w:val="24"/>
          <w:szCs w:val="24"/>
          <w:highlight w:val="none"/>
          <w14:textFill>
            <w14:solidFill>
              <w14:schemeClr w14:val="tx1"/>
            </w14:solidFill>
          </w14:textFill>
        </w:rPr>
      </w:pPr>
    </w:p>
    <w:p w14:paraId="56912EE5">
      <w:pPr>
        <w:ind w:firstLine="1205" w:firstLineChars="500"/>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法定代表人(单位负责人)或其委托代理人：</w:t>
      </w:r>
      <w:r>
        <w:rPr>
          <w:rFonts w:hint="eastAsia" w:ascii="宋体" w:hAnsi="宋体" w:cs="宋体"/>
          <w:b/>
          <w:bCs/>
          <w:color w:val="000000" w:themeColor="text1"/>
          <w:sz w:val="24"/>
          <w:szCs w:val="24"/>
          <w:highlight w:val="none"/>
          <w14:textFill>
            <w14:solidFill>
              <w14:schemeClr w14:val="tx1"/>
            </w14:solidFill>
          </w14:textFill>
        </w:rPr>
        <w:tab/>
      </w:r>
      <w:r>
        <w:rPr>
          <w:rFonts w:hint="eastAsia" w:ascii="宋体" w:hAnsi="宋体" w:cs="宋体"/>
          <w:b/>
          <w:bCs/>
          <w:color w:val="000000" w:themeColor="text1"/>
          <w:sz w:val="24"/>
          <w:szCs w:val="24"/>
          <w:highlight w:val="none"/>
          <w:u w:val="single"/>
          <w14:textFill>
            <w14:solidFill>
              <w14:schemeClr w14:val="tx1"/>
            </w14:solidFill>
          </w14:textFill>
        </w:rPr>
        <w:t xml:space="preserve">             </w:t>
      </w:r>
      <w:r>
        <w:rPr>
          <w:rFonts w:hint="eastAsia" w:ascii="宋体" w:hAnsi="宋体" w:cs="宋体"/>
          <w:b/>
          <w:bCs/>
          <w:color w:val="000000" w:themeColor="text1"/>
          <w:sz w:val="24"/>
          <w:szCs w:val="24"/>
          <w:highlight w:val="none"/>
          <w14:textFill>
            <w14:solidFill>
              <w14:schemeClr w14:val="tx1"/>
            </w14:solidFill>
          </w14:textFill>
        </w:rPr>
        <w:t>(电子签名或签字)</w:t>
      </w:r>
    </w:p>
    <w:p w14:paraId="6A0E6B50">
      <w:pPr>
        <w:rPr>
          <w:rFonts w:ascii="宋体" w:hAnsi="宋体" w:cs="宋体"/>
          <w:b/>
          <w:bCs/>
          <w:color w:val="000000" w:themeColor="text1"/>
          <w:sz w:val="24"/>
          <w:szCs w:val="24"/>
          <w:highlight w:val="none"/>
          <w14:textFill>
            <w14:solidFill>
              <w14:schemeClr w14:val="tx1"/>
            </w14:solidFill>
          </w14:textFill>
        </w:rPr>
      </w:pPr>
    </w:p>
    <w:p w14:paraId="4365CC12">
      <w:pPr>
        <w:ind w:firstLine="1205" w:firstLineChars="500"/>
        <w:rPr>
          <w:rFonts w:ascii="宋体" w:hAnsi="宋体" w:cs="宋体"/>
          <w:color w:val="000000" w:themeColor="text1"/>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日期：</w:t>
      </w:r>
      <w:r>
        <w:rPr>
          <w:rFonts w:hint="eastAsia" w:ascii="宋体" w:hAnsi="宋体" w:cs="宋体"/>
          <w:b/>
          <w:bCs/>
          <w:color w:val="000000" w:themeColor="text1"/>
          <w:sz w:val="24"/>
          <w:szCs w:val="24"/>
          <w:highlight w:val="none"/>
          <w:u w:val="single"/>
          <w14:textFill>
            <w14:solidFill>
              <w14:schemeClr w14:val="tx1"/>
            </w14:solidFill>
          </w14:textFill>
        </w:rPr>
        <w:t xml:space="preserve">         </w:t>
      </w:r>
      <w:r>
        <w:rPr>
          <w:rFonts w:hint="eastAsia" w:ascii="宋体" w:hAnsi="宋体" w:cs="宋体"/>
          <w:b/>
          <w:bCs/>
          <w:color w:val="000000" w:themeColor="text1"/>
          <w:sz w:val="24"/>
          <w:szCs w:val="24"/>
          <w:highlight w:val="none"/>
          <w14:textFill>
            <w14:solidFill>
              <w14:schemeClr w14:val="tx1"/>
            </w14:solidFill>
          </w14:textFill>
        </w:rPr>
        <w:t xml:space="preserve">年 </w:t>
      </w:r>
      <w:r>
        <w:rPr>
          <w:rFonts w:hint="eastAsia" w:ascii="宋体" w:hAnsi="宋体" w:cs="宋体"/>
          <w:b/>
          <w:bCs/>
          <w:color w:val="000000" w:themeColor="text1"/>
          <w:sz w:val="24"/>
          <w:szCs w:val="24"/>
          <w:highlight w:val="none"/>
          <w:u w:val="single"/>
          <w14:textFill>
            <w14:solidFill>
              <w14:schemeClr w14:val="tx1"/>
            </w14:solidFill>
          </w14:textFill>
        </w:rPr>
        <w:tab/>
      </w:r>
      <w:r>
        <w:rPr>
          <w:rFonts w:hint="eastAsia" w:ascii="宋体" w:hAnsi="宋体" w:cs="宋体"/>
          <w:b/>
          <w:bCs/>
          <w:color w:val="000000" w:themeColor="text1"/>
          <w:sz w:val="24"/>
          <w:szCs w:val="24"/>
          <w:highlight w:val="none"/>
          <w:u w:val="single"/>
          <w14:textFill>
            <w14:solidFill>
              <w14:schemeClr w14:val="tx1"/>
            </w14:solidFill>
          </w14:textFill>
        </w:rPr>
        <w:t xml:space="preserve"> </w:t>
      </w:r>
      <w:r>
        <w:rPr>
          <w:rFonts w:hint="eastAsia" w:ascii="宋体" w:hAnsi="宋体" w:cs="宋体"/>
          <w:b/>
          <w:bCs/>
          <w:color w:val="000000" w:themeColor="text1"/>
          <w:sz w:val="24"/>
          <w:szCs w:val="24"/>
          <w:highlight w:val="none"/>
          <w14:textFill>
            <w14:solidFill>
              <w14:schemeClr w14:val="tx1"/>
            </w14:solidFill>
          </w14:textFill>
        </w:rPr>
        <w:t xml:space="preserve">月 </w:t>
      </w:r>
      <w:r>
        <w:rPr>
          <w:rFonts w:hint="eastAsia" w:ascii="宋体" w:hAnsi="宋体" w:cs="宋体"/>
          <w:b/>
          <w:bCs/>
          <w:color w:val="000000" w:themeColor="text1"/>
          <w:sz w:val="24"/>
          <w:szCs w:val="24"/>
          <w:highlight w:val="none"/>
          <w:u w:val="single"/>
          <w14:textFill>
            <w14:solidFill>
              <w14:schemeClr w14:val="tx1"/>
            </w14:solidFill>
          </w14:textFill>
        </w:rPr>
        <w:t xml:space="preserve">   </w:t>
      </w:r>
      <w:r>
        <w:rPr>
          <w:rFonts w:hint="eastAsia" w:ascii="宋体" w:hAnsi="宋体" w:cs="宋体"/>
          <w:b/>
          <w:bCs/>
          <w:color w:val="000000" w:themeColor="text1"/>
          <w:sz w:val="24"/>
          <w:szCs w:val="24"/>
          <w:highlight w:val="none"/>
          <w14:textFill>
            <w14:solidFill>
              <w14:schemeClr w14:val="tx1"/>
            </w14:solidFill>
          </w14:textFill>
        </w:rPr>
        <w:t>日</w:t>
      </w:r>
    </w:p>
    <w:p w14:paraId="0BF77351">
      <w:pPr>
        <w:pStyle w:val="14"/>
        <w:rPr>
          <w:rFonts w:ascii="宋体" w:hAnsi="宋体"/>
          <w:b/>
          <w:color w:val="000000" w:themeColor="text1"/>
          <w:sz w:val="28"/>
          <w:szCs w:val="28"/>
          <w:highlight w:val="none"/>
          <w14:textFill>
            <w14:solidFill>
              <w14:schemeClr w14:val="tx1"/>
            </w14:solidFill>
          </w14:textFill>
        </w:rPr>
      </w:pPr>
    </w:p>
    <w:p w14:paraId="5DCE5719">
      <w:pPr>
        <w:pStyle w:val="14"/>
        <w:rPr>
          <w:rFonts w:ascii="宋体" w:hAnsi="宋体"/>
          <w:b/>
          <w:color w:val="000000" w:themeColor="text1"/>
          <w:sz w:val="28"/>
          <w:szCs w:val="28"/>
          <w:highlight w:val="none"/>
          <w14:textFill>
            <w14:solidFill>
              <w14:schemeClr w14:val="tx1"/>
            </w14:solidFill>
          </w14:textFill>
        </w:rPr>
      </w:pPr>
    </w:p>
    <w:p w14:paraId="77C9D029">
      <w:pPr>
        <w:pStyle w:val="14"/>
        <w:rPr>
          <w:rFonts w:ascii="宋体" w:hAnsi="宋体"/>
          <w:b/>
          <w:color w:val="000000" w:themeColor="text1"/>
          <w:sz w:val="28"/>
          <w:szCs w:val="28"/>
          <w:highlight w:val="none"/>
          <w14:textFill>
            <w14:solidFill>
              <w14:schemeClr w14:val="tx1"/>
            </w14:solidFill>
          </w14:textFill>
        </w:rPr>
      </w:pPr>
    </w:p>
    <w:p w14:paraId="134D70D4">
      <w:pPr>
        <w:pStyle w:val="14"/>
        <w:rPr>
          <w:rFonts w:ascii="宋体" w:hAnsi="宋体" w:cs="宋体"/>
          <w:color w:val="000000" w:themeColor="text1"/>
          <w:sz w:val="24"/>
          <w:highlight w:val="none"/>
          <w14:textFill>
            <w14:solidFill>
              <w14:schemeClr w14:val="tx1"/>
            </w14:solidFill>
          </w14:textFill>
        </w:rPr>
      </w:pPr>
    </w:p>
    <w:p w14:paraId="4F18B22A">
      <w:pPr>
        <w:pStyle w:val="14"/>
        <w:rPr>
          <w:rFonts w:ascii="宋体" w:hAnsi="宋体" w:cs="宋体"/>
          <w:color w:val="000000" w:themeColor="text1"/>
          <w:sz w:val="24"/>
          <w:highlight w:val="none"/>
          <w14:textFill>
            <w14:solidFill>
              <w14:schemeClr w14:val="tx1"/>
            </w14:solidFill>
          </w14:textFill>
        </w:rPr>
      </w:pPr>
    </w:p>
    <w:p w14:paraId="02826291">
      <w:pPr>
        <w:pStyle w:val="14"/>
        <w:rPr>
          <w:rFonts w:ascii="宋体" w:hAnsi="宋体" w:cs="宋体"/>
          <w:color w:val="000000" w:themeColor="text1"/>
          <w:sz w:val="24"/>
          <w:highlight w:val="none"/>
          <w14:textFill>
            <w14:solidFill>
              <w14:schemeClr w14:val="tx1"/>
            </w14:solidFill>
          </w14:textFill>
        </w:rPr>
      </w:pPr>
    </w:p>
    <w:p w14:paraId="52D3A56A">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注：重大违法记录，是指供应商因违法经营受到刑事处罚或者责令停产停业、吊销许可证或者执照、较大数额罚款（较大数额罚款是指200万元以上罚款）等行政处罚。</w:t>
      </w:r>
    </w:p>
    <w:bookmarkEnd w:id="368"/>
    <w:p w14:paraId="79889D01">
      <w:pPr>
        <w:widowControl w:val="0"/>
        <w:spacing w:line="360" w:lineRule="auto"/>
        <w:rPr>
          <w:rFonts w:ascii="宋体" w:hAnsi="宋体"/>
          <w:color w:val="000000" w:themeColor="text1"/>
          <w:highlight w:val="none"/>
          <w14:textFill>
            <w14:solidFill>
              <w14:schemeClr w14:val="tx1"/>
            </w14:solidFill>
          </w14:textFill>
        </w:rPr>
      </w:pPr>
      <w:bookmarkStart w:id="369" w:name="_Toc16296"/>
      <w:bookmarkEnd w:id="369"/>
      <w:bookmarkStart w:id="370" w:name="_Toc15638"/>
      <w:bookmarkEnd w:id="370"/>
      <w:bookmarkStart w:id="371" w:name="_Toc15765"/>
    </w:p>
    <w:bookmarkEnd w:id="371"/>
    <w:p w14:paraId="6A86A1ED">
      <w:pPr>
        <w:pStyle w:val="4"/>
        <w:spacing w:before="0" w:after="0" w:line="240" w:lineRule="auto"/>
        <w:jc w:val="center"/>
        <w:rPr>
          <w:rFonts w:ascii="宋体" w:hAnsi="宋体"/>
          <w:color w:val="000000" w:themeColor="text1"/>
          <w:highlight w:val="none"/>
          <w14:textFill>
            <w14:solidFill>
              <w14:schemeClr w14:val="tx1"/>
            </w14:solidFill>
          </w14:textFill>
        </w:rPr>
      </w:pPr>
      <w:r>
        <w:rPr>
          <w:rStyle w:val="44"/>
          <w:rFonts w:ascii="宋体" w:hAnsi="宋体"/>
          <w:b/>
          <w:bCs/>
          <w:color w:val="000000" w:themeColor="text1"/>
          <w:highlight w:val="none"/>
          <w14:textFill>
            <w14:solidFill>
              <w14:schemeClr w14:val="tx1"/>
            </w14:solidFill>
          </w14:textFill>
        </w:rPr>
        <w:br w:type="page"/>
      </w:r>
      <w:bookmarkStart w:id="372" w:name="_Toc22468"/>
      <w:r>
        <w:rPr>
          <w:rFonts w:hint="eastAsia" w:ascii="宋体" w:hAnsi="宋体" w:cs="宋体"/>
          <w:color w:val="000000" w:themeColor="text1"/>
          <w:sz w:val="24"/>
          <w:szCs w:val="24"/>
          <w:highlight w:val="none"/>
          <w14:textFill>
            <w14:solidFill>
              <w14:schemeClr w14:val="tx1"/>
            </w14:solidFill>
          </w14:textFill>
        </w:rPr>
        <w:t>六、其他</w:t>
      </w:r>
      <w:bookmarkEnd w:id="372"/>
    </w:p>
    <w:p w14:paraId="5D43CF5D">
      <w:pPr>
        <w:spacing w:line="360" w:lineRule="auto"/>
        <w:ind w:firstLine="48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1.法律、行政法规规定的其他条件，投标人自行承诺。</w:t>
      </w:r>
    </w:p>
    <w:p w14:paraId="2E7075AD">
      <w:pPr>
        <w:pStyle w:val="14"/>
        <w:ind w:firstLine="48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1.1单位负责人为同一人或者存在直接控股、管理关系的不同供应商，不得参加同一合同项下的政府采购活动。</w:t>
      </w:r>
    </w:p>
    <w:p w14:paraId="3992E075">
      <w:pPr>
        <w:pStyle w:val="14"/>
        <w:ind w:firstLine="48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为采购项目提供整体设计、规范编制或者项目管理、监理、检测等服务的供应商，不得再参加该采购项目的其他采购活动。</w:t>
      </w:r>
    </w:p>
    <w:p w14:paraId="664BF22B">
      <w:pPr>
        <w:spacing w:line="360" w:lineRule="auto"/>
        <w:ind w:firstLine="480" w:firstLineChars="200"/>
        <w:jc w:val="both"/>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2.本项目的特定资格要求：</w:t>
      </w:r>
      <w:r>
        <w:rPr>
          <w:rFonts w:hint="eastAsia" w:ascii="宋体" w:hAnsi="宋体" w:cs="宋体"/>
          <w:color w:val="000000" w:themeColor="text1"/>
          <w:kern w:val="2"/>
          <w:sz w:val="24"/>
          <w:szCs w:val="24"/>
          <w:highlight w:val="none"/>
          <w:lang w:bidi="ar"/>
          <w14:textFill>
            <w14:solidFill>
              <w14:schemeClr w14:val="tx1"/>
            </w14:solidFill>
          </w14:textFill>
        </w:rPr>
        <w:t>本项目不接受联合体投标。</w:t>
      </w:r>
      <w:r>
        <w:rPr>
          <w:rFonts w:hint="eastAsia" w:ascii="宋体" w:hAnsi="宋体" w:cs="宋体"/>
          <w:color w:val="000000" w:themeColor="text1"/>
          <w:sz w:val="24"/>
          <w:szCs w:val="24"/>
          <w:highlight w:val="none"/>
          <w14:textFill>
            <w14:solidFill>
              <w14:schemeClr w14:val="tx1"/>
            </w14:solidFill>
          </w14:textFill>
        </w:rPr>
        <w:t>（提供承诺书）</w:t>
      </w:r>
    </w:p>
    <w:p w14:paraId="1EDD7B0F">
      <w:pPr>
        <w:rPr>
          <w:rFonts w:ascii="宋体" w:hAnsi="宋体" w:cs="宋体"/>
          <w:color w:val="000000" w:themeColor="text1"/>
          <w:highlight w:val="none"/>
          <w14:textFill>
            <w14:solidFill>
              <w14:schemeClr w14:val="tx1"/>
            </w14:solidFill>
          </w14:textFill>
        </w:rPr>
      </w:pPr>
    </w:p>
    <w:p w14:paraId="36F8E568">
      <w:pPr>
        <w:rPr>
          <w:rFonts w:ascii="宋体" w:hAnsi="宋体" w:cs="宋体"/>
          <w:b/>
          <w:bCs/>
          <w:color w:val="000000" w:themeColor="text1"/>
          <w:sz w:val="52"/>
          <w:szCs w:val="52"/>
          <w:highlight w:val="none"/>
          <w14:textFill>
            <w14:solidFill>
              <w14:schemeClr w14:val="tx1"/>
            </w14:solidFill>
          </w14:textFill>
        </w:rPr>
      </w:pPr>
    </w:p>
    <w:p w14:paraId="1D707244">
      <w:pPr>
        <w:rPr>
          <w:rFonts w:ascii="宋体" w:hAnsi="宋体" w:cs="宋体"/>
          <w:b/>
          <w:bCs/>
          <w:color w:val="000000" w:themeColor="text1"/>
          <w:sz w:val="32"/>
          <w:szCs w:val="32"/>
          <w:highlight w:val="none"/>
          <w14:textFill>
            <w14:solidFill>
              <w14:schemeClr w14:val="tx1"/>
            </w14:solidFill>
          </w14:textFill>
        </w:rPr>
      </w:pPr>
      <w:r>
        <w:rPr>
          <w:rFonts w:hint="eastAsia" w:ascii="宋体" w:hAnsi="宋体" w:cs="宋体"/>
          <w:b/>
          <w:bCs/>
          <w:color w:val="000000" w:themeColor="text1"/>
          <w:sz w:val="32"/>
          <w:szCs w:val="32"/>
          <w:highlight w:val="none"/>
          <w14:textFill>
            <w14:solidFill>
              <w14:schemeClr w14:val="tx1"/>
            </w14:solidFill>
          </w14:textFill>
        </w:rPr>
        <w:br w:type="page"/>
      </w:r>
    </w:p>
    <w:p w14:paraId="5ECEE3D4">
      <w:pPr>
        <w:pStyle w:val="4"/>
        <w:spacing w:before="0" w:after="0" w:line="240" w:lineRule="auto"/>
        <w:jc w:val="center"/>
        <w:rPr>
          <w:rFonts w:ascii="宋体" w:hAnsi="宋体" w:cs="宋体"/>
          <w:color w:val="000000" w:themeColor="text1"/>
          <w:sz w:val="24"/>
          <w:szCs w:val="24"/>
          <w:highlight w:val="none"/>
          <w14:textFill>
            <w14:solidFill>
              <w14:schemeClr w14:val="tx1"/>
            </w14:solidFill>
          </w14:textFill>
        </w:rPr>
      </w:pPr>
      <w:bookmarkStart w:id="373" w:name="_Toc29032"/>
      <w:bookmarkStart w:id="374" w:name="_Toc344"/>
      <w:bookmarkStart w:id="375" w:name="_Toc7061"/>
      <w:bookmarkStart w:id="376" w:name="_Toc31037"/>
      <w:bookmarkStart w:id="377" w:name="_Toc30136"/>
      <w:r>
        <w:rPr>
          <w:rFonts w:hint="eastAsia" w:ascii="宋体" w:hAnsi="宋体" w:cs="宋体"/>
          <w:color w:val="000000" w:themeColor="text1"/>
          <w:sz w:val="24"/>
          <w:szCs w:val="24"/>
          <w:highlight w:val="none"/>
          <w14:textFill>
            <w14:solidFill>
              <w14:schemeClr w14:val="tx1"/>
            </w14:solidFill>
          </w14:textFill>
        </w:rPr>
        <w:t>七、落实政府采购政策需满足的资格要求</w:t>
      </w:r>
      <w:bookmarkEnd w:id="373"/>
      <w:bookmarkEnd w:id="374"/>
      <w:bookmarkEnd w:id="375"/>
      <w:bookmarkEnd w:id="376"/>
      <w:bookmarkEnd w:id="377"/>
    </w:p>
    <w:p w14:paraId="6D6848CF">
      <w:pPr>
        <w:pStyle w:val="4"/>
        <w:spacing w:before="0" w:after="0" w:line="240" w:lineRule="auto"/>
        <w:jc w:val="center"/>
        <w:rPr>
          <w:rFonts w:ascii="宋体" w:hAnsi="宋体" w:cs="宋体"/>
          <w:color w:val="000000" w:themeColor="text1"/>
          <w:sz w:val="24"/>
          <w:szCs w:val="24"/>
          <w:highlight w:val="none"/>
          <w14:textFill>
            <w14:solidFill>
              <w14:schemeClr w14:val="tx1"/>
            </w14:solidFill>
          </w14:textFill>
        </w:rPr>
      </w:pPr>
      <w:bookmarkStart w:id="378" w:name="_Toc23355"/>
      <w:bookmarkStart w:id="379" w:name="_Toc12883"/>
      <w:bookmarkStart w:id="380" w:name="_Toc29135"/>
      <w:bookmarkStart w:id="381" w:name="_Toc16080"/>
      <w:r>
        <w:rPr>
          <w:rFonts w:hint="eastAsia" w:ascii="宋体" w:hAnsi="宋体" w:cs="宋体"/>
          <w:color w:val="000000" w:themeColor="text1"/>
          <w:sz w:val="24"/>
          <w:szCs w:val="24"/>
          <w:highlight w:val="none"/>
          <w14:textFill>
            <w14:solidFill>
              <w14:schemeClr w14:val="tx1"/>
            </w14:solidFill>
          </w14:textFill>
        </w:rPr>
        <w:t>1.中小企业声明函(服务)</w:t>
      </w:r>
      <w:bookmarkEnd w:id="378"/>
      <w:bookmarkEnd w:id="379"/>
      <w:bookmarkEnd w:id="380"/>
      <w:bookmarkEnd w:id="381"/>
    </w:p>
    <w:p w14:paraId="49952644">
      <w:pPr>
        <w:widowControl w:val="0"/>
        <w:spacing w:line="480" w:lineRule="auto"/>
        <w:ind w:firstLine="480" w:firstLineChars="200"/>
        <w:rPr>
          <w:rFonts w:ascii="宋体" w:hAnsi="宋体" w:cs="宋体"/>
          <w:color w:val="000000" w:themeColor="text1"/>
          <w:sz w:val="24"/>
          <w:szCs w:val="24"/>
          <w:highlight w:val="none"/>
          <w:shd w:val="clear" w:color="auto" w:fill="FFFFFF"/>
          <w14:textFill>
            <w14:solidFill>
              <w14:schemeClr w14:val="tx1"/>
            </w14:solidFill>
          </w14:textFill>
        </w:rPr>
      </w:pPr>
      <w:r>
        <w:rPr>
          <w:rFonts w:hint="eastAsia" w:ascii="宋体" w:hAnsi="宋体" w:cs="宋体"/>
          <w:color w:val="000000" w:themeColor="text1"/>
          <w:sz w:val="24"/>
          <w:szCs w:val="24"/>
          <w:highlight w:val="none"/>
          <w:shd w:val="clear" w:color="auto" w:fill="FFFFFF"/>
          <w14:textFill>
            <w14:solidFill>
              <w14:schemeClr w14:val="tx1"/>
            </w14:solidFill>
          </w14:textFill>
        </w:rPr>
        <w:t>本公司(联合体)郑重声明，根据《政府采购促进中小企业发展管理办法》(财库( 2020 )46号)的规定，本公司(联合体)参加</w:t>
      </w:r>
      <w:r>
        <w:rPr>
          <w:rFonts w:hint="eastAsia" w:ascii="宋体" w:hAnsi="宋体" w:cs="宋体"/>
          <w:color w:val="000000" w:themeColor="text1"/>
          <w:sz w:val="24"/>
          <w:szCs w:val="24"/>
          <w:highlight w:val="none"/>
          <w:u w:val="single"/>
          <w:shd w:val="clear" w:color="auto" w:fill="FFFFFF"/>
          <w14:textFill>
            <w14:solidFill>
              <w14:schemeClr w14:val="tx1"/>
            </w14:solidFill>
          </w14:textFill>
        </w:rPr>
        <w:t xml:space="preserve">        (单位名称)</w:t>
      </w:r>
      <w:r>
        <w:rPr>
          <w:rFonts w:hint="eastAsia" w:ascii="宋体" w:hAnsi="宋体" w:cs="宋体"/>
          <w:color w:val="000000" w:themeColor="text1"/>
          <w:sz w:val="24"/>
          <w:szCs w:val="24"/>
          <w:highlight w:val="none"/>
          <w:shd w:val="clear" w:color="auto" w:fill="FFFFFF"/>
          <w14:textFill>
            <w14:solidFill>
              <w14:schemeClr w14:val="tx1"/>
            </w14:solidFill>
          </w14:textFill>
        </w:rPr>
        <w:t>的</w:t>
      </w:r>
      <w:r>
        <w:rPr>
          <w:rFonts w:hint="eastAsia" w:ascii="宋体" w:hAnsi="宋体" w:cs="宋体"/>
          <w:color w:val="000000" w:themeColor="text1"/>
          <w:sz w:val="24"/>
          <w:szCs w:val="24"/>
          <w:highlight w:val="none"/>
          <w:u w:val="single"/>
          <w:shd w:val="clear" w:color="auto" w:fill="FFFFFF"/>
          <w14:textFill>
            <w14:solidFill>
              <w14:schemeClr w14:val="tx1"/>
            </w14:solidFill>
          </w14:textFill>
        </w:rPr>
        <w:t xml:space="preserve">    (项目名称)</w:t>
      </w:r>
      <w:r>
        <w:rPr>
          <w:rFonts w:hint="eastAsia" w:ascii="宋体" w:hAnsi="宋体" w:cs="宋体"/>
          <w:color w:val="000000" w:themeColor="text1"/>
          <w:sz w:val="24"/>
          <w:szCs w:val="24"/>
          <w:highlight w:val="none"/>
          <w:shd w:val="clear" w:color="auto" w:fill="FFFFFF"/>
          <w14:textFill>
            <w14:solidFill>
              <w14:schemeClr w14:val="tx1"/>
            </w14:solidFill>
          </w14:textFill>
        </w:rPr>
        <w:t>采购活动，服务全部由符合政策要求的中小企业承接。相关企业(含联合体中的中小企业、签订分包意向协议的中小企业)的具体情况如下:</w:t>
      </w:r>
    </w:p>
    <w:p w14:paraId="70A40EB8">
      <w:pPr>
        <w:widowControl w:val="0"/>
        <w:spacing w:line="480" w:lineRule="auto"/>
        <w:ind w:firstLine="480" w:firstLineChars="200"/>
        <w:jc w:val="both"/>
        <w:rPr>
          <w:rFonts w:ascii="宋体" w:hAnsi="宋体" w:cs="宋体"/>
          <w:color w:val="000000" w:themeColor="text1"/>
          <w:sz w:val="24"/>
          <w:szCs w:val="24"/>
          <w:highlight w:val="none"/>
          <w:shd w:val="clear" w:color="auto" w:fill="FFFFFF"/>
          <w14:textFill>
            <w14:solidFill>
              <w14:schemeClr w14:val="tx1"/>
            </w14:solidFill>
          </w14:textFill>
        </w:rPr>
      </w:pPr>
      <w:r>
        <w:rPr>
          <w:rFonts w:hint="eastAsia" w:ascii="宋体" w:hAnsi="宋体" w:cs="宋体"/>
          <w:color w:val="000000" w:themeColor="text1"/>
          <w:sz w:val="24"/>
          <w:szCs w:val="24"/>
          <w:highlight w:val="none"/>
          <w:shd w:val="clear" w:color="auto" w:fill="FFFFFF"/>
          <w14:textFill>
            <w14:solidFill>
              <w14:schemeClr w14:val="tx1"/>
            </w14:solidFill>
          </w14:textFill>
        </w:rPr>
        <w:t xml:space="preserve">1. </w:t>
      </w:r>
      <w:r>
        <w:rPr>
          <w:rFonts w:hint="eastAsia" w:ascii="宋体" w:hAnsi="宋体" w:cs="宋体"/>
          <w:color w:val="000000" w:themeColor="text1"/>
          <w:sz w:val="24"/>
          <w:szCs w:val="24"/>
          <w:highlight w:val="none"/>
          <w:u w:val="single"/>
          <w:shd w:val="clear" w:color="auto" w:fill="FFFFFF"/>
          <w14:textFill>
            <w14:solidFill>
              <w14:schemeClr w14:val="tx1"/>
            </w14:solidFill>
          </w14:textFill>
        </w:rPr>
        <w:t xml:space="preserve">    (标的名称)</w:t>
      </w:r>
      <w:r>
        <w:rPr>
          <w:rFonts w:hint="eastAsia" w:ascii="宋体" w:hAnsi="宋体" w:cs="宋体"/>
          <w:color w:val="000000" w:themeColor="text1"/>
          <w:sz w:val="24"/>
          <w:szCs w:val="24"/>
          <w:highlight w:val="none"/>
          <w:shd w:val="clear" w:color="auto" w:fill="FFFFFF"/>
          <w14:textFill>
            <w14:solidFill>
              <w14:schemeClr w14:val="tx1"/>
            </w14:solidFill>
          </w14:textFill>
        </w:rPr>
        <w:t>，属于</w:t>
      </w:r>
      <w:r>
        <w:rPr>
          <w:rFonts w:hint="eastAsia" w:ascii="宋体" w:hAnsi="宋体" w:cs="宋体"/>
          <w:color w:val="000000" w:themeColor="text1"/>
          <w:sz w:val="24"/>
          <w:szCs w:val="24"/>
          <w:highlight w:val="none"/>
          <w:u w:val="single"/>
          <w:shd w:val="clear" w:color="auto" w:fill="FFFFFF"/>
          <w14:textFill>
            <w14:solidFill>
              <w14:schemeClr w14:val="tx1"/>
            </w14:solidFill>
          </w14:textFill>
        </w:rPr>
        <w:t xml:space="preserve">     (采购文件中明确的所属行业)</w:t>
      </w:r>
      <w:r>
        <w:rPr>
          <w:rFonts w:hint="eastAsia" w:ascii="宋体" w:hAnsi="宋体" w:cs="宋体"/>
          <w:color w:val="000000" w:themeColor="text1"/>
          <w:sz w:val="24"/>
          <w:szCs w:val="24"/>
          <w:highlight w:val="none"/>
          <w:shd w:val="clear" w:color="auto" w:fill="FFFFFF"/>
          <w14:textFill>
            <w14:solidFill>
              <w14:schemeClr w14:val="tx1"/>
            </w14:solidFill>
          </w14:textFill>
        </w:rPr>
        <w:t>；承建(承接)企业为</w:t>
      </w:r>
      <w:r>
        <w:rPr>
          <w:rFonts w:hint="eastAsia" w:ascii="宋体" w:hAnsi="宋体" w:cs="宋体"/>
          <w:color w:val="000000" w:themeColor="text1"/>
          <w:sz w:val="24"/>
          <w:szCs w:val="24"/>
          <w:highlight w:val="none"/>
          <w:u w:val="single"/>
          <w:shd w:val="clear" w:color="auto" w:fill="FFFFFF"/>
          <w14:textFill>
            <w14:solidFill>
              <w14:schemeClr w14:val="tx1"/>
            </w14:solidFill>
          </w14:textFill>
        </w:rPr>
        <w:t xml:space="preserve">    (企业名称)</w:t>
      </w:r>
      <w:r>
        <w:rPr>
          <w:rFonts w:hint="eastAsia" w:ascii="宋体" w:hAnsi="宋体" w:cs="宋体"/>
          <w:color w:val="000000" w:themeColor="text1"/>
          <w:sz w:val="24"/>
          <w:szCs w:val="24"/>
          <w:highlight w:val="none"/>
          <w:shd w:val="clear" w:color="auto" w:fill="FFFFFF"/>
          <w14:textFill>
            <w14:solidFill>
              <w14:schemeClr w14:val="tx1"/>
            </w14:solidFill>
          </w14:textFill>
        </w:rPr>
        <w:t>，从业人员</w:t>
      </w:r>
      <w:r>
        <w:rPr>
          <w:rFonts w:hint="eastAsia" w:ascii="宋体" w:hAnsi="宋体" w:cs="宋体"/>
          <w:color w:val="000000" w:themeColor="text1"/>
          <w:sz w:val="24"/>
          <w:szCs w:val="24"/>
          <w:highlight w:val="none"/>
          <w:u w:val="single"/>
          <w:shd w:val="clear" w:color="auto" w:fill="FFFFFF"/>
          <w14:textFill>
            <w14:solidFill>
              <w14:schemeClr w14:val="tx1"/>
            </w14:solidFill>
          </w14:textFill>
        </w:rPr>
        <w:t xml:space="preserve">     </w:t>
      </w:r>
      <w:r>
        <w:rPr>
          <w:rFonts w:hint="eastAsia" w:ascii="宋体" w:hAnsi="宋体" w:cs="宋体"/>
          <w:color w:val="000000" w:themeColor="text1"/>
          <w:sz w:val="24"/>
          <w:szCs w:val="24"/>
          <w:highlight w:val="none"/>
          <w:shd w:val="clear" w:color="auto" w:fill="FFFFFF"/>
          <w14:textFill>
            <w14:solidFill>
              <w14:schemeClr w14:val="tx1"/>
            </w14:solidFill>
          </w14:textFill>
        </w:rPr>
        <w:t>人， 营业收入为</w:t>
      </w:r>
      <w:r>
        <w:rPr>
          <w:rFonts w:hint="eastAsia" w:ascii="宋体" w:hAnsi="宋体" w:cs="宋体"/>
          <w:color w:val="000000" w:themeColor="text1"/>
          <w:sz w:val="24"/>
          <w:szCs w:val="24"/>
          <w:highlight w:val="none"/>
          <w:u w:val="single"/>
          <w:shd w:val="clear" w:color="auto" w:fill="FFFFFF"/>
          <w14:textFill>
            <w14:solidFill>
              <w14:schemeClr w14:val="tx1"/>
            </w14:solidFill>
          </w14:textFill>
        </w:rPr>
        <w:t xml:space="preserve">     </w:t>
      </w:r>
      <w:r>
        <w:rPr>
          <w:rFonts w:hint="eastAsia" w:ascii="宋体" w:hAnsi="宋体" w:cs="宋体"/>
          <w:color w:val="000000" w:themeColor="text1"/>
          <w:sz w:val="24"/>
          <w:szCs w:val="24"/>
          <w:highlight w:val="none"/>
          <w:shd w:val="clear" w:color="auto" w:fill="FFFFFF"/>
          <w14:textFill>
            <w14:solidFill>
              <w14:schemeClr w14:val="tx1"/>
            </w14:solidFill>
          </w14:textFill>
        </w:rPr>
        <w:t>万元，资产总额为</w:t>
      </w:r>
      <w:r>
        <w:rPr>
          <w:rFonts w:hint="eastAsia" w:ascii="宋体" w:hAnsi="宋体" w:cs="宋体"/>
          <w:color w:val="000000" w:themeColor="text1"/>
          <w:sz w:val="24"/>
          <w:szCs w:val="24"/>
          <w:highlight w:val="none"/>
          <w:u w:val="single"/>
          <w:shd w:val="clear" w:color="auto" w:fill="FFFFFF"/>
          <w14:textFill>
            <w14:solidFill>
              <w14:schemeClr w14:val="tx1"/>
            </w14:solidFill>
          </w14:textFill>
        </w:rPr>
        <w:t xml:space="preserve">      </w:t>
      </w:r>
      <w:r>
        <w:rPr>
          <w:rFonts w:hint="eastAsia" w:ascii="宋体" w:hAnsi="宋体" w:cs="宋体"/>
          <w:color w:val="000000" w:themeColor="text1"/>
          <w:sz w:val="24"/>
          <w:szCs w:val="24"/>
          <w:highlight w:val="none"/>
          <w:shd w:val="clear" w:color="auto" w:fill="FFFFFF"/>
          <w14:textFill>
            <w14:solidFill>
              <w14:schemeClr w14:val="tx1"/>
            </w14:solidFill>
          </w14:textFill>
        </w:rPr>
        <w:t>万元</w:t>
      </w:r>
      <w:r>
        <w:rPr>
          <w:rFonts w:hint="eastAsia" w:ascii="宋体" w:hAnsi="宋体" w:cs="宋体"/>
          <w:color w:val="000000" w:themeColor="text1"/>
          <w:sz w:val="24"/>
          <w:szCs w:val="24"/>
          <w:highlight w:val="none"/>
          <w:shd w:val="clear" w:color="auto" w:fill="FFFFFF"/>
          <w:vertAlign w:val="superscript"/>
          <w14:textFill>
            <w14:solidFill>
              <w14:schemeClr w14:val="tx1"/>
            </w14:solidFill>
          </w14:textFill>
        </w:rPr>
        <w:t>1</w:t>
      </w:r>
      <w:r>
        <w:rPr>
          <w:rFonts w:hint="eastAsia" w:ascii="宋体" w:hAnsi="宋体" w:cs="宋体"/>
          <w:color w:val="000000" w:themeColor="text1"/>
          <w:sz w:val="24"/>
          <w:szCs w:val="24"/>
          <w:highlight w:val="none"/>
          <w:shd w:val="clear" w:color="auto" w:fill="FFFFFF"/>
          <w14:textFill>
            <w14:solidFill>
              <w14:schemeClr w14:val="tx1"/>
            </w14:solidFill>
          </w14:textFill>
        </w:rPr>
        <w:t>，属于</w:t>
      </w:r>
      <w:r>
        <w:rPr>
          <w:rFonts w:hint="eastAsia" w:ascii="宋体" w:hAnsi="宋体" w:cs="宋体"/>
          <w:color w:val="000000" w:themeColor="text1"/>
          <w:sz w:val="24"/>
          <w:szCs w:val="24"/>
          <w:highlight w:val="none"/>
          <w:u w:val="single"/>
          <w:shd w:val="clear" w:color="auto" w:fill="FFFFFF"/>
          <w14:textFill>
            <w14:solidFill>
              <w14:schemeClr w14:val="tx1"/>
            </w14:solidFill>
          </w14:textFill>
        </w:rPr>
        <w:t xml:space="preserve">     (中型企业、小型企业、微型企业)</w:t>
      </w:r>
      <w:r>
        <w:rPr>
          <w:rFonts w:hint="eastAsia" w:ascii="宋体" w:hAnsi="宋体" w:cs="宋体"/>
          <w:color w:val="000000" w:themeColor="text1"/>
          <w:sz w:val="24"/>
          <w:szCs w:val="24"/>
          <w:highlight w:val="none"/>
          <w:shd w:val="clear" w:color="auto" w:fill="FFFFFF"/>
          <w14:textFill>
            <w14:solidFill>
              <w14:schemeClr w14:val="tx1"/>
            </w14:solidFill>
          </w14:textFill>
        </w:rPr>
        <w:t>；</w:t>
      </w:r>
    </w:p>
    <w:p w14:paraId="33C8C250">
      <w:pPr>
        <w:widowControl w:val="0"/>
        <w:spacing w:line="360" w:lineRule="auto"/>
        <w:ind w:firstLine="480" w:firstLineChars="200"/>
        <w:rPr>
          <w:rFonts w:ascii="宋体" w:hAnsi="宋体" w:cs="宋体"/>
          <w:color w:val="000000" w:themeColor="text1"/>
          <w:sz w:val="24"/>
          <w:szCs w:val="24"/>
          <w:highlight w:val="none"/>
          <w:shd w:val="clear" w:color="auto" w:fill="FFFFFF"/>
          <w14:textFill>
            <w14:solidFill>
              <w14:schemeClr w14:val="tx1"/>
            </w14:solidFill>
          </w14:textFill>
        </w:rPr>
      </w:pPr>
      <w:r>
        <w:rPr>
          <w:rFonts w:hint="eastAsia" w:ascii="宋体" w:hAnsi="宋体" w:cs="宋体"/>
          <w:color w:val="000000" w:themeColor="text1"/>
          <w:sz w:val="24"/>
          <w:szCs w:val="24"/>
          <w:highlight w:val="none"/>
          <w:shd w:val="clear" w:color="auto" w:fill="FFFFFF"/>
          <w14:textFill>
            <w14:solidFill>
              <w14:schemeClr w14:val="tx1"/>
            </w14:solidFill>
          </w14:textFill>
        </w:rPr>
        <w:t>2.</w:t>
      </w:r>
      <w:r>
        <w:rPr>
          <w:rFonts w:hint="eastAsia" w:ascii="宋体" w:hAnsi="宋体" w:cs="宋体"/>
          <w:color w:val="000000" w:themeColor="text1"/>
          <w:sz w:val="24"/>
          <w:szCs w:val="24"/>
          <w:highlight w:val="none"/>
          <w:u w:val="single"/>
          <w:shd w:val="clear" w:color="auto" w:fill="FFFFFF"/>
          <w14:textFill>
            <w14:solidFill>
              <w14:schemeClr w14:val="tx1"/>
            </w14:solidFill>
          </w14:textFill>
        </w:rPr>
        <w:t xml:space="preserve">    (标的名称)</w:t>
      </w:r>
      <w:r>
        <w:rPr>
          <w:rFonts w:hint="eastAsia" w:ascii="宋体" w:hAnsi="宋体" w:cs="宋体"/>
          <w:color w:val="000000" w:themeColor="text1"/>
          <w:sz w:val="24"/>
          <w:szCs w:val="24"/>
          <w:highlight w:val="none"/>
          <w:shd w:val="clear" w:color="auto" w:fill="FFFFFF"/>
          <w14:textFill>
            <w14:solidFill>
              <w14:schemeClr w14:val="tx1"/>
            </w14:solidFill>
          </w14:textFill>
        </w:rPr>
        <w:t>，属于</w:t>
      </w:r>
      <w:r>
        <w:rPr>
          <w:rFonts w:hint="eastAsia" w:ascii="宋体" w:hAnsi="宋体" w:cs="宋体"/>
          <w:color w:val="000000" w:themeColor="text1"/>
          <w:sz w:val="24"/>
          <w:szCs w:val="24"/>
          <w:highlight w:val="none"/>
          <w:u w:val="single"/>
          <w:shd w:val="clear" w:color="auto" w:fill="FFFFFF"/>
          <w14:textFill>
            <w14:solidFill>
              <w14:schemeClr w14:val="tx1"/>
            </w14:solidFill>
          </w14:textFill>
        </w:rPr>
        <w:t xml:space="preserve">     (采购文件中明确的所属行业)</w:t>
      </w:r>
      <w:r>
        <w:rPr>
          <w:rFonts w:hint="eastAsia" w:ascii="宋体" w:hAnsi="宋体" w:cs="宋体"/>
          <w:color w:val="000000" w:themeColor="text1"/>
          <w:sz w:val="24"/>
          <w:szCs w:val="24"/>
          <w:highlight w:val="none"/>
          <w:shd w:val="clear" w:color="auto" w:fill="FFFFFF"/>
          <w14:textFill>
            <w14:solidFill>
              <w14:schemeClr w14:val="tx1"/>
            </w14:solidFill>
          </w14:textFill>
        </w:rPr>
        <w:t>；承建(承接)企业为</w:t>
      </w:r>
      <w:r>
        <w:rPr>
          <w:rFonts w:hint="eastAsia" w:ascii="宋体" w:hAnsi="宋体" w:cs="宋体"/>
          <w:color w:val="000000" w:themeColor="text1"/>
          <w:sz w:val="24"/>
          <w:szCs w:val="24"/>
          <w:highlight w:val="none"/>
          <w:u w:val="single"/>
          <w:shd w:val="clear" w:color="auto" w:fill="FFFFFF"/>
          <w14:textFill>
            <w14:solidFill>
              <w14:schemeClr w14:val="tx1"/>
            </w14:solidFill>
          </w14:textFill>
        </w:rPr>
        <w:t xml:space="preserve">       (企业名称)</w:t>
      </w:r>
      <w:r>
        <w:rPr>
          <w:rFonts w:hint="eastAsia" w:ascii="宋体" w:hAnsi="宋体" w:cs="宋体"/>
          <w:color w:val="000000" w:themeColor="text1"/>
          <w:sz w:val="24"/>
          <w:szCs w:val="24"/>
          <w:highlight w:val="none"/>
          <w:shd w:val="clear" w:color="auto" w:fill="FFFFFF"/>
          <w14:textFill>
            <w14:solidFill>
              <w14:schemeClr w14:val="tx1"/>
            </w14:solidFill>
          </w14:textFill>
        </w:rPr>
        <w:t>，从业人员</w:t>
      </w:r>
      <w:r>
        <w:rPr>
          <w:rFonts w:hint="eastAsia" w:ascii="宋体" w:hAnsi="宋体" w:cs="宋体"/>
          <w:color w:val="000000" w:themeColor="text1"/>
          <w:sz w:val="24"/>
          <w:szCs w:val="24"/>
          <w:highlight w:val="none"/>
          <w:u w:val="single"/>
          <w:shd w:val="clear" w:color="auto" w:fill="FFFFFF"/>
          <w14:textFill>
            <w14:solidFill>
              <w14:schemeClr w14:val="tx1"/>
            </w14:solidFill>
          </w14:textFill>
        </w:rPr>
        <w:t xml:space="preserve">     </w:t>
      </w:r>
      <w:r>
        <w:rPr>
          <w:rFonts w:hint="eastAsia" w:ascii="宋体" w:hAnsi="宋体" w:cs="宋体"/>
          <w:color w:val="000000" w:themeColor="text1"/>
          <w:sz w:val="24"/>
          <w:szCs w:val="24"/>
          <w:highlight w:val="none"/>
          <w:shd w:val="clear" w:color="auto" w:fill="FFFFFF"/>
          <w14:textFill>
            <w14:solidFill>
              <w14:schemeClr w14:val="tx1"/>
            </w14:solidFill>
          </w14:textFill>
        </w:rPr>
        <w:t>人， 营业收入为</w:t>
      </w:r>
      <w:r>
        <w:rPr>
          <w:rFonts w:hint="eastAsia" w:ascii="宋体" w:hAnsi="宋体" w:cs="宋体"/>
          <w:color w:val="000000" w:themeColor="text1"/>
          <w:sz w:val="24"/>
          <w:szCs w:val="24"/>
          <w:highlight w:val="none"/>
          <w:u w:val="single"/>
          <w:shd w:val="clear" w:color="auto" w:fill="FFFFFF"/>
          <w14:textFill>
            <w14:solidFill>
              <w14:schemeClr w14:val="tx1"/>
            </w14:solidFill>
          </w14:textFill>
        </w:rPr>
        <w:t xml:space="preserve">      </w:t>
      </w:r>
      <w:r>
        <w:rPr>
          <w:rFonts w:hint="eastAsia" w:ascii="宋体" w:hAnsi="宋体" w:cs="宋体"/>
          <w:color w:val="000000" w:themeColor="text1"/>
          <w:sz w:val="24"/>
          <w:szCs w:val="24"/>
          <w:highlight w:val="none"/>
          <w:shd w:val="clear" w:color="auto" w:fill="FFFFFF"/>
          <w14:textFill>
            <w14:solidFill>
              <w14:schemeClr w14:val="tx1"/>
            </w14:solidFill>
          </w14:textFill>
        </w:rPr>
        <w:t>万元， 资产总额为</w:t>
      </w:r>
      <w:r>
        <w:rPr>
          <w:rFonts w:hint="eastAsia" w:ascii="宋体" w:hAnsi="宋体" w:cs="宋体"/>
          <w:color w:val="000000" w:themeColor="text1"/>
          <w:sz w:val="24"/>
          <w:szCs w:val="24"/>
          <w:highlight w:val="none"/>
          <w:u w:val="single"/>
          <w:shd w:val="clear" w:color="auto" w:fill="FFFFFF"/>
          <w14:textFill>
            <w14:solidFill>
              <w14:schemeClr w14:val="tx1"/>
            </w14:solidFill>
          </w14:textFill>
        </w:rPr>
        <w:t xml:space="preserve">      </w:t>
      </w:r>
      <w:r>
        <w:rPr>
          <w:rFonts w:hint="eastAsia" w:ascii="宋体" w:hAnsi="宋体" w:cs="宋体"/>
          <w:color w:val="000000" w:themeColor="text1"/>
          <w:sz w:val="24"/>
          <w:szCs w:val="24"/>
          <w:highlight w:val="none"/>
          <w:shd w:val="clear" w:color="auto" w:fill="FFFFFF"/>
          <w14:textFill>
            <w14:solidFill>
              <w14:schemeClr w14:val="tx1"/>
            </w14:solidFill>
          </w14:textFill>
        </w:rPr>
        <w:t>万元，属于</w:t>
      </w:r>
      <w:r>
        <w:rPr>
          <w:rFonts w:hint="eastAsia" w:ascii="宋体" w:hAnsi="宋体" w:cs="宋体"/>
          <w:color w:val="000000" w:themeColor="text1"/>
          <w:sz w:val="24"/>
          <w:szCs w:val="24"/>
          <w:highlight w:val="none"/>
          <w:u w:val="single"/>
          <w:shd w:val="clear" w:color="auto" w:fill="FFFFFF"/>
          <w14:textFill>
            <w14:solidFill>
              <w14:schemeClr w14:val="tx1"/>
            </w14:solidFill>
          </w14:textFill>
        </w:rPr>
        <w:t xml:space="preserve">      (中型企业、 小型企业、微型企业)</w:t>
      </w:r>
      <w:r>
        <w:rPr>
          <w:rFonts w:hint="eastAsia" w:ascii="宋体" w:hAnsi="宋体" w:cs="宋体"/>
          <w:color w:val="000000" w:themeColor="text1"/>
          <w:sz w:val="24"/>
          <w:szCs w:val="24"/>
          <w:highlight w:val="none"/>
          <w:shd w:val="clear" w:color="auto" w:fill="FFFFFF"/>
          <w14:textFill>
            <w14:solidFill>
              <w14:schemeClr w14:val="tx1"/>
            </w14:solidFill>
          </w14:textFill>
        </w:rPr>
        <w:t>；</w:t>
      </w:r>
    </w:p>
    <w:p w14:paraId="0593CA0F">
      <w:pPr>
        <w:widowControl w:val="0"/>
        <w:spacing w:line="480" w:lineRule="auto"/>
        <w:ind w:firstLine="480" w:firstLineChars="200"/>
        <w:rPr>
          <w:rFonts w:ascii="宋体" w:hAnsi="宋体" w:cs="宋体"/>
          <w:color w:val="000000" w:themeColor="text1"/>
          <w:sz w:val="24"/>
          <w:szCs w:val="24"/>
          <w:highlight w:val="none"/>
          <w:shd w:val="clear" w:color="auto" w:fill="FFFFFF"/>
          <w14:textFill>
            <w14:solidFill>
              <w14:schemeClr w14:val="tx1"/>
            </w14:solidFill>
          </w14:textFill>
        </w:rPr>
      </w:pPr>
      <w:r>
        <w:rPr>
          <w:rFonts w:hint="eastAsia" w:ascii="宋体" w:hAnsi="宋体" w:cs="宋体"/>
          <w:color w:val="000000" w:themeColor="text1"/>
          <w:sz w:val="24"/>
          <w:szCs w:val="24"/>
          <w:highlight w:val="none"/>
          <w:shd w:val="clear" w:color="auto" w:fill="FFFFFF"/>
          <w14:textFill>
            <w14:solidFill>
              <w14:schemeClr w14:val="tx1"/>
            </w14:solidFill>
          </w14:textFill>
        </w:rPr>
        <w:t>......</w:t>
      </w:r>
    </w:p>
    <w:p w14:paraId="68271BA7">
      <w:pPr>
        <w:widowControl w:val="0"/>
        <w:spacing w:line="480" w:lineRule="auto"/>
        <w:ind w:firstLine="480" w:firstLineChars="200"/>
        <w:rPr>
          <w:rFonts w:ascii="宋体" w:hAnsi="宋体" w:cs="宋体"/>
          <w:color w:val="000000" w:themeColor="text1"/>
          <w:sz w:val="24"/>
          <w:szCs w:val="24"/>
          <w:highlight w:val="none"/>
          <w:shd w:val="clear" w:color="auto" w:fill="FFFFFF"/>
          <w14:textFill>
            <w14:solidFill>
              <w14:schemeClr w14:val="tx1"/>
            </w14:solidFill>
          </w14:textFill>
        </w:rPr>
      </w:pPr>
      <w:r>
        <w:rPr>
          <w:rFonts w:hint="eastAsia" w:ascii="宋体" w:hAnsi="宋体" w:cs="宋体"/>
          <w:color w:val="000000" w:themeColor="text1"/>
          <w:sz w:val="24"/>
          <w:szCs w:val="24"/>
          <w:highlight w:val="none"/>
          <w:shd w:val="clear" w:color="auto" w:fill="FFFFFF"/>
          <w14:textFill>
            <w14:solidFill>
              <w14:schemeClr w14:val="tx1"/>
            </w14:solidFill>
          </w14:textFill>
        </w:rPr>
        <w:t>以上企业，不属于大企业的分支机构，不存在控股股东为大企业的情形，也不存在与大企业的负责人为同一人的情形。</w:t>
      </w:r>
    </w:p>
    <w:p w14:paraId="5EDFD982">
      <w:pPr>
        <w:widowControl w:val="0"/>
        <w:spacing w:line="480" w:lineRule="auto"/>
        <w:ind w:firstLine="480" w:firstLineChars="200"/>
        <w:jc w:val="both"/>
        <w:rPr>
          <w:rFonts w:ascii="宋体" w:hAnsi="宋体" w:cs="宋体"/>
          <w:color w:val="000000" w:themeColor="text1"/>
          <w:sz w:val="24"/>
          <w:szCs w:val="24"/>
          <w:highlight w:val="none"/>
          <w:shd w:val="clear" w:color="auto" w:fill="FFFFFF"/>
          <w14:textFill>
            <w14:solidFill>
              <w14:schemeClr w14:val="tx1"/>
            </w14:solidFill>
          </w14:textFill>
        </w:rPr>
      </w:pPr>
      <w:r>
        <w:rPr>
          <w:rFonts w:hint="eastAsia" w:ascii="宋体" w:hAnsi="宋体" w:cs="宋体"/>
          <w:color w:val="000000" w:themeColor="text1"/>
          <w:sz w:val="24"/>
          <w:szCs w:val="24"/>
          <w:highlight w:val="none"/>
          <w:shd w:val="clear" w:color="auto" w:fill="FFFFFF"/>
          <w14:textFill>
            <w14:solidFill>
              <w14:schemeClr w14:val="tx1"/>
            </w14:solidFill>
          </w14:textFill>
        </w:rPr>
        <w:t>本企业对上述声明内容的真实性负责。如有虛假，将依法承担相应责任。</w:t>
      </w:r>
    </w:p>
    <w:p w14:paraId="49ABD66F">
      <w:pPr>
        <w:spacing w:line="480" w:lineRule="auto"/>
        <w:jc w:val="center"/>
        <w:rPr>
          <w:rFonts w:ascii="宋体" w:hAnsi="宋体" w:cs="宋体"/>
          <w:color w:val="000000" w:themeColor="text1"/>
          <w:sz w:val="24"/>
          <w:szCs w:val="24"/>
          <w:highlight w:val="none"/>
          <w:shd w:val="clear" w:color="auto" w:fill="FFFFFF"/>
          <w14:textFill>
            <w14:solidFill>
              <w14:schemeClr w14:val="tx1"/>
            </w14:solidFill>
          </w14:textFill>
        </w:rPr>
      </w:pPr>
      <w:r>
        <w:rPr>
          <w:rFonts w:hint="eastAsia" w:ascii="宋体" w:hAnsi="宋体" w:cs="宋体"/>
          <w:color w:val="000000" w:themeColor="text1"/>
          <w:sz w:val="24"/>
          <w:szCs w:val="24"/>
          <w:highlight w:val="none"/>
          <w:shd w:val="clear" w:color="auto" w:fill="FFFFFF"/>
          <w14:textFill>
            <w14:solidFill>
              <w14:schemeClr w14:val="tx1"/>
            </w14:solidFill>
          </w14:textFill>
        </w:rPr>
        <w:t>企业名称(盖章):</w:t>
      </w:r>
    </w:p>
    <w:p w14:paraId="061E040E">
      <w:pPr>
        <w:spacing w:line="480" w:lineRule="auto"/>
        <w:ind w:firstLine="4080" w:firstLineChars="1700"/>
        <w:jc w:val="both"/>
        <w:rPr>
          <w:rFonts w:ascii="宋体" w:hAnsi="宋体" w:cs="宋体"/>
          <w:color w:val="000000" w:themeColor="text1"/>
          <w:sz w:val="24"/>
          <w:szCs w:val="24"/>
          <w:highlight w:val="none"/>
          <w:shd w:val="clear" w:color="auto" w:fill="FFFFFF"/>
          <w14:textFill>
            <w14:solidFill>
              <w14:schemeClr w14:val="tx1"/>
            </w14:solidFill>
          </w14:textFill>
        </w:rPr>
      </w:pPr>
      <w:r>
        <w:rPr>
          <w:rFonts w:hint="eastAsia" w:ascii="宋体" w:hAnsi="宋体" w:cs="宋体"/>
          <w:color w:val="000000" w:themeColor="text1"/>
          <w:sz w:val="24"/>
          <w:szCs w:val="24"/>
          <w:highlight w:val="none"/>
          <w:shd w:val="clear" w:color="auto" w:fill="FFFFFF"/>
          <w14:textFill>
            <w14:solidFill>
              <w14:schemeClr w14:val="tx1"/>
            </w14:solidFill>
          </w14:textFill>
        </w:rPr>
        <w:t>日  期:</w:t>
      </w:r>
    </w:p>
    <w:p w14:paraId="60E7E21A">
      <w:pPr>
        <w:spacing w:line="480" w:lineRule="auto"/>
        <w:jc w:val="both"/>
        <w:rPr>
          <w:rFonts w:ascii="宋体" w:hAnsi="宋体" w:cs="宋体"/>
          <w:color w:val="000000" w:themeColor="text1"/>
          <w:sz w:val="24"/>
          <w:szCs w:val="24"/>
          <w:highlight w:val="none"/>
          <w:u w:val="single"/>
          <w:shd w:val="clear" w:color="auto" w:fill="FFFFFF"/>
          <w14:textFill>
            <w14:solidFill>
              <w14:schemeClr w14:val="tx1"/>
            </w14:solidFill>
          </w14:textFill>
        </w:rPr>
      </w:pPr>
      <w:r>
        <w:rPr>
          <w:rFonts w:hint="eastAsia" w:ascii="宋体" w:hAnsi="宋体" w:cs="宋体"/>
          <w:color w:val="000000" w:themeColor="text1"/>
          <w:sz w:val="24"/>
          <w:szCs w:val="24"/>
          <w:highlight w:val="none"/>
          <w:u w:val="single"/>
          <w:shd w:val="clear" w:color="auto" w:fill="FFFFFF"/>
          <w14:textFill>
            <w14:solidFill>
              <w14:schemeClr w14:val="tx1"/>
            </w14:solidFill>
          </w14:textFill>
        </w:rPr>
        <w:t xml:space="preserve">                   </w:t>
      </w:r>
    </w:p>
    <w:p w14:paraId="4F7D31FD">
      <w:pPr>
        <w:pStyle w:val="14"/>
        <w:rPr>
          <w:rFonts w:ascii="宋体" w:hAnsi="宋体" w:cs="宋体"/>
          <w:color w:val="000000" w:themeColor="text1"/>
          <w:highlight w:val="none"/>
          <w14:textFill>
            <w14:solidFill>
              <w14:schemeClr w14:val="tx1"/>
            </w14:solidFill>
          </w14:textFill>
        </w:rPr>
      </w:pPr>
    </w:p>
    <w:p w14:paraId="36B2505F">
      <w:pPr>
        <w:spacing w:line="360" w:lineRule="auto"/>
        <w:jc w:val="both"/>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18"/>
          <w:szCs w:val="18"/>
          <w:highlight w:val="none"/>
          <w:shd w:val="clear" w:color="auto" w:fill="FFFFFF"/>
          <w:vertAlign w:val="superscript"/>
          <w14:textFill>
            <w14:solidFill>
              <w14:schemeClr w14:val="tx1"/>
            </w14:solidFill>
          </w14:textFill>
        </w:rPr>
        <w:t>1</w:t>
      </w:r>
      <w:r>
        <w:rPr>
          <w:rFonts w:hint="eastAsia" w:ascii="宋体" w:hAnsi="宋体" w:cs="宋体"/>
          <w:color w:val="000000" w:themeColor="text1"/>
          <w:sz w:val="18"/>
          <w:szCs w:val="18"/>
          <w:highlight w:val="none"/>
          <w:shd w:val="clear" w:color="auto" w:fill="FFFFFF"/>
          <w14:textFill>
            <w14:solidFill>
              <w14:schemeClr w14:val="tx1"/>
            </w14:solidFill>
          </w14:textFill>
        </w:rPr>
        <w:t>从业人员、营业收入、资产总额填报上一年度数据，无上一年度数据的新成立企业可不填报。</w:t>
      </w:r>
      <w:r>
        <w:rPr>
          <w:rFonts w:hint="eastAsia" w:ascii="宋体" w:hAnsi="宋体" w:cs="宋体"/>
          <w:color w:val="000000" w:themeColor="text1"/>
          <w:sz w:val="24"/>
          <w:szCs w:val="24"/>
          <w:highlight w:val="none"/>
          <w14:textFill>
            <w14:solidFill>
              <w14:schemeClr w14:val="tx1"/>
            </w14:solidFill>
          </w14:textFill>
        </w:rPr>
        <w:t xml:space="preserve"> </w:t>
      </w:r>
    </w:p>
    <w:p w14:paraId="6B23EC5F">
      <w:pPr>
        <w:spacing w:line="360" w:lineRule="auto"/>
        <w:ind w:firstLine="482" w:firstLineChars="200"/>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注：</w:t>
      </w:r>
    </w:p>
    <w:p w14:paraId="5EBEDFA8">
      <w:pPr>
        <w:spacing w:line="360" w:lineRule="auto"/>
        <w:ind w:firstLine="480" w:firstLineChars="200"/>
        <w:rPr>
          <w:rFonts w:ascii="宋体" w:hAnsi="宋体" w:cs="宋体"/>
          <w:color w:val="000000" w:themeColor="text1"/>
          <w:sz w:val="24"/>
          <w:szCs w:val="24"/>
          <w:highlight w:val="none"/>
          <w:shd w:val="clear" w:color="auto" w:fill="FFFFFF"/>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r>
        <w:rPr>
          <w:rFonts w:hint="eastAsia" w:ascii="宋体" w:hAnsi="宋体" w:cs="宋体"/>
          <w:color w:val="000000" w:themeColor="text1"/>
          <w:sz w:val="24"/>
          <w:szCs w:val="24"/>
          <w:highlight w:val="none"/>
          <w:shd w:val="clear" w:color="auto" w:fill="FFFFFF"/>
          <w14:textFill>
            <w14:solidFill>
              <w14:schemeClr w14:val="tx1"/>
            </w14:solidFill>
          </w14:textFill>
        </w:rPr>
        <w:t>《政府采购促进中小企业发展管理办法》第二条　本办法所称中小企业，是指在中华人民共和国境内依法设立，依据国务院批准的中小企业划分标准确定的中型企业、小型企业和微型企业，但与大企业的负责人为同一人，或者与大企业存在直接控股、管理关系的除外。</w:t>
      </w:r>
    </w:p>
    <w:p w14:paraId="0C1F1FEA">
      <w:pPr>
        <w:spacing w:line="360" w:lineRule="auto"/>
        <w:ind w:firstLine="480" w:firstLineChars="200"/>
        <w:rPr>
          <w:rFonts w:ascii="宋体" w:hAnsi="宋体" w:cs="宋体"/>
          <w:color w:val="000000" w:themeColor="text1"/>
          <w:sz w:val="24"/>
          <w:szCs w:val="24"/>
          <w:highlight w:val="none"/>
          <w:shd w:val="clear" w:color="auto" w:fill="FFFFFF"/>
          <w14:textFill>
            <w14:solidFill>
              <w14:schemeClr w14:val="tx1"/>
            </w14:solidFill>
          </w14:textFill>
        </w:rPr>
      </w:pPr>
      <w:r>
        <w:rPr>
          <w:rFonts w:hint="eastAsia" w:ascii="宋体" w:hAnsi="宋体" w:cs="宋体"/>
          <w:color w:val="000000" w:themeColor="text1"/>
          <w:sz w:val="24"/>
          <w:szCs w:val="24"/>
          <w:highlight w:val="none"/>
          <w:shd w:val="clear" w:color="auto" w:fill="FFFFFF"/>
          <w14:textFill>
            <w14:solidFill>
              <w14:schemeClr w14:val="tx1"/>
            </w14:solidFill>
          </w14:textFill>
        </w:rPr>
        <w:t>符合中小企业划分标准的个体工商户，在政府采购活动中视同中小企业。</w:t>
      </w:r>
    </w:p>
    <w:p w14:paraId="5A5F7246">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2.投标人须根据情况如实出具声明函。享受本招标文件规定的中小企业扶持政策的，将随中标结果公开中标人的《中小企业声明函》。</w:t>
      </w:r>
    </w:p>
    <w:p w14:paraId="7DC38BDB">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3.所声明的从业人员人数、营业收入金额或资产总额不实的，依照《中华人民共和国政府采购法》等国家有关规定追究相应责任。</w:t>
      </w:r>
    </w:p>
    <w:p w14:paraId="60E71F93">
      <w:pPr>
        <w:spacing w:line="360" w:lineRule="auto"/>
        <w:ind w:firstLine="480" w:firstLineChars="200"/>
        <w:rPr>
          <w:rFonts w:ascii="宋体" w:hAnsi="宋体" w:cs="宋体"/>
          <w:b/>
          <w:color w:val="000000" w:themeColor="text1"/>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4.投标人须按招标文件规定的所属行业，核对《关于印发中小企业划型标准规定的通知》（工信部联企业〔2011〕300号）规定的中小企业划型标准，如实出具声明函。中小企业划型填写错误或所属行业填写错误的，将不予认可。</w:t>
      </w:r>
    </w:p>
    <w:p w14:paraId="76222ABB">
      <w:pPr>
        <w:pStyle w:val="4"/>
        <w:spacing w:before="0" w:after="0" w:line="240" w:lineRule="auto"/>
        <w:jc w:val="center"/>
        <w:rPr>
          <w:rFonts w:ascii="宋体" w:hAnsi="宋体" w:cs="宋体"/>
          <w:color w:val="000000" w:themeColor="text1"/>
          <w:spacing w:val="6"/>
          <w:sz w:val="30"/>
          <w:szCs w:val="30"/>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br w:type="page"/>
      </w:r>
      <w:bookmarkStart w:id="382" w:name="_Toc1254"/>
      <w:bookmarkStart w:id="383" w:name="_Toc19868"/>
      <w:bookmarkStart w:id="384" w:name="_Toc25057"/>
      <w:bookmarkStart w:id="385" w:name="_Toc26462"/>
      <w:r>
        <w:rPr>
          <w:rFonts w:hint="eastAsia" w:ascii="宋体" w:hAnsi="宋体" w:cs="宋体"/>
          <w:color w:val="000000" w:themeColor="text1"/>
          <w:sz w:val="24"/>
          <w:szCs w:val="24"/>
          <w:highlight w:val="none"/>
          <w14:textFill>
            <w14:solidFill>
              <w14:schemeClr w14:val="tx1"/>
            </w14:solidFill>
          </w14:textFill>
        </w:rPr>
        <w:t>2.疾人福利性单位声明函格式</w:t>
      </w:r>
      <w:bookmarkEnd w:id="382"/>
      <w:bookmarkEnd w:id="383"/>
      <w:bookmarkEnd w:id="384"/>
      <w:bookmarkEnd w:id="385"/>
    </w:p>
    <w:p w14:paraId="5596C092">
      <w:pPr>
        <w:spacing w:line="588" w:lineRule="exact"/>
        <w:ind w:firstLine="504" w:firstLineChars="200"/>
        <w:rPr>
          <w:rFonts w:ascii="宋体" w:hAnsi="宋体" w:cs="宋体"/>
          <w:color w:val="000000" w:themeColor="text1"/>
          <w:spacing w:val="6"/>
          <w:sz w:val="24"/>
          <w:szCs w:val="24"/>
          <w:highlight w:val="none"/>
          <w14:textFill>
            <w14:solidFill>
              <w14:schemeClr w14:val="tx1"/>
            </w14:solidFill>
          </w14:textFill>
        </w:rPr>
      </w:pPr>
      <w:r>
        <w:rPr>
          <w:rFonts w:hint="eastAsia" w:ascii="宋体" w:hAnsi="宋体" w:cs="宋体"/>
          <w:color w:val="000000" w:themeColor="text1"/>
          <w:spacing w:val="6"/>
          <w:sz w:val="24"/>
          <w:szCs w:val="24"/>
          <w:highlight w:val="none"/>
          <w14:textFill>
            <w14:solidFill>
              <w14:schemeClr w14:val="tx1"/>
            </w14:solidFill>
          </w14:textFill>
        </w:rPr>
        <w:t>本单位郑重声明，根据《财政部 民政部 中国残疾人联合会关于促进残疾人就业政府采购政策的通知》(财库</w:t>
      </w:r>
      <w:r>
        <w:rPr>
          <w:rFonts w:hint="eastAsia" w:ascii="宋体" w:hAnsi="宋体" w:cs="宋体"/>
          <w:color w:val="000000" w:themeColor="text1"/>
          <w:sz w:val="24"/>
          <w:szCs w:val="24"/>
          <w:highlight w:val="none"/>
          <w14:textFill>
            <w14:solidFill>
              <w14:schemeClr w14:val="tx1"/>
            </w14:solidFill>
          </w14:textFill>
        </w:rPr>
        <w:t>〔2017〕 141</w:t>
      </w:r>
      <w:r>
        <w:rPr>
          <w:rFonts w:hint="eastAsia" w:ascii="宋体" w:hAnsi="宋体" w:cs="宋体"/>
          <w:color w:val="000000" w:themeColor="text1"/>
          <w:spacing w:val="6"/>
          <w:sz w:val="24"/>
          <w:szCs w:val="24"/>
          <w:highlight w:val="none"/>
          <w14:textFill>
            <w14:solidFill>
              <w14:schemeClr w14:val="tx1"/>
            </w14:solidFill>
          </w14:textFill>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250B1ADD">
      <w:pPr>
        <w:spacing w:line="588" w:lineRule="exact"/>
        <w:ind w:firstLine="504" w:firstLineChars="200"/>
        <w:rPr>
          <w:rFonts w:ascii="宋体" w:hAnsi="宋体" w:cs="宋体"/>
          <w:color w:val="000000" w:themeColor="text1"/>
          <w:spacing w:val="6"/>
          <w:sz w:val="24"/>
          <w:szCs w:val="24"/>
          <w:highlight w:val="none"/>
          <w14:textFill>
            <w14:solidFill>
              <w14:schemeClr w14:val="tx1"/>
            </w14:solidFill>
          </w14:textFill>
        </w:rPr>
      </w:pPr>
      <w:r>
        <w:rPr>
          <w:rFonts w:hint="eastAsia" w:ascii="宋体" w:hAnsi="宋体" w:cs="宋体"/>
          <w:color w:val="000000" w:themeColor="text1"/>
          <w:spacing w:val="6"/>
          <w:sz w:val="24"/>
          <w:szCs w:val="24"/>
          <w:highlight w:val="none"/>
          <w14:textFill>
            <w14:solidFill>
              <w14:schemeClr w14:val="tx1"/>
            </w14:solidFill>
          </w14:textFill>
        </w:rPr>
        <w:t>本单位对上述声明的真实性负责。如有虚假，将依法承担相应责任。</w:t>
      </w:r>
    </w:p>
    <w:p w14:paraId="19E4F172">
      <w:pPr>
        <w:spacing w:line="588" w:lineRule="exact"/>
        <w:ind w:firstLine="504" w:firstLineChars="200"/>
        <w:rPr>
          <w:rFonts w:ascii="宋体" w:hAnsi="宋体" w:cs="宋体"/>
          <w:color w:val="000000" w:themeColor="text1"/>
          <w:spacing w:val="6"/>
          <w:sz w:val="24"/>
          <w:szCs w:val="24"/>
          <w:highlight w:val="none"/>
          <w14:textFill>
            <w14:solidFill>
              <w14:schemeClr w14:val="tx1"/>
            </w14:solidFill>
          </w14:textFill>
        </w:rPr>
      </w:pPr>
    </w:p>
    <w:p w14:paraId="48924958">
      <w:pPr>
        <w:spacing w:line="588" w:lineRule="exact"/>
        <w:ind w:firstLine="504" w:firstLineChars="200"/>
        <w:rPr>
          <w:rFonts w:ascii="宋体" w:hAnsi="宋体" w:cs="宋体"/>
          <w:color w:val="000000" w:themeColor="text1"/>
          <w:spacing w:val="6"/>
          <w:sz w:val="24"/>
          <w:szCs w:val="24"/>
          <w:highlight w:val="none"/>
          <w14:textFill>
            <w14:solidFill>
              <w14:schemeClr w14:val="tx1"/>
            </w14:solidFill>
          </w14:textFill>
        </w:rPr>
      </w:pPr>
    </w:p>
    <w:p w14:paraId="0E539ADC">
      <w:pPr>
        <w:tabs>
          <w:tab w:val="left" w:pos="4860"/>
        </w:tabs>
        <w:spacing w:line="588" w:lineRule="exact"/>
        <w:ind w:right="1560" w:firstLine="504" w:firstLineChars="200"/>
        <w:jc w:val="center"/>
        <w:rPr>
          <w:rFonts w:ascii="宋体" w:hAnsi="宋体" w:cs="宋体"/>
          <w:color w:val="000000" w:themeColor="text1"/>
          <w:spacing w:val="6"/>
          <w:sz w:val="24"/>
          <w:szCs w:val="24"/>
          <w:highlight w:val="none"/>
          <w14:textFill>
            <w14:solidFill>
              <w14:schemeClr w14:val="tx1"/>
            </w14:solidFill>
          </w14:textFill>
        </w:rPr>
      </w:pPr>
      <w:r>
        <w:rPr>
          <w:rFonts w:hint="eastAsia" w:ascii="宋体" w:hAnsi="宋体" w:cs="宋体"/>
          <w:color w:val="000000" w:themeColor="text1"/>
          <w:spacing w:val="6"/>
          <w:sz w:val="24"/>
          <w:szCs w:val="24"/>
          <w:highlight w:val="none"/>
          <w14:textFill>
            <w14:solidFill>
              <w14:schemeClr w14:val="tx1"/>
            </w14:solidFill>
          </w14:textFill>
        </w:rPr>
        <w:t>单位名称(盖章)：</w:t>
      </w:r>
    </w:p>
    <w:p w14:paraId="230ED34A">
      <w:pPr>
        <w:tabs>
          <w:tab w:val="left" w:pos="4860"/>
        </w:tabs>
        <w:spacing w:line="588" w:lineRule="exact"/>
        <w:ind w:right="1560" w:firstLine="504" w:firstLineChars="200"/>
        <w:jc w:val="center"/>
        <w:rPr>
          <w:rFonts w:ascii="宋体" w:hAnsi="宋体" w:cs="宋体"/>
          <w:color w:val="000000" w:themeColor="text1"/>
          <w:spacing w:val="6"/>
          <w:sz w:val="24"/>
          <w:szCs w:val="24"/>
          <w:highlight w:val="none"/>
          <w14:textFill>
            <w14:solidFill>
              <w14:schemeClr w14:val="tx1"/>
            </w14:solidFill>
          </w14:textFill>
        </w:rPr>
      </w:pPr>
      <w:r>
        <w:rPr>
          <w:rFonts w:hint="eastAsia" w:ascii="宋体" w:hAnsi="宋体" w:cs="宋体"/>
          <w:color w:val="000000" w:themeColor="text1"/>
          <w:spacing w:val="6"/>
          <w:sz w:val="24"/>
          <w:szCs w:val="24"/>
          <w:highlight w:val="none"/>
          <w14:textFill>
            <w14:solidFill>
              <w14:schemeClr w14:val="tx1"/>
            </w14:solidFill>
          </w14:textFill>
        </w:rPr>
        <w:t>日  期：</w:t>
      </w:r>
    </w:p>
    <w:p w14:paraId="38F98AD1">
      <w:pPr>
        <w:tabs>
          <w:tab w:val="left" w:pos="4860"/>
        </w:tabs>
        <w:spacing w:line="588" w:lineRule="exact"/>
        <w:ind w:right="1560"/>
        <w:jc w:val="both"/>
        <w:rPr>
          <w:rFonts w:ascii="宋体" w:hAnsi="宋体" w:cs="宋体"/>
          <w:color w:val="000000" w:themeColor="text1"/>
          <w:spacing w:val="6"/>
          <w:sz w:val="24"/>
          <w:szCs w:val="24"/>
          <w:highlight w:val="none"/>
          <w14:textFill>
            <w14:solidFill>
              <w14:schemeClr w14:val="tx1"/>
            </w14:solidFill>
          </w14:textFill>
        </w:rPr>
      </w:pPr>
    </w:p>
    <w:p w14:paraId="0F62C638">
      <w:pPr>
        <w:pStyle w:val="4"/>
        <w:spacing w:before="0" w:after="0" w:line="240" w:lineRule="auto"/>
        <w:jc w:val="center"/>
        <w:rPr>
          <w:rFonts w:ascii="宋体" w:hAnsi="宋体" w:cs="宋体"/>
          <w:color w:val="000000" w:themeColor="text1"/>
          <w:sz w:val="24"/>
          <w:szCs w:val="24"/>
          <w:highlight w:val="none"/>
          <w:shd w:val="clear" w:color="auto" w:fill="FFFFFF"/>
          <w14:textFill>
            <w14:solidFill>
              <w14:schemeClr w14:val="tx1"/>
            </w14:solidFill>
          </w14:textFill>
        </w:rPr>
      </w:pPr>
      <w:r>
        <w:rPr>
          <w:rFonts w:hint="eastAsia" w:ascii="宋体" w:hAnsi="宋体" w:cs="宋体"/>
          <w:color w:val="000000" w:themeColor="text1"/>
          <w:sz w:val="24"/>
          <w:szCs w:val="24"/>
          <w:highlight w:val="none"/>
          <w:shd w:val="clear" w:color="auto" w:fill="FFFFFF"/>
          <w14:textFill>
            <w14:solidFill>
              <w14:schemeClr w14:val="tx1"/>
            </w14:solidFill>
          </w14:textFill>
        </w:rPr>
        <w:br w:type="page"/>
      </w:r>
      <w:bookmarkStart w:id="386" w:name="_Toc4320"/>
      <w:bookmarkStart w:id="387" w:name="_Toc10214"/>
      <w:bookmarkStart w:id="388" w:name="_Toc31465"/>
      <w:bookmarkStart w:id="389" w:name="_Toc987"/>
      <w:r>
        <w:rPr>
          <w:rFonts w:hint="eastAsia" w:ascii="宋体" w:hAnsi="宋体" w:cs="宋体"/>
          <w:color w:val="000000" w:themeColor="text1"/>
          <w:sz w:val="24"/>
          <w:szCs w:val="24"/>
          <w:highlight w:val="none"/>
          <w14:textFill>
            <w14:solidFill>
              <w14:schemeClr w14:val="tx1"/>
            </w14:solidFill>
          </w14:textFill>
        </w:rPr>
        <w:t>3.监狱企业证明文件格式</w:t>
      </w:r>
      <w:bookmarkEnd w:id="386"/>
      <w:bookmarkEnd w:id="387"/>
      <w:bookmarkEnd w:id="388"/>
      <w:bookmarkEnd w:id="389"/>
    </w:p>
    <w:p w14:paraId="1161C759">
      <w:pPr>
        <w:spacing w:line="48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根据《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1750A705">
      <w:pPr>
        <w:spacing w:line="480" w:lineRule="auto"/>
        <w:ind w:firstLine="480" w:firstLineChars="200"/>
        <w:rPr>
          <w:rFonts w:ascii="宋体" w:hAnsi="宋体" w:cs="宋体"/>
          <w:color w:val="000000" w:themeColor="text1"/>
          <w:sz w:val="28"/>
          <w:szCs w:val="28"/>
          <w:highlight w:val="none"/>
          <w:shd w:val="clear" w:color="auto" w:fill="FFFFFF"/>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监狱企业参加政府采购活动时，应当提供由省级以上监狱管理局、戒毒管理局(含新疆生产建设兵团)出具的属于监狱企业的证明文件。</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8"/>
          <w:szCs w:val="28"/>
          <w:highlight w:val="none"/>
          <w:shd w:val="clear" w:color="auto" w:fill="FFFFFF"/>
          <w14:textFill>
            <w14:solidFill>
              <w14:schemeClr w14:val="tx1"/>
            </w14:solidFill>
          </w14:textFill>
        </w:rPr>
        <w:br w:type="textWrapping"/>
      </w:r>
    </w:p>
    <w:p w14:paraId="27A7D171">
      <w:pPr>
        <w:spacing w:line="48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注：符合条件的监狱企业在参加政府采购活动时，应当按《财政部 司法部关于政府采购支持监狱企业发展有关问题的通知》(财库[2014]68 号)提供规定的《监狱企业证明文件》，并对证明文件的真实性负责。</w:t>
      </w:r>
    </w:p>
    <w:p w14:paraId="4E6CC481">
      <w:pPr>
        <w:spacing w:before="156" w:beforeLines="50" w:line="360" w:lineRule="auto"/>
        <w:ind w:firstLine="720" w:firstLineChars="300"/>
        <w:rPr>
          <w:rFonts w:ascii="宋体" w:hAnsi="宋体" w:cs="宋体"/>
          <w:color w:val="000000" w:themeColor="text1"/>
          <w:sz w:val="24"/>
          <w:szCs w:val="24"/>
          <w:highlight w:val="none"/>
          <w14:textFill>
            <w14:solidFill>
              <w14:schemeClr w14:val="tx1"/>
            </w14:solidFill>
          </w14:textFill>
        </w:rPr>
      </w:pPr>
    </w:p>
    <w:p w14:paraId="53879995">
      <w:pPr>
        <w:spacing w:line="480" w:lineRule="auto"/>
        <w:rPr>
          <w:rFonts w:ascii="宋体" w:hAnsi="宋体" w:cs="宋体"/>
          <w:color w:val="000000" w:themeColor="text1"/>
          <w:sz w:val="24"/>
          <w:szCs w:val="24"/>
          <w:highlight w:val="none"/>
          <w14:textFill>
            <w14:solidFill>
              <w14:schemeClr w14:val="tx1"/>
            </w14:solidFill>
          </w14:textFill>
        </w:rPr>
      </w:pPr>
    </w:p>
    <w:p w14:paraId="32D3CC23">
      <w:pPr>
        <w:spacing w:before="100" w:beforeAutospacing="1" w:after="100" w:afterAutospacing="1" w:line="480" w:lineRule="auto"/>
        <w:rPr>
          <w:rFonts w:ascii="宋体" w:hAnsi="宋体" w:cs="宋体"/>
          <w:color w:val="000000" w:themeColor="text1"/>
          <w:sz w:val="24"/>
          <w:szCs w:val="24"/>
          <w:highlight w:val="none"/>
          <w14:textFill>
            <w14:solidFill>
              <w14:schemeClr w14:val="tx1"/>
            </w14:solidFill>
          </w14:textFill>
        </w:rPr>
      </w:pPr>
    </w:p>
    <w:p w14:paraId="4F34803C">
      <w:pPr>
        <w:spacing w:line="480" w:lineRule="auto"/>
        <w:jc w:val="center"/>
        <w:outlineLvl w:val="2"/>
        <w:rPr>
          <w:rFonts w:ascii="宋体" w:hAnsi="宋体" w:cs="宋体"/>
          <w:b/>
          <w:bCs/>
          <w:color w:val="000000" w:themeColor="text1"/>
          <w:sz w:val="32"/>
          <w:szCs w:val="32"/>
          <w:highlight w:val="none"/>
          <w14:textFill>
            <w14:solidFill>
              <w14:schemeClr w14:val="tx1"/>
            </w14:solidFill>
          </w14:textFill>
        </w:rPr>
      </w:pPr>
      <w:r>
        <w:rPr>
          <w:rFonts w:hint="eastAsia" w:ascii="宋体" w:hAnsi="宋体" w:cs="宋体"/>
          <w:b/>
          <w:bCs/>
          <w:color w:val="000000" w:themeColor="text1"/>
          <w:sz w:val="32"/>
          <w:szCs w:val="32"/>
          <w:highlight w:val="none"/>
          <w14:textFill>
            <w14:solidFill>
              <w14:schemeClr w14:val="tx1"/>
            </w14:solidFill>
          </w14:textFill>
        </w:rPr>
        <w:br w:type="page"/>
      </w:r>
      <w:bookmarkStart w:id="390" w:name="_Toc114132371"/>
      <w:bookmarkStart w:id="391" w:name="_Toc31054"/>
      <w:bookmarkStart w:id="392" w:name="_Toc1062"/>
      <w:bookmarkStart w:id="393" w:name="_Toc5628"/>
      <w:r>
        <w:rPr>
          <w:rFonts w:hint="eastAsia" w:ascii="宋体" w:hAnsi="宋体" w:cs="宋体"/>
          <w:b/>
          <w:bCs/>
          <w:color w:val="000000" w:themeColor="text1"/>
          <w:sz w:val="32"/>
          <w:szCs w:val="32"/>
          <w:highlight w:val="none"/>
          <w14:textFill>
            <w14:solidFill>
              <w14:schemeClr w14:val="tx1"/>
            </w14:solidFill>
          </w14:textFill>
        </w:rPr>
        <w:t>商务技术部分</w:t>
      </w:r>
      <w:bookmarkEnd w:id="390"/>
      <w:bookmarkEnd w:id="391"/>
      <w:bookmarkEnd w:id="392"/>
      <w:bookmarkEnd w:id="393"/>
    </w:p>
    <w:p w14:paraId="6186953B">
      <w:pPr>
        <w:pStyle w:val="4"/>
        <w:widowControl/>
        <w:autoSpaceDE w:val="0"/>
        <w:spacing w:before="0" w:after="0" w:line="360" w:lineRule="auto"/>
        <w:ind w:firstLine="562" w:firstLineChars="200"/>
        <w:jc w:val="center"/>
        <w:rPr>
          <w:rFonts w:ascii="宋体" w:hAnsi="宋体" w:cs="宋体"/>
          <w:color w:val="000000" w:themeColor="text1"/>
          <w:sz w:val="28"/>
          <w:szCs w:val="28"/>
          <w:highlight w:val="none"/>
          <w14:textFill>
            <w14:solidFill>
              <w14:schemeClr w14:val="tx1"/>
            </w14:solidFill>
          </w14:textFill>
        </w:rPr>
      </w:pPr>
      <w:bookmarkStart w:id="394" w:name="_Toc15981"/>
      <w:bookmarkEnd w:id="394"/>
      <w:bookmarkStart w:id="395" w:name="_Toc2786"/>
      <w:bookmarkEnd w:id="395"/>
      <w:bookmarkStart w:id="396" w:name="_Toc28459"/>
      <w:bookmarkEnd w:id="396"/>
      <w:bookmarkStart w:id="397" w:name="_Toc31260"/>
      <w:bookmarkStart w:id="398" w:name="_Toc28442"/>
      <w:bookmarkStart w:id="399" w:name="_Toc5263"/>
      <w:bookmarkStart w:id="400" w:name="_Toc114132372"/>
      <w:bookmarkStart w:id="401" w:name="_Toc21079"/>
      <w:r>
        <w:rPr>
          <w:rFonts w:hint="eastAsia" w:ascii="宋体" w:hAnsi="宋体" w:cs="宋体"/>
          <w:color w:val="000000" w:themeColor="text1"/>
          <w:sz w:val="28"/>
          <w:szCs w:val="28"/>
          <w:highlight w:val="none"/>
          <w14:textFill>
            <w14:solidFill>
              <w14:schemeClr w14:val="tx1"/>
            </w14:solidFill>
          </w14:textFill>
        </w:rPr>
        <w:t>一、开标一览表</w:t>
      </w:r>
      <w:bookmarkEnd w:id="397"/>
      <w:bookmarkEnd w:id="398"/>
      <w:bookmarkEnd w:id="399"/>
      <w:bookmarkEnd w:id="400"/>
      <w:bookmarkEnd w:id="401"/>
    </w:p>
    <w:tbl>
      <w:tblPr>
        <w:tblStyle w:val="34"/>
        <w:tblW w:w="4998" w:type="pct"/>
        <w:tblInd w:w="0" w:type="dxa"/>
        <w:tblLayout w:type="autofit"/>
        <w:tblCellMar>
          <w:top w:w="0" w:type="dxa"/>
          <w:left w:w="108" w:type="dxa"/>
          <w:bottom w:w="0" w:type="dxa"/>
          <w:right w:w="108" w:type="dxa"/>
        </w:tblCellMar>
      </w:tblPr>
      <w:tblGrid>
        <w:gridCol w:w="2117"/>
        <w:gridCol w:w="3798"/>
        <w:gridCol w:w="2098"/>
        <w:gridCol w:w="1945"/>
      </w:tblGrid>
      <w:tr w14:paraId="6F680DB9">
        <w:tblPrEx>
          <w:tblCellMar>
            <w:top w:w="0" w:type="dxa"/>
            <w:left w:w="108" w:type="dxa"/>
            <w:bottom w:w="0" w:type="dxa"/>
            <w:right w:w="108" w:type="dxa"/>
          </w:tblCellMar>
        </w:tblPrEx>
        <w:trPr>
          <w:cantSplit/>
          <w:trHeight w:val="966" w:hRule="atLeast"/>
        </w:trPr>
        <w:tc>
          <w:tcPr>
            <w:tcW w:w="1063" w:type="pct"/>
            <w:tcBorders>
              <w:top w:val="single" w:color="auto" w:sz="4" w:space="0"/>
              <w:left w:val="single" w:color="auto" w:sz="4" w:space="0"/>
              <w:bottom w:val="single" w:color="auto" w:sz="4" w:space="0"/>
              <w:right w:val="single" w:color="auto" w:sz="4" w:space="0"/>
            </w:tcBorders>
            <w:vAlign w:val="center"/>
          </w:tcPr>
          <w:p w14:paraId="30A231CE">
            <w:pPr>
              <w:adjustRightInd w:val="0"/>
              <w:snapToGrid w:val="0"/>
              <w:spacing w:line="440" w:lineRule="exact"/>
              <w:jc w:val="center"/>
              <w:rPr>
                <w:rFonts w:ascii="宋体" w:hAnsi="宋体" w:cs="宋体"/>
                <w:b/>
                <w:bCs/>
                <w:color w:val="000000" w:themeColor="text1"/>
                <w:kern w:val="2"/>
                <w:sz w:val="24"/>
                <w:szCs w:val="24"/>
                <w:highlight w:val="none"/>
                <w14:textFill>
                  <w14:solidFill>
                    <w14:schemeClr w14:val="tx1"/>
                  </w14:solidFill>
                </w14:textFill>
              </w:rPr>
            </w:pPr>
            <w:r>
              <w:rPr>
                <w:rFonts w:hint="eastAsia" w:ascii="宋体" w:hAnsi="宋体" w:cs="宋体"/>
                <w:b/>
                <w:bCs/>
                <w:color w:val="000000" w:themeColor="text1"/>
                <w:kern w:val="2"/>
                <w:sz w:val="24"/>
                <w:szCs w:val="24"/>
                <w:highlight w:val="none"/>
                <w14:textFill>
                  <w14:solidFill>
                    <w14:schemeClr w14:val="tx1"/>
                  </w14:solidFill>
                </w14:textFill>
              </w:rPr>
              <w:t>投标人名称</w:t>
            </w:r>
          </w:p>
        </w:tc>
        <w:tc>
          <w:tcPr>
            <w:tcW w:w="1906" w:type="pct"/>
            <w:tcBorders>
              <w:top w:val="single" w:color="auto" w:sz="4" w:space="0"/>
              <w:left w:val="nil"/>
              <w:bottom w:val="single" w:color="auto" w:sz="4" w:space="0"/>
              <w:right w:val="single" w:color="auto" w:sz="4" w:space="0"/>
            </w:tcBorders>
            <w:vAlign w:val="center"/>
          </w:tcPr>
          <w:p w14:paraId="37005B24">
            <w:pPr>
              <w:adjustRightInd w:val="0"/>
              <w:snapToGrid w:val="0"/>
              <w:spacing w:line="440" w:lineRule="exact"/>
              <w:jc w:val="center"/>
              <w:rPr>
                <w:rFonts w:ascii="宋体" w:hAnsi="宋体" w:cs="宋体"/>
                <w:b/>
                <w:bCs/>
                <w:color w:val="000000" w:themeColor="text1"/>
                <w:kern w:val="2"/>
                <w:sz w:val="24"/>
                <w:szCs w:val="24"/>
                <w:highlight w:val="none"/>
                <w14:textFill>
                  <w14:solidFill>
                    <w14:schemeClr w14:val="tx1"/>
                  </w14:solidFill>
                </w14:textFill>
              </w:rPr>
            </w:pPr>
            <w:r>
              <w:rPr>
                <w:rFonts w:hint="eastAsia" w:ascii="宋体" w:hAnsi="宋体" w:cs="宋体"/>
                <w:b/>
                <w:bCs/>
                <w:color w:val="000000" w:themeColor="text1"/>
                <w:kern w:val="2"/>
                <w:sz w:val="24"/>
                <w:szCs w:val="24"/>
                <w:highlight w:val="none"/>
                <w14:textFill>
                  <w14:solidFill>
                    <w14:schemeClr w14:val="tx1"/>
                  </w14:solidFill>
                </w14:textFill>
              </w:rPr>
              <w:t>投标总价（元）</w:t>
            </w:r>
          </w:p>
        </w:tc>
        <w:tc>
          <w:tcPr>
            <w:tcW w:w="1053" w:type="pct"/>
            <w:tcBorders>
              <w:top w:val="single" w:color="auto" w:sz="4" w:space="0"/>
              <w:left w:val="nil"/>
              <w:bottom w:val="single" w:color="auto" w:sz="4" w:space="0"/>
              <w:right w:val="single" w:color="auto" w:sz="4" w:space="0"/>
            </w:tcBorders>
            <w:vAlign w:val="center"/>
          </w:tcPr>
          <w:p w14:paraId="2C2BDD22">
            <w:pPr>
              <w:adjustRightInd w:val="0"/>
              <w:snapToGrid w:val="0"/>
              <w:spacing w:line="440" w:lineRule="exact"/>
              <w:jc w:val="center"/>
              <w:rPr>
                <w:rFonts w:ascii="宋体" w:hAnsi="宋体" w:cs="宋体"/>
                <w:b/>
                <w:bCs/>
                <w:color w:val="000000" w:themeColor="text1"/>
                <w:kern w:val="2"/>
                <w:sz w:val="24"/>
                <w:szCs w:val="24"/>
                <w:highlight w:val="none"/>
                <w14:textFill>
                  <w14:solidFill>
                    <w14:schemeClr w14:val="tx1"/>
                  </w14:solidFill>
                </w14:textFill>
              </w:rPr>
            </w:pPr>
            <w:r>
              <w:rPr>
                <w:rFonts w:hint="eastAsia" w:ascii="宋体" w:hAnsi="宋体" w:cs="宋体"/>
                <w:b/>
                <w:bCs/>
                <w:color w:val="000000" w:themeColor="text1"/>
                <w:kern w:val="2"/>
                <w:sz w:val="24"/>
                <w:szCs w:val="24"/>
                <w:highlight w:val="none"/>
                <w14:textFill>
                  <w14:solidFill>
                    <w14:schemeClr w14:val="tx1"/>
                  </w14:solidFill>
                </w14:textFill>
              </w:rPr>
              <w:t>服务期限</w:t>
            </w:r>
          </w:p>
        </w:tc>
        <w:tc>
          <w:tcPr>
            <w:tcW w:w="976" w:type="pct"/>
            <w:tcBorders>
              <w:top w:val="single" w:color="auto" w:sz="4" w:space="0"/>
              <w:left w:val="nil"/>
              <w:bottom w:val="single" w:color="auto" w:sz="4" w:space="0"/>
              <w:right w:val="single" w:color="auto" w:sz="4" w:space="0"/>
            </w:tcBorders>
            <w:vAlign w:val="center"/>
          </w:tcPr>
          <w:p w14:paraId="3779291E">
            <w:pPr>
              <w:adjustRightInd w:val="0"/>
              <w:snapToGrid w:val="0"/>
              <w:spacing w:line="440" w:lineRule="exact"/>
              <w:jc w:val="center"/>
              <w:rPr>
                <w:rFonts w:ascii="宋体" w:hAnsi="宋体" w:cs="宋体"/>
                <w:b/>
                <w:bCs/>
                <w:color w:val="000000" w:themeColor="text1"/>
                <w:kern w:val="2"/>
                <w:sz w:val="24"/>
                <w:szCs w:val="24"/>
                <w:highlight w:val="none"/>
                <w14:textFill>
                  <w14:solidFill>
                    <w14:schemeClr w14:val="tx1"/>
                  </w14:solidFill>
                </w14:textFill>
              </w:rPr>
            </w:pPr>
            <w:r>
              <w:rPr>
                <w:rFonts w:hint="eastAsia" w:ascii="宋体" w:hAnsi="宋体" w:cs="宋体"/>
                <w:b/>
                <w:bCs/>
                <w:color w:val="000000" w:themeColor="text1"/>
                <w:kern w:val="2"/>
                <w:sz w:val="24"/>
                <w:szCs w:val="24"/>
                <w:highlight w:val="none"/>
                <w14:textFill>
                  <w14:solidFill>
                    <w14:schemeClr w14:val="tx1"/>
                  </w14:solidFill>
                </w14:textFill>
              </w:rPr>
              <w:t>服务地点</w:t>
            </w:r>
          </w:p>
        </w:tc>
      </w:tr>
      <w:tr w14:paraId="36429482">
        <w:tblPrEx>
          <w:tblCellMar>
            <w:top w:w="0" w:type="dxa"/>
            <w:left w:w="108" w:type="dxa"/>
            <w:bottom w:w="0" w:type="dxa"/>
            <w:right w:w="108" w:type="dxa"/>
          </w:tblCellMar>
        </w:tblPrEx>
        <w:trPr>
          <w:cantSplit/>
          <w:trHeight w:val="1207" w:hRule="atLeast"/>
        </w:trPr>
        <w:tc>
          <w:tcPr>
            <w:tcW w:w="1063" w:type="pct"/>
            <w:tcBorders>
              <w:top w:val="single" w:color="auto" w:sz="4" w:space="0"/>
              <w:left w:val="single" w:color="auto" w:sz="4" w:space="0"/>
              <w:bottom w:val="single" w:color="auto" w:sz="4" w:space="0"/>
              <w:right w:val="single" w:color="auto" w:sz="4" w:space="0"/>
            </w:tcBorders>
            <w:vAlign w:val="center"/>
          </w:tcPr>
          <w:p w14:paraId="5277D7D8">
            <w:pPr>
              <w:spacing w:line="460" w:lineRule="exact"/>
              <w:jc w:val="center"/>
              <w:rPr>
                <w:rFonts w:ascii="宋体" w:hAnsi="宋体" w:cs="宋体"/>
                <w:b/>
                <w:bCs/>
                <w:color w:val="000000" w:themeColor="text1"/>
                <w:kern w:val="2"/>
                <w:sz w:val="24"/>
                <w:szCs w:val="24"/>
                <w:highlight w:val="none"/>
                <w14:textFill>
                  <w14:solidFill>
                    <w14:schemeClr w14:val="tx1"/>
                  </w14:solidFill>
                </w14:textFill>
              </w:rPr>
            </w:pPr>
          </w:p>
        </w:tc>
        <w:tc>
          <w:tcPr>
            <w:tcW w:w="1906" w:type="pct"/>
            <w:tcBorders>
              <w:top w:val="single" w:color="auto" w:sz="4" w:space="0"/>
              <w:left w:val="nil"/>
              <w:bottom w:val="single" w:color="auto" w:sz="4" w:space="0"/>
              <w:right w:val="single" w:color="auto" w:sz="4" w:space="0"/>
            </w:tcBorders>
            <w:vAlign w:val="center"/>
          </w:tcPr>
          <w:p w14:paraId="40852D59">
            <w:pPr>
              <w:spacing w:line="360" w:lineRule="auto"/>
              <w:rPr>
                <w:rFonts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人民币（小写金额）：</w:t>
            </w:r>
          </w:p>
          <w:p w14:paraId="77C9DE17">
            <w:pPr>
              <w:spacing w:line="360" w:lineRule="auto"/>
              <w:rPr>
                <w:rFonts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人民币（大写金额）：</w:t>
            </w:r>
          </w:p>
          <w:p w14:paraId="78FF30F3">
            <w:pPr>
              <w:spacing w:line="360" w:lineRule="auto"/>
              <w:rPr>
                <w:rFonts w:ascii="宋体" w:hAnsi="宋体" w:cs="宋体"/>
                <w:b/>
                <w:bCs/>
                <w:color w:val="000000" w:themeColor="text1"/>
                <w:kern w:val="2"/>
                <w:sz w:val="24"/>
                <w:szCs w:val="24"/>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注：如有不一致，以大写为准。</w:t>
            </w:r>
          </w:p>
        </w:tc>
        <w:tc>
          <w:tcPr>
            <w:tcW w:w="1053" w:type="pct"/>
            <w:tcBorders>
              <w:top w:val="single" w:color="auto" w:sz="4" w:space="0"/>
              <w:left w:val="nil"/>
              <w:bottom w:val="single" w:color="auto" w:sz="4" w:space="0"/>
              <w:right w:val="single" w:color="auto" w:sz="4" w:space="0"/>
            </w:tcBorders>
            <w:vAlign w:val="center"/>
          </w:tcPr>
          <w:p w14:paraId="682923D7">
            <w:pPr>
              <w:spacing w:line="460" w:lineRule="exact"/>
              <w:jc w:val="center"/>
              <w:rPr>
                <w:rFonts w:ascii="宋体" w:hAnsi="宋体" w:cs="宋体"/>
                <w:b/>
                <w:bCs/>
                <w:color w:val="000000" w:themeColor="text1"/>
                <w:kern w:val="2"/>
                <w:sz w:val="24"/>
                <w:szCs w:val="24"/>
                <w:highlight w:val="none"/>
                <w14:textFill>
                  <w14:solidFill>
                    <w14:schemeClr w14:val="tx1"/>
                  </w14:solidFill>
                </w14:textFill>
              </w:rPr>
            </w:pPr>
          </w:p>
        </w:tc>
        <w:tc>
          <w:tcPr>
            <w:tcW w:w="976" w:type="pct"/>
            <w:tcBorders>
              <w:top w:val="single" w:color="auto" w:sz="4" w:space="0"/>
              <w:left w:val="nil"/>
              <w:bottom w:val="single" w:color="auto" w:sz="4" w:space="0"/>
              <w:right w:val="single" w:color="auto" w:sz="4" w:space="0"/>
            </w:tcBorders>
            <w:vAlign w:val="center"/>
          </w:tcPr>
          <w:p w14:paraId="21E43788">
            <w:pPr>
              <w:spacing w:line="460" w:lineRule="exact"/>
              <w:jc w:val="center"/>
              <w:rPr>
                <w:rFonts w:ascii="宋体" w:hAnsi="宋体" w:cs="宋体"/>
                <w:b/>
                <w:bCs/>
                <w:color w:val="000000" w:themeColor="text1"/>
                <w:kern w:val="2"/>
                <w:sz w:val="24"/>
                <w:szCs w:val="24"/>
                <w:highlight w:val="none"/>
                <w14:textFill>
                  <w14:solidFill>
                    <w14:schemeClr w14:val="tx1"/>
                  </w14:solidFill>
                </w14:textFill>
              </w:rPr>
            </w:pPr>
          </w:p>
        </w:tc>
      </w:tr>
    </w:tbl>
    <w:p w14:paraId="7420A4EF">
      <w:pPr>
        <w:spacing w:line="360" w:lineRule="auto"/>
        <w:rPr>
          <w:rFonts w:ascii="宋体" w:hAnsi="宋体" w:cs="宋体"/>
          <w:bCs/>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注：</w:t>
      </w:r>
      <w:r>
        <w:rPr>
          <w:rFonts w:hint="eastAsia" w:ascii="宋体" w:hAnsi="宋体" w:cs="宋体"/>
          <w:bCs/>
          <w:color w:val="000000" w:themeColor="text1"/>
          <w:highlight w:val="none"/>
          <w14:textFill>
            <w14:solidFill>
              <w14:schemeClr w14:val="tx1"/>
            </w14:solidFill>
          </w14:textFill>
        </w:rPr>
        <w:t>1.此表中的投标总价即为最终报价，不允许另有折扣说明；</w:t>
      </w:r>
    </w:p>
    <w:p w14:paraId="008D469E">
      <w:pPr>
        <w:spacing w:line="360" w:lineRule="auto"/>
        <w:ind w:firstLine="420" w:firstLineChars="200"/>
        <w:rPr>
          <w:rFonts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2.若“政采云”平台《开标记录表》内容与投标文件《开标一览表》中相应内容不一致的，以投标文件《开标一览表》为准；</w:t>
      </w:r>
    </w:p>
    <w:p w14:paraId="7ACC2A9C">
      <w:pPr>
        <w:spacing w:line="360" w:lineRule="auto"/>
        <w:ind w:firstLine="420" w:firstLineChars="200"/>
        <w:rPr>
          <w:rFonts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3.根据分项报价单价及实际发生量据实结算</w:t>
      </w:r>
      <w:r>
        <w:rPr>
          <w:rFonts w:hint="eastAsia" w:ascii="宋体" w:hAnsi="宋体" w:cs="宋体"/>
          <w:bCs/>
          <w:color w:val="000000" w:themeColor="text1"/>
          <w:highlight w:val="none"/>
          <w:lang w:eastAsia="zh-CN"/>
          <w14:textFill>
            <w14:solidFill>
              <w14:schemeClr w14:val="tx1"/>
            </w14:solidFill>
          </w14:textFill>
        </w:rPr>
        <w:t>，</w:t>
      </w:r>
      <w:r>
        <w:rPr>
          <w:rFonts w:hint="eastAsia" w:ascii="宋体" w:hAnsi="宋体" w:cs="宋体"/>
          <w:bCs/>
          <w:color w:val="000000" w:themeColor="text1"/>
          <w:highlight w:val="none"/>
          <w:lang w:eastAsia="zh-CN"/>
          <w14:textFill>
            <w14:solidFill>
              <w14:schemeClr w14:val="tx1"/>
            </w14:solidFill>
          </w14:textFill>
        </w:rPr>
        <w:t>最终结算价不超过合同总价</w:t>
      </w:r>
      <w:r>
        <w:rPr>
          <w:rFonts w:hint="eastAsia" w:ascii="宋体" w:hAnsi="宋体" w:cs="宋体"/>
          <w:bCs/>
          <w:color w:val="000000" w:themeColor="text1"/>
          <w:highlight w:val="none"/>
          <w14:textFill>
            <w14:solidFill>
              <w14:schemeClr w14:val="tx1"/>
            </w14:solidFill>
          </w14:textFill>
        </w:rPr>
        <w:t>；</w:t>
      </w:r>
    </w:p>
    <w:p w14:paraId="63B9C703">
      <w:pPr>
        <w:spacing w:line="360" w:lineRule="auto"/>
        <w:ind w:firstLine="420" w:firstLineChars="200"/>
        <w:rPr>
          <w:rFonts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4.投标总价保留小数点后二位，第三位四舍五入。</w:t>
      </w:r>
    </w:p>
    <w:p w14:paraId="143418A7">
      <w:pPr>
        <w:spacing w:line="360" w:lineRule="auto"/>
        <w:ind w:firstLine="420" w:firstLineChars="200"/>
        <w:rPr>
          <w:rFonts w:ascii="宋体" w:hAnsi="宋体" w:cs="宋体"/>
          <w:bCs/>
          <w:color w:val="000000" w:themeColor="text1"/>
          <w:highlight w:val="none"/>
          <w14:textFill>
            <w14:solidFill>
              <w14:schemeClr w14:val="tx1"/>
            </w14:solidFill>
          </w14:textFill>
        </w:rPr>
      </w:pPr>
    </w:p>
    <w:p w14:paraId="00F8FD1A">
      <w:pPr>
        <w:spacing w:line="600" w:lineRule="atLeast"/>
        <w:rPr>
          <w:rFonts w:ascii="宋体" w:hAnsi="宋体" w:cs="宋体"/>
          <w:color w:val="000000" w:themeColor="text1"/>
          <w:sz w:val="28"/>
          <w:szCs w:val="28"/>
          <w:highlight w:val="none"/>
          <w14:textFill>
            <w14:solidFill>
              <w14:schemeClr w14:val="tx1"/>
            </w14:solidFill>
          </w14:textFill>
        </w:rPr>
      </w:pPr>
    </w:p>
    <w:p w14:paraId="7E697434">
      <w:pPr>
        <w:keepNext/>
        <w:keepLines/>
        <w:widowControl w:val="0"/>
        <w:rPr>
          <w:rFonts w:ascii="宋体" w:hAnsi="宋体" w:cs="宋体"/>
          <w:color w:val="000000" w:themeColor="text1"/>
          <w:highlight w:val="none"/>
          <w14:textFill>
            <w14:solidFill>
              <w14:schemeClr w14:val="tx1"/>
            </w14:solidFill>
          </w14:textFill>
        </w:rPr>
      </w:pPr>
    </w:p>
    <w:p w14:paraId="5701186E">
      <w:pPr>
        <w:spacing w:line="360" w:lineRule="auto"/>
        <w:ind w:firstLine="1124" w:firstLineChars="400"/>
        <w:rPr>
          <w:rFonts w:ascii="宋体" w:hAnsi="宋体" w:cs="宋体"/>
          <w:b/>
          <w:color w:val="000000" w:themeColor="text1"/>
          <w:sz w:val="28"/>
          <w:szCs w:val="28"/>
          <w:highlight w:val="none"/>
          <w14:textFill>
            <w14:solidFill>
              <w14:schemeClr w14:val="tx1"/>
            </w14:solidFill>
          </w14:textFill>
        </w:rPr>
      </w:pPr>
      <w:r>
        <w:rPr>
          <w:rFonts w:hint="eastAsia" w:ascii="宋体" w:hAnsi="宋体" w:cs="宋体"/>
          <w:b/>
          <w:color w:val="000000" w:themeColor="text1"/>
          <w:sz w:val="28"/>
          <w:szCs w:val="28"/>
          <w:highlight w:val="none"/>
          <w14:textFill>
            <w14:solidFill>
              <w14:schemeClr w14:val="tx1"/>
            </w14:solidFill>
          </w14:textFill>
        </w:rPr>
        <w:t>投标人：</w:t>
      </w:r>
      <w:r>
        <w:rPr>
          <w:rFonts w:hint="eastAsia" w:ascii="宋体" w:hAnsi="宋体" w:cs="宋体"/>
          <w:b/>
          <w:color w:val="000000" w:themeColor="text1"/>
          <w:sz w:val="28"/>
          <w:szCs w:val="28"/>
          <w:highlight w:val="none"/>
          <w:u w:val="single"/>
          <w14:textFill>
            <w14:solidFill>
              <w14:schemeClr w14:val="tx1"/>
            </w14:solidFill>
          </w14:textFill>
        </w:rPr>
        <w:tab/>
      </w:r>
      <w:r>
        <w:rPr>
          <w:rFonts w:hint="eastAsia" w:ascii="宋体" w:hAnsi="宋体" w:cs="宋体"/>
          <w:b/>
          <w:color w:val="000000" w:themeColor="text1"/>
          <w:sz w:val="28"/>
          <w:szCs w:val="28"/>
          <w:highlight w:val="none"/>
          <w:u w:val="single"/>
          <w14:textFill>
            <w14:solidFill>
              <w14:schemeClr w14:val="tx1"/>
            </w14:solidFill>
          </w14:textFill>
        </w:rPr>
        <w:t xml:space="preserve">                                 </w:t>
      </w:r>
      <w:r>
        <w:rPr>
          <w:rFonts w:hint="eastAsia" w:ascii="宋体" w:hAnsi="宋体" w:cs="宋体"/>
          <w:b/>
          <w:color w:val="000000" w:themeColor="text1"/>
          <w:sz w:val="28"/>
          <w:szCs w:val="28"/>
          <w:highlight w:val="none"/>
          <w14:textFill>
            <w14:solidFill>
              <w14:schemeClr w14:val="tx1"/>
            </w14:solidFill>
          </w14:textFill>
        </w:rPr>
        <w:t>(电子签章)</w:t>
      </w:r>
    </w:p>
    <w:p w14:paraId="0676F8CA">
      <w:pPr>
        <w:spacing w:line="360" w:lineRule="auto"/>
        <w:ind w:firstLine="1124" w:firstLineChars="400"/>
        <w:rPr>
          <w:rFonts w:ascii="宋体" w:hAnsi="宋体" w:cs="宋体"/>
          <w:b/>
          <w:color w:val="000000" w:themeColor="text1"/>
          <w:sz w:val="28"/>
          <w:szCs w:val="28"/>
          <w:highlight w:val="none"/>
          <w14:textFill>
            <w14:solidFill>
              <w14:schemeClr w14:val="tx1"/>
            </w14:solidFill>
          </w14:textFill>
        </w:rPr>
      </w:pPr>
      <w:r>
        <w:rPr>
          <w:rFonts w:hint="eastAsia" w:ascii="宋体" w:hAnsi="宋体" w:cs="宋体"/>
          <w:b/>
          <w:color w:val="000000" w:themeColor="text1"/>
          <w:sz w:val="28"/>
          <w:szCs w:val="28"/>
          <w:highlight w:val="none"/>
          <w14:textFill>
            <w14:solidFill>
              <w14:schemeClr w14:val="tx1"/>
            </w14:solidFill>
          </w14:textFill>
        </w:rPr>
        <w:t>法定代表人(单位负责人)或其委托代理人：</w:t>
      </w:r>
      <w:r>
        <w:rPr>
          <w:rFonts w:hint="eastAsia" w:ascii="宋体" w:hAnsi="宋体" w:cs="宋体"/>
          <w:b/>
          <w:color w:val="000000" w:themeColor="text1"/>
          <w:sz w:val="28"/>
          <w:szCs w:val="28"/>
          <w:highlight w:val="none"/>
          <w:u w:val="single"/>
          <w14:textFill>
            <w14:solidFill>
              <w14:schemeClr w14:val="tx1"/>
            </w14:solidFill>
          </w14:textFill>
        </w:rPr>
        <w:tab/>
      </w:r>
      <w:r>
        <w:rPr>
          <w:rFonts w:hint="eastAsia" w:ascii="宋体" w:hAnsi="宋体" w:cs="宋体"/>
          <w:b/>
          <w:color w:val="000000" w:themeColor="text1"/>
          <w:sz w:val="28"/>
          <w:szCs w:val="28"/>
          <w:highlight w:val="none"/>
          <w:u w:val="single"/>
          <w14:textFill>
            <w14:solidFill>
              <w14:schemeClr w14:val="tx1"/>
            </w14:solidFill>
          </w14:textFill>
        </w:rPr>
        <w:t xml:space="preserve">   </w:t>
      </w:r>
      <w:r>
        <w:rPr>
          <w:rFonts w:hint="eastAsia" w:ascii="宋体" w:hAnsi="宋体" w:cs="宋体"/>
          <w:b/>
          <w:color w:val="000000" w:themeColor="text1"/>
          <w:sz w:val="28"/>
          <w:szCs w:val="28"/>
          <w:highlight w:val="none"/>
          <w14:textFill>
            <w14:solidFill>
              <w14:schemeClr w14:val="tx1"/>
            </w14:solidFill>
          </w14:textFill>
        </w:rPr>
        <w:t>(电子签章或签字)</w:t>
      </w:r>
    </w:p>
    <w:p w14:paraId="37504693">
      <w:pPr>
        <w:spacing w:line="360" w:lineRule="auto"/>
        <w:ind w:firstLine="1124" w:firstLineChars="400"/>
        <w:rPr>
          <w:rFonts w:ascii="宋体" w:hAnsi="宋体" w:cs="宋体"/>
          <w:b/>
          <w:color w:val="000000" w:themeColor="text1"/>
          <w:sz w:val="28"/>
          <w:szCs w:val="28"/>
          <w:highlight w:val="none"/>
          <w14:textFill>
            <w14:solidFill>
              <w14:schemeClr w14:val="tx1"/>
            </w14:solidFill>
          </w14:textFill>
        </w:rPr>
      </w:pPr>
      <w:r>
        <w:rPr>
          <w:rFonts w:hint="eastAsia" w:ascii="宋体" w:hAnsi="宋体" w:cs="宋体"/>
          <w:b/>
          <w:color w:val="000000" w:themeColor="text1"/>
          <w:sz w:val="28"/>
          <w:szCs w:val="28"/>
          <w:highlight w:val="none"/>
          <w14:textFill>
            <w14:solidFill>
              <w14:schemeClr w14:val="tx1"/>
            </w14:solidFill>
          </w14:textFill>
        </w:rPr>
        <w:t>日期：</w:t>
      </w:r>
      <w:r>
        <w:rPr>
          <w:rFonts w:hint="eastAsia" w:ascii="宋体" w:hAnsi="宋体" w:cs="宋体"/>
          <w:bCs/>
          <w:color w:val="000000" w:themeColor="text1"/>
          <w:sz w:val="28"/>
          <w:szCs w:val="28"/>
          <w:highlight w:val="none"/>
          <w:u w:val="single"/>
          <w14:textFill>
            <w14:solidFill>
              <w14:schemeClr w14:val="tx1"/>
            </w14:solidFill>
          </w14:textFill>
        </w:rPr>
        <w:t xml:space="preserve">      </w:t>
      </w:r>
      <w:r>
        <w:rPr>
          <w:rFonts w:hint="eastAsia" w:ascii="宋体" w:hAnsi="宋体" w:cs="宋体"/>
          <w:b/>
          <w:color w:val="000000" w:themeColor="text1"/>
          <w:sz w:val="28"/>
          <w:szCs w:val="28"/>
          <w:highlight w:val="none"/>
          <w14:textFill>
            <w14:solidFill>
              <w14:schemeClr w14:val="tx1"/>
            </w14:solidFill>
          </w14:textFill>
        </w:rPr>
        <w:t>年</w:t>
      </w:r>
      <w:r>
        <w:rPr>
          <w:rFonts w:hint="eastAsia" w:ascii="宋体" w:hAnsi="宋体" w:cs="宋体"/>
          <w:bCs/>
          <w:color w:val="000000" w:themeColor="text1"/>
          <w:sz w:val="28"/>
          <w:szCs w:val="28"/>
          <w:highlight w:val="none"/>
          <w:u w:val="single"/>
          <w14:textFill>
            <w14:solidFill>
              <w14:schemeClr w14:val="tx1"/>
            </w14:solidFill>
          </w14:textFill>
        </w:rPr>
        <w:t xml:space="preserve">     </w:t>
      </w:r>
      <w:r>
        <w:rPr>
          <w:rFonts w:hint="eastAsia" w:ascii="宋体" w:hAnsi="宋体" w:cs="宋体"/>
          <w:b/>
          <w:color w:val="000000" w:themeColor="text1"/>
          <w:sz w:val="28"/>
          <w:szCs w:val="28"/>
          <w:highlight w:val="none"/>
          <w14:textFill>
            <w14:solidFill>
              <w14:schemeClr w14:val="tx1"/>
            </w14:solidFill>
          </w14:textFill>
        </w:rPr>
        <w:t>月</w:t>
      </w:r>
      <w:r>
        <w:rPr>
          <w:rFonts w:hint="eastAsia" w:ascii="宋体" w:hAnsi="宋体" w:cs="宋体"/>
          <w:bCs/>
          <w:color w:val="000000" w:themeColor="text1"/>
          <w:sz w:val="28"/>
          <w:szCs w:val="28"/>
          <w:highlight w:val="none"/>
          <w:u w:val="single"/>
          <w14:textFill>
            <w14:solidFill>
              <w14:schemeClr w14:val="tx1"/>
            </w14:solidFill>
          </w14:textFill>
        </w:rPr>
        <w:t xml:space="preserve">     </w:t>
      </w:r>
      <w:r>
        <w:rPr>
          <w:rFonts w:hint="eastAsia" w:ascii="宋体" w:hAnsi="宋体" w:cs="宋体"/>
          <w:b/>
          <w:color w:val="000000" w:themeColor="text1"/>
          <w:sz w:val="28"/>
          <w:szCs w:val="28"/>
          <w:highlight w:val="none"/>
          <w14:textFill>
            <w14:solidFill>
              <w14:schemeClr w14:val="tx1"/>
            </w14:solidFill>
          </w14:textFill>
        </w:rPr>
        <w:t>日</w:t>
      </w:r>
      <w:bookmarkStart w:id="402" w:name="_Toc17435"/>
      <w:bookmarkEnd w:id="402"/>
      <w:bookmarkStart w:id="403" w:name="_Toc4647"/>
      <w:bookmarkStart w:id="404" w:name="_Toc20402"/>
      <w:bookmarkStart w:id="405" w:name="_Toc30371"/>
      <w:bookmarkStart w:id="406" w:name="_Toc22222"/>
      <w:bookmarkStart w:id="407" w:name="_Toc2521"/>
      <w:bookmarkStart w:id="408" w:name="_Toc114132373"/>
    </w:p>
    <w:p w14:paraId="0550E419">
      <w:pPr>
        <w:pStyle w:val="4"/>
        <w:widowControl/>
        <w:autoSpaceDE w:val="0"/>
        <w:spacing w:before="0" w:after="0" w:line="360" w:lineRule="auto"/>
        <w:ind w:firstLine="560" w:firstLineChars="200"/>
        <w:jc w:val="center"/>
        <w:rPr>
          <w:rFonts w:ascii="宋体" w:hAnsi="宋体" w:cs="宋体"/>
          <w:b w:val="0"/>
          <w:color w:val="000000" w:themeColor="text1"/>
          <w:sz w:val="28"/>
          <w:szCs w:val="28"/>
          <w:highlight w:val="none"/>
          <w14:textFill>
            <w14:solidFill>
              <w14:schemeClr w14:val="tx1"/>
            </w14:solidFill>
          </w14:textFill>
        </w:rPr>
        <w:sectPr>
          <w:pgSz w:w="11906" w:h="16838"/>
          <w:pgMar w:top="1440" w:right="1080" w:bottom="1440" w:left="1080" w:header="720" w:footer="720" w:gutter="0"/>
          <w:cols w:space="720" w:num="1"/>
          <w:docGrid w:type="lines" w:linePitch="312" w:charSpace="0"/>
        </w:sectPr>
      </w:pPr>
    </w:p>
    <w:p w14:paraId="6D58EB05">
      <w:pPr>
        <w:pStyle w:val="4"/>
        <w:widowControl/>
        <w:autoSpaceDE w:val="0"/>
        <w:spacing w:before="0" w:after="0" w:line="360" w:lineRule="auto"/>
        <w:ind w:firstLine="562" w:firstLineChars="200"/>
        <w:jc w:val="center"/>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二、分项报价表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9"/>
        <w:gridCol w:w="3636"/>
        <w:gridCol w:w="999"/>
        <w:gridCol w:w="1560"/>
        <w:gridCol w:w="1353"/>
        <w:gridCol w:w="1107"/>
      </w:tblGrid>
      <w:tr w14:paraId="4D7C3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9" w:type="dxa"/>
            <w:vAlign w:val="center"/>
          </w:tcPr>
          <w:p w14:paraId="62D04E7D">
            <w:pPr>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序号</w:t>
            </w:r>
          </w:p>
        </w:tc>
        <w:tc>
          <w:tcPr>
            <w:tcW w:w="3636" w:type="dxa"/>
            <w:vAlign w:val="center"/>
          </w:tcPr>
          <w:p w14:paraId="71B81B36">
            <w:pPr>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分项名称</w:t>
            </w:r>
          </w:p>
        </w:tc>
        <w:tc>
          <w:tcPr>
            <w:tcW w:w="999" w:type="dxa"/>
            <w:vAlign w:val="center"/>
          </w:tcPr>
          <w:p w14:paraId="6636331D">
            <w:pPr>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数量</w:t>
            </w:r>
          </w:p>
        </w:tc>
        <w:tc>
          <w:tcPr>
            <w:tcW w:w="1560" w:type="dxa"/>
            <w:vAlign w:val="center"/>
          </w:tcPr>
          <w:p w14:paraId="2178D6D6">
            <w:pPr>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单价（元）</w:t>
            </w:r>
          </w:p>
        </w:tc>
        <w:tc>
          <w:tcPr>
            <w:tcW w:w="1353" w:type="dxa"/>
            <w:vAlign w:val="center"/>
          </w:tcPr>
          <w:p w14:paraId="4533C8B1">
            <w:pPr>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合价（元）</w:t>
            </w:r>
          </w:p>
        </w:tc>
        <w:tc>
          <w:tcPr>
            <w:tcW w:w="1107" w:type="dxa"/>
            <w:vAlign w:val="center"/>
          </w:tcPr>
          <w:p w14:paraId="6AE7D4DA">
            <w:pPr>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备注</w:t>
            </w:r>
          </w:p>
        </w:tc>
      </w:tr>
      <w:tr w14:paraId="00C93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9" w:type="dxa"/>
            <w:vAlign w:val="center"/>
          </w:tcPr>
          <w:p w14:paraId="25EB5A83">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tc>
        <w:tc>
          <w:tcPr>
            <w:tcW w:w="3636" w:type="dxa"/>
            <w:vAlign w:val="center"/>
          </w:tcPr>
          <w:p w14:paraId="117FDEDD">
            <w:pPr>
              <w:spacing w:line="360" w:lineRule="auto"/>
              <w:jc w:val="center"/>
              <w:rPr>
                <w:rFonts w:ascii="宋体" w:hAnsi="宋体" w:cs="宋体"/>
                <w:color w:val="000000" w:themeColor="text1"/>
                <w:sz w:val="24"/>
                <w:szCs w:val="24"/>
                <w:highlight w:val="none"/>
                <w14:textFill>
                  <w14:solidFill>
                    <w14:schemeClr w14:val="tx1"/>
                  </w14:solidFill>
                </w14:textFill>
              </w:rPr>
            </w:pPr>
          </w:p>
        </w:tc>
        <w:tc>
          <w:tcPr>
            <w:tcW w:w="999" w:type="dxa"/>
            <w:vAlign w:val="center"/>
          </w:tcPr>
          <w:p w14:paraId="1FD8E890">
            <w:pPr>
              <w:spacing w:line="360" w:lineRule="auto"/>
              <w:jc w:val="center"/>
              <w:rPr>
                <w:rFonts w:ascii="宋体" w:hAnsi="宋体" w:cs="宋体"/>
                <w:color w:val="000000" w:themeColor="text1"/>
                <w:sz w:val="24"/>
                <w:szCs w:val="24"/>
                <w:highlight w:val="none"/>
                <w14:textFill>
                  <w14:solidFill>
                    <w14:schemeClr w14:val="tx1"/>
                  </w14:solidFill>
                </w14:textFill>
              </w:rPr>
            </w:pPr>
          </w:p>
        </w:tc>
        <w:tc>
          <w:tcPr>
            <w:tcW w:w="1560" w:type="dxa"/>
            <w:vAlign w:val="center"/>
          </w:tcPr>
          <w:p w14:paraId="0AC40674">
            <w:pPr>
              <w:spacing w:line="360" w:lineRule="auto"/>
              <w:jc w:val="center"/>
              <w:rPr>
                <w:rFonts w:ascii="宋体" w:hAnsi="宋体" w:cs="宋体"/>
                <w:color w:val="000000" w:themeColor="text1"/>
                <w:sz w:val="24"/>
                <w:szCs w:val="24"/>
                <w:highlight w:val="none"/>
                <w14:textFill>
                  <w14:solidFill>
                    <w14:schemeClr w14:val="tx1"/>
                  </w14:solidFill>
                </w14:textFill>
              </w:rPr>
            </w:pPr>
          </w:p>
        </w:tc>
        <w:tc>
          <w:tcPr>
            <w:tcW w:w="1353" w:type="dxa"/>
            <w:vAlign w:val="center"/>
          </w:tcPr>
          <w:p w14:paraId="3AC6B3C0">
            <w:pPr>
              <w:spacing w:line="360" w:lineRule="auto"/>
              <w:jc w:val="center"/>
              <w:rPr>
                <w:rFonts w:ascii="宋体" w:hAnsi="宋体" w:cs="宋体"/>
                <w:color w:val="000000" w:themeColor="text1"/>
                <w:sz w:val="24"/>
                <w:szCs w:val="24"/>
                <w:highlight w:val="none"/>
                <w14:textFill>
                  <w14:solidFill>
                    <w14:schemeClr w14:val="tx1"/>
                  </w14:solidFill>
                </w14:textFill>
              </w:rPr>
            </w:pPr>
          </w:p>
        </w:tc>
        <w:tc>
          <w:tcPr>
            <w:tcW w:w="1107" w:type="dxa"/>
            <w:vAlign w:val="center"/>
          </w:tcPr>
          <w:p w14:paraId="548DE168">
            <w:pPr>
              <w:spacing w:line="360" w:lineRule="auto"/>
              <w:jc w:val="center"/>
              <w:rPr>
                <w:rFonts w:ascii="宋体" w:hAnsi="宋体" w:cs="宋体"/>
                <w:color w:val="000000" w:themeColor="text1"/>
                <w:sz w:val="24"/>
                <w:szCs w:val="24"/>
                <w:highlight w:val="none"/>
                <w14:textFill>
                  <w14:solidFill>
                    <w14:schemeClr w14:val="tx1"/>
                  </w14:solidFill>
                </w14:textFill>
              </w:rPr>
            </w:pPr>
          </w:p>
        </w:tc>
      </w:tr>
      <w:tr w14:paraId="72023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9" w:type="dxa"/>
            <w:vAlign w:val="center"/>
          </w:tcPr>
          <w:p w14:paraId="52925DA9">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w:t>
            </w:r>
          </w:p>
        </w:tc>
        <w:tc>
          <w:tcPr>
            <w:tcW w:w="3636" w:type="dxa"/>
            <w:vAlign w:val="center"/>
          </w:tcPr>
          <w:p w14:paraId="322F8AB4">
            <w:pPr>
              <w:spacing w:line="360" w:lineRule="auto"/>
              <w:jc w:val="center"/>
              <w:rPr>
                <w:rFonts w:ascii="宋体" w:hAnsi="宋体" w:cs="宋体"/>
                <w:color w:val="000000" w:themeColor="text1"/>
                <w:sz w:val="24"/>
                <w:szCs w:val="24"/>
                <w:highlight w:val="none"/>
                <w14:textFill>
                  <w14:solidFill>
                    <w14:schemeClr w14:val="tx1"/>
                  </w14:solidFill>
                </w14:textFill>
              </w:rPr>
            </w:pPr>
          </w:p>
        </w:tc>
        <w:tc>
          <w:tcPr>
            <w:tcW w:w="999" w:type="dxa"/>
            <w:vAlign w:val="center"/>
          </w:tcPr>
          <w:p w14:paraId="4231D75A">
            <w:pPr>
              <w:spacing w:line="360" w:lineRule="auto"/>
              <w:jc w:val="center"/>
              <w:rPr>
                <w:rFonts w:ascii="宋体" w:hAnsi="宋体" w:cs="宋体"/>
                <w:color w:val="000000" w:themeColor="text1"/>
                <w:sz w:val="24"/>
                <w:szCs w:val="24"/>
                <w:highlight w:val="none"/>
                <w14:textFill>
                  <w14:solidFill>
                    <w14:schemeClr w14:val="tx1"/>
                  </w14:solidFill>
                </w14:textFill>
              </w:rPr>
            </w:pPr>
          </w:p>
        </w:tc>
        <w:tc>
          <w:tcPr>
            <w:tcW w:w="1560" w:type="dxa"/>
            <w:vAlign w:val="center"/>
          </w:tcPr>
          <w:p w14:paraId="5BA1DD26">
            <w:pPr>
              <w:spacing w:line="360" w:lineRule="auto"/>
              <w:jc w:val="center"/>
              <w:rPr>
                <w:rFonts w:ascii="宋体" w:hAnsi="宋体" w:cs="宋体"/>
                <w:color w:val="000000" w:themeColor="text1"/>
                <w:sz w:val="24"/>
                <w:szCs w:val="24"/>
                <w:highlight w:val="none"/>
                <w14:textFill>
                  <w14:solidFill>
                    <w14:schemeClr w14:val="tx1"/>
                  </w14:solidFill>
                </w14:textFill>
              </w:rPr>
            </w:pPr>
          </w:p>
        </w:tc>
        <w:tc>
          <w:tcPr>
            <w:tcW w:w="1353" w:type="dxa"/>
            <w:vAlign w:val="center"/>
          </w:tcPr>
          <w:p w14:paraId="6FA088DB">
            <w:pPr>
              <w:spacing w:line="360" w:lineRule="auto"/>
              <w:jc w:val="center"/>
              <w:rPr>
                <w:rFonts w:ascii="宋体" w:hAnsi="宋体" w:cs="宋体"/>
                <w:color w:val="000000" w:themeColor="text1"/>
                <w:sz w:val="24"/>
                <w:szCs w:val="24"/>
                <w:highlight w:val="none"/>
                <w14:textFill>
                  <w14:solidFill>
                    <w14:schemeClr w14:val="tx1"/>
                  </w14:solidFill>
                </w14:textFill>
              </w:rPr>
            </w:pPr>
          </w:p>
        </w:tc>
        <w:tc>
          <w:tcPr>
            <w:tcW w:w="1107" w:type="dxa"/>
            <w:vAlign w:val="center"/>
          </w:tcPr>
          <w:p w14:paraId="272F4C24">
            <w:pPr>
              <w:spacing w:line="360" w:lineRule="auto"/>
              <w:jc w:val="center"/>
              <w:rPr>
                <w:rFonts w:ascii="宋体" w:hAnsi="宋体" w:cs="宋体"/>
                <w:color w:val="000000" w:themeColor="text1"/>
                <w:sz w:val="24"/>
                <w:szCs w:val="24"/>
                <w:highlight w:val="none"/>
                <w14:textFill>
                  <w14:solidFill>
                    <w14:schemeClr w14:val="tx1"/>
                  </w14:solidFill>
                </w14:textFill>
              </w:rPr>
            </w:pPr>
          </w:p>
        </w:tc>
      </w:tr>
      <w:tr w14:paraId="790BD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9" w:type="dxa"/>
            <w:vAlign w:val="center"/>
          </w:tcPr>
          <w:p w14:paraId="564E0F04">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w:t>
            </w:r>
          </w:p>
        </w:tc>
        <w:tc>
          <w:tcPr>
            <w:tcW w:w="3636" w:type="dxa"/>
            <w:vAlign w:val="center"/>
          </w:tcPr>
          <w:p w14:paraId="6FE9AEC3">
            <w:pPr>
              <w:spacing w:line="360" w:lineRule="auto"/>
              <w:jc w:val="center"/>
              <w:rPr>
                <w:rFonts w:ascii="宋体" w:hAnsi="宋体" w:cs="宋体"/>
                <w:color w:val="000000" w:themeColor="text1"/>
                <w:sz w:val="24"/>
                <w:szCs w:val="24"/>
                <w:highlight w:val="none"/>
                <w14:textFill>
                  <w14:solidFill>
                    <w14:schemeClr w14:val="tx1"/>
                  </w14:solidFill>
                </w14:textFill>
              </w:rPr>
            </w:pPr>
          </w:p>
        </w:tc>
        <w:tc>
          <w:tcPr>
            <w:tcW w:w="999" w:type="dxa"/>
            <w:vAlign w:val="center"/>
          </w:tcPr>
          <w:p w14:paraId="343417D3">
            <w:pPr>
              <w:spacing w:line="360" w:lineRule="auto"/>
              <w:jc w:val="center"/>
              <w:rPr>
                <w:rFonts w:ascii="宋体" w:hAnsi="宋体" w:cs="宋体"/>
                <w:color w:val="000000" w:themeColor="text1"/>
                <w:sz w:val="24"/>
                <w:szCs w:val="24"/>
                <w:highlight w:val="none"/>
                <w14:textFill>
                  <w14:solidFill>
                    <w14:schemeClr w14:val="tx1"/>
                  </w14:solidFill>
                </w14:textFill>
              </w:rPr>
            </w:pPr>
          </w:p>
        </w:tc>
        <w:tc>
          <w:tcPr>
            <w:tcW w:w="1560" w:type="dxa"/>
            <w:vAlign w:val="center"/>
          </w:tcPr>
          <w:p w14:paraId="037FB651">
            <w:pPr>
              <w:spacing w:line="360" w:lineRule="auto"/>
              <w:jc w:val="center"/>
              <w:rPr>
                <w:rFonts w:ascii="宋体" w:hAnsi="宋体" w:cs="宋体"/>
                <w:color w:val="000000" w:themeColor="text1"/>
                <w:sz w:val="24"/>
                <w:szCs w:val="24"/>
                <w:highlight w:val="none"/>
                <w14:textFill>
                  <w14:solidFill>
                    <w14:schemeClr w14:val="tx1"/>
                  </w14:solidFill>
                </w14:textFill>
              </w:rPr>
            </w:pPr>
          </w:p>
        </w:tc>
        <w:tc>
          <w:tcPr>
            <w:tcW w:w="1353" w:type="dxa"/>
            <w:vAlign w:val="center"/>
          </w:tcPr>
          <w:p w14:paraId="0B29F598">
            <w:pPr>
              <w:spacing w:line="360" w:lineRule="auto"/>
              <w:jc w:val="center"/>
              <w:rPr>
                <w:rFonts w:ascii="宋体" w:hAnsi="宋体" w:cs="宋体"/>
                <w:color w:val="000000" w:themeColor="text1"/>
                <w:sz w:val="24"/>
                <w:szCs w:val="24"/>
                <w:highlight w:val="none"/>
                <w14:textFill>
                  <w14:solidFill>
                    <w14:schemeClr w14:val="tx1"/>
                  </w14:solidFill>
                </w14:textFill>
              </w:rPr>
            </w:pPr>
          </w:p>
        </w:tc>
        <w:tc>
          <w:tcPr>
            <w:tcW w:w="1107" w:type="dxa"/>
            <w:vAlign w:val="center"/>
          </w:tcPr>
          <w:p w14:paraId="13413BCF">
            <w:pPr>
              <w:spacing w:line="360" w:lineRule="auto"/>
              <w:jc w:val="center"/>
              <w:rPr>
                <w:rFonts w:ascii="宋体" w:hAnsi="宋体" w:cs="宋体"/>
                <w:color w:val="000000" w:themeColor="text1"/>
                <w:sz w:val="24"/>
                <w:szCs w:val="24"/>
                <w:highlight w:val="none"/>
                <w14:textFill>
                  <w14:solidFill>
                    <w14:schemeClr w14:val="tx1"/>
                  </w14:solidFill>
                </w14:textFill>
              </w:rPr>
            </w:pPr>
          </w:p>
        </w:tc>
      </w:tr>
      <w:tr w14:paraId="552B0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9" w:type="dxa"/>
            <w:vAlign w:val="center"/>
          </w:tcPr>
          <w:p w14:paraId="6E7A9263">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w:t>
            </w:r>
          </w:p>
        </w:tc>
        <w:tc>
          <w:tcPr>
            <w:tcW w:w="3636" w:type="dxa"/>
            <w:vAlign w:val="center"/>
          </w:tcPr>
          <w:p w14:paraId="151CEEF8">
            <w:pPr>
              <w:spacing w:line="360" w:lineRule="auto"/>
              <w:jc w:val="center"/>
              <w:rPr>
                <w:rFonts w:ascii="宋体" w:hAnsi="宋体" w:cs="宋体"/>
                <w:color w:val="000000" w:themeColor="text1"/>
                <w:sz w:val="24"/>
                <w:szCs w:val="24"/>
                <w:highlight w:val="none"/>
                <w14:textFill>
                  <w14:solidFill>
                    <w14:schemeClr w14:val="tx1"/>
                  </w14:solidFill>
                </w14:textFill>
              </w:rPr>
            </w:pPr>
          </w:p>
        </w:tc>
        <w:tc>
          <w:tcPr>
            <w:tcW w:w="999" w:type="dxa"/>
            <w:vAlign w:val="center"/>
          </w:tcPr>
          <w:p w14:paraId="659F257B">
            <w:pPr>
              <w:spacing w:line="360" w:lineRule="auto"/>
              <w:jc w:val="center"/>
              <w:rPr>
                <w:rFonts w:ascii="宋体" w:hAnsi="宋体" w:cs="宋体"/>
                <w:color w:val="000000" w:themeColor="text1"/>
                <w:sz w:val="24"/>
                <w:szCs w:val="24"/>
                <w:highlight w:val="none"/>
                <w14:textFill>
                  <w14:solidFill>
                    <w14:schemeClr w14:val="tx1"/>
                  </w14:solidFill>
                </w14:textFill>
              </w:rPr>
            </w:pPr>
          </w:p>
        </w:tc>
        <w:tc>
          <w:tcPr>
            <w:tcW w:w="1560" w:type="dxa"/>
            <w:vAlign w:val="center"/>
          </w:tcPr>
          <w:p w14:paraId="196408A8">
            <w:pPr>
              <w:spacing w:line="360" w:lineRule="auto"/>
              <w:jc w:val="center"/>
              <w:rPr>
                <w:rFonts w:ascii="宋体" w:hAnsi="宋体" w:cs="宋体"/>
                <w:color w:val="000000" w:themeColor="text1"/>
                <w:sz w:val="24"/>
                <w:szCs w:val="24"/>
                <w:highlight w:val="none"/>
                <w14:textFill>
                  <w14:solidFill>
                    <w14:schemeClr w14:val="tx1"/>
                  </w14:solidFill>
                </w14:textFill>
              </w:rPr>
            </w:pPr>
          </w:p>
        </w:tc>
        <w:tc>
          <w:tcPr>
            <w:tcW w:w="1353" w:type="dxa"/>
            <w:vAlign w:val="center"/>
          </w:tcPr>
          <w:p w14:paraId="5618916C">
            <w:pPr>
              <w:spacing w:line="360" w:lineRule="auto"/>
              <w:jc w:val="center"/>
              <w:rPr>
                <w:rFonts w:ascii="宋体" w:hAnsi="宋体" w:cs="宋体"/>
                <w:color w:val="000000" w:themeColor="text1"/>
                <w:sz w:val="24"/>
                <w:szCs w:val="24"/>
                <w:highlight w:val="none"/>
                <w14:textFill>
                  <w14:solidFill>
                    <w14:schemeClr w14:val="tx1"/>
                  </w14:solidFill>
                </w14:textFill>
              </w:rPr>
            </w:pPr>
          </w:p>
        </w:tc>
        <w:tc>
          <w:tcPr>
            <w:tcW w:w="1107" w:type="dxa"/>
            <w:vAlign w:val="center"/>
          </w:tcPr>
          <w:p w14:paraId="7B877A19">
            <w:pPr>
              <w:spacing w:line="360" w:lineRule="auto"/>
              <w:jc w:val="center"/>
              <w:rPr>
                <w:rFonts w:ascii="宋体" w:hAnsi="宋体" w:cs="宋体"/>
                <w:color w:val="000000" w:themeColor="text1"/>
                <w:sz w:val="24"/>
                <w:szCs w:val="24"/>
                <w:highlight w:val="none"/>
                <w14:textFill>
                  <w14:solidFill>
                    <w14:schemeClr w14:val="tx1"/>
                  </w14:solidFill>
                </w14:textFill>
              </w:rPr>
            </w:pPr>
          </w:p>
        </w:tc>
      </w:tr>
      <w:tr w14:paraId="2C28E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14" w:type="dxa"/>
            <w:gridSpan w:val="6"/>
            <w:vAlign w:val="center"/>
          </w:tcPr>
          <w:p w14:paraId="6728308A">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总价（元）：</w:t>
            </w:r>
          </w:p>
        </w:tc>
      </w:tr>
    </w:tbl>
    <w:p w14:paraId="3AEBD4A8">
      <w:pP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注：</w:t>
      </w:r>
      <w:r>
        <w:rPr>
          <w:rFonts w:hint="eastAsia" w:ascii="宋体" w:hAnsi="宋体" w:cs="宋体"/>
          <w:color w:val="000000" w:themeColor="text1"/>
          <w:sz w:val="24"/>
          <w:szCs w:val="24"/>
          <w:highlight w:val="none"/>
          <w14:textFill>
            <w14:solidFill>
              <w14:schemeClr w14:val="tx1"/>
            </w14:solidFill>
          </w14:textFill>
        </w:rPr>
        <w:t>1.</w:t>
      </w:r>
      <w:r>
        <w:rPr>
          <w:rFonts w:hint="eastAsia" w:ascii="宋体" w:hAnsi="宋体" w:cs="宋体"/>
          <w:b/>
          <w:bCs/>
          <w:color w:val="000000" w:themeColor="text1"/>
          <w:sz w:val="24"/>
          <w:szCs w:val="24"/>
          <w:highlight w:val="none"/>
          <w14:textFill>
            <w14:solidFill>
              <w14:schemeClr w14:val="tx1"/>
            </w14:solidFill>
          </w14:textFill>
        </w:rPr>
        <w:t>此表中的“总价”需与开标一览表中“</w:t>
      </w:r>
      <w:r>
        <w:rPr>
          <w:rFonts w:hint="eastAsia" w:ascii="宋体" w:hAnsi="宋体" w:cs="宋体"/>
          <w:b/>
          <w:bCs/>
          <w:color w:val="000000" w:themeColor="text1"/>
          <w:kern w:val="2"/>
          <w:sz w:val="24"/>
          <w:szCs w:val="24"/>
          <w:highlight w:val="none"/>
          <w14:textFill>
            <w14:solidFill>
              <w14:schemeClr w14:val="tx1"/>
            </w14:solidFill>
          </w14:textFill>
        </w:rPr>
        <w:t>投标总价</w:t>
      </w:r>
      <w:r>
        <w:rPr>
          <w:rFonts w:hint="eastAsia" w:ascii="宋体" w:hAnsi="宋体" w:cs="宋体"/>
          <w:b/>
          <w:bCs/>
          <w:color w:val="000000" w:themeColor="text1"/>
          <w:sz w:val="24"/>
          <w:szCs w:val="24"/>
          <w:highlight w:val="none"/>
          <w14:textFill>
            <w14:solidFill>
              <w14:schemeClr w14:val="tx1"/>
            </w14:solidFill>
          </w14:textFill>
        </w:rPr>
        <w:t>”相等；</w:t>
      </w:r>
    </w:p>
    <w:p w14:paraId="5F55FA90">
      <w:pPr>
        <w:pStyle w:val="14"/>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2.此表中的“分项名称”由投标人按“第六章 服务内容及要求”中的相应要求自行编写并按表格填写相应内容；</w:t>
      </w:r>
    </w:p>
    <w:p w14:paraId="5D13136D">
      <w:pPr>
        <w:pStyle w:val="14"/>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3.根据分项报价单价及实际发生量据实结算</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themeColor="text1"/>
          <w:sz w:val="24"/>
          <w:highlight w:val="none"/>
          <w:lang w:eastAsia="zh-CN"/>
          <w14:textFill>
            <w14:solidFill>
              <w14:schemeClr w14:val="tx1"/>
            </w14:solidFill>
          </w14:textFill>
        </w:rPr>
        <w:t>最终结算价不超过合同总价</w:t>
      </w:r>
      <w:r>
        <w:rPr>
          <w:rFonts w:hint="eastAsia" w:ascii="宋体" w:hAnsi="宋体" w:cs="宋体"/>
          <w:color w:val="000000" w:themeColor="text1"/>
          <w:sz w:val="24"/>
          <w:highlight w:val="none"/>
          <w14:textFill>
            <w14:solidFill>
              <w14:schemeClr w14:val="tx1"/>
            </w14:solidFill>
          </w14:textFill>
        </w:rPr>
        <w:t>。</w:t>
      </w:r>
    </w:p>
    <w:p w14:paraId="7F435F97">
      <w:pPr>
        <w:spacing w:line="360" w:lineRule="auto"/>
        <w:ind w:firstLine="420" w:firstLineChars="200"/>
        <w:rPr>
          <w:rFonts w:ascii="宋体" w:hAnsi="宋体" w:cs="宋体"/>
          <w:bCs/>
          <w:color w:val="000000" w:themeColor="text1"/>
          <w:highlight w:val="none"/>
          <w14:textFill>
            <w14:solidFill>
              <w14:schemeClr w14:val="tx1"/>
            </w14:solidFill>
          </w14:textFill>
        </w:rPr>
      </w:pPr>
    </w:p>
    <w:p w14:paraId="28280165">
      <w:pPr>
        <w:spacing w:line="360" w:lineRule="auto"/>
        <w:ind w:firstLine="420" w:firstLineChars="200"/>
        <w:rPr>
          <w:rFonts w:ascii="宋体" w:hAnsi="宋体" w:cs="宋体"/>
          <w:bCs/>
          <w:color w:val="000000" w:themeColor="text1"/>
          <w:highlight w:val="none"/>
          <w14:textFill>
            <w14:solidFill>
              <w14:schemeClr w14:val="tx1"/>
            </w14:solidFill>
          </w14:textFill>
        </w:rPr>
      </w:pPr>
    </w:p>
    <w:p w14:paraId="5147B362">
      <w:pPr>
        <w:spacing w:line="600" w:lineRule="atLeast"/>
        <w:rPr>
          <w:rFonts w:ascii="宋体" w:hAnsi="宋体" w:cs="宋体"/>
          <w:color w:val="000000" w:themeColor="text1"/>
          <w:sz w:val="28"/>
          <w:szCs w:val="28"/>
          <w:highlight w:val="none"/>
          <w14:textFill>
            <w14:solidFill>
              <w14:schemeClr w14:val="tx1"/>
            </w14:solidFill>
          </w14:textFill>
        </w:rPr>
      </w:pPr>
    </w:p>
    <w:p w14:paraId="67F16E99">
      <w:pPr>
        <w:keepNext/>
        <w:keepLines/>
        <w:widowControl w:val="0"/>
        <w:rPr>
          <w:rFonts w:ascii="宋体" w:hAnsi="宋体" w:cs="宋体"/>
          <w:color w:val="000000" w:themeColor="text1"/>
          <w:highlight w:val="none"/>
          <w14:textFill>
            <w14:solidFill>
              <w14:schemeClr w14:val="tx1"/>
            </w14:solidFill>
          </w14:textFill>
        </w:rPr>
      </w:pPr>
    </w:p>
    <w:p w14:paraId="066620D9">
      <w:pPr>
        <w:spacing w:line="360" w:lineRule="auto"/>
        <w:ind w:firstLine="1124" w:firstLineChars="400"/>
        <w:rPr>
          <w:rFonts w:ascii="宋体" w:hAnsi="宋体" w:cs="宋体"/>
          <w:b/>
          <w:color w:val="000000" w:themeColor="text1"/>
          <w:sz w:val="28"/>
          <w:szCs w:val="28"/>
          <w:highlight w:val="none"/>
          <w14:textFill>
            <w14:solidFill>
              <w14:schemeClr w14:val="tx1"/>
            </w14:solidFill>
          </w14:textFill>
        </w:rPr>
      </w:pPr>
      <w:r>
        <w:rPr>
          <w:rFonts w:hint="eastAsia" w:ascii="宋体" w:hAnsi="宋体" w:cs="宋体"/>
          <w:b/>
          <w:color w:val="000000" w:themeColor="text1"/>
          <w:sz w:val="28"/>
          <w:szCs w:val="28"/>
          <w:highlight w:val="none"/>
          <w14:textFill>
            <w14:solidFill>
              <w14:schemeClr w14:val="tx1"/>
            </w14:solidFill>
          </w14:textFill>
        </w:rPr>
        <w:t>投标人：</w:t>
      </w:r>
      <w:r>
        <w:rPr>
          <w:rFonts w:hint="eastAsia" w:ascii="宋体" w:hAnsi="宋体" w:cs="宋体"/>
          <w:b/>
          <w:color w:val="000000" w:themeColor="text1"/>
          <w:sz w:val="28"/>
          <w:szCs w:val="28"/>
          <w:highlight w:val="none"/>
          <w:u w:val="single"/>
          <w14:textFill>
            <w14:solidFill>
              <w14:schemeClr w14:val="tx1"/>
            </w14:solidFill>
          </w14:textFill>
        </w:rPr>
        <w:tab/>
      </w:r>
      <w:r>
        <w:rPr>
          <w:rFonts w:hint="eastAsia" w:ascii="宋体" w:hAnsi="宋体" w:cs="宋体"/>
          <w:b/>
          <w:color w:val="000000" w:themeColor="text1"/>
          <w:sz w:val="28"/>
          <w:szCs w:val="28"/>
          <w:highlight w:val="none"/>
          <w:u w:val="single"/>
          <w14:textFill>
            <w14:solidFill>
              <w14:schemeClr w14:val="tx1"/>
            </w14:solidFill>
          </w14:textFill>
        </w:rPr>
        <w:t xml:space="preserve">                                 </w:t>
      </w:r>
      <w:r>
        <w:rPr>
          <w:rFonts w:hint="eastAsia" w:ascii="宋体" w:hAnsi="宋体" w:cs="宋体"/>
          <w:b/>
          <w:color w:val="000000" w:themeColor="text1"/>
          <w:sz w:val="28"/>
          <w:szCs w:val="28"/>
          <w:highlight w:val="none"/>
          <w14:textFill>
            <w14:solidFill>
              <w14:schemeClr w14:val="tx1"/>
            </w14:solidFill>
          </w14:textFill>
        </w:rPr>
        <w:t>(电子签章)</w:t>
      </w:r>
    </w:p>
    <w:p w14:paraId="7BD811FF">
      <w:pPr>
        <w:spacing w:line="360" w:lineRule="auto"/>
        <w:ind w:firstLine="1124" w:firstLineChars="400"/>
        <w:rPr>
          <w:rFonts w:ascii="宋体" w:hAnsi="宋体" w:cs="宋体"/>
          <w:b/>
          <w:color w:val="000000" w:themeColor="text1"/>
          <w:sz w:val="28"/>
          <w:szCs w:val="28"/>
          <w:highlight w:val="none"/>
          <w14:textFill>
            <w14:solidFill>
              <w14:schemeClr w14:val="tx1"/>
            </w14:solidFill>
          </w14:textFill>
        </w:rPr>
      </w:pPr>
      <w:r>
        <w:rPr>
          <w:rFonts w:hint="eastAsia" w:ascii="宋体" w:hAnsi="宋体" w:cs="宋体"/>
          <w:b/>
          <w:color w:val="000000" w:themeColor="text1"/>
          <w:sz w:val="28"/>
          <w:szCs w:val="28"/>
          <w:highlight w:val="none"/>
          <w14:textFill>
            <w14:solidFill>
              <w14:schemeClr w14:val="tx1"/>
            </w14:solidFill>
          </w14:textFill>
        </w:rPr>
        <w:t>法定代表人(单位负责人)或其委托代理人：</w:t>
      </w:r>
      <w:r>
        <w:rPr>
          <w:rFonts w:hint="eastAsia" w:ascii="宋体" w:hAnsi="宋体" w:cs="宋体"/>
          <w:b/>
          <w:color w:val="000000" w:themeColor="text1"/>
          <w:sz w:val="28"/>
          <w:szCs w:val="28"/>
          <w:highlight w:val="none"/>
          <w:u w:val="single"/>
          <w14:textFill>
            <w14:solidFill>
              <w14:schemeClr w14:val="tx1"/>
            </w14:solidFill>
          </w14:textFill>
        </w:rPr>
        <w:tab/>
      </w:r>
      <w:r>
        <w:rPr>
          <w:rFonts w:hint="eastAsia" w:ascii="宋体" w:hAnsi="宋体" w:cs="宋体"/>
          <w:b/>
          <w:color w:val="000000" w:themeColor="text1"/>
          <w:sz w:val="28"/>
          <w:szCs w:val="28"/>
          <w:highlight w:val="none"/>
          <w:u w:val="single"/>
          <w14:textFill>
            <w14:solidFill>
              <w14:schemeClr w14:val="tx1"/>
            </w14:solidFill>
          </w14:textFill>
        </w:rPr>
        <w:t xml:space="preserve">   </w:t>
      </w:r>
      <w:r>
        <w:rPr>
          <w:rFonts w:hint="eastAsia" w:ascii="宋体" w:hAnsi="宋体" w:cs="宋体"/>
          <w:b/>
          <w:color w:val="000000" w:themeColor="text1"/>
          <w:sz w:val="28"/>
          <w:szCs w:val="28"/>
          <w:highlight w:val="none"/>
          <w14:textFill>
            <w14:solidFill>
              <w14:schemeClr w14:val="tx1"/>
            </w14:solidFill>
          </w14:textFill>
        </w:rPr>
        <w:t>(电子签章或签字)</w:t>
      </w:r>
    </w:p>
    <w:p w14:paraId="274DB32A">
      <w:pPr>
        <w:pStyle w:val="4"/>
        <w:widowControl/>
        <w:autoSpaceDE w:val="0"/>
        <w:spacing w:before="0" w:after="0" w:line="360" w:lineRule="auto"/>
        <w:ind w:firstLine="1124" w:firstLineChars="400"/>
        <w:jc w:val="both"/>
        <w:rPr>
          <w:rFonts w:ascii="宋体" w:hAnsi="宋体" w:cs="宋体"/>
          <w:color w:val="000000" w:themeColor="text1"/>
          <w:sz w:val="28"/>
          <w:szCs w:val="28"/>
          <w:highlight w:val="none"/>
          <w14:textFill>
            <w14:solidFill>
              <w14:schemeClr w14:val="tx1"/>
            </w14:solidFill>
          </w14:textFill>
        </w:rPr>
        <w:sectPr>
          <w:pgSz w:w="11906" w:h="16838"/>
          <w:pgMar w:top="1440" w:right="1080" w:bottom="1440" w:left="1080" w:header="720" w:footer="720" w:gutter="0"/>
          <w:cols w:space="720" w:num="1"/>
          <w:docGrid w:type="lines" w:linePitch="312" w:charSpace="0"/>
        </w:sectPr>
      </w:pPr>
      <w:r>
        <w:rPr>
          <w:rFonts w:hint="eastAsia" w:ascii="宋体" w:hAnsi="宋体" w:cs="宋体"/>
          <w:color w:val="000000" w:themeColor="text1"/>
          <w:sz w:val="28"/>
          <w:szCs w:val="28"/>
          <w:highlight w:val="none"/>
          <w14:textFill>
            <w14:solidFill>
              <w14:schemeClr w14:val="tx1"/>
            </w14:solidFill>
          </w14:textFill>
        </w:rPr>
        <w:t>日期：</w:t>
      </w:r>
      <w:r>
        <w:rPr>
          <w:rFonts w:hint="eastAsia" w:ascii="宋体" w:hAnsi="宋体" w:cs="宋体"/>
          <w:color w:val="000000" w:themeColor="text1"/>
          <w:sz w:val="28"/>
          <w:szCs w:val="28"/>
          <w:highlight w:val="none"/>
          <w:u w:val="single"/>
          <w14:textFill>
            <w14:solidFill>
              <w14:schemeClr w14:val="tx1"/>
            </w14:solidFill>
          </w14:textFill>
        </w:rPr>
        <w:t xml:space="preserve">      </w:t>
      </w:r>
      <w:r>
        <w:rPr>
          <w:rFonts w:hint="eastAsia" w:ascii="宋体" w:hAnsi="宋体" w:cs="宋体"/>
          <w:color w:val="000000" w:themeColor="text1"/>
          <w:sz w:val="28"/>
          <w:szCs w:val="28"/>
          <w:highlight w:val="none"/>
          <w14:textFill>
            <w14:solidFill>
              <w14:schemeClr w14:val="tx1"/>
            </w14:solidFill>
          </w14:textFill>
        </w:rPr>
        <w:t>年</w:t>
      </w:r>
      <w:r>
        <w:rPr>
          <w:rFonts w:hint="eastAsia" w:ascii="宋体" w:hAnsi="宋体" w:cs="宋体"/>
          <w:color w:val="000000" w:themeColor="text1"/>
          <w:sz w:val="28"/>
          <w:szCs w:val="28"/>
          <w:highlight w:val="none"/>
          <w:u w:val="single"/>
          <w14:textFill>
            <w14:solidFill>
              <w14:schemeClr w14:val="tx1"/>
            </w14:solidFill>
          </w14:textFill>
        </w:rPr>
        <w:t xml:space="preserve">     </w:t>
      </w:r>
      <w:r>
        <w:rPr>
          <w:rFonts w:hint="eastAsia" w:ascii="宋体" w:hAnsi="宋体" w:cs="宋体"/>
          <w:color w:val="000000" w:themeColor="text1"/>
          <w:sz w:val="28"/>
          <w:szCs w:val="28"/>
          <w:highlight w:val="none"/>
          <w14:textFill>
            <w14:solidFill>
              <w14:schemeClr w14:val="tx1"/>
            </w14:solidFill>
          </w14:textFill>
        </w:rPr>
        <w:t>月</w:t>
      </w:r>
      <w:r>
        <w:rPr>
          <w:rFonts w:hint="eastAsia" w:ascii="宋体" w:hAnsi="宋体" w:cs="宋体"/>
          <w:color w:val="000000" w:themeColor="text1"/>
          <w:sz w:val="28"/>
          <w:szCs w:val="28"/>
          <w:highlight w:val="none"/>
          <w:u w:val="single"/>
          <w14:textFill>
            <w14:solidFill>
              <w14:schemeClr w14:val="tx1"/>
            </w14:solidFill>
          </w14:textFill>
        </w:rPr>
        <w:t xml:space="preserve">     </w:t>
      </w:r>
      <w:r>
        <w:rPr>
          <w:rFonts w:hint="eastAsia" w:ascii="宋体" w:hAnsi="宋体" w:cs="宋体"/>
          <w:color w:val="000000" w:themeColor="text1"/>
          <w:sz w:val="28"/>
          <w:szCs w:val="28"/>
          <w:highlight w:val="none"/>
          <w14:textFill>
            <w14:solidFill>
              <w14:schemeClr w14:val="tx1"/>
            </w14:solidFill>
          </w14:textFill>
        </w:rPr>
        <w:t>日</w:t>
      </w:r>
    </w:p>
    <w:p w14:paraId="25642174">
      <w:pPr>
        <w:pStyle w:val="4"/>
        <w:widowControl/>
        <w:autoSpaceDE w:val="0"/>
        <w:spacing w:before="0" w:after="0" w:line="360" w:lineRule="auto"/>
        <w:jc w:val="center"/>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三、投标函</w:t>
      </w:r>
      <w:bookmarkEnd w:id="403"/>
      <w:bookmarkEnd w:id="404"/>
      <w:bookmarkEnd w:id="405"/>
      <w:bookmarkEnd w:id="406"/>
      <w:bookmarkEnd w:id="407"/>
      <w:bookmarkEnd w:id="408"/>
    </w:p>
    <w:p w14:paraId="14422B23">
      <w:pPr>
        <w:spacing w:line="360" w:lineRule="auto"/>
        <w:rPr>
          <w:rFonts w:ascii="宋体" w:hAnsi="宋体" w:cs="宋体"/>
          <w:color w:val="000000" w:themeColor="text1"/>
          <w:sz w:val="24"/>
          <w:szCs w:val="24"/>
          <w:highlight w:val="none"/>
          <w:u w:val="single"/>
          <w14:textFill>
            <w14:solidFill>
              <w14:schemeClr w14:val="tx1"/>
            </w14:solidFill>
          </w14:textFill>
        </w:rPr>
      </w:pPr>
    </w:p>
    <w:p w14:paraId="05818890">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u w:val="single"/>
          <w14:textFill>
            <w14:solidFill>
              <w14:schemeClr w14:val="tx1"/>
            </w14:solidFill>
          </w14:textFill>
        </w:rPr>
        <w:t xml:space="preserve">             </w:t>
      </w:r>
      <w:r>
        <w:rPr>
          <w:rFonts w:hint="eastAsia" w:ascii="宋体" w:hAnsi="宋体" w:cs="宋体"/>
          <w:color w:val="000000" w:themeColor="text1"/>
          <w:sz w:val="24"/>
          <w:szCs w:val="24"/>
          <w:highlight w:val="none"/>
          <w14:textFill>
            <w14:solidFill>
              <w14:schemeClr w14:val="tx1"/>
            </w14:solidFill>
          </w14:textFill>
        </w:rPr>
        <w:t>(采购人名称)：</w:t>
      </w:r>
    </w:p>
    <w:p w14:paraId="4BD07BA2">
      <w:pPr>
        <w:autoSpaceDE w:val="0"/>
        <w:autoSpaceDN w:val="0"/>
        <w:adjustRightInd w:val="0"/>
        <w:snapToGrid w:val="0"/>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我方已仔细研究了</w:t>
      </w:r>
      <w:r>
        <w:rPr>
          <w:rFonts w:hint="eastAsia" w:ascii="宋体" w:hAnsi="宋体" w:cs="宋体"/>
          <w:color w:val="000000" w:themeColor="text1"/>
          <w:sz w:val="24"/>
          <w:szCs w:val="24"/>
          <w:highlight w:val="none"/>
          <w:u w:val="single"/>
          <w14:textFill>
            <w14:solidFill>
              <w14:schemeClr w14:val="tx1"/>
            </w14:solidFill>
          </w14:textFill>
        </w:rPr>
        <w:t xml:space="preserve">              </w:t>
      </w:r>
      <w:r>
        <w:rPr>
          <w:rFonts w:hint="eastAsia" w:ascii="宋体" w:hAnsi="宋体" w:cs="宋体"/>
          <w:color w:val="000000" w:themeColor="text1"/>
          <w:sz w:val="24"/>
          <w:szCs w:val="24"/>
          <w:highlight w:val="none"/>
          <w14:textFill>
            <w14:solidFill>
              <w14:schemeClr w14:val="tx1"/>
            </w14:solidFill>
          </w14:textFill>
        </w:rPr>
        <w:t>(项目名称)招标文件的全部内容，</w:t>
      </w:r>
      <w:r>
        <w:rPr>
          <w:rFonts w:hint="eastAsia" w:ascii="宋体" w:hAnsi="宋体" w:cs="宋体"/>
          <w:color w:val="000000" w:themeColor="text1"/>
          <w:sz w:val="24"/>
          <w:highlight w:val="none"/>
          <w14:textFill>
            <w14:solidFill>
              <w14:schemeClr w14:val="tx1"/>
            </w14:solidFill>
          </w14:textFill>
        </w:rPr>
        <w:t>且对招标文件无任何异议，并愿意以“开标一览表”所填写的投标报价，向你方提供招标文件要求的服务。</w:t>
      </w:r>
    </w:p>
    <w:p w14:paraId="00002422">
      <w:pPr>
        <w:numPr>
          <w:ilvl w:val="0"/>
          <w:numId w:val="6"/>
        </w:numPr>
        <w:autoSpaceDE w:val="0"/>
        <w:autoSpaceDN w:val="0"/>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我方承诺在投标有效期内不修改或撤销投标文件。否则，你方可不予退还我方的投标保证金。</w:t>
      </w:r>
    </w:p>
    <w:p w14:paraId="288F2DE3">
      <w:pPr>
        <w:autoSpaceDE w:val="0"/>
        <w:autoSpaceDN w:val="0"/>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2.本投标的投标有效期为自投标截止之日起</w:t>
      </w:r>
      <w:r>
        <w:rPr>
          <w:rFonts w:hint="eastAsia" w:ascii="宋体" w:hAnsi="宋体" w:cs="宋体"/>
          <w:color w:val="000000" w:themeColor="text1"/>
          <w:sz w:val="24"/>
          <w:highlight w:val="none"/>
          <w:u w:val="single"/>
          <w14:textFill>
            <w14:solidFill>
              <w14:schemeClr w14:val="tx1"/>
            </w14:solidFill>
          </w14:textFill>
        </w:rPr>
        <w:t>90</w:t>
      </w:r>
      <w:r>
        <w:rPr>
          <w:rFonts w:hint="eastAsia" w:ascii="宋体" w:hAnsi="宋体" w:cs="宋体"/>
          <w:color w:val="000000" w:themeColor="text1"/>
          <w:sz w:val="24"/>
          <w:highlight w:val="none"/>
          <w14:textFill>
            <w14:solidFill>
              <w14:schemeClr w14:val="tx1"/>
            </w14:solidFill>
          </w14:textFill>
        </w:rPr>
        <w:t>个日历天。</w:t>
      </w:r>
    </w:p>
    <w:p w14:paraId="3AB16B3C">
      <w:pPr>
        <w:pStyle w:val="14"/>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3.我方承诺所提交的投标文件及有关资料是完整的、真实的、准确的和有效的，否则，我方承担由此造成的任何损失及引起的任何后果。</w:t>
      </w:r>
    </w:p>
    <w:p w14:paraId="5E7E0B27">
      <w:pPr>
        <w:autoSpaceDE w:val="0"/>
        <w:autoSpaceDN w:val="0"/>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4．如我方中标：</w:t>
      </w:r>
    </w:p>
    <w:p w14:paraId="67F7364B">
      <w:pPr>
        <w:autoSpaceDE w:val="0"/>
        <w:autoSpaceDN w:val="0"/>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(1)我方承诺在收到中标通知书后，在中标通知书规定的期限内与你方签订合同。</w:t>
      </w:r>
    </w:p>
    <w:p w14:paraId="09D0DCC5">
      <w:pPr>
        <w:autoSpaceDE w:val="0"/>
        <w:autoSpaceDN w:val="0"/>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(2)我方承诺按合同约定的期限和地点，提供符合招标文件要求的全部服务。</w:t>
      </w:r>
    </w:p>
    <w:p w14:paraId="765393C5">
      <w:pPr>
        <w:autoSpaceDE w:val="0"/>
        <w:autoSpaceDN w:val="0"/>
        <w:adjustRightInd w:val="0"/>
        <w:snapToGrid w:val="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(3)除商务条款偏离表列出的偏差外，我方满足招标文件的全部要求。</w:t>
      </w:r>
    </w:p>
    <w:p w14:paraId="1CDAF43E">
      <w:pPr>
        <w:autoSpaceDE w:val="0"/>
        <w:autoSpaceDN w:val="0"/>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(其他补充说明)。</w:t>
      </w:r>
    </w:p>
    <w:p w14:paraId="0259B39C">
      <w:pPr>
        <w:pStyle w:val="14"/>
        <w:ind w:firstLine="480" w:firstLineChars="200"/>
        <w:rPr>
          <w:rFonts w:ascii="宋体" w:hAnsi="宋体" w:cs="宋体"/>
          <w:color w:val="000000" w:themeColor="text1"/>
          <w:kern w:val="0"/>
          <w:sz w:val="24"/>
          <w:highlight w:val="none"/>
          <w14:textFill>
            <w14:solidFill>
              <w14:schemeClr w14:val="tx1"/>
            </w14:solidFill>
          </w14:textFill>
        </w:rPr>
      </w:pPr>
    </w:p>
    <w:p w14:paraId="43193992">
      <w:pPr>
        <w:spacing w:line="360" w:lineRule="auto"/>
        <w:ind w:firstLine="1687" w:firstLineChars="700"/>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投 标 人：</w:t>
      </w:r>
      <w:r>
        <w:rPr>
          <w:rFonts w:hint="eastAsia" w:ascii="宋体" w:hAnsi="宋体" w:cs="宋体"/>
          <w:b/>
          <w:bCs/>
          <w:color w:val="000000" w:themeColor="text1"/>
          <w:sz w:val="24"/>
          <w:szCs w:val="24"/>
          <w:highlight w:val="none"/>
          <w:u w:val="single"/>
          <w14:textFill>
            <w14:solidFill>
              <w14:schemeClr w14:val="tx1"/>
            </w14:solidFill>
          </w14:textFill>
        </w:rPr>
        <w:tab/>
      </w:r>
      <w:r>
        <w:rPr>
          <w:rFonts w:hint="eastAsia" w:ascii="宋体" w:hAnsi="宋体" w:cs="宋体"/>
          <w:b/>
          <w:bCs/>
          <w:color w:val="000000" w:themeColor="text1"/>
          <w:sz w:val="24"/>
          <w:szCs w:val="24"/>
          <w:highlight w:val="none"/>
          <w:u w:val="single"/>
          <w14:textFill>
            <w14:solidFill>
              <w14:schemeClr w14:val="tx1"/>
            </w14:solidFill>
          </w14:textFill>
        </w:rPr>
        <w:t xml:space="preserve">                         </w:t>
      </w:r>
      <w:r>
        <w:rPr>
          <w:rFonts w:hint="eastAsia" w:ascii="宋体" w:hAnsi="宋体" w:cs="宋体"/>
          <w:b/>
          <w:bCs/>
          <w:color w:val="000000" w:themeColor="text1"/>
          <w:sz w:val="24"/>
          <w:szCs w:val="24"/>
          <w:highlight w:val="none"/>
          <w14:textFill>
            <w14:solidFill>
              <w14:schemeClr w14:val="tx1"/>
            </w14:solidFill>
          </w14:textFill>
        </w:rPr>
        <w:t>(电子签章)</w:t>
      </w:r>
    </w:p>
    <w:p w14:paraId="7E79A936">
      <w:pPr>
        <w:spacing w:line="360" w:lineRule="auto"/>
        <w:ind w:firstLine="1687" w:firstLineChars="700"/>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法定代表人(单位负责人)或其委托代理人：</w:t>
      </w:r>
      <w:r>
        <w:rPr>
          <w:rFonts w:hint="eastAsia" w:ascii="宋体" w:hAnsi="宋体" w:cs="宋体"/>
          <w:b/>
          <w:bCs/>
          <w:color w:val="000000" w:themeColor="text1"/>
          <w:sz w:val="24"/>
          <w:szCs w:val="24"/>
          <w:highlight w:val="none"/>
          <w:u w:val="single"/>
          <w14:textFill>
            <w14:solidFill>
              <w14:schemeClr w14:val="tx1"/>
            </w14:solidFill>
          </w14:textFill>
        </w:rPr>
        <w:tab/>
      </w:r>
      <w:r>
        <w:rPr>
          <w:rFonts w:hint="eastAsia" w:ascii="宋体" w:hAnsi="宋体" w:cs="宋体"/>
          <w:b/>
          <w:bCs/>
          <w:color w:val="000000" w:themeColor="text1"/>
          <w:sz w:val="24"/>
          <w:szCs w:val="24"/>
          <w:highlight w:val="none"/>
          <w:u w:val="single"/>
          <w14:textFill>
            <w14:solidFill>
              <w14:schemeClr w14:val="tx1"/>
            </w14:solidFill>
          </w14:textFill>
        </w:rPr>
        <w:t xml:space="preserve">      </w:t>
      </w:r>
      <w:r>
        <w:rPr>
          <w:rFonts w:hint="eastAsia" w:ascii="宋体" w:hAnsi="宋体" w:cs="宋体"/>
          <w:b/>
          <w:bCs/>
          <w:color w:val="000000" w:themeColor="text1"/>
          <w:sz w:val="24"/>
          <w:szCs w:val="24"/>
          <w:highlight w:val="none"/>
          <w14:textFill>
            <w14:solidFill>
              <w14:schemeClr w14:val="tx1"/>
            </w14:solidFill>
          </w14:textFill>
        </w:rPr>
        <w:t>(电子签章或签字)</w:t>
      </w:r>
    </w:p>
    <w:p w14:paraId="04B01FE6">
      <w:pPr>
        <w:spacing w:line="360" w:lineRule="auto"/>
        <w:ind w:firstLine="1687" w:firstLineChars="700"/>
        <w:rPr>
          <w:rFonts w:ascii="宋体" w:hAnsi="宋体" w:cs="宋体"/>
          <w:b/>
          <w:bCs/>
          <w:color w:val="000000" w:themeColor="text1"/>
          <w:sz w:val="24"/>
          <w:szCs w:val="24"/>
          <w:highlight w:val="none"/>
          <w:u w:val="singl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地</w:t>
      </w:r>
      <w:r>
        <w:rPr>
          <w:rFonts w:hint="eastAsia" w:ascii="宋体" w:hAnsi="宋体" w:cs="宋体"/>
          <w:b/>
          <w:bCs/>
          <w:color w:val="000000" w:themeColor="text1"/>
          <w:sz w:val="24"/>
          <w:szCs w:val="24"/>
          <w:highlight w:val="none"/>
          <w14:textFill>
            <w14:solidFill>
              <w14:schemeClr w14:val="tx1"/>
            </w14:solidFill>
          </w14:textFill>
        </w:rPr>
        <w:tab/>
      </w:r>
      <w:r>
        <w:rPr>
          <w:rFonts w:hint="eastAsia" w:ascii="宋体" w:hAnsi="宋体" w:cs="宋体"/>
          <w:b/>
          <w:bCs/>
          <w:color w:val="000000" w:themeColor="text1"/>
          <w:sz w:val="24"/>
          <w:szCs w:val="24"/>
          <w:highlight w:val="none"/>
          <w14:textFill>
            <w14:solidFill>
              <w14:schemeClr w14:val="tx1"/>
            </w14:solidFill>
          </w14:textFill>
        </w:rPr>
        <w:t>址：</w:t>
      </w:r>
      <w:r>
        <w:rPr>
          <w:rFonts w:hint="eastAsia" w:ascii="宋体" w:hAnsi="宋体" w:cs="宋体"/>
          <w:b/>
          <w:bCs/>
          <w:color w:val="000000" w:themeColor="text1"/>
          <w:sz w:val="24"/>
          <w:szCs w:val="24"/>
          <w:highlight w:val="none"/>
          <w:u w:val="single"/>
          <w14:textFill>
            <w14:solidFill>
              <w14:schemeClr w14:val="tx1"/>
            </w14:solidFill>
          </w14:textFill>
        </w:rPr>
        <w:t xml:space="preserve">                                           </w:t>
      </w:r>
    </w:p>
    <w:p w14:paraId="74865FD5">
      <w:pPr>
        <w:spacing w:line="360" w:lineRule="auto"/>
        <w:ind w:firstLine="1687" w:firstLineChars="700"/>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网</w:t>
      </w:r>
      <w:r>
        <w:rPr>
          <w:rFonts w:hint="eastAsia" w:ascii="宋体" w:hAnsi="宋体" w:cs="宋体"/>
          <w:b/>
          <w:bCs/>
          <w:color w:val="000000" w:themeColor="text1"/>
          <w:sz w:val="24"/>
          <w:szCs w:val="24"/>
          <w:highlight w:val="none"/>
          <w14:textFill>
            <w14:solidFill>
              <w14:schemeClr w14:val="tx1"/>
            </w14:solidFill>
          </w14:textFill>
        </w:rPr>
        <w:tab/>
      </w:r>
      <w:r>
        <w:rPr>
          <w:rFonts w:hint="eastAsia" w:ascii="宋体" w:hAnsi="宋体" w:cs="宋体"/>
          <w:b/>
          <w:bCs/>
          <w:color w:val="000000" w:themeColor="text1"/>
          <w:sz w:val="24"/>
          <w:szCs w:val="24"/>
          <w:highlight w:val="none"/>
          <w14:textFill>
            <w14:solidFill>
              <w14:schemeClr w14:val="tx1"/>
            </w14:solidFill>
          </w14:textFill>
        </w:rPr>
        <w:t>址：</w:t>
      </w:r>
      <w:r>
        <w:rPr>
          <w:rFonts w:hint="eastAsia" w:ascii="宋体" w:hAnsi="宋体" w:cs="宋体"/>
          <w:b/>
          <w:bCs/>
          <w:color w:val="000000" w:themeColor="text1"/>
          <w:sz w:val="24"/>
          <w:szCs w:val="24"/>
          <w:highlight w:val="none"/>
          <w:u w:val="single"/>
          <w14:textFill>
            <w14:solidFill>
              <w14:schemeClr w14:val="tx1"/>
            </w14:solidFill>
          </w14:textFill>
        </w:rPr>
        <w:t xml:space="preserve">                                           </w:t>
      </w:r>
    </w:p>
    <w:p w14:paraId="12A852E2">
      <w:pPr>
        <w:spacing w:line="360" w:lineRule="auto"/>
        <w:ind w:firstLine="1687" w:firstLineChars="700"/>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电</w:t>
      </w:r>
      <w:r>
        <w:rPr>
          <w:rFonts w:hint="eastAsia" w:ascii="宋体" w:hAnsi="宋体" w:cs="宋体"/>
          <w:b/>
          <w:bCs/>
          <w:color w:val="000000" w:themeColor="text1"/>
          <w:sz w:val="24"/>
          <w:szCs w:val="24"/>
          <w:highlight w:val="none"/>
          <w14:textFill>
            <w14:solidFill>
              <w14:schemeClr w14:val="tx1"/>
            </w14:solidFill>
          </w14:textFill>
        </w:rPr>
        <w:tab/>
      </w:r>
      <w:r>
        <w:rPr>
          <w:rFonts w:hint="eastAsia" w:ascii="宋体" w:hAnsi="宋体" w:cs="宋体"/>
          <w:b/>
          <w:bCs/>
          <w:color w:val="000000" w:themeColor="text1"/>
          <w:sz w:val="24"/>
          <w:szCs w:val="24"/>
          <w:highlight w:val="none"/>
          <w14:textFill>
            <w14:solidFill>
              <w14:schemeClr w14:val="tx1"/>
            </w14:solidFill>
          </w14:textFill>
        </w:rPr>
        <w:t>话：</w:t>
      </w:r>
      <w:r>
        <w:rPr>
          <w:rFonts w:hint="eastAsia" w:ascii="宋体" w:hAnsi="宋体" w:cs="宋体"/>
          <w:b/>
          <w:bCs/>
          <w:color w:val="000000" w:themeColor="text1"/>
          <w:sz w:val="24"/>
          <w:szCs w:val="24"/>
          <w:highlight w:val="none"/>
          <w:u w:val="single"/>
          <w14:textFill>
            <w14:solidFill>
              <w14:schemeClr w14:val="tx1"/>
            </w14:solidFill>
          </w14:textFill>
        </w:rPr>
        <w:t xml:space="preserve">                                           </w:t>
      </w:r>
    </w:p>
    <w:p w14:paraId="5FBF6427">
      <w:pPr>
        <w:spacing w:line="360" w:lineRule="auto"/>
        <w:ind w:firstLine="1687" w:firstLineChars="700"/>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传</w:t>
      </w:r>
      <w:r>
        <w:rPr>
          <w:rFonts w:hint="eastAsia" w:ascii="宋体" w:hAnsi="宋体" w:cs="宋体"/>
          <w:b/>
          <w:bCs/>
          <w:color w:val="000000" w:themeColor="text1"/>
          <w:sz w:val="24"/>
          <w:szCs w:val="24"/>
          <w:highlight w:val="none"/>
          <w14:textFill>
            <w14:solidFill>
              <w14:schemeClr w14:val="tx1"/>
            </w14:solidFill>
          </w14:textFill>
        </w:rPr>
        <w:tab/>
      </w:r>
      <w:r>
        <w:rPr>
          <w:rFonts w:hint="eastAsia" w:ascii="宋体" w:hAnsi="宋体" w:cs="宋体"/>
          <w:b/>
          <w:bCs/>
          <w:color w:val="000000" w:themeColor="text1"/>
          <w:sz w:val="24"/>
          <w:szCs w:val="24"/>
          <w:highlight w:val="none"/>
          <w14:textFill>
            <w14:solidFill>
              <w14:schemeClr w14:val="tx1"/>
            </w14:solidFill>
          </w14:textFill>
        </w:rPr>
        <w:t>真：</w:t>
      </w:r>
      <w:r>
        <w:rPr>
          <w:rFonts w:hint="eastAsia" w:ascii="宋体" w:hAnsi="宋体" w:cs="宋体"/>
          <w:b/>
          <w:bCs/>
          <w:color w:val="000000" w:themeColor="text1"/>
          <w:sz w:val="24"/>
          <w:szCs w:val="24"/>
          <w:highlight w:val="none"/>
          <w:u w:val="single"/>
          <w14:textFill>
            <w14:solidFill>
              <w14:schemeClr w14:val="tx1"/>
            </w14:solidFill>
          </w14:textFill>
        </w:rPr>
        <w:t xml:space="preserve">                                           </w:t>
      </w:r>
    </w:p>
    <w:p w14:paraId="5682C72E">
      <w:pPr>
        <w:spacing w:line="360" w:lineRule="auto"/>
        <w:ind w:firstLine="1687" w:firstLineChars="700"/>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邮政编码：</w:t>
      </w:r>
      <w:r>
        <w:rPr>
          <w:rFonts w:hint="eastAsia" w:ascii="宋体" w:hAnsi="宋体" w:cs="宋体"/>
          <w:b/>
          <w:bCs/>
          <w:color w:val="000000" w:themeColor="text1"/>
          <w:sz w:val="24"/>
          <w:szCs w:val="24"/>
          <w:highlight w:val="none"/>
          <w:u w:val="single"/>
          <w14:textFill>
            <w14:solidFill>
              <w14:schemeClr w14:val="tx1"/>
            </w14:solidFill>
          </w14:textFill>
        </w:rPr>
        <w:t xml:space="preserve">                                         </w:t>
      </w:r>
    </w:p>
    <w:p w14:paraId="2BD1683A">
      <w:pPr>
        <w:spacing w:line="360" w:lineRule="auto"/>
        <w:ind w:firstLine="1687" w:firstLineChars="700"/>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日  期：</w:t>
      </w:r>
      <w:r>
        <w:rPr>
          <w:rFonts w:hint="eastAsia" w:ascii="宋体" w:hAnsi="宋体" w:cs="宋体"/>
          <w:b/>
          <w:bCs/>
          <w:color w:val="000000" w:themeColor="text1"/>
          <w:sz w:val="24"/>
          <w:szCs w:val="24"/>
          <w:highlight w:val="none"/>
          <w:u w:val="single"/>
          <w14:textFill>
            <w14:solidFill>
              <w14:schemeClr w14:val="tx1"/>
            </w14:solidFill>
          </w14:textFill>
        </w:rPr>
        <w:t xml:space="preserve">       </w:t>
      </w:r>
      <w:r>
        <w:rPr>
          <w:rFonts w:hint="eastAsia" w:ascii="宋体" w:hAnsi="宋体" w:cs="宋体"/>
          <w:b/>
          <w:bCs/>
          <w:color w:val="000000" w:themeColor="text1"/>
          <w:sz w:val="24"/>
          <w:szCs w:val="24"/>
          <w:highlight w:val="none"/>
          <w14:textFill>
            <w14:solidFill>
              <w14:schemeClr w14:val="tx1"/>
            </w14:solidFill>
          </w14:textFill>
        </w:rPr>
        <w:t>年</w:t>
      </w:r>
      <w:r>
        <w:rPr>
          <w:rFonts w:hint="eastAsia" w:ascii="宋体" w:hAnsi="宋体" w:cs="宋体"/>
          <w:b/>
          <w:bCs/>
          <w:color w:val="000000" w:themeColor="text1"/>
          <w:sz w:val="24"/>
          <w:szCs w:val="24"/>
          <w:highlight w:val="none"/>
          <w:u w:val="single"/>
          <w14:textFill>
            <w14:solidFill>
              <w14:schemeClr w14:val="tx1"/>
            </w14:solidFill>
          </w14:textFill>
        </w:rPr>
        <w:t xml:space="preserve">    </w:t>
      </w:r>
      <w:r>
        <w:rPr>
          <w:rFonts w:hint="eastAsia" w:ascii="宋体" w:hAnsi="宋体" w:cs="宋体"/>
          <w:b/>
          <w:bCs/>
          <w:color w:val="000000" w:themeColor="text1"/>
          <w:sz w:val="24"/>
          <w:szCs w:val="24"/>
          <w:highlight w:val="none"/>
          <w14:textFill>
            <w14:solidFill>
              <w14:schemeClr w14:val="tx1"/>
            </w14:solidFill>
          </w14:textFill>
        </w:rPr>
        <w:t>月</w:t>
      </w:r>
      <w:r>
        <w:rPr>
          <w:rFonts w:hint="eastAsia" w:ascii="宋体" w:hAnsi="宋体" w:cs="宋体"/>
          <w:b/>
          <w:bCs/>
          <w:color w:val="000000" w:themeColor="text1"/>
          <w:sz w:val="24"/>
          <w:szCs w:val="24"/>
          <w:highlight w:val="none"/>
          <w:u w:val="single"/>
          <w14:textFill>
            <w14:solidFill>
              <w14:schemeClr w14:val="tx1"/>
            </w14:solidFill>
          </w14:textFill>
        </w:rPr>
        <w:t xml:space="preserve">    </w:t>
      </w:r>
      <w:r>
        <w:rPr>
          <w:rFonts w:hint="eastAsia" w:ascii="宋体" w:hAnsi="宋体" w:cs="宋体"/>
          <w:b/>
          <w:bCs/>
          <w:color w:val="000000" w:themeColor="text1"/>
          <w:sz w:val="24"/>
          <w:szCs w:val="24"/>
          <w:highlight w:val="none"/>
          <w14:textFill>
            <w14:solidFill>
              <w14:schemeClr w14:val="tx1"/>
            </w14:solidFill>
          </w14:textFill>
        </w:rPr>
        <w:t>日</w:t>
      </w:r>
    </w:p>
    <w:p w14:paraId="3D9ACDBE">
      <w:pPr>
        <w:spacing w:line="360" w:lineRule="auto"/>
        <w:rPr>
          <w:rFonts w:ascii="宋体" w:hAnsi="宋体" w:cs="宋体"/>
          <w:b/>
          <w:bCs/>
          <w:color w:val="000000" w:themeColor="text1"/>
          <w:sz w:val="24"/>
          <w:szCs w:val="24"/>
          <w:highlight w:val="none"/>
          <w14:textFill>
            <w14:solidFill>
              <w14:schemeClr w14:val="tx1"/>
            </w14:solidFill>
          </w14:textFill>
        </w:rPr>
      </w:pPr>
    </w:p>
    <w:p w14:paraId="06A33058">
      <w:pPr>
        <w:spacing w:line="240" w:lineRule="exact"/>
        <w:rPr>
          <w:rFonts w:ascii="宋体" w:hAnsi="宋体" w:cs="宋体"/>
          <w:b/>
          <w:bCs/>
          <w:color w:val="000000" w:themeColor="text1"/>
          <w:sz w:val="44"/>
          <w:szCs w:val="44"/>
          <w:highlight w:val="none"/>
          <w14:textFill>
            <w14:solidFill>
              <w14:schemeClr w14:val="tx1"/>
            </w14:solidFill>
          </w14:textFill>
        </w:rPr>
      </w:pPr>
    </w:p>
    <w:p w14:paraId="43456470">
      <w:pPr>
        <w:spacing w:line="200" w:lineRule="exact"/>
        <w:rPr>
          <w:rFonts w:ascii="宋体" w:hAnsi="宋体" w:cs="宋体"/>
          <w:color w:val="000000" w:themeColor="text1"/>
          <w:highlight w:val="none"/>
          <w14:textFill>
            <w14:solidFill>
              <w14:schemeClr w14:val="tx1"/>
            </w14:solidFill>
          </w14:textFill>
        </w:rPr>
      </w:pPr>
      <w:bookmarkStart w:id="409" w:name="_Toc17119"/>
      <w:bookmarkEnd w:id="409"/>
      <w:bookmarkStart w:id="410" w:name="_Toc13197"/>
      <w:r>
        <w:rPr>
          <w:rFonts w:hint="eastAsia" w:ascii="宋体" w:hAnsi="宋体" w:cs="宋体"/>
          <w:color w:val="000000" w:themeColor="text1"/>
          <w:sz w:val="28"/>
          <w:szCs w:val="28"/>
          <w:highlight w:val="none"/>
          <w14:textFill>
            <w14:solidFill>
              <w14:schemeClr w14:val="tx1"/>
            </w14:solidFill>
          </w14:textFill>
        </w:rPr>
        <w:br w:type="page"/>
      </w:r>
      <w:bookmarkEnd w:id="410"/>
    </w:p>
    <w:p w14:paraId="73FD640F">
      <w:pPr>
        <w:pStyle w:val="4"/>
        <w:widowControl/>
        <w:autoSpaceDE w:val="0"/>
        <w:spacing w:before="0" w:after="0" w:line="360" w:lineRule="auto"/>
        <w:jc w:val="center"/>
        <w:rPr>
          <w:rFonts w:ascii="宋体" w:hAnsi="宋体" w:cs="宋体"/>
          <w:color w:val="000000" w:themeColor="text1"/>
          <w:sz w:val="28"/>
          <w:szCs w:val="28"/>
          <w:highlight w:val="none"/>
          <w14:textFill>
            <w14:solidFill>
              <w14:schemeClr w14:val="tx1"/>
            </w14:solidFill>
          </w14:textFill>
        </w:rPr>
      </w:pPr>
      <w:bookmarkStart w:id="411" w:name="_Toc114132374"/>
      <w:bookmarkStart w:id="412" w:name="_Toc3775"/>
      <w:bookmarkStart w:id="413" w:name="_Toc17960"/>
      <w:bookmarkStart w:id="414" w:name="_Toc6210"/>
      <w:bookmarkStart w:id="415" w:name="_Toc11486"/>
      <w:r>
        <w:rPr>
          <w:rFonts w:hint="eastAsia" w:ascii="宋体" w:hAnsi="宋体" w:cs="宋体"/>
          <w:color w:val="000000" w:themeColor="text1"/>
          <w:sz w:val="28"/>
          <w:szCs w:val="28"/>
          <w:highlight w:val="none"/>
          <w14:textFill>
            <w14:solidFill>
              <w14:schemeClr w14:val="tx1"/>
            </w14:solidFill>
          </w14:textFill>
        </w:rPr>
        <w:t>四、</w:t>
      </w:r>
      <w:bookmarkEnd w:id="411"/>
      <w:bookmarkEnd w:id="412"/>
      <w:r>
        <w:rPr>
          <w:rFonts w:hint="eastAsia" w:ascii="宋体" w:hAnsi="宋体" w:cs="宋体"/>
          <w:color w:val="000000" w:themeColor="text1"/>
          <w:sz w:val="28"/>
          <w:szCs w:val="28"/>
          <w:highlight w:val="none"/>
          <w14:textFill>
            <w14:solidFill>
              <w14:schemeClr w14:val="tx1"/>
            </w14:solidFill>
          </w14:textFill>
        </w:rPr>
        <w:t>法定代表人(单位负责人)身份证明书</w:t>
      </w:r>
      <w:bookmarkEnd w:id="413"/>
      <w:bookmarkEnd w:id="414"/>
      <w:bookmarkEnd w:id="415"/>
    </w:p>
    <w:p w14:paraId="1B4F0493">
      <w:pPr>
        <w:spacing w:line="200" w:lineRule="exact"/>
        <w:rPr>
          <w:rFonts w:ascii="宋体" w:hAnsi="宋体" w:cs="宋体"/>
          <w:color w:val="000000" w:themeColor="text1"/>
          <w:highlight w:val="none"/>
          <w14:textFill>
            <w14:solidFill>
              <w14:schemeClr w14:val="tx1"/>
            </w14:solidFill>
          </w14:textFill>
        </w:rPr>
      </w:pPr>
    </w:p>
    <w:p w14:paraId="6203E2F2">
      <w:pPr>
        <w:spacing w:line="200" w:lineRule="exact"/>
        <w:rPr>
          <w:rFonts w:ascii="宋体" w:hAnsi="宋体" w:cs="宋体"/>
          <w:color w:val="000000" w:themeColor="text1"/>
          <w:highlight w:val="none"/>
          <w14:textFill>
            <w14:solidFill>
              <w14:schemeClr w14:val="tx1"/>
            </w14:solidFill>
          </w14:textFill>
        </w:rPr>
      </w:pPr>
    </w:p>
    <w:p w14:paraId="7C32451E">
      <w:pPr>
        <w:spacing w:line="200" w:lineRule="exact"/>
        <w:rPr>
          <w:rFonts w:ascii="宋体" w:hAnsi="宋体" w:cs="宋体"/>
          <w:color w:val="000000" w:themeColor="text1"/>
          <w:highlight w:val="none"/>
          <w14:textFill>
            <w14:solidFill>
              <w14:schemeClr w14:val="tx1"/>
            </w14:solidFill>
          </w14:textFill>
        </w:rPr>
      </w:pPr>
    </w:p>
    <w:p w14:paraId="5379921C">
      <w:pPr>
        <w:autoSpaceDE w:val="0"/>
        <w:autoSpaceDN w:val="0"/>
        <w:adjustRightIn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投标人名称：</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 xml:space="preserve"> </w:t>
      </w:r>
    </w:p>
    <w:p w14:paraId="313F05A6">
      <w:pPr>
        <w:autoSpaceDE w:val="0"/>
        <w:autoSpaceDN w:val="0"/>
        <w:adjustRightIn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单位性质：</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 xml:space="preserve"> </w:t>
      </w:r>
    </w:p>
    <w:p w14:paraId="445D4E1E">
      <w:pPr>
        <w:autoSpaceDE w:val="0"/>
        <w:autoSpaceDN w:val="0"/>
        <w:adjustRightIn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地    址：</w:t>
      </w:r>
      <w:r>
        <w:rPr>
          <w:rFonts w:hint="eastAsia" w:ascii="宋体" w:hAnsi="宋体" w:cs="宋体"/>
          <w:color w:val="000000" w:themeColor="text1"/>
          <w:sz w:val="24"/>
          <w:highlight w:val="none"/>
          <w:u w:val="single"/>
          <w14:textFill>
            <w14:solidFill>
              <w14:schemeClr w14:val="tx1"/>
            </w14:solidFill>
          </w14:textFill>
        </w:rPr>
        <w:t xml:space="preserve">                        </w:t>
      </w:r>
    </w:p>
    <w:p w14:paraId="31BF7D57">
      <w:pPr>
        <w:autoSpaceDE w:val="0"/>
        <w:autoSpaceDN w:val="0"/>
        <w:adjustRightIn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成立时间：</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年</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月</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日</w:t>
      </w:r>
    </w:p>
    <w:p w14:paraId="6ED607CF">
      <w:pPr>
        <w:autoSpaceDE w:val="0"/>
        <w:autoSpaceDN w:val="0"/>
        <w:adjustRightIn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经营期限：</w:t>
      </w:r>
      <w:r>
        <w:rPr>
          <w:rFonts w:hint="eastAsia" w:ascii="宋体" w:hAnsi="宋体" w:cs="宋体"/>
          <w:color w:val="000000" w:themeColor="text1"/>
          <w:sz w:val="24"/>
          <w:highlight w:val="none"/>
          <w:u w:val="single"/>
          <w14:textFill>
            <w14:solidFill>
              <w14:schemeClr w14:val="tx1"/>
            </w14:solidFill>
          </w14:textFill>
        </w:rPr>
        <w:t xml:space="preserve">                         </w:t>
      </w:r>
    </w:p>
    <w:p w14:paraId="1F01525B">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p>
    <w:p w14:paraId="1F180882">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姓名：</w:t>
      </w:r>
      <w:r>
        <w:rPr>
          <w:rFonts w:hint="eastAsia" w:ascii="宋体" w:hAnsi="宋体" w:cs="宋体"/>
          <w:color w:val="000000" w:themeColor="text1"/>
          <w:sz w:val="24"/>
          <w:szCs w:val="24"/>
          <w:highlight w:val="none"/>
          <w:u w:val="single"/>
          <w14:textFill>
            <w14:solidFill>
              <w14:schemeClr w14:val="tx1"/>
            </w14:solidFill>
          </w14:textFill>
        </w:rPr>
        <w:t xml:space="preserve">           </w:t>
      </w:r>
      <w:r>
        <w:rPr>
          <w:rFonts w:hint="eastAsia" w:ascii="宋体" w:hAnsi="宋体" w:cs="宋体"/>
          <w:color w:val="000000" w:themeColor="text1"/>
          <w:sz w:val="24"/>
          <w:szCs w:val="24"/>
          <w:highlight w:val="none"/>
          <w14:textFill>
            <w14:solidFill>
              <w14:schemeClr w14:val="tx1"/>
            </w14:solidFill>
          </w14:textFill>
        </w:rPr>
        <w:t>性别：</w:t>
      </w:r>
      <w:r>
        <w:rPr>
          <w:rFonts w:hint="eastAsia" w:ascii="宋体" w:hAnsi="宋体" w:cs="宋体"/>
          <w:color w:val="000000" w:themeColor="text1"/>
          <w:sz w:val="24"/>
          <w:szCs w:val="24"/>
          <w:highlight w:val="none"/>
          <w:u w:val="single"/>
          <w14:textFill>
            <w14:solidFill>
              <w14:schemeClr w14:val="tx1"/>
            </w14:solidFill>
          </w14:textFill>
        </w:rPr>
        <w:t xml:space="preserve">          </w:t>
      </w:r>
      <w:r>
        <w:rPr>
          <w:rFonts w:hint="eastAsia" w:ascii="宋体" w:hAnsi="宋体" w:cs="宋体"/>
          <w:color w:val="000000" w:themeColor="text1"/>
          <w:sz w:val="24"/>
          <w:szCs w:val="24"/>
          <w:highlight w:val="none"/>
          <w14:textFill>
            <w14:solidFill>
              <w14:schemeClr w14:val="tx1"/>
            </w14:solidFill>
          </w14:textFill>
        </w:rPr>
        <w:t>年龄：</w:t>
      </w:r>
      <w:r>
        <w:rPr>
          <w:rFonts w:hint="eastAsia" w:ascii="宋体" w:hAnsi="宋体" w:cs="宋体"/>
          <w:color w:val="000000" w:themeColor="text1"/>
          <w:sz w:val="24"/>
          <w:szCs w:val="24"/>
          <w:highlight w:val="none"/>
          <w:u w:val="single"/>
          <w14:textFill>
            <w14:solidFill>
              <w14:schemeClr w14:val="tx1"/>
            </w14:solidFill>
          </w14:textFill>
        </w:rPr>
        <w:t xml:space="preserve">          </w:t>
      </w:r>
      <w:r>
        <w:rPr>
          <w:rFonts w:hint="eastAsia" w:ascii="宋体" w:hAnsi="宋体" w:cs="宋体"/>
          <w:color w:val="000000" w:themeColor="text1"/>
          <w:sz w:val="24"/>
          <w:szCs w:val="24"/>
          <w:highlight w:val="none"/>
          <w14:textFill>
            <w14:solidFill>
              <w14:schemeClr w14:val="tx1"/>
            </w14:solidFill>
          </w14:textFill>
        </w:rPr>
        <w:t>职务：</w:t>
      </w:r>
      <w:r>
        <w:rPr>
          <w:rFonts w:hint="eastAsia" w:ascii="宋体" w:hAnsi="宋体" w:cs="宋体"/>
          <w:color w:val="000000" w:themeColor="text1"/>
          <w:sz w:val="24"/>
          <w:szCs w:val="24"/>
          <w:highlight w:val="none"/>
          <w:u w:val="single"/>
          <w14:textFill>
            <w14:solidFill>
              <w14:schemeClr w14:val="tx1"/>
            </w14:solidFill>
          </w14:textFill>
        </w:rPr>
        <w:t xml:space="preserve">          </w:t>
      </w:r>
    </w:p>
    <w:p w14:paraId="25A05EA7">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系</w:t>
      </w:r>
      <w:r>
        <w:rPr>
          <w:rFonts w:hint="eastAsia" w:ascii="宋体" w:hAnsi="宋体" w:cs="宋体"/>
          <w:color w:val="000000" w:themeColor="text1"/>
          <w:sz w:val="24"/>
          <w:szCs w:val="24"/>
          <w:highlight w:val="none"/>
          <w:u w:val="single"/>
          <w14:textFill>
            <w14:solidFill>
              <w14:schemeClr w14:val="tx1"/>
            </w14:solidFill>
          </w14:textFill>
        </w:rPr>
        <w:tab/>
      </w:r>
      <w:r>
        <w:rPr>
          <w:rFonts w:hint="eastAsia" w:ascii="宋体" w:hAnsi="宋体" w:cs="宋体"/>
          <w:color w:val="000000" w:themeColor="text1"/>
          <w:sz w:val="24"/>
          <w:szCs w:val="24"/>
          <w:highlight w:val="none"/>
          <w:u w:val="single"/>
          <w14:textFill>
            <w14:solidFill>
              <w14:schemeClr w14:val="tx1"/>
            </w14:solidFill>
          </w14:textFill>
        </w:rPr>
        <w:t xml:space="preserve">                   </w:t>
      </w:r>
      <w:r>
        <w:rPr>
          <w:rFonts w:hint="eastAsia" w:ascii="宋体" w:hAnsi="宋体" w:cs="宋体"/>
          <w:color w:val="000000" w:themeColor="text1"/>
          <w:sz w:val="24"/>
          <w:szCs w:val="24"/>
          <w:highlight w:val="none"/>
          <w14:textFill>
            <w14:solidFill>
              <w14:schemeClr w14:val="tx1"/>
            </w14:solidFill>
          </w14:textFill>
        </w:rPr>
        <w:t>(投标人名称)的法定代表人(单位负责人)。</w:t>
      </w:r>
    </w:p>
    <w:p w14:paraId="6D9B79C8">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特此证明。</w:t>
      </w:r>
    </w:p>
    <w:p w14:paraId="4CBBDBF3">
      <w:pPr>
        <w:spacing w:line="480" w:lineRule="auto"/>
        <w:rPr>
          <w:rFonts w:ascii="宋体" w:hAnsi="宋体" w:cs="宋体"/>
          <w:color w:val="000000" w:themeColor="text1"/>
          <w:sz w:val="24"/>
          <w:szCs w:val="24"/>
          <w:highlight w:val="none"/>
          <w14:textFill>
            <w14:solidFill>
              <w14:schemeClr w14:val="tx1"/>
            </w14:solidFill>
          </w14:textFill>
        </w:rPr>
      </w:pPr>
    </w:p>
    <w:p w14:paraId="4BB9E508">
      <w:pPr>
        <w:spacing w:line="48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附：法定代表人(单位负责人)身份证。</w:t>
      </w:r>
    </w:p>
    <w:p w14:paraId="6D932EBF">
      <w:pPr>
        <w:spacing w:line="360" w:lineRule="auto"/>
        <w:ind w:left="4480"/>
        <w:jc w:val="both"/>
        <w:rPr>
          <w:rFonts w:ascii="宋体" w:hAnsi="宋体" w:cs="宋体"/>
          <w:b/>
          <w:color w:val="000000" w:themeColor="text1"/>
          <w:sz w:val="24"/>
          <w:szCs w:val="24"/>
          <w:highlight w:val="none"/>
          <w14:textFill>
            <w14:solidFill>
              <w14:schemeClr w14:val="tx1"/>
            </w14:solidFill>
          </w14:textFill>
        </w:rPr>
      </w:pPr>
    </w:p>
    <w:p w14:paraId="4B2B8E50">
      <w:pPr>
        <w:spacing w:line="360" w:lineRule="auto"/>
        <w:ind w:left="4480"/>
        <w:jc w:val="both"/>
        <w:rPr>
          <w:rFonts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投标人：</w:t>
      </w:r>
      <w:r>
        <w:rPr>
          <w:rFonts w:hint="eastAsia" w:ascii="宋体" w:hAnsi="宋体" w:cs="宋体"/>
          <w:b/>
          <w:color w:val="000000" w:themeColor="text1"/>
          <w:sz w:val="24"/>
          <w:szCs w:val="24"/>
          <w:highlight w:val="none"/>
          <w:u w:val="single"/>
          <w14:textFill>
            <w14:solidFill>
              <w14:schemeClr w14:val="tx1"/>
            </w14:solidFill>
          </w14:textFill>
        </w:rPr>
        <w:tab/>
      </w:r>
      <w:r>
        <w:rPr>
          <w:rFonts w:hint="eastAsia" w:ascii="宋体" w:hAnsi="宋体" w:cs="宋体"/>
          <w:b/>
          <w:color w:val="000000" w:themeColor="text1"/>
          <w:sz w:val="24"/>
          <w:szCs w:val="24"/>
          <w:highlight w:val="none"/>
          <w:u w:val="single"/>
          <w14:textFill>
            <w14:solidFill>
              <w14:schemeClr w14:val="tx1"/>
            </w14:solidFill>
          </w14:textFill>
        </w:rPr>
        <w:t xml:space="preserve">           </w:t>
      </w:r>
      <w:r>
        <w:rPr>
          <w:rFonts w:hint="eastAsia" w:ascii="宋体" w:hAnsi="宋体" w:cs="宋体"/>
          <w:b/>
          <w:color w:val="000000" w:themeColor="text1"/>
          <w:sz w:val="24"/>
          <w:szCs w:val="24"/>
          <w:highlight w:val="none"/>
          <w14:textFill>
            <w14:solidFill>
              <w14:schemeClr w14:val="tx1"/>
            </w14:solidFill>
          </w14:textFill>
        </w:rPr>
        <w:t>(电子签章)</w:t>
      </w:r>
    </w:p>
    <w:p w14:paraId="190EC178">
      <w:pPr>
        <w:spacing w:line="20" w:lineRule="exact"/>
        <w:rPr>
          <w:rFonts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 xml:space="preserve"> </w:t>
      </w:r>
    </w:p>
    <w:p w14:paraId="37039C11">
      <w:pPr>
        <w:spacing w:line="200" w:lineRule="exact"/>
        <w:rPr>
          <w:rFonts w:ascii="宋体" w:hAnsi="宋体" w:cs="宋体"/>
          <w:b/>
          <w:color w:val="000000" w:themeColor="text1"/>
          <w:sz w:val="24"/>
          <w:szCs w:val="24"/>
          <w:highlight w:val="none"/>
          <w14:textFill>
            <w14:solidFill>
              <w14:schemeClr w14:val="tx1"/>
            </w14:solidFill>
          </w14:textFill>
        </w:rPr>
      </w:pPr>
    </w:p>
    <w:p w14:paraId="6B418680">
      <w:pPr>
        <w:spacing w:line="200" w:lineRule="exact"/>
        <w:rPr>
          <w:rFonts w:ascii="宋体" w:hAnsi="宋体" w:cs="宋体"/>
          <w:b/>
          <w:color w:val="000000" w:themeColor="text1"/>
          <w:sz w:val="24"/>
          <w:szCs w:val="24"/>
          <w:highlight w:val="none"/>
          <w14:textFill>
            <w14:solidFill>
              <w14:schemeClr w14:val="tx1"/>
            </w14:solidFill>
          </w14:textFill>
        </w:rPr>
      </w:pPr>
    </w:p>
    <w:p w14:paraId="50D06D3C">
      <w:pPr>
        <w:wordWrap w:val="0"/>
        <w:ind w:right="480"/>
        <w:jc w:val="center"/>
        <w:rPr>
          <w:rFonts w:ascii="宋体" w:hAnsi="宋体" w:cs="宋体"/>
          <w:b/>
          <w:color w:val="000000" w:themeColor="text1"/>
          <w:sz w:val="24"/>
          <w:szCs w:val="24"/>
          <w:highlight w:val="none"/>
          <w14:textFill>
            <w14:solidFill>
              <w14:schemeClr w14:val="tx1"/>
            </w14:solidFill>
          </w14:textFill>
        </w:rPr>
      </w:pPr>
    </w:p>
    <w:p w14:paraId="78A18398">
      <w:pPr>
        <w:wordWrap w:val="0"/>
        <w:ind w:right="480"/>
        <w:jc w:val="center"/>
        <w:rPr>
          <w:rFonts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 xml:space="preserve">                      日  期：</w:t>
      </w:r>
      <w:r>
        <w:rPr>
          <w:rFonts w:hint="eastAsia" w:ascii="宋体" w:hAnsi="宋体" w:cs="宋体"/>
          <w:b/>
          <w:color w:val="000000" w:themeColor="text1"/>
          <w:sz w:val="24"/>
          <w:szCs w:val="24"/>
          <w:highlight w:val="none"/>
          <w:u w:val="single"/>
          <w14:textFill>
            <w14:solidFill>
              <w14:schemeClr w14:val="tx1"/>
            </w14:solidFill>
          </w14:textFill>
        </w:rPr>
        <w:t xml:space="preserve">     </w:t>
      </w:r>
      <w:r>
        <w:rPr>
          <w:rFonts w:hint="eastAsia" w:ascii="宋体" w:hAnsi="宋体" w:cs="宋体"/>
          <w:b/>
          <w:color w:val="000000" w:themeColor="text1"/>
          <w:sz w:val="24"/>
          <w:szCs w:val="24"/>
          <w:highlight w:val="none"/>
          <w14:textFill>
            <w14:solidFill>
              <w14:schemeClr w14:val="tx1"/>
            </w14:solidFill>
          </w14:textFill>
        </w:rPr>
        <w:t>年</w:t>
      </w:r>
      <w:r>
        <w:rPr>
          <w:rFonts w:hint="eastAsia" w:ascii="宋体" w:hAnsi="宋体" w:cs="宋体"/>
          <w:b/>
          <w:color w:val="000000" w:themeColor="text1"/>
          <w:sz w:val="24"/>
          <w:szCs w:val="24"/>
          <w:highlight w:val="none"/>
          <w:u w:val="single"/>
          <w14:textFill>
            <w14:solidFill>
              <w14:schemeClr w14:val="tx1"/>
            </w14:solidFill>
          </w14:textFill>
        </w:rPr>
        <w:t xml:space="preserve">   </w:t>
      </w:r>
      <w:r>
        <w:rPr>
          <w:rFonts w:hint="eastAsia" w:ascii="宋体" w:hAnsi="宋体" w:cs="宋体"/>
          <w:b/>
          <w:color w:val="000000" w:themeColor="text1"/>
          <w:sz w:val="24"/>
          <w:szCs w:val="24"/>
          <w:highlight w:val="none"/>
          <w14:textFill>
            <w14:solidFill>
              <w14:schemeClr w14:val="tx1"/>
            </w14:solidFill>
          </w14:textFill>
        </w:rPr>
        <w:t>月</w:t>
      </w:r>
      <w:r>
        <w:rPr>
          <w:rFonts w:hint="eastAsia" w:ascii="宋体" w:hAnsi="宋体" w:cs="宋体"/>
          <w:b/>
          <w:color w:val="000000" w:themeColor="text1"/>
          <w:sz w:val="24"/>
          <w:szCs w:val="24"/>
          <w:highlight w:val="none"/>
          <w:u w:val="single"/>
          <w14:textFill>
            <w14:solidFill>
              <w14:schemeClr w14:val="tx1"/>
            </w14:solidFill>
          </w14:textFill>
        </w:rPr>
        <w:t xml:space="preserve">   </w:t>
      </w:r>
      <w:r>
        <w:rPr>
          <w:rFonts w:hint="eastAsia" w:ascii="宋体" w:hAnsi="宋体" w:cs="宋体"/>
          <w:b/>
          <w:color w:val="000000" w:themeColor="text1"/>
          <w:sz w:val="24"/>
          <w:szCs w:val="24"/>
          <w:highlight w:val="none"/>
          <w14:textFill>
            <w14:solidFill>
              <w14:schemeClr w14:val="tx1"/>
            </w14:solidFill>
          </w14:textFill>
        </w:rPr>
        <w:t>日</w:t>
      </w:r>
    </w:p>
    <w:p w14:paraId="00E6374E">
      <w:pPr>
        <w:spacing w:line="360" w:lineRule="auto"/>
        <w:ind w:right="480"/>
        <w:jc w:val="center"/>
        <w:rPr>
          <w:rFonts w:ascii="宋体" w:hAnsi="宋体" w:cs="宋体"/>
          <w:b/>
          <w:color w:val="000000" w:themeColor="text1"/>
          <w:sz w:val="24"/>
          <w:szCs w:val="24"/>
          <w:highlight w:val="none"/>
          <w14:textFill>
            <w14:solidFill>
              <w14:schemeClr w14:val="tx1"/>
            </w14:solidFill>
          </w14:textFill>
        </w:rPr>
      </w:pPr>
    </w:p>
    <w:p w14:paraId="7DBA0A83">
      <w:pPr>
        <w:spacing w:line="360" w:lineRule="auto"/>
        <w:ind w:firstLine="5760" w:firstLineChars="2400"/>
        <w:jc w:val="both"/>
        <w:rPr>
          <w:rFonts w:ascii="宋体" w:hAnsi="宋体" w:cs="宋体"/>
          <w:color w:val="000000" w:themeColor="text1"/>
          <w:sz w:val="24"/>
          <w:szCs w:val="24"/>
          <w:highlight w:val="none"/>
          <w14:textFill>
            <w14:solidFill>
              <w14:schemeClr w14:val="tx1"/>
            </w14:solidFill>
          </w14:textFill>
        </w:rPr>
      </w:pPr>
    </w:p>
    <w:p w14:paraId="32082CBE">
      <w:pPr>
        <w:spacing w:line="360" w:lineRule="auto"/>
        <w:rPr>
          <w:rFonts w:ascii="宋体" w:hAnsi="宋体" w:cs="宋体"/>
          <w:b/>
          <w:bCs/>
          <w:color w:val="000000" w:themeColor="text1"/>
          <w:sz w:val="44"/>
          <w:szCs w:val="44"/>
          <w:highlight w:val="none"/>
          <w14:textFill>
            <w14:solidFill>
              <w14:schemeClr w14:val="tx1"/>
            </w14:solidFill>
          </w14:textFill>
        </w:rPr>
      </w:pP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56"/>
      </w:tblGrid>
      <w:tr w14:paraId="639C0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6" w:hRule="atLeast"/>
        </w:trPr>
        <w:tc>
          <w:tcPr>
            <w:tcW w:w="9956" w:type="dxa"/>
            <w:vAlign w:val="center"/>
          </w:tcPr>
          <w:p w14:paraId="53219DD9">
            <w:pPr>
              <w:widowControl w:val="0"/>
              <w:spacing w:before="312" w:beforeLines="100" w:after="312" w:afterLines="100" w:line="600" w:lineRule="exact"/>
              <w:jc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法定代表人(单位负责人)身份证正反面</w:t>
            </w:r>
          </w:p>
        </w:tc>
      </w:tr>
    </w:tbl>
    <w:p w14:paraId="0AA8815B">
      <w:pPr>
        <w:spacing w:line="240" w:lineRule="exact"/>
        <w:rPr>
          <w:rFonts w:ascii="宋体" w:hAnsi="宋体" w:cs="宋体"/>
          <w:b/>
          <w:bCs/>
          <w:color w:val="000000" w:themeColor="text1"/>
          <w:sz w:val="44"/>
          <w:szCs w:val="44"/>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br w:type="page"/>
      </w:r>
    </w:p>
    <w:p w14:paraId="6AF8290B">
      <w:pPr>
        <w:pStyle w:val="4"/>
        <w:widowControl/>
        <w:autoSpaceDE w:val="0"/>
        <w:spacing w:before="0" w:after="0" w:line="360" w:lineRule="auto"/>
        <w:jc w:val="center"/>
        <w:rPr>
          <w:rFonts w:ascii="宋体" w:hAnsi="宋体" w:cs="宋体"/>
          <w:color w:val="000000" w:themeColor="text1"/>
          <w:sz w:val="28"/>
          <w:szCs w:val="28"/>
          <w:highlight w:val="none"/>
          <w14:textFill>
            <w14:solidFill>
              <w14:schemeClr w14:val="tx1"/>
            </w14:solidFill>
          </w14:textFill>
        </w:rPr>
      </w:pPr>
      <w:bookmarkStart w:id="416" w:name="_Toc15398"/>
      <w:bookmarkEnd w:id="416"/>
      <w:bookmarkStart w:id="417" w:name="_Toc31847"/>
      <w:bookmarkEnd w:id="417"/>
      <w:bookmarkStart w:id="418" w:name="_Toc114132375"/>
      <w:bookmarkStart w:id="419" w:name="_Toc2498"/>
      <w:bookmarkStart w:id="420" w:name="_Toc32716"/>
      <w:bookmarkStart w:id="421" w:name="_Toc13583"/>
      <w:r>
        <w:rPr>
          <w:rFonts w:hint="eastAsia" w:ascii="宋体" w:hAnsi="宋体" w:cs="宋体"/>
          <w:color w:val="000000" w:themeColor="text1"/>
          <w:sz w:val="28"/>
          <w:szCs w:val="28"/>
          <w:highlight w:val="none"/>
          <w14:textFill>
            <w14:solidFill>
              <w14:schemeClr w14:val="tx1"/>
            </w14:solidFill>
          </w14:textFill>
        </w:rPr>
        <w:t>五、</w:t>
      </w:r>
      <w:bookmarkEnd w:id="418"/>
      <w:r>
        <w:rPr>
          <w:rFonts w:hint="eastAsia" w:ascii="宋体" w:hAnsi="宋体" w:cs="宋体"/>
          <w:color w:val="000000" w:themeColor="text1"/>
          <w:sz w:val="28"/>
          <w:szCs w:val="28"/>
          <w:highlight w:val="none"/>
          <w14:textFill>
            <w14:solidFill>
              <w14:schemeClr w14:val="tx1"/>
            </w14:solidFill>
          </w14:textFill>
        </w:rPr>
        <w:t>授权委托书</w:t>
      </w:r>
      <w:bookmarkEnd w:id="419"/>
      <w:bookmarkEnd w:id="420"/>
      <w:bookmarkEnd w:id="421"/>
    </w:p>
    <w:p w14:paraId="44CFF657">
      <w:pPr>
        <w:spacing w:line="200" w:lineRule="exact"/>
        <w:rPr>
          <w:rFonts w:ascii="宋体" w:hAnsi="宋体" w:cs="宋体"/>
          <w:color w:val="000000" w:themeColor="text1"/>
          <w:highlight w:val="none"/>
          <w14:textFill>
            <w14:solidFill>
              <w14:schemeClr w14:val="tx1"/>
            </w14:solidFill>
          </w14:textFill>
        </w:rPr>
      </w:pPr>
    </w:p>
    <w:p w14:paraId="5655603C">
      <w:pPr>
        <w:spacing w:line="200" w:lineRule="exact"/>
        <w:rPr>
          <w:rFonts w:ascii="宋体" w:hAnsi="宋体" w:cs="宋体"/>
          <w:color w:val="000000" w:themeColor="text1"/>
          <w:highlight w:val="none"/>
          <w14:textFill>
            <w14:solidFill>
              <w14:schemeClr w14:val="tx1"/>
            </w14:solidFill>
          </w14:textFill>
        </w:rPr>
      </w:pPr>
    </w:p>
    <w:p w14:paraId="27D22A2A">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本人</w:t>
      </w:r>
      <w:r>
        <w:rPr>
          <w:rFonts w:hint="eastAsia" w:ascii="宋体" w:hAnsi="宋体" w:cs="宋体"/>
          <w:color w:val="000000" w:themeColor="text1"/>
          <w:sz w:val="24"/>
          <w:szCs w:val="24"/>
          <w:highlight w:val="none"/>
          <w:u w:val="single"/>
          <w14:textFill>
            <w14:solidFill>
              <w14:schemeClr w14:val="tx1"/>
            </w14:solidFill>
          </w14:textFill>
        </w:rPr>
        <w:t xml:space="preserve">             </w:t>
      </w:r>
      <w:r>
        <w:rPr>
          <w:rFonts w:hint="eastAsia" w:ascii="宋体" w:hAnsi="宋体" w:cs="宋体"/>
          <w:color w:val="000000" w:themeColor="text1"/>
          <w:sz w:val="24"/>
          <w:szCs w:val="24"/>
          <w:highlight w:val="none"/>
          <w14:textFill>
            <w14:solidFill>
              <w14:schemeClr w14:val="tx1"/>
            </w14:solidFill>
          </w14:textFill>
        </w:rPr>
        <w:t>(姓名)系</w:t>
      </w:r>
      <w:r>
        <w:rPr>
          <w:rFonts w:hint="eastAsia" w:ascii="宋体" w:hAnsi="宋体" w:cs="宋体"/>
          <w:color w:val="000000" w:themeColor="text1"/>
          <w:sz w:val="24"/>
          <w:szCs w:val="24"/>
          <w:highlight w:val="none"/>
          <w:u w:val="single"/>
          <w14:textFill>
            <w14:solidFill>
              <w14:schemeClr w14:val="tx1"/>
            </w14:solidFill>
          </w14:textFill>
        </w:rPr>
        <w:t xml:space="preserve">                      </w:t>
      </w:r>
      <w:r>
        <w:rPr>
          <w:rFonts w:hint="eastAsia" w:ascii="宋体" w:hAnsi="宋体" w:cs="宋体"/>
          <w:color w:val="000000" w:themeColor="text1"/>
          <w:sz w:val="24"/>
          <w:szCs w:val="24"/>
          <w:highlight w:val="none"/>
          <w14:textFill>
            <w14:solidFill>
              <w14:schemeClr w14:val="tx1"/>
            </w14:solidFill>
          </w14:textFill>
        </w:rPr>
        <w:t>(投标人名称)的法定代表人(单位负责人)，现委托</w:t>
      </w:r>
      <w:r>
        <w:rPr>
          <w:rFonts w:hint="eastAsia" w:ascii="宋体" w:hAnsi="宋体" w:cs="宋体"/>
          <w:color w:val="000000" w:themeColor="text1"/>
          <w:sz w:val="24"/>
          <w:szCs w:val="24"/>
          <w:highlight w:val="none"/>
          <w:u w:val="single"/>
          <w14:textFill>
            <w14:solidFill>
              <w14:schemeClr w14:val="tx1"/>
            </w14:solidFill>
          </w14:textFill>
        </w:rPr>
        <w:t xml:space="preserve">             </w:t>
      </w:r>
      <w:r>
        <w:rPr>
          <w:rFonts w:hint="eastAsia" w:ascii="宋体" w:hAnsi="宋体" w:cs="宋体"/>
          <w:color w:val="000000" w:themeColor="text1"/>
          <w:sz w:val="24"/>
          <w:szCs w:val="24"/>
          <w:highlight w:val="none"/>
          <w14:textFill>
            <w14:solidFill>
              <w14:schemeClr w14:val="tx1"/>
            </w14:solidFill>
          </w14:textFill>
        </w:rPr>
        <w:t>(姓名)为我方代理人。代理人根据授权，以我方名义签署、澄清、说明、补正、撤回、修改</w:t>
      </w:r>
      <w:r>
        <w:rPr>
          <w:rFonts w:hint="eastAsia" w:ascii="宋体" w:hAnsi="宋体" w:cs="宋体"/>
          <w:color w:val="000000" w:themeColor="text1"/>
          <w:sz w:val="24"/>
          <w:szCs w:val="24"/>
          <w:highlight w:val="none"/>
          <w:u w:val="single"/>
          <w14:textFill>
            <w14:solidFill>
              <w14:schemeClr w14:val="tx1"/>
            </w14:solidFill>
          </w14:textFill>
        </w:rPr>
        <w:t xml:space="preserve">             </w:t>
      </w:r>
      <w:r>
        <w:rPr>
          <w:rFonts w:hint="eastAsia" w:ascii="宋体" w:hAnsi="宋体" w:cs="宋体"/>
          <w:color w:val="000000" w:themeColor="text1"/>
          <w:sz w:val="24"/>
          <w:szCs w:val="24"/>
          <w:highlight w:val="none"/>
          <w14:textFill>
            <w14:solidFill>
              <w14:schemeClr w14:val="tx1"/>
            </w14:solidFill>
          </w14:textFill>
        </w:rPr>
        <w:t>(项目名称)投标文件、签订合同和处理有关事宜，其法律后果由我方承担。</w:t>
      </w:r>
    </w:p>
    <w:p w14:paraId="4CB92850">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代理人无转委托权。</w:t>
      </w:r>
    </w:p>
    <w:p w14:paraId="1A4671E5">
      <w:pPr>
        <w:spacing w:before="468" w:line="360" w:lineRule="auto"/>
        <w:ind w:firstLine="3373" w:firstLineChars="1400"/>
        <w:rPr>
          <w:rFonts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投 标 人：</w:t>
      </w:r>
      <w:r>
        <w:rPr>
          <w:rFonts w:hint="eastAsia" w:ascii="宋体" w:hAnsi="宋体" w:cs="宋体"/>
          <w:b/>
          <w:color w:val="000000" w:themeColor="text1"/>
          <w:sz w:val="24"/>
          <w:szCs w:val="24"/>
          <w:highlight w:val="none"/>
          <w:u w:val="single"/>
          <w14:textFill>
            <w14:solidFill>
              <w14:schemeClr w14:val="tx1"/>
            </w14:solidFill>
          </w14:textFill>
        </w:rPr>
        <w:t xml:space="preserve">                        </w:t>
      </w:r>
      <w:r>
        <w:rPr>
          <w:rFonts w:hint="eastAsia" w:ascii="宋体" w:hAnsi="宋体" w:cs="宋体"/>
          <w:b/>
          <w:color w:val="000000" w:themeColor="text1"/>
          <w:sz w:val="24"/>
          <w:szCs w:val="24"/>
          <w:highlight w:val="none"/>
          <w14:textFill>
            <w14:solidFill>
              <w14:schemeClr w14:val="tx1"/>
            </w14:solidFill>
          </w14:textFill>
        </w:rPr>
        <w:t>(电子签章)</w:t>
      </w:r>
    </w:p>
    <w:p w14:paraId="20CBC9E0">
      <w:pPr>
        <w:spacing w:before="468" w:line="360" w:lineRule="auto"/>
        <w:ind w:firstLine="3373" w:firstLineChars="1400"/>
        <w:rPr>
          <w:rFonts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法定代表人(单位负责人)：</w:t>
      </w:r>
      <w:r>
        <w:rPr>
          <w:rFonts w:hint="eastAsia" w:ascii="宋体" w:hAnsi="宋体" w:cs="宋体"/>
          <w:b/>
          <w:color w:val="000000" w:themeColor="text1"/>
          <w:sz w:val="24"/>
          <w:szCs w:val="24"/>
          <w:highlight w:val="none"/>
          <w:u w:val="single"/>
          <w14:textFill>
            <w14:solidFill>
              <w14:schemeClr w14:val="tx1"/>
            </w14:solidFill>
          </w14:textFill>
        </w:rPr>
        <w:t xml:space="preserve">           </w:t>
      </w:r>
      <w:r>
        <w:rPr>
          <w:rFonts w:hint="eastAsia" w:ascii="宋体" w:hAnsi="宋体" w:cs="宋体"/>
          <w:b/>
          <w:color w:val="000000" w:themeColor="text1"/>
          <w:sz w:val="24"/>
          <w:szCs w:val="24"/>
          <w:highlight w:val="none"/>
          <w14:textFill>
            <w14:solidFill>
              <w14:schemeClr w14:val="tx1"/>
            </w14:solidFill>
          </w14:textFill>
        </w:rPr>
        <w:t>(电子签章或签字)</w:t>
      </w:r>
    </w:p>
    <w:p w14:paraId="0A1F50DE">
      <w:pPr>
        <w:autoSpaceDE w:val="0"/>
        <w:autoSpaceDN w:val="0"/>
        <w:adjustRightInd w:val="0"/>
        <w:spacing w:line="360" w:lineRule="auto"/>
        <w:ind w:firstLine="3373" w:firstLineChars="1400"/>
        <w:rPr>
          <w:rFonts w:ascii="宋体" w:hAnsi="宋体" w:cs="宋体"/>
          <w:b/>
          <w:bCs/>
          <w:color w:val="000000" w:themeColor="text1"/>
          <w:sz w:val="24"/>
          <w:szCs w:val="24"/>
          <w:highlight w:val="none"/>
          <w:u w:val="singl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身份证号码：</w:t>
      </w:r>
      <w:r>
        <w:rPr>
          <w:rFonts w:hint="eastAsia" w:ascii="宋体" w:hAnsi="宋体" w:cs="宋体"/>
          <w:b/>
          <w:bCs/>
          <w:color w:val="000000" w:themeColor="text1"/>
          <w:sz w:val="24"/>
          <w:szCs w:val="24"/>
          <w:highlight w:val="none"/>
          <w:u w:val="single"/>
          <w14:textFill>
            <w14:solidFill>
              <w14:schemeClr w14:val="tx1"/>
            </w14:solidFill>
          </w14:textFill>
        </w:rPr>
        <w:t xml:space="preserve">                            </w:t>
      </w:r>
    </w:p>
    <w:p w14:paraId="00E19EF9">
      <w:pPr>
        <w:spacing w:before="468" w:line="360" w:lineRule="auto"/>
        <w:ind w:firstLine="3373" w:firstLineChars="1400"/>
        <w:rPr>
          <w:rFonts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委托代理人：</w:t>
      </w:r>
      <w:r>
        <w:rPr>
          <w:rFonts w:hint="eastAsia" w:ascii="宋体" w:hAnsi="宋体" w:cs="宋体"/>
          <w:b/>
          <w:color w:val="000000" w:themeColor="text1"/>
          <w:sz w:val="24"/>
          <w:szCs w:val="24"/>
          <w:highlight w:val="none"/>
          <w:u w:val="single"/>
          <w14:textFill>
            <w14:solidFill>
              <w14:schemeClr w14:val="tx1"/>
            </w14:solidFill>
          </w14:textFill>
        </w:rPr>
        <w:t xml:space="preserve">                            </w:t>
      </w:r>
    </w:p>
    <w:p w14:paraId="53609323">
      <w:pPr>
        <w:autoSpaceDE w:val="0"/>
        <w:autoSpaceDN w:val="0"/>
        <w:adjustRightInd w:val="0"/>
        <w:spacing w:line="360" w:lineRule="auto"/>
        <w:ind w:firstLine="3373" w:firstLineChars="1400"/>
        <w:rPr>
          <w:rFonts w:ascii="宋体" w:hAnsi="宋体" w:cs="宋体"/>
          <w:color w:val="000000" w:themeColor="text1"/>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身份证号码：</w:t>
      </w:r>
      <w:r>
        <w:rPr>
          <w:rFonts w:hint="eastAsia" w:ascii="宋体" w:hAnsi="宋体" w:cs="宋体"/>
          <w:b/>
          <w:bCs/>
          <w:color w:val="000000" w:themeColor="text1"/>
          <w:sz w:val="24"/>
          <w:highlight w:val="none"/>
          <w:u w:val="single"/>
          <w14:textFill>
            <w14:solidFill>
              <w14:schemeClr w14:val="tx1"/>
            </w14:solidFill>
          </w14:textFill>
        </w:rPr>
        <w:t xml:space="preserve">                            </w:t>
      </w:r>
    </w:p>
    <w:p w14:paraId="5E3C811F">
      <w:pPr>
        <w:spacing w:before="468" w:line="360" w:lineRule="auto"/>
        <w:ind w:firstLine="3373" w:firstLineChars="1400"/>
        <w:rPr>
          <w:rFonts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日期：</w:t>
      </w:r>
      <w:r>
        <w:rPr>
          <w:rFonts w:hint="eastAsia" w:ascii="宋体" w:hAnsi="宋体" w:cs="宋体"/>
          <w:b/>
          <w:color w:val="000000" w:themeColor="text1"/>
          <w:sz w:val="24"/>
          <w:szCs w:val="24"/>
          <w:highlight w:val="none"/>
          <w:u w:val="single"/>
          <w14:textFill>
            <w14:solidFill>
              <w14:schemeClr w14:val="tx1"/>
            </w14:solidFill>
          </w14:textFill>
        </w:rPr>
        <w:t xml:space="preserve">       </w:t>
      </w:r>
      <w:r>
        <w:rPr>
          <w:rFonts w:hint="eastAsia" w:ascii="宋体" w:hAnsi="宋体" w:cs="宋体"/>
          <w:b/>
          <w:color w:val="000000" w:themeColor="text1"/>
          <w:sz w:val="24"/>
          <w:szCs w:val="24"/>
          <w:highlight w:val="none"/>
          <w14:textFill>
            <w14:solidFill>
              <w14:schemeClr w14:val="tx1"/>
            </w14:solidFill>
          </w14:textFill>
        </w:rPr>
        <w:t>年</w:t>
      </w:r>
      <w:r>
        <w:rPr>
          <w:rFonts w:hint="eastAsia" w:ascii="宋体" w:hAnsi="宋体" w:cs="宋体"/>
          <w:b/>
          <w:color w:val="000000" w:themeColor="text1"/>
          <w:sz w:val="24"/>
          <w:szCs w:val="24"/>
          <w:highlight w:val="none"/>
          <w:u w:val="single"/>
          <w14:textFill>
            <w14:solidFill>
              <w14:schemeClr w14:val="tx1"/>
            </w14:solidFill>
          </w14:textFill>
        </w:rPr>
        <w:t xml:space="preserve">    </w:t>
      </w:r>
      <w:r>
        <w:rPr>
          <w:rFonts w:hint="eastAsia" w:ascii="宋体" w:hAnsi="宋体" w:cs="宋体"/>
          <w:b/>
          <w:color w:val="000000" w:themeColor="text1"/>
          <w:sz w:val="24"/>
          <w:szCs w:val="24"/>
          <w:highlight w:val="none"/>
          <w14:textFill>
            <w14:solidFill>
              <w14:schemeClr w14:val="tx1"/>
            </w14:solidFill>
          </w14:textFill>
        </w:rPr>
        <w:t>月</w:t>
      </w:r>
      <w:r>
        <w:rPr>
          <w:rFonts w:hint="eastAsia" w:ascii="宋体" w:hAnsi="宋体" w:cs="宋体"/>
          <w:b/>
          <w:color w:val="000000" w:themeColor="text1"/>
          <w:sz w:val="24"/>
          <w:szCs w:val="24"/>
          <w:highlight w:val="none"/>
          <w:u w:val="single"/>
          <w14:textFill>
            <w14:solidFill>
              <w14:schemeClr w14:val="tx1"/>
            </w14:solidFill>
          </w14:textFill>
        </w:rPr>
        <w:t xml:space="preserve">    </w:t>
      </w:r>
      <w:r>
        <w:rPr>
          <w:rFonts w:hint="eastAsia" w:ascii="宋体" w:hAnsi="宋体" w:cs="宋体"/>
          <w:b/>
          <w:color w:val="000000" w:themeColor="text1"/>
          <w:sz w:val="24"/>
          <w:szCs w:val="24"/>
          <w:highlight w:val="none"/>
          <w14:textFill>
            <w14:solidFill>
              <w14:schemeClr w14:val="tx1"/>
            </w14:solidFill>
          </w14:textFill>
        </w:rPr>
        <w:t>日</w:t>
      </w:r>
    </w:p>
    <w:p w14:paraId="10CE8017">
      <w:pPr>
        <w:spacing w:line="360" w:lineRule="auto"/>
        <w:ind w:firstLine="482"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注：</w:t>
      </w:r>
      <w:r>
        <w:rPr>
          <w:rFonts w:hint="eastAsia" w:ascii="宋体" w:hAnsi="宋体" w:cs="宋体"/>
          <w:b/>
          <w:color w:val="000000" w:themeColor="text1"/>
          <w:sz w:val="24"/>
          <w:highlight w:val="none"/>
          <w14:textFill>
            <w14:solidFill>
              <w14:schemeClr w14:val="tx1"/>
            </w14:solidFill>
          </w14:textFill>
        </w:rPr>
        <w:t>附授权委托代理人身份证，如由法定代表人亲自签署</w:t>
      </w:r>
      <w:r>
        <w:rPr>
          <w:rFonts w:hint="eastAsia" w:ascii="宋体" w:hAnsi="宋体" w:cs="宋体"/>
          <w:b/>
          <w:bCs/>
          <w:color w:val="000000" w:themeColor="text1"/>
          <w:sz w:val="24"/>
          <w:highlight w:val="none"/>
          <w14:textFill>
            <w14:solidFill>
              <w14:schemeClr w14:val="tx1"/>
            </w14:solidFill>
          </w14:textFill>
        </w:rPr>
        <w:t>投标文件</w:t>
      </w:r>
      <w:r>
        <w:rPr>
          <w:rFonts w:hint="eastAsia" w:ascii="宋体" w:hAnsi="宋体" w:cs="宋体"/>
          <w:b/>
          <w:color w:val="000000" w:themeColor="text1"/>
          <w:sz w:val="24"/>
          <w:highlight w:val="none"/>
          <w14:textFill>
            <w14:solidFill>
              <w14:schemeClr w14:val="tx1"/>
            </w14:solidFill>
          </w14:textFill>
        </w:rPr>
        <w:t>并参与相关活动，则不需要办理授权。如由被授权的代理人签署上述文件，则必须按本格式规定填报并提交授权书，否则被授权的代理人将不被认可。</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56"/>
      </w:tblGrid>
      <w:tr w14:paraId="259DA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6" w:hRule="atLeast"/>
        </w:trPr>
        <w:tc>
          <w:tcPr>
            <w:tcW w:w="9956" w:type="dxa"/>
            <w:vAlign w:val="center"/>
          </w:tcPr>
          <w:p w14:paraId="6C5DFE10">
            <w:pPr>
              <w:widowControl w:val="0"/>
              <w:spacing w:before="312" w:beforeLines="100" w:after="312" w:afterLines="100" w:line="600" w:lineRule="exact"/>
              <w:jc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代理人身份证正反面</w:t>
            </w:r>
          </w:p>
        </w:tc>
      </w:tr>
    </w:tbl>
    <w:p w14:paraId="5CABE2AA">
      <w:pPr>
        <w:spacing w:line="240" w:lineRule="exact"/>
        <w:rPr>
          <w:rFonts w:ascii="宋体" w:hAnsi="宋体" w:cs="宋体"/>
          <w:color w:val="000000" w:themeColor="text1"/>
          <w:sz w:val="28"/>
          <w:szCs w:val="28"/>
          <w:highlight w:val="none"/>
          <w14:textFill>
            <w14:solidFill>
              <w14:schemeClr w14:val="tx1"/>
            </w14:solidFill>
          </w14:textFill>
        </w:rPr>
      </w:pPr>
      <w:bookmarkStart w:id="422" w:name="_Toc26620"/>
      <w:bookmarkEnd w:id="422"/>
      <w:bookmarkStart w:id="423" w:name="_Toc19510"/>
    </w:p>
    <w:p w14:paraId="7BB0B335">
      <w:pPr>
        <w:rPr>
          <w:rFonts w:ascii="宋体" w:hAnsi="宋体" w:cs="宋体"/>
          <w:b/>
          <w:bCs/>
          <w:color w:val="000000" w:themeColor="text1"/>
          <w:sz w:val="28"/>
          <w:szCs w:val="28"/>
          <w:highlight w:val="none"/>
          <w14:textFill>
            <w14:solidFill>
              <w14:schemeClr w14:val="tx1"/>
            </w14:solidFill>
          </w14:textFill>
        </w:rPr>
      </w:pPr>
    </w:p>
    <w:p w14:paraId="274C66B0">
      <w:pPr>
        <w:pStyle w:val="4"/>
        <w:widowControl/>
        <w:autoSpaceDE w:val="0"/>
        <w:spacing w:before="0" w:after="0" w:line="360" w:lineRule="auto"/>
        <w:jc w:val="center"/>
        <w:rPr>
          <w:rFonts w:ascii="宋体" w:hAnsi="宋体" w:cs="宋体"/>
          <w:color w:val="000000" w:themeColor="text1"/>
          <w:sz w:val="28"/>
          <w:szCs w:val="28"/>
          <w:highlight w:val="none"/>
          <w14:textFill>
            <w14:solidFill>
              <w14:schemeClr w14:val="tx1"/>
            </w14:solidFill>
          </w14:textFill>
        </w:rPr>
      </w:pPr>
      <w:bookmarkStart w:id="424" w:name="_Toc114132376"/>
      <w:r>
        <w:rPr>
          <w:rFonts w:hint="eastAsia" w:ascii="宋体" w:hAnsi="宋体" w:cs="宋体"/>
          <w:color w:val="000000" w:themeColor="text1"/>
          <w:sz w:val="28"/>
          <w:szCs w:val="28"/>
          <w:highlight w:val="none"/>
          <w14:textFill>
            <w14:solidFill>
              <w14:schemeClr w14:val="tx1"/>
            </w14:solidFill>
          </w14:textFill>
        </w:rPr>
        <w:br w:type="page"/>
      </w:r>
      <w:bookmarkStart w:id="425" w:name="_Toc11088"/>
      <w:bookmarkStart w:id="426" w:name="_Toc4636"/>
      <w:bookmarkStart w:id="427" w:name="_Toc22485"/>
      <w:r>
        <w:rPr>
          <w:rFonts w:hint="eastAsia" w:ascii="宋体" w:hAnsi="宋体" w:cs="宋体"/>
          <w:color w:val="000000" w:themeColor="text1"/>
          <w:sz w:val="28"/>
          <w:szCs w:val="28"/>
          <w:highlight w:val="none"/>
          <w14:textFill>
            <w14:solidFill>
              <w14:schemeClr w14:val="tx1"/>
            </w14:solidFill>
          </w14:textFill>
        </w:rPr>
        <w:t>六、投标人基本情况表</w:t>
      </w:r>
      <w:bookmarkEnd w:id="423"/>
      <w:bookmarkEnd w:id="424"/>
      <w:bookmarkEnd w:id="425"/>
      <w:bookmarkEnd w:id="426"/>
      <w:bookmarkEnd w:id="427"/>
    </w:p>
    <w:p w14:paraId="75D5CB83">
      <w:pPr>
        <w:rPr>
          <w:rFonts w:ascii="宋体" w:hAnsi="宋体" w:cs="宋体"/>
          <w:color w:val="000000" w:themeColor="text1"/>
          <w:highlight w:val="none"/>
          <w14:textFill>
            <w14:solidFill>
              <w14:schemeClr w14:val="tx1"/>
            </w14:solidFill>
          </w14:textFill>
        </w:rPr>
      </w:pP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9"/>
        <w:gridCol w:w="1350"/>
        <w:gridCol w:w="2721"/>
        <w:gridCol w:w="1404"/>
        <w:gridCol w:w="1982"/>
      </w:tblGrid>
      <w:tr w14:paraId="399D3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2449" w:type="dxa"/>
            <w:tcBorders>
              <w:top w:val="single" w:color="auto" w:sz="4" w:space="0"/>
              <w:left w:val="single" w:color="auto" w:sz="4" w:space="0"/>
              <w:bottom w:val="single" w:color="auto" w:sz="4" w:space="0"/>
              <w:right w:val="single" w:color="auto" w:sz="4" w:space="0"/>
            </w:tcBorders>
            <w:vAlign w:val="center"/>
          </w:tcPr>
          <w:p w14:paraId="6F5C23A5">
            <w:pPr>
              <w:spacing w:line="440" w:lineRule="exact"/>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投标人名称</w:t>
            </w:r>
          </w:p>
        </w:tc>
        <w:tc>
          <w:tcPr>
            <w:tcW w:w="7457" w:type="dxa"/>
            <w:gridSpan w:val="4"/>
            <w:tcBorders>
              <w:top w:val="single" w:color="auto" w:sz="4" w:space="0"/>
              <w:left w:val="nil"/>
              <w:bottom w:val="single" w:color="auto" w:sz="4" w:space="0"/>
              <w:right w:val="single" w:color="auto" w:sz="4" w:space="0"/>
            </w:tcBorders>
            <w:vAlign w:val="center"/>
          </w:tcPr>
          <w:p w14:paraId="0042CCB0">
            <w:pPr>
              <w:spacing w:line="440" w:lineRule="exact"/>
              <w:jc w:val="center"/>
              <w:rPr>
                <w:rFonts w:ascii="宋体" w:hAnsi="宋体" w:cs="宋体"/>
                <w:color w:val="000000" w:themeColor="text1"/>
                <w:sz w:val="24"/>
                <w:szCs w:val="24"/>
                <w:highlight w:val="none"/>
                <w14:textFill>
                  <w14:solidFill>
                    <w14:schemeClr w14:val="tx1"/>
                  </w14:solidFill>
                </w14:textFill>
              </w:rPr>
            </w:pPr>
          </w:p>
        </w:tc>
      </w:tr>
      <w:tr w14:paraId="7446E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2449" w:type="dxa"/>
            <w:tcBorders>
              <w:top w:val="single" w:color="auto" w:sz="4" w:space="0"/>
              <w:left w:val="single" w:color="auto" w:sz="4" w:space="0"/>
              <w:bottom w:val="single" w:color="auto" w:sz="4" w:space="0"/>
              <w:right w:val="single" w:color="auto" w:sz="4" w:space="0"/>
            </w:tcBorders>
            <w:vAlign w:val="center"/>
          </w:tcPr>
          <w:p w14:paraId="49D8E765">
            <w:pPr>
              <w:spacing w:line="440" w:lineRule="exact"/>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注册资金</w:t>
            </w:r>
          </w:p>
        </w:tc>
        <w:tc>
          <w:tcPr>
            <w:tcW w:w="4071" w:type="dxa"/>
            <w:gridSpan w:val="2"/>
            <w:tcBorders>
              <w:top w:val="single" w:color="auto" w:sz="4" w:space="0"/>
              <w:left w:val="nil"/>
              <w:bottom w:val="single" w:color="auto" w:sz="4" w:space="0"/>
              <w:right w:val="single" w:color="auto" w:sz="4" w:space="0"/>
            </w:tcBorders>
            <w:vAlign w:val="center"/>
          </w:tcPr>
          <w:p w14:paraId="26658908">
            <w:pPr>
              <w:spacing w:line="440" w:lineRule="exact"/>
              <w:jc w:val="center"/>
              <w:rPr>
                <w:rFonts w:ascii="宋体" w:hAnsi="宋体" w:cs="宋体"/>
                <w:color w:val="000000" w:themeColor="text1"/>
                <w:sz w:val="24"/>
                <w:szCs w:val="24"/>
                <w:highlight w:val="none"/>
                <w14:textFill>
                  <w14:solidFill>
                    <w14:schemeClr w14:val="tx1"/>
                  </w14:solidFill>
                </w14:textFill>
              </w:rPr>
            </w:pPr>
          </w:p>
        </w:tc>
        <w:tc>
          <w:tcPr>
            <w:tcW w:w="1404" w:type="dxa"/>
            <w:tcBorders>
              <w:top w:val="single" w:color="auto" w:sz="4" w:space="0"/>
              <w:left w:val="nil"/>
              <w:bottom w:val="single" w:color="auto" w:sz="4" w:space="0"/>
              <w:right w:val="single" w:color="auto" w:sz="4" w:space="0"/>
            </w:tcBorders>
            <w:vAlign w:val="center"/>
          </w:tcPr>
          <w:p w14:paraId="332B90C8">
            <w:pPr>
              <w:spacing w:line="440" w:lineRule="exact"/>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成立时间</w:t>
            </w:r>
          </w:p>
        </w:tc>
        <w:tc>
          <w:tcPr>
            <w:tcW w:w="1982" w:type="dxa"/>
            <w:tcBorders>
              <w:top w:val="single" w:color="auto" w:sz="4" w:space="0"/>
              <w:left w:val="nil"/>
              <w:bottom w:val="single" w:color="auto" w:sz="4" w:space="0"/>
              <w:right w:val="single" w:color="auto" w:sz="4" w:space="0"/>
            </w:tcBorders>
            <w:vAlign w:val="center"/>
          </w:tcPr>
          <w:p w14:paraId="70CEDFED">
            <w:pPr>
              <w:spacing w:line="440" w:lineRule="exact"/>
              <w:jc w:val="center"/>
              <w:rPr>
                <w:rFonts w:ascii="宋体" w:hAnsi="宋体" w:cs="宋体"/>
                <w:color w:val="000000" w:themeColor="text1"/>
                <w:sz w:val="24"/>
                <w:szCs w:val="24"/>
                <w:highlight w:val="none"/>
                <w14:textFill>
                  <w14:solidFill>
                    <w14:schemeClr w14:val="tx1"/>
                  </w14:solidFill>
                </w14:textFill>
              </w:rPr>
            </w:pPr>
          </w:p>
        </w:tc>
      </w:tr>
      <w:tr w14:paraId="61713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2449" w:type="dxa"/>
            <w:tcBorders>
              <w:top w:val="single" w:color="auto" w:sz="4" w:space="0"/>
              <w:left w:val="single" w:color="auto" w:sz="4" w:space="0"/>
              <w:bottom w:val="single" w:color="auto" w:sz="4" w:space="0"/>
              <w:right w:val="single" w:color="auto" w:sz="4" w:space="0"/>
            </w:tcBorders>
            <w:vAlign w:val="center"/>
          </w:tcPr>
          <w:p w14:paraId="1C7C8313">
            <w:pPr>
              <w:spacing w:line="440" w:lineRule="exact"/>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注册地址</w:t>
            </w:r>
          </w:p>
        </w:tc>
        <w:tc>
          <w:tcPr>
            <w:tcW w:w="7457" w:type="dxa"/>
            <w:gridSpan w:val="4"/>
            <w:tcBorders>
              <w:top w:val="single" w:color="auto" w:sz="4" w:space="0"/>
              <w:left w:val="nil"/>
              <w:bottom w:val="single" w:color="auto" w:sz="4" w:space="0"/>
              <w:right w:val="single" w:color="auto" w:sz="4" w:space="0"/>
            </w:tcBorders>
            <w:vAlign w:val="center"/>
          </w:tcPr>
          <w:p w14:paraId="68B677C8">
            <w:pPr>
              <w:spacing w:line="440" w:lineRule="exact"/>
              <w:jc w:val="center"/>
              <w:rPr>
                <w:rFonts w:ascii="宋体" w:hAnsi="宋体" w:cs="宋体"/>
                <w:color w:val="000000" w:themeColor="text1"/>
                <w:sz w:val="24"/>
                <w:szCs w:val="24"/>
                <w:highlight w:val="none"/>
                <w14:textFill>
                  <w14:solidFill>
                    <w14:schemeClr w14:val="tx1"/>
                  </w14:solidFill>
                </w14:textFill>
              </w:rPr>
            </w:pPr>
          </w:p>
        </w:tc>
      </w:tr>
      <w:tr w14:paraId="06EDA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2449" w:type="dxa"/>
            <w:tcBorders>
              <w:top w:val="single" w:color="auto" w:sz="4" w:space="0"/>
              <w:left w:val="single" w:color="auto" w:sz="4" w:space="0"/>
              <w:bottom w:val="single" w:color="auto" w:sz="4" w:space="0"/>
              <w:right w:val="single" w:color="auto" w:sz="4" w:space="0"/>
            </w:tcBorders>
            <w:vAlign w:val="center"/>
          </w:tcPr>
          <w:p w14:paraId="5C567DDD">
            <w:pPr>
              <w:spacing w:line="440" w:lineRule="exact"/>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邮政编码</w:t>
            </w:r>
          </w:p>
        </w:tc>
        <w:tc>
          <w:tcPr>
            <w:tcW w:w="4071" w:type="dxa"/>
            <w:gridSpan w:val="2"/>
            <w:tcBorders>
              <w:top w:val="single" w:color="auto" w:sz="4" w:space="0"/>
              <w:left w:val="nil"/>
              <w:bottom w:val="single" w:color="auto" w:sz="4" w:space="0"/>
              <w:right w:val="single" w:color="auto" w:sz="4" w:space="0"/>
            </w:tcBorders>
            <w:vAlign w:val="center"/>
          </w:tcPr>
          <w:p w14:paraId="22654B0E">
            <w:pPr>
              <w:spacing w:line="440" w:lineRule="exact"/>
              <w:jc w:val="center"/>
              <w:rPr>
                <w:rFonts w:ascii="宋体" w:hAnsi="宋体" w:cs="宋体"/>
                <w:color w:val="000000" w:themeColor="text1"/>
                <w:sz w:val="24"/>
                <w:szCs w:val="24"/>
                <w:highlight w:val="none"/>
                <w14:textFill>
                  <w14:solidFill>
                    <w14:schemeClr w14:val="tx1"/>
                  </w14:solidFill>
                </w14:textFill>
              </w:rPr>
            </w:pPr>
          </w:p>
        </w:tc>
        <w:tc>
          <w:tcPr>
            <w:tcW w:w="1404" w:type="dxa"/>
            <w:tcBorders>
              <w:top w:val="single" w:color="auto" w:sz="4" w:space="0"/>
              <w:left w:val="nil"/>
              <w:bottom w:val="single" w:color="auto" w:sz="4" w:space="0"/>
              <w:right w:val="single" w:color="auto" w:sz="4" w:space="0"/>
            </w:tcBorders>
            <w:vAlign w:val="center"/>
          </w:tcPr>
          <w:p w14:paraId="00E25A6C">
            <w:pPr>
              <w:spacing w:line="440" w:lineRule="exact"/>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员工总数</w:t>
            </w:r>
          </w:p>
        </w:tc>
        <w:tc>
          <w:tcPr>
            <w:tcW w:w="1982" w:type="dxa"/>
            <w:tcBorders>
              <w:top w:val="single" w:color="auto" w:sz="4" w:space="0"/>
              <w:left w:val="nil"/>
              <w:bottom w:val="single" w:color="auto" w:sz="4" w:space="0"/>
              <w:right w:val="single" w:color="auto" w:sz="4" w:space="0"/>
            </w:tcBorders>
            <w:vAlign w:val="center"/>
          </w:tcPr>
          <w:p w14:paraId="0E92EADC">
            <w:pPr>
              <w:spacing w:line="440" w:lineRule="exact"/>
              <w:jc w:val="center"/>
              <w:rPr>
                <w:rFonts w:ascii="宋体" w:hAnsi="宋体" w:cs="宋体"/>
                <w:color w:val="000000" w:themeColor="text1"/>
                <w:sz w:val="24"/>
                <w:szCs w:val="24"/>
                <w:highlight w:val="none"/>
                <w14:textFill>
                  <w14:solidFill>
                    <w14:schemeClr w14:val="tx1"/>
                  </w14:solidFill>
                </w14:textFill>
              </w:rPr>
            </w:pPr>
          </w:p>
        </w:tc>
      </w:tr>
      <w:tr w14:paraId="12056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2449" w:type="dxa"/>
            <w:vMerge w:val="restart"/>
            <w:tcBorders>
              <w:top w:val="nil"/>
              <w:left w:val="single" w:color="auto" w:sz="4" w:space="0"/>
              <w:bottom w:val="single" w:color="auto" w:sz="4" w:space="0"/>
              <w:right w:val="single" w:color="auto" w:sz="4" w:space="0"/>
            </w:tcBorders>
            <w:vAlign w:val="center"/>
          </w:tcPr>
          <w:p w14:paraId="20AF7C83">
            <w:pPr>
              <w:spacing w:line="440" w:lineRule="exact"/>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联系方式</w:t>
            </w:r>
          </w:p>
        </w:tc>
        <w:tc>
          <w:tcPr>
            <w:tcW w:w="1350" w:type="dxa"/>
            <w:tcBorders>
              <w:top w:val="single" w:color="auto" w:sz="4" w:space="0"/>
              <w:left w:val="nil"/>
              <w:bottom w:val="single" w:color="auto" w:sz="4" w:space="0"/>
              <w:right w:val="single" w:color="auto" w:sz="4" w:space="0"/>
            </w:tcBorders>
            <w:vAlign w:val="center"/>
          </w:tcPr>
          <w:p w14:paraId="031D41C7">
            <w:pPr>
              <w:spacing w:line="440" w:lineRule="exact"/>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联系人</w:t>
            </w:r>
          </w:p>
        </w:tc>
        <w:tc>
          <w:tcPr>
            <w:tcW w:w="2721" w:type="dxa"/>
            <w:tcBorders>
              <w:top w:val="single" w:color="auto" w:sz="4" w:space="0"/>
              <w:left w:val="nil"/>
              <w:bottom w:val="single" w:color="auto" w:sz="4" w:space="0"/>
              <w:right w:val="single" w:color="auto" w:sz="4" w:space="0"/>
            </w:tcBorders>
            <w:vAlign w:val="center"/>
          </w:tcPr>
          <w:p w14:paraId="7D4A69F3">
            <w:pPr>
              <w:spacing w:line="440" w:lineRule="exact"/>
              <w:jc w:val="center"/>
              <w:rPr>
                <w:rFonts w:ascii="宋体" w:hAnsi="宋体" w:cs="宋体"/>
                <w:color w:val="000000" w:themeColor="text1"/>
                <w:sz w:val="24"/>
                <w:szCs w:val="24"/>
                <w:highlight w:val="none"/>
                <w14:textFill>
                  <w14:solidFill>
                    <w14:schemeClr w14:val="tx1"/>
                  </w14:solidFill>
                </w14:textFill>
              </w:rPr>
            </w:pPr>
          </w:p>
        </w:tc>
        <w:tc>
          <w:tcPr>
            <w:tcW w:w="1404" w:type="dxa"/>
            <w:tcBorders>
              <w:top w:val="single" w:color="auto" w:sz="4" w:space="0"/>
              <w:left w:val="nil"/>
              <w:bottom w:val="single" w:color="auto" w:sz="4" w:space="0"/>
              <w:right w:val="single" w:color="auto" w:sz="4" w:space="0"/>
            </w:tcBorders>
            <w:vAlign w:val="center"/>
          </w:tcPr>
          <w:p w14:paraId="2B689FB6">
            <w:pPr>
              <w:spacing w:line="440" w:lineRule="exact"/>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电话</w:t>
            </w:r>
          </w:p>
        </w:tc>
        <w:tc>
          <w:tcPr>
            <w:tcW w:w="1982" w:type="dxa"/>
            <w:tcBorders>
              <w:top w:val="single" w:color="auto" w:sz="4" w:space="0"/>
              <w:left w:val="nil"/>
              <w:bottom w:val="single" w:color="auto" w:sz="4" w:space="0"/>
              <w:right w:val="single" w:color="auto" w:sz="4" w:space="0"/>
            </w:tcBorders>
            <w:vAlign w:val="center"/>
          </w:tcPr>
          <w:p w14:paraId="336BFF5C">
            <w:pPr>
              <w:spacing w:line="440" w:lineRule="exact"/>
              <w:jc w:val="center"/>
              <w:rPr>
                <w:rFonts w:ascii="宋体" w:hAnsi="宋体" w:cs="宋体"/>
                <w:color w:val="000000" w:themeColor="text1"/>
                <w:sz w:val="24"/>
                <w:szCs w:val="24"/>
                <w:highlight w:val="none"/>
                <w14:textFill>
                  <w14:solidFill>
                    <w14:schemeClr w14:val="tx1"/>
                  </w14:solidFill>
                </w14:textFill>
              </w:rPr>
            </w:pPr>
          </w:p>
        </w:tc>
      </w:tr>
      <w:tr w14:paraId="571CD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2449" w:type="dxa"/>
            <w:vMerge w:val="continue"/>
            <w:tcBorders>
              <w:top w:val="nil"/>
              <w:left w:val="single" w:color="auto" w:sz="4" w:space="0"/>
              <w:bottom w:val="single" w:color="auto" w:sz="4" w:space="0"/>
              <w:right w:val="single" w:color="auto" w:sz="4" w:space="0"/>
            </w:tcBorders>
            <w:vAlign w:val="center"/>
          </w:tcPr>
          <w:p w14:paraId="2AB0CCD2">
            <w:pPr>
              <w:widowControl w:val="0"/>
              <w:jc w:val="both"/>
              <w:rPr>
                <w:rFonts w:ascii="宋体" w:hAnsi="宋体" w:cs="宋体"/>
                <w:color w:val="000000" w:themeColor="text1"/>
                <w:kern w:val="2"/>
                <w:sz w:val="24"/>
                <w:szCs w:val="24"/>
                <w:highlight w:val="none"/>
                <w14:textFill>
                  <w14:solidFill>
                    <w14:schemeClr w14:val="tx1"/>
                  </w14:solidFill>
                </w14:textFill>
              </w:rPr>
            </w:pPr>
          </w:p>
        </w:tc>
        <w:tc>
          <w:tcPr>
            <w:tcW w:w="1350" w:type="dxa"/>
            <w:tcBorders>
              <w:top w:val="single" w:color="auto" w:sz="4" w:space="0"/>
              <w:left w:val="nil"/>
              <w:bottom w:val="single" w:color="auto" w:sz="4" w:space="0"/>
              <w:right w:val="single" w:color="auto" w:sz="4" w:space="0"/>
            </w:tcBorders>
            <w:vAlign w:val="center"/>
          </w:tcPr>
          <w:p w14:paraId="7E08D9D9">
            <w:pPr>
              <w:spacing w:line="440" w:lineRule="exact"/>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网址</w:t>
            </w:r>
          </w:p>
        </w:tc>
        <w:tc>
          <w:tcPr>
            <w:tcW w:w="2721" w:type="dxa"/>
            <w:tcBorders>
              <w:top w:val="single" w:color="auto" w:sz="4" w:space="0"/>
              <w:left w:val="nil"/>
              <w:bottom w:val="single" w:color="auto" w:sz="4" w:space="0"/>
              <w:right w:val="single" w:color="auto" w:sz="4" w:space="0"/>
            </w:tcBorders>
            <w:vAlign w:val="center"/>
          </w:tcPr>
          <w:p w14:paraId="122FC4BF">
            <w:pPr>
              <w:spacing w:line="440" w:lineRule="exact"/>
              <w:jc w:val="center"/>
              <w:rPr>
                <w:rFonts w:ascii="宋体" w:hAnsi="宋体" w:cs="宋体"/>
                <w:color w:val="000000" w:themeColor="text1"/>
                <w:sz w:val="24"/>
                <w:szCs w:val="24"/>
                <w:highlight w:val="none"/>
                <w14:textFill>
                  <w14:solidFill>
                    <w14:schemeClr w14:val="tx1"/>
                  </w14:solidFill>
                </w14:textFill>
              </w:rPr>
            </w:pPr>
          </w:p>
        </w:tc>
        <w:tc>
          <w:tcPr>
            <w:tcW w:w="1404" w:type="dxa"/>
            <w:tcBorders>
              <w:top w:val="single" w:color="auto" w:sz="4" w:space="0"/>
              <w:left w:val="nil"/>
              <w:bottom w:val="single" w:color="auto" w:sz="4" w:space="0"/>
              <w:right w:val="single" w:color="auto" w:sz="4" w:space="0"/>
            </w:tcBorders>
            <w:vAlign w:val="center"/>
          </w:tcPr>
          <w:p w14:paraId="1318E7D3">
            <w:pPr>
              <w:spacing w:line="440" w:lineRule="exact"/>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传真</w:t>
            </w:r>
          </w:p>
        </w:tc>
        <w:tc>
          <w:tcPr>
            <w:tcW w:w="1982" w:type="dxa"/>
            <w:tcBorders>
              <w:top w:val="single" w:color="auto" w:sz="4" w:space="0"/>
              <w:left w:val="nil"/>
              <w:bottom w:val="single" w:color="auto" w:sz="4" w:space="0"/>
              <w:right w:val="single" w:color="auto" w:sz="4" w:space="0"/>
            </w:tcBorders>
            <w:vAlign w:val="center"/>
          </w:tcPr>
          <w:p w14:paraId="68E72085">
            <w:pPr>
              <w:spacing w:line="440" w:lineRule="exact"/>
              <w:jc w:val="center"/>
              <w:rPr>
                <w:rFonts w:ascii="宋体" w:hAnsi="宋体" w:cs="宋体"/>
                <w:color w:val="000000" w:themeColor="text1"/>
                <w:sz w:val="24"/>
                <w:szCs w:val="24"/>
                <w:highlight w:val="none"/>
                <w14:textFill>
                  <w14:solidFill>
                    <w14:schemeClr w14:val="tx1"/>
                  </w14:solidFill>
                </w14:textFill>
              </w:rPr>
            </w:pPr>
          </w:p>
        </w:tc>
      </w:tr>
      <w:tr w14:paraId="6D578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49" w:type="dxa"/>
            <w:tcBorders>
              <w:top w:val="single" w:color="auto" w:sz="4" w:space="0"/>
              <w:left w:val="single" w:color="auto" w:sz="4" w:space="0"/>
              <w:bottom w:val="single" w:color="auto" w:sz="4" w:space="0"/>
              <w:right w:val="single" w:color="auto" w:sz="4" w:space="0"/>
            </w:tcBorders>
            <w:vAlign w:val="center"/>
          </w:tcPr>
          <w:p w14:paraId="278D520D">
            <w:pPr>
              <w:spacing w:line="440" w:lineRule="exact"/>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法定代表人</w:t>
            </w:r>
          </w:p>
          <w:p w14:paraId="7A7AAC47">
            <w:pPr>
              <w:spacing w:line="440" w:lineRule="exact"/>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(单位负责人)</w:t>
            </w:r>
          </w:p>
        </w:tc>
        <w:tc>
          <w:tcPr>
            <w:tcW w:w="1350" w:type="dxa"/>
            <w:tcBorders>
              <w:top w:val="single" w:color="auto" w:sz="4" w:space="0"/>
              <w:left w:val="nil"/>
              <w:bottom w:val="single" w:color="auto" w:sz="4" w:space="0"/>
              <w:right w:val="single" w:color="auto" w:sz="4" w:space="0"/>
            </w:tcBorders>
            <w:vAlign w:val="center"/>
          </w:tcPr>
          <w:p w14:paraId="6FD89A63">
            <w:pPr>
              <w:spacing w:line="440" w:lineRule="exact"/>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姓名</w:t>
            </w:r>
          </w:p>
        </w:tc>
        <w:tc>
          <w:tcPr>
            <w:tcW w:w="2721" w:type="dxa"/>
            <w:tcBorders>
              <w:top w:val="single" w:color="auto" w:sz="4" w:space="0"/>
              <w:left w:val="nil"/>
              <w:bottom w:val="single" w:color="auto" w:sz="4" w:space="0"/>
              <w:right w:val="single" w:color="auto" w:sz="4" w:space="0"/>
            </w:tcBorders>
            <w:vAlign w:val="center"/>
          </w:tcPr>
          <w:p w14:paraId="5BEBC907">
            <w:pPr>
              <w:spacing w:line="440" w:lineRule="exact"/>
              <w:jc w:val="center"/>
              <w:rPr>
                <w:rFonts w:ascii="宋体" w:hAnsi="宋体" w:cs="宋体"/>
                <w:color w:val="000000" w:themeColor="text1"/>
                <w:sz w:val="24"/>
                <w:szCs w:val="24"/>
                <w:highlight w:val="none"/>
                <w14:textFill>
                  <w14:solidFill>
                    <w14:schemeClr w14:val="tx1"/>
                  </w14:solidFill>
                </w14:textFill>
              </w:rPr>
            </w:pPr>
          </w:p>
        </w:tc>
        <w:tc>
          <w:tcPr>
            <w:tcW w:w="1404" w:type="dxa"/>
            <w:tcBorders>
              <w:top w:val="single" w:color="auto" w:sz="4" w:space="0"/>
              <w:left w:val="nil"/>
              <w:bottom w:val="single" w:color="auto" w:sz="4" w:space="0"/>
              <w:right w:val="single" w:color="auto" w:sz="4" w:space="0"/>
            </w:tcBorders>
            <w:vAlign w:val="center"/>
          </w:tcPr>
          <w:p w14:paraId="3B70A0FC">
            <w:pPr>
              <w:spacing w:line="440" w:lineRule="exact"/>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电话</w:t>
            </w:r>
          </w:p>
        </w:tc>
        <w:tc>
          <w:tcPr>
            <w:tcW w:w="1982" w:type="dxa"/>
            <w:tcBorders>
              <w:top w:val="single" w:color="auto" w:sz="4" w:space="0"/>
              <w:left w:val="nil"/>
              <w:bottom w:val="single" w:color="auto" w:sz="4" w:space="0"/>
              <w:right w:val="single" w:color="auto" w:sz="4" w:space="0"/>
            </w:tcBorders>
            <w:vAlign w:val="center"/>
          </w:tcPr>
          <w:p w14:paraId="4E4C6BF0">
            <w:pPr>
              <w:spacing w:line="440" w:lineRule="exact"/>
              <w:jc w:val="center"/>
              <w:rPr>
                <w:rFonts w:ascii="宋体" w:hAnsi="宋体" w:cs="宋体"/>
                <w:color w:val="000000" w:themeColor="text1"/>
                <w:sz w:val="24"/>
                <w:szCs w:val="24"/>
                <w:highlight w:val="none"/>
                <w14:textFill>
                  <w14:solidFill>
                    <w14:schemeClr w14:val="tx1"/>
                  </w14:solidFill>
                </w14:textFill>
              </w:rPr>
            </w:pPr>
          </w:p>
        </w:tc>
      </w:tr>
      <w:tr w14:paraId="0EB11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3" w:hRule="atLeast"/>
          <w:jc w:val="center"/>
        </w:trPr>
        <w:tc>
          <w:tcPr>
            <w:tcW w:w="2449" w:type="dxa"/>
            <w:tcBorders>
              <w:top w:val="single" w:color="auto" w:sz="4" w:space="0"/>
              <w:left w:val="single" w:color="auto" w:sz="4" w:space="0"/>
              <w:bottom w:val="single" w:color="auto" w:sz="4" w:space="0"/>
              <w:right w:val="single" w:color="auto" w:sz="4" w:space="0"/>
            </w:tcBorders>
            <w:vAlign w:val="center"/>
          </w:tcPr>
          <w:p w14:paraId="57DC6080">
            <w:pPr>
              <w:spacing w:line="440" w:lineRule="exact"/>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投标人须知要求投标人需具有的各类资质证书(若有)</w:t>
            </w:r>
          </w:p>
        </w:tc>
        <w:tc>
          <w:tcPr>
            <w:tcW w:w="7457" w:type="dxa"/>
            <w:gridSpan w:val="4"/>
            <w:tcBorders>
              <w:top w:val="single" w:color="auto" w:sz="4" w:space="0"/>
              <w:left w:val="nil"/>
              <w:bottom w:val="single" w:color="auto" w:sz="4" w:space="0"/>
              <w:right w:val="single" w:color="auto" w:sz="4" w:space="0"/>
            </w:tcBorders>
            <w:vAlign w:val="center"/>
          </w:tcPr>
          <w:p w14:paraId="17A0A2B3">
            <w:pPr>
              <w:spacing w:line="440" w:lineRule="exac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类型：                等级：                 证书号：</w:t>
            </w:r>
          </w:p>
        </w:tc>
      </w:tr>
      <w:tr w14:paraId="441F9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2449" w:type="dxa"/>
            <w:tcBorders>
              <w:top w:val="single" w:color="auto" w:sz="4" w:space="0"/>
              <w:left w:val="single" w:color="auto" w:sz="4" w:space="0"/>
              <w:bottom w:val="single" w:color="auto" w:sz="4" w:space="0"/>
              <w:right w:val="single" w:color="auto" w:sz="4" w:space="0"/>
            </w:tcBorders>
            <w:vAlign w:val="center"/>
          </w:tcPr>
          <w:p w14:paraId="16DF1854">
            <w:pPr>
              <w:spacing w:line="440" w:lineRule="exact"/>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基本账户开户银行</w:t>
            </w:r>
          </w:p>
        </w:tc>
        <w:tc>
          <w:tcPr>
            <w:tcW w:w="7457" w:type="dxa"/>
            <w:gridSpan w:val="4"/>
            <w:tcBorders>
              <w:top w:val="single" w:color="auto" w:sz="4" w:space="0"/>
              <w:left w:val="nil"/>
              <w:bottom w:val="single" w:color="auto" w:sz="4" w:space="0"/>
              <w:right w:val="single" w:color="auto" w:sz="4" w:space="0"/>
            </w:tcBorders>
            <w:vAlign w:val="center"/>
          </w:tcPr>
          <w:p w14:paraId="2EE83BC1">
            <w:pPr>
              <w:spacing w:line="440" w:lineRule="exact"/>
              <w:jc w:val="center"/>
              <w:rPr>
                <w:rFonts w:ascii="宋体" w:hAnsi="宋体" w:cs="宋体"/>
                <w:color w:val="000000" w:themeColor="text1"/>
                <w:sz w:val="24"/>
                <w:szCs w:val="24"/>
                <w:highlight w:val="none"/>
                <w14:textFill>
                  <w14:solidFill>
                    <w14:schemeClr w14:val="tx1"/>
                  </w14:solidFill>
                </w14:textFill>
              </w:rPr>
            </w:pPr>
          </w:p>
        </w:tc>
      </w:tr>
      <w:tr w14:paraId="247C3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2449" w:type="dxa"/>
            <w:tcBorders>
              <w:top w:val="single" w:color="auto" w:sz="4" w:space="0"/>
              <w:left w:val="single" w:color="auto" w:sz="4" w:space="0"/>
              <w:bottom w:val="single" w:color="auto" w:sz="4" w:space="0"/>
              <w:right w:val="single" w:color="auto" w:sz="4" w:space="0"/>
            </w:tcBorders>
            <w:vAlign w:val="center"/>
          </w:tcPr>
          <w:p w14:paraId="7BE08D22">
            <w:pPr>
              <w:spacing w:line="440" w:lineRule="exact"/>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基本账户银行账号</w:t>
            </w:r>
          </w:p>
        </w:tc>
        <w:tc>
          <w:tcPr>
            <w:tcW w:w="7457" w:type="dxa"/>
            <w:gridSpan w:val="4"/>
            <w:tcBorders>
              <w:top w:val="single" w:color="auto" w:sz="4" w:space="0"/>
              <w:left w:val="nil"/>
              <w:bottom w:val="single" w:color="auto" w:sz="4" w:space="0"/>
              <w:right w:val="single" w:color="auto" w:sz="4" w:space="0"/>
            </w:tcBorders>
            <w:vAlign w:val="center"/>
          </w:tcPr>
          <w:p w14:paraId="7B45E4D2">
            <w:pPr>
              <w:spacing w:line="440" w:lineRule="exact"/>
              <w:jc w:val="center"/>
              <w:rPr>
                <w:rFonts w:ascii="宋体" w:hAnsi="宋体" w:cs="宋体"/>
                <w:color w:val="000000" w:themeColor="text1"/>
                <w:sz w:val="24"/>
                <w:szCs w:val="24"/>
                <w:highlight w:val="none"/>
                <w14:textFill>
                  <w14:solidFill>
                    <w14:schemeClr w14:val="tx1"/>
                  </w14:solidFill>
                </w14:textFill>
              </w:rPr>
            </w:pPr>
          </w:p>
        </w:tc>
      </w:tr>
      <w:tr w14:paraId="4E220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1" w:hRule="atLeast"/>
          <w:jc w:val="center"/>
        </w:trPr>
        <w:tc>
          <w:tcPr>
            <w:tcW w:w="2449" w:type="dxa"/>
            <w:tcBorders>
              <w:top w:val="single" w:color="auto" w:sz="4" w:space="0"/>
              <w:left w:val="single" w:color="auto" w:sz="4" w:space="0"/>
              <w:bottom w:val="single" w:color="auto" w:sz="4" w:space="0"/>
              <w:right w:val="single" w:color="auto" w:sz="4" w:space="0"/>
            </w:tcBorders>
            <w:vAlign w:val="center"/>
          </w:tcPr>
          <w:p w14:paraId="5EFACCC5">
            <w:pPr>
              <w:spacing w:line="440" w:lineRule="exact"/>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投标人关联企业情况(包括但不限于与投标人法定代表人(单位负责人)为同一人或者存在控股、管理关系的不同单位)</w:t>
            </w:r>
          </w:p>
        </w:tc>
        <w:tc>
          <w:tcPr>
            <w:tcW w:w="7457" w:type="dxa"/>
            <w:gridSpan w:val="4"/>
            <w:tcBorders>
              <w:top w:val="single" w:color="auto" w:sz="4" w:space="0"/>
              <w:left w:val="nil"/>
              <w:bottom w:val="single" w:color="auto" w:sz="4" w:space="0"/>
              <w:right w:val="single" w:color="auto" w:sz="4" w:space="0"/>
            </w:tcBorders>
            <w:vAlign w:val="center"/>
          </w:tcPr>
          <w:p w14:paraId="192DE830">
            <w:pPr>
              <w:spacing w:line="440" w:lineRule="exact"/>
              <w:jc w:val="center"/>
              <w:rPr>
                <w:rFonts w:ascii="宋体" w:hAnsi="宋体" w:cs="宋体"/>
                <w:color w:val="000000" w:themeColor="text1"/>
                <w:sz w:val="24"/>
                <w:szCs w:val="24"/>
                <w:highlight w:val="none"/>
                <w14:textFill>
                  <w14:solidFill>
                    <w14:schemeClr w14:val="tx1"/>
                  </w14:solidFill>
                </w14:textFill>
              </w:rPr>
            </w:pPr>
          </w:p>
        </w:tc>
      </w:tr>
      <w:tr w14:paraId="534F7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449" w:type="dxa"/>
            <w:tcBorders>
              <w:top w:val="single" w:color="auto" w:sz="4" w:space="0"/>
              <w:left w:val="single" w:color="auto" w:sz="4" w:space="0"/>
              <w:bottom w:val="single" w:color="auto" w:sz="4" w:space="0"/>
              <w:right w:val="single" w:color="auto" w:sz="4" w:space="0"/>
            </w:tcBorders>
            <w:vAlign w:val="center"/>
          </w:tcPr>
          <w:p w14:paraId="668EAF77">
            <w:pPr>
              <w:spacing w:line="440" w:lineRule="exact"/>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备注</w:t>
            </w:r>
          </w:p>
        </w:tc>
        <w:tc>
          <w:tcPr>
            <w:tcW w:w="7457" w:type="dxa"/>
            <w:gridSpan w:val="4"/>
            <w:tcBorders>
              <w:top w:val="single" w:color="auto" w:sz="4" w:space="0"/>
              <w:left w:val="nil"/>
              <w:bottom w:val="single" w:color="auto" w:sz="4" w:space="0"/>
              <w:right w:val="single" w:color="auto" w:sz="4" w:space="0"/>
            </w:tcBorders>
            <w:vAlign w:val="center"/>
          </w:tcPr>
          <w:p w14:paraId="18D4515C">
            <w:pPr>
              <w:spacing w:line="440" w:lineRule="exact"/>
              <w:jc w:val="center"/>
              <w:rPr>
                <w:rFonts w:ascii="宋体" w:hAnsi="宋体" w:cs="宋体"/>
                <w:color w:val="000000" w:themeColor="text1"/>
                <w:sz w:val="24"/>
                <w:szCs w:val="24"/>
                <w:highlight w:val="none"/>
                <w14:textFill>
                  <w14:solidFill>
                    <w14:schemeClr w14:val="tx1"/>
                  </w14:solidFill>
                </w14:textFill>
              </w:rPr>
            </w:pPr>
          </w:p>
        </w:tc>
      </w:tr>
    </w:tbl>
    <w:p w14:paraId="6CAAB020">
      <w:pPr>
        <w:spacing w:line="240" w:lineRule="exact"/>
        <w:rPr>
          <w:rFonts w:ascii="宋体" w:hAnsi="宋体" w:cs="宋体"/>
          <w:color w:val="000000" w:themeColor="text1"/>
          <w:sz w:val="24"/>
          <w:szCs w:val="24"/>
          <w:highlight w:val="none"/>
          <w14:textFill>
            <w14:solidFill>
              <w14:schemeClr w14:val="tx1"/>
            </w14:solidFill>
          </w14:textFill>
        </w:rPr>
      </w:pPr>
    </w:p>
    <w:p w14:paraId="2C5C552B">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注：投标人应根据招标文件要求在本表后附相关证明材料，如营业执照、资质证书(若有)、开户许可证或基本存款账户信息等。</w:t>
      </w:r>
    </w:p>
    <w:p w14:paraId="2114D65C">
      <w:pPr>
        <w:pStyle w:val="4"/>
        <w:widowControl/>
        <w:autoSpaceDE w:val="0"/>
        <w:spacing w:before="0" w:after="0" w:line="360" w:lineRule="auto"/>
        <w:jc w:val="center"/>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br w:type="page"/>
      </w:r>
      <w:bookmarkStart w:id="428" w:name="_Toc25271"/>
      <w:bookmarkEnd w:id="428"/>
      <w:bookmarkStart w:id="429" w:name="_Toc28425"/>
      <w:bookmarkStart w:id="430" w:name="_Toc7110"/>
      <w:bookmarkStart w:id="431" w:name="_Toc7585"/>
      <w:bookmarkStart w:id="432" w:name="_Toc25087"/>
      <w:bookmarkStart w:id="433" w:name="_Toc114132377"/>
      <w:r>
        <w:rPr>
          <w:rFonts w:hint="eastAsia" w:ascii="宋体" w:hAnsi="宋体" w:cs="宋体"/>
          <w:color w:val="000000" w:themeColor="text1"/>
          <w:sz w:val="28"/>
          <w:szCs w:val="28"/>
          <w:highlight w:val="none"/>
          <w14:textFill>
            <w14:solidFill>
              <w14:schemeClr w14:val="tx1"/>
            </w14:solidFill>
          </w14:textFill>
        </w:rPr>
        <w:t>七、商务条款偏离表</w:t>
      </w:r>
      <w:bookmarkEnd w:id="429"/>
      <w:bookmarkEnd w:id="430"/>
      <w:bookmarkEnd w:id="431"/>
      <w:bookmarkEnd w:id="432"/>
      <w:bookmarkEnd w:id="433"/>
    </w:p>
    <w:p w14:paraId="00CB7FC9">
      <w:pPr>
        <w:rPr>
          <w:rFonts w:ascii="宋体" w:hAnsi="宋体" w:cs="宋体"/>
          <w:color w:val="000000" w:themeColor="text1"/>
          <w:highlight w:val="none"/>
          <w14:textFill>
            <w14:solidFill>
              <w14:schemeClr w14:val="tx1"/>
            </w14:solidFill>
          </w14:textFill>
        </w:rPr>
      </w:pPr>
      <w:bookmarkStart w:id="434" w:name="_Toc23543"/>
      <w:bookmarkEnd w:id="434"/>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8"/>
        <w:gridCol w:w="2772"/>
        <w:gridCol w:w="3869"/>
        <w:gridCol w:w="1930"/>
        <w:gridCol w:w="836"/>
        <w:gridCol w:w="667"/>
      </w:tblGrid>
      <w:tr w14:paraId="2E718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8" w:type="dxa"/>
            <w:tcBorders>
              <w:top w:val="single" w:color="auto" w:sz="4" w:space="0"/>
              <w:left w:val="single" w:color="auto" w:sz="4" w:space="0"/>
              <w:bottom w:val="single" w:color="auto" w:sz="4" w:space="0"/>
              <w:right w:val="single" w:color="auto" w:sz="4" w:space="0"/>
            </w:tcBorders>
            <w:vAlign w:val="center"/>
          </w:tcPr>
          <w:p w14:paraId="4609651C">
            <w:pPr>
              <w:spacing w:line="400" w:lineRule="exact"/>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序 号</w:t>
            </w:r>
          </w:p>
        </w:tc>
        <w:tc>
          <w:tcPr>
            <w:tcW w:w="2772" w:type="dxa"/>
            <w:tcBorders>
              <w:top w:val="single" w:color="auto" w:sz="4" w:space="0"/>
              <w:left w:val="nil"/>
              <w:bottom w:val="single" w:color="auto" w:sz="4" w:space="0"/>
              <w:right w:val="single" w:color="auto" w:sz="4" w:space="0"/>
            </w:tcBorders>
            <w:vAlign w:val="center"/>
          </w:tcPr>
          <w:p w14:paraId="053872DA">
            <w:pPr>
              <w:spacing w:line="400" w:lineRule="exact"/>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招标文件条款号</w:t>
            </w:r>
          </w:p>
        </w:tc>
        <w:tc>
          <w:tcPr>
            <w:tcW w:w="3869" w:type="dxa"/>
            <w:tcBorders>
              <w:top w:val="single" w:color="auto" w:sz="4" w:space="0"/>
              <w:left w:val="nil"/>
              <w:bottom w:val="single" w:color="auto" w:sz="4" w:space="0"/>
              <w:right w:val="single" w:color="auto" w:sz="4" w:space="0"/>
            </w:tcBorders>
            <w:vAlign w:val="center"/>
          </w:tcPr>
          <w:p w14:paraId="15297F9B">
            <w:pPr>
              <w:spacing w:line="400" w:lineRule="exact"/>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招标文件的商务条款内容</w:t>
            </w:r>
          </w:p>
        </w:tc>
        <w:tc>
          <w:tcPr>
            <w:tcW w:w="1930" w:type="dxa"/>
            <w:tcBorders>
              <w:top w:val="single" w:color="auto" w:sz="4" w:space="0"/>
              <w:left w:val="nil"/>
              <w:bottom w:val="single" w:color="auto" w:sz="4" w:space="0"/>
              <w:right w:val="single" w:color="auto" w:sz="4" w:space="0"/>
            </w:tcBorders>
            <w:vAlign w:val="center"/>
          </w:tcPr>
          <w:p w14:paraId="60812531">
            <w:pPr>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投标文件的商务条款响应情况</w:t>
            </w:r>
          </w:p>
        </w:tc>
        <w:tc>
          <w:tcPr>
            <w:tcW w:w="836" w:type="dxa"/>
            <w:tcBorders>
              <w:top w:val="single" w:color="auto" w:sz="4" w:space="0"/>
              <w:left w:val="nil"/>
              <w:bottom w:val="single" w:color="auto" w:sz="4" w:space="0"/>
              <w:right w:val="single" w:color="auto" w:sz="4" w:space="0"/>
            </w:tcBorders>
            <w:vAlign w:val="center"/>
          </w:tcPr>
          <w:p w14:paraId="41D4C0C2">
            <w:pPr>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偏离情况</w:t>
            </w:r>
          </w:p>
        </w:tc>
        <w:tc>
          <w:tcPr>
            <w:tcW w:w="667" w:type="dxa"/>
            <w:tcBorders>
              <w:top w:val="single" w:color="auto" w:sz="4" w:space="0"/>
              <w:left w:val="nil"/>
              <w:bottom w:val="single" w:color="auto" w:sz="4" w:space="0"/>
              <w:right w:val="single" w:color="auto" w:sz="4" w:space="0"/>
            </w:tcBorders>
            <w:vAlign w:val="center"/>
          </w:tcPr>
          <w:p w14:paraId="125EF7F3">
            <w:pPr>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说明</w:t>
            </w:r>
          </w:p>
        </w:tc>
      </w:tr>
      <w:tr w14:paraId="00E34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8" w:type="dxa"/>
            <w:tcBorders>
              <w:top w:val="single" w:color="auto" w:sz="4" w:space="0"/>
              <w:left w:val="single" w:color="auto" w:sz="4" w:space="0"/>
              <w:bottom w:val="single" w:color="auto" w:sz="4" w:space="0"/>
              <w:right w:val="single" w:color="auto" w:sz="4" w:space="0"/>
            </w:tcBorders>
            <w:vAlign w:val="center"/>
          </w:tcPr>
          <w:p w14:paraId="06194DB8">
            <w:pPr>
              <w:spacing w:line="320" w:lineRule="exact"/>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tc>
        <w:tc>
          <w:tcPr>
            <w:tcW w:w="2772" w:type="dxa"/>
            <w:tcBorders>
              <w:top w:val="single" w:color="auto" w:sz="4" w:space="0"/>
              <w:left w:val="nil"/>
              <w:bottom w:val="single" w:color="auto" w:sz="4" w:space="0"/>
              <w:right w:val="single" w:color="auto" w:sz="4" w:space="0"/>
            </w:tcBorders>
            <w:vAlign w:val="center"/>
          </w:tcPr>
          <w:p w14:paraId="38B5B717">
            <w:pPr>
              <w:spacing w:line="320" w:lineRule="exact"/>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第二章 “投标人须知前附表”第1.3.2款</w:t>
            </w:r>
          </w:p>
        </w:tc>
        <w:tc>
          <w:tcPr>
            <w:tcW w:w="3869" w:type="dxa"/>
            <w:tcBorders>
              <w:top w:val="single" w:color="auto" w:sz="4" w:space="0"/>
              <w:left w:val="nil"/>
              <w:bottom w:val="single" w:color="auto" w:sz="4" w:space="0"/>
              <w:right w:val="single" w:color="auto" w:sz="4" w:space="0"/>
            </w:tcBorders>
            <w:vAlign w:val="center"/>
          </w:tcPr>
          <w:p w14:paraId="05D52FAF">
            <w:pPr>
              <w:widowControl w:val="0"/>
              <w:spacing w:line="320" w:lineRule="exact"/>
              <w:jc w:val="both"/>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服务时间：</w:t>
            </w:r>
            <w:r>
              <w:rPr>
                <w:rFonts w:hint="eastAsia" w:ascii="宋体" w:hAnsi="宋体" w:cs="宋体"/>
                <w:color w:val="000000" w:themeColor="text1"/>
                <w:kern w:val="2"/>
                <w:sz w:val="24"/>
                <w:szCs w:val="24"/>
                <w:highlight w:val="none"/>
                <w14:textFill>
                  <w14:solidFill>
                    <w14:schemeClr w14:val="tx1"/>
                  </w14:solidFill>
                </w14:textFill>
              </w:rPr>
              <w:t>合同签订之日起至活动结束</w:t>
            </w:r>
            <w:r>
              <w:rPr>
                <w:rFonts w:hint="eastAsia" w:ascii="宋体" w:hAnsi="宋体" w:cs="宋体"/>
                <w:color w:val="000000" w:themeColor="text1"/>
                <w:kern w:val="2"/>
                <w:sz w:val="24"/>
                <w:szCs w:val="24"/>
                <w:highlight w:val="none"/>
                <w:lang w:bidi="ar"/>
                <w14:textFill>
                  <w14:solidFill>
                    <w14:schemeClr w14:val="tx1"/>
                  </w14:solidFill>
                </w14:textFill>
              </w:rPr>
              <w:t>。</w:t>
            </w:r>
          </w:p>
        </w:tc>
        <w:tc>
          <w:tcPr>
            <w:tcW w:w="1930" w:type="dxa"/>
            <w:tcBorders>
              <w:top w:val="single" w:color="auto" w:sz="4" w:space="0"/>
              <w:left w:val="nil"/>
              <w:bottom w:val="single" w:color="auto" w:sz="4" w:space="0"/>
              <w:right w:val="single" w:color="auto" w:sz="4" w:space="0"/>
            </w:tcBorders>
            <w:vAlign w:val="center"/>
          </w:tcPr>
          <w:p w14:paraId="2FA8ECB5">
            <w:pPr>
              <w:spacing w:line="360" w:lineRule="auto"/>
              <w:jc w:val="center"/>
              <w:rPr>
                <w:rFonts w:ascii="宋体" w:hAnsi="宋体" w:cs="宋体"/>
                <w:color w:val="000000" w:themeColor="text1"/>
                <w:sz w:val="24"/>
                <w:szCs w:val="24"/>
                <w:highlight w:val="none"/>
                <w14:textFill>
                  <w14:solidFill>
                    <w14:schemeClr w14:val="tx1"/>
                  </w14:solidFill>
                </w14:textFill>
              </w:rPr>
            </w:pPr>
          </w:p>
        </w:tc>
        <w:tc>
          <w:tcPr>
            <w:tcW w:w="836" w:type="dxa"/>
            <w:tcBorders>
              <w:top w:val="single" w:color="auto" w:sz="4" w:space="0"/>
              <w:left w:val="nil"/>
              <w:bottom w:val="single" w:color="auto" w:sz="4" w:space="0"/>
              <w:right w:val="single" w:color="auto" w:sz="4" w:space="0"/>
            </w:tcBorders>
            <w:vAlign w:val="center"/>
          </w:tcPr>
          <w:p w14:paraId="616F1FE0">
            <w:pPr>
              <w:spacing w:line="360" w:lineRule="auto"/>
              <w:jc w:val="center"/>
              <w:rPr>
                <w:rFonts w:ascii="宋体" w:hAnsi="宋体" w:cs="宋体"/>
                <w:color w:val="000000" w:themeColor="text1"/>
                <w:sz w:val="24"/>
                <w:szCs w:val="24"/>
                <w:highlight w:val="none"/>
                <w14:textFill>
                  <w14:solidFill>
                    <w14:schemeClr w14:val="tx1"/>
                  </w14:solidFill>
                </w14:textFill>
              </w:rPr>
            </w:pPr>
          </w:p>
        </w:tc>
        <w:tc>
          <w:tcPr>
            <w:tcW w:w="667" w:type="dxa"/>
            <w:tcBorders>
              <w:top w:val="single" w:color="auto" w:sz="4" w:space="0"/>
              <w:left w:val="nil"/>
              <w:bottom w:val="single" w:color="auto" w:sz="4" w:space="0"/>
              <w:right w:val="single" w:color="auto" w:sz="4" w:space="0"/>
            </w:tcBorders>
            <w:vAlign w:val="center"/>
          </w:tcPr>
          <w:p w14:paraId="5CB2AF56">
            <w:pPr>
              <w:spacing w:line="360" w:lineRule="auto"/>
              <w:jc w:val="center"/>
              <w:rPr>
                <w:rFonts w:ascii="宋体" w:hAnsi="宋体" w:cs="宋体"/>
                <w:color w:val="000000" w:themeColor="text1"/>
                <w:sz w:val="24"/>
                <w:szCs w:val="24"/>
                <w:highlight w:val="none"/>
                <w14:textFill>
                  <w14:solidFill>
                    <w14:schemeClr w14:val="tx1"/>
                  </w14:solidFill>
                </w14:textFill>
              </w:rPr>
            </w:pPr>
          </w:p>
        </w:tc>
      </w:tr>
      <w:tr w14:paraId="52A6D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8" w:type="dxa"/>
            <w:tcBorders>
              <w:top w:val="single" w:color="auto" w:sz="4" w:space="0"/>
              <w:left w:val="single" w:color="auto" w:sz="4" w:space="0"/>
              <w:bottom w:val="single" w:color="auto" w:sz="4" w:space="0"/>
              <w:right w:val="single" w:color="auto" w:sz="4" w:space="0"/>
            </w:tcBorders>
            <w:vAlign w:val="center"/>
          </w:tcPr>
          <w:p w14:paraId="42F07092">
            <w:pPr>
              <w:spacing w:line="320" w:lineRule="exact"/>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w:t>
            </w:r>
          </w:p>
        </w:tc>
        <w:tc>
          <w:tcPr>
            <w:tcW w:w="2772" w:type="dxa"/>
            <w:tcBorders>
              <w:top w:val="single" w:color="auto" w:sz="4" w:space="0"/>
              <w:left w:val="nil"/>
              <w:bottom w:val="single" w:color="auto" w:sz="4" w:space="0"/>
              <w:right w:val="single" w:color="auto" w:sz="4" w:space="0"/>
            </w:tcBorders>
            <w:vAlign w:val="center"/>
          </w:tcPr>
          <w:p w14:paraId="3ACB8C9A">
            <w:pPr>
              <w:spacing w:line="320" w:lineRule="exact"/>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第二章 “投标人须知前附表”第1.3.3款</w:t>
            </w:r>
          </w:p>
        </w:tc>
        <w:tc>
          <w:tcPr>
            <w:tcW w:w="3869" w:type="dxa"/>
            <w:tcBorders>
              <w:top w:val="single" w:color="auto" w:sz="4" w:space="0"/>
              <w:left w:val="nil"/>
              <w:bottom w:val="single" w:color="auto" w:sz="4" w:space="0"/>
              <w:right w:val="single" w:color="auto" w:sz="4" w:space="0"/>
            </w:tcBorders>
            <w:vAlign w:val="center"/>
          </w:tcPr>
          <w:p w14:paraId="755E6037">
            <w:pPr>
              <w:spacing w:line="320" w:lineRule="exac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服务地点：</w:t>
            </w:r>
            <w:r>
              <w:rPr>
                <w:rFonts w:hint="eastAsia" w:ascii="宋体" w:hAnsi="宋体" w:cs="宋体"/>
                <w:color w:val="000000" w:themeColor="text1"/>
                <w:kern w:val="2"/>
                <w:sz w:val="24"/>
                <w:szCs w:val="24"/>
                <w:highlight w:val="none"/>
                <w14:textFill>
                  <w14:solidFill>
                    <w14:schemeClr w14:val="tx1"/>
                  </w14:solidFill>
                </w14:textFill>
              </w:rPr>
              <w:t>西南林业大学</w:t>
            </w:r>
          </w:p>
        </w:tc>
        <w:tc>
          <w:tcPr>
            <w:tcW w:w="1930" w:type="dxa"/>
            <w:tcBorders>
              <w:top w:val="single" w:color="auto" w:sz="4" w:space="0"/>
              <w:left w:val="nil"/>
              <w:bottom w:val="single" w:color="auto" w:sz="4" w:space="0"/>
              <w:right w:val="single" w:color="auto" w:sz="4" w:space="0"/>
            </w:tcBorders>
            <w:vAlign w:val="center"/>
          </w:tcPr>
          <w:p w14:paraId="76C70E24">
            <w:pPr>
              <w:spacing w:line="360" w:lineRule="auto"/>
              <w:jc w:val="center"/>
              <w:rPr>
                <w:rFonts w:ascii="宋体" w:hAnsi="宋体" w:cs="宋体"/>
                <w:color w:val="000000" w:themeColor="text1"/>
                <w:sz w:val="24"/>
                <w:szCs w:val="24"/>
                <w:highlight w:val="none"/>
                <w14:textFill>
                  <w14:solidFill>
                    <w14:schemeClr w14:val="tx1"/>
                  </w14:solidFill>
                </w14:textFill>
              </w:rPr>
            </w:pPr>
          </w:p>
        </w:tc>
        <w:tc>
          <w:tcPr>
            <w:tcW w:w="836" w:type="dxa"/>
            <w:tcBorders>
              <w:top w:val="single" w:color="auto" w:sz="4" w:space="0"/>
              <w:left w:val="nil"/>
              <w:bottom w:val="single" w:color="auto" w:sz="4" w:space="0"/>
              <w:right w:val="single" w:color="auto" w:sz="4" w:space="0"/>
            </w:tcBorders>
            <w:vAlign w:val="center"/>
          </w:tcPr>
          <w:p w14:paraId="225F2A35">
            <w:pPr>
              <w:spacing w:line="360" w:lineRule="auto"/>
              <w:jc w:val="center"/>
              <w:rPr>
                <w:rFonts w:ascii="宋体" w:hAnsi="宋体" w:cs="宋体"/>
                <w:color w:val="000000" w:themeColor="text1"/>
                <w:sz w:val="24"/>
                <w:szCs w:val="24"/>
                <w:highlight w:val="none"/>
                <w14:textFill>
                  <w14:solidFill>
                    <w14:schemeClr w14:val="tx1"/>
                  </w14:solidFill>
                </w14:textFill>
              </w:rPr>
            </w:pPr>
          </w:p>
        </w:tc>
        <w:tc>
          <w:tcPr>
            <w:tcW w:w="667" w:type="dxa"/>
            <w:tcBorders>
              <w:top w:val="single" w:color="auto" w:sz="4" w:space="0"/>
              <w:left w:val="nil"/>
              <w:bottom w:val="single" w:color="auto" w:sz="4" w:space="0"/>
              <w:right w:val="single" w:color="auto" w:sz="4" w:space="0"/>
            </w:tcBorders>
            <w:vAlign w:val="center"/>
          </w:tcPr>
          <w:p w14:paraId="477DA06A">
            <w:pPr>
              <w:spacing w:line="360" w:lineRule="auto"/>
              <w:jc w:val="center"/>
              <w:rPr>
                <w:rFonts w:ascii="宋体" w:hAnsi="宋体" w:cs="宋体"/>
                <w:color w:val="000000" w:themeColor="text1"/>
                <w:sz w:val="24"/>
                <w:szCs w:val="24"/>
                <w:highlight w:val="none"/>
                <w14:textFill>
                  <w14:solidFill>
                    <w14:schemeClr w14:val="tx1"/>
                  </w14:solidFill>
                </w14:textFill>
              </w:rPr>
            </w:pPr>
          </w:p>
        </w:tc>
      </w:tr>
      <w:tr w14:paraId="5355D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8" w:type="dxa"/>
            <w:tcBorders>
              <w:top w:val="single" w:color="auto" w:sz="4" w:space="0"/>
              <w:left w:val="single" w:color="auto" w:sz="4" w:space="0"/>
              <w:bottom w:val="single" w:color="auto" w:sz="4" w:space="0"/>
              <w:right w:val="single" w:color="auto" w:sz="4" w:space="0"/>
            </w:tcBorders>
            <w:vAlign w:val="center"/>
          </w:tcPr>
          <w:p w14:paraId="110CFAE7">
            <w:pPr>
              <w:spacing w:line="320" w:lineRule="exact"/>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w:t>
            </w:r>
          </w:p>
        </w:tc>
        <w:tc>
          <w:tcPr>
            <w:tcW w:w="2772" w:type="dxa"/>
            <w:tcBorders>
              <w:top w:val="single" w:color="auto" w:sz="4" w:space="0"/>
              <w:left w:val="nil"/>
              <w:bottom w:val="single" w:color="auto" w:sz="4" w:space="0"/>
              <w:right w:val="single" w:color="auto" w:sz="4" w:space="0"/>
            </w:tcBorders>
            <w:vAlign w:val="center"/>
          </w:tcPr>
          <w:p w14:paraId="186A5ABB">
            <w:pPr>
              <w:spacing w:line="320" w:lineRule="exact"/>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第二章 “投标人须知前附表”第3.3.1款</w:t>
            </w:r>
          </w:p>
        </w:tc>
        <w:tc>
          <w:tcPr>
            <w:tcW w:w="3869" w:type="dxa"/>
            <w:tcBorders>
              <w:top w:val="single" w:color="auto" w:sz="4" w:space="0"/>
              <w:left w:val="nil"/>
              <w:bottom w:val="single" w:color="auto" w:sz="4" w:space="0"/>
              <w:right w:val="single" w:color="auto" w:sz="4" w:space="0"/>
            </w:tcBorders>
            <w:vAlign w:val="center"/>
          </w:tcPr>
          <w:p w14:paraId="3B700369">
            <w:pPr>
              <w:spacing w:line="320" w:lineRule="exac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投标有效期：投标有效期为90日历天(从投标截止之日算起)。</w:t>
            </w:r>
          </w:p>
        </w:tc>
        <w:tc>
          <w:tcPr>
            <w:tcW w:w="1930" w:type="dxa"/>
            <w:tcBorders>
              <w:top w:val="single" w:color="auto" w:sz="4" w:space="0"/>
              <w:left w:val="nil"/>
              <w:bottom w:val="single" w:color="auto" w:sz="4" w:space="0"/>
              <w:right w:val="single" w:color="auto" w:sz="4" w:space="0"/>
            </w:tcBorders>
            <w:vAlign w:val="center"/>
          </w:tcPr>
          <w:p w14:paraId="18202337">
            <w:pPr>
              <w:spacing w:line="360" w:lineRule="auto"/>
              <w:jc w:val="center"/>
              <w:rPr>
                <w:rFonts w:ascii="宋体" w:hAnsi="宋体" w:cs="宋体"/>
                <w:color w:val="000000" w:themeColor="text1"/>
                <w:sz w:val="24"/>
                <w:szCs w:val="24"/>
                <w:highlight w:val="none"/>
                <w14:textFill>
                  <w14:solidFill>
                    <w14:schemeClr w14:val="tx1"/>
                  </w14:solidFill>
                </w14:textFill>
              </w:rPr>
            </w:pPr>
          </w:p>
        </w:tc>
        <w:tc>
          <w:tcPr>
            <w:tcW w:w="836" w:type="dxa"/>
            <w:tcBorders>
              <w:top w:val="single" w:color="auto" w:sz="4" w:space="0"/>
              <w:left w:val="nil"/>
              <w:bottom w:val="single" w:color="auto" w:sz="4" w:space="0"/>
              <w:right w:val="single" w:color="auto" w:sz="4" w:space="0"/>
            </w:tcBorders>
            <w:vAlign w:val="center"/>
          </w:tcPr>
          <w:p w14:paraId="10CF8202">
            <w:pPr>
              <w:spacing w:line="360" w:lineRule="auto"/>
              <w:jc w:val="center"/>
              <w:rPr>
                <w:rFonts w:ascii="宋体" w:hAnsi="宋体" w:cs="宋体"/>
                <w:color w:val="000000" w:themeColor="text1"/>
                <w:sz w:val="24"/>
                <w:szCs w:val="24"/>
                <w:highlight w:val="none"/>
                <w14:textFill>
                  <w14:solidFill>
                    <w14:schemeClr w14:val="tx1"/>
                  </w14:solidFill>
                </w14:textFill>
              </w:rPr>
            </w:pPr>
          </w:p>
        </w:tc>
        <w:tc>
          <w:tcPr>
            <w:tcW w:w="667" w:type="dxa"/>
            <w:tcBorders>
              <w:top w:val="single" w:color="auto" w:sz="4" w:space="0"/>
              <w:left w:val="nil"/>
              <w:bottom w:val="single" w:color="auto" w:sz="4" w:space="0"/>
              <w:right w:val="single" w:color="auto" w:sz="4" w:space="0"/>
            </w:tcBorders>
            <w:vAlign w:val="center"/>
          </w:tcPr>
          <w:p w14:paraId="6F74F5CE">
            <w:pPr>
              <w:spacing w:line="360" w:lineRule="auto"/>
              <w:jc w:val="center"/>
              <w:rPr>
                <w:rFonts w:ascii="宋体" w:hAnsi="宋体" w:cs="宋体"/>
                <w:color w:val="000000" w:themeColor="text1"/>
                <w:sz w:val="24"/>
                <w:szCs w:val="24"/>
                <w:highlight w:val="none"/>
                <w14:textFill>
                  <w14:solidFill>
                    <w14:schemeClr w14:val="tx1"/>
                  </w14:solidFill>
                </w14:textFill>
              </w:rPr>
            </w:pPr>
          </w:p>
        </w:tc>
      </w:tr>
      <w:tr w14:paraId="561B0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8" w:type="dxa"/>
            <w:tcBorders>
              <w:top w:val="single" w:color="auto" w:sz="4" w:space="0"/>
              <w:left w:val="single" w:color="auto" w:sz="4" w:space="0"/>
              <w:bottom w:val="single" w:color="auto" w:sz="4" w:space="0"/>
              <w:right w:val="single" w:color="auto" w:sz="4" w:space="0"/>
            </w:tcBorders>
            <w:vAlign w:val="center"/>
          </w:tcPr>
          <w:p w14:paraId="643AC454">
            <w:pPr>
              <w:spacing w:line="320" w:lineRule="exact"/>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4</w:t>
            </w:r>
          </w:p>
        </w:tc>
        <w:tc>
          <w:tcPr>
            <w:tcW w:w="2772" w:type="dxa"/>
            <w:tcBorders>
              <w:top w:val="single" w:color="auto" w:sz="4" w:space="0"/>
              <w:left w:val="nil"/>
              <w:bottom w:val="single" w:color="auto" w:sz="4" w:space="0"/>
              <w:right w:val="single" w:color="auto" w:sz="4" w:space="0"/>
            </w:tcBorders>
            <w:vAlign w:val="center"/>
          </w:tcPr>
          <w:p w14:paraId="43EFBE6D">
            <w:pPr>
              <w:spacing w:line="320" w:lineRule="exact"/>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第二章 “投标人须知前附表”第12.6款</w:t>
            </w:r>
          </w:p>
        </w:tc>
        <w:tc>
          <w:tcPr>
            <w:tcW w:w="3869" w:type="dxa"/>
            <w:tcBorders>
              <w:top w:val="single" w:color="auto" w:sz="4" w:space="0"/>
              <w:left w:val="nil"/>
              <w:bottom w:val="single" w:color="auto" w:sz="4" w:space="0"/>
              <w:right w:val="single" w:color="auto" w:sz="4" w:space="0"/>
            </w:tcBorders>
            <w:vAlign w:val="center"/>
          </w:tcPr>
          <w:p w14:paraId="6B40DD70">
            <w:pPr>
              <w:spacing w:line="320" w:lineRule="exac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付款条款：</w:t>
            </w:r>
          </w:p>
          <w:p w14:paraId="2ACC5DF1">
            <w:pPr>
              <w:spacing w:line="320" w:lineRule="exac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本项目无预付款，甲方在按合同验收标准验收合格，乙方提供符合税务机关要求的正规增值税发票，并履行完相关财务报销手续，财务审核通过后的10个工作日内完成款项支付。</w:t>
            </w:r>
            <w:r>
              <w:rPr>
                <w:rFonts w:hint="eastAsia" w:ascii="宋体" w:hAnsi="宋体" w:eastAsia="Times New Roman" w:cs="宋体"/>
                <w:color w:val="000000" w:themeColor="text1"/>
                <w:sz w:val="24"/>
                <w:szCs w:val="24"/>
                <w:highlight w:val="none"/>
                <w14:textFill>
                  <w14:solidFill>
                    <w14:schemeClr w14:val="tx1"/>
                  </w14:solidFill>
                </w14:textFill>
              </w:rPr>
              <w:t>根据分项报价单价及实际发生量据实结算</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lang w:eastAsia="zh-CN"/>
                <w14:textFill>
                  <w14:solidFill>
                    <w14:schemeClr w14:val="tx1"/>
                  </w14:solidFill>
                </w14:textFill>
              </w:rPr>
              <w:t>最终结算价不超过合同总价</w:t>
            </w:r>
            <w:r>
              <w:rPr>
                <w:rFonts w:hint="eastAsia" w:ascii="宋体" w:hAnsi="宋体" w:eastAsia="Times New Roman" w:cs="宋体"/>
                <w:color w:val="000000" w:themeColor="text1"/>
                <w:sz w:val="24"/>
                <w:szCs w:val="24"/>
                <w:highlight w:val="none"/>
                <w14:textFill>
                  <w14:solidFill>
                    <w14:schemeClr w14:val="tx1"/>
                  </w14:solidFill>
                </w14:textFill>
              </w:rPr>
              <w:t>。</w:t>
            </w:r>
          </w:p>
          <w:p w14:paraId="33AD8CE5">
            <w:pPr>
              <w:spacing w:line="320" w:lineRule="exac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若因乙方未通过验收或提交不符合甲方及税务机关要求的正规增值税发票导致无法正常付款的，相关责任及后果由乙方自行承担。</w:t>
            </w:r>
          </w:p>
          <w:p w14:paraId="5149D18D">
            <w:pPr>
              <w:spacing w:line="320" w:lineRule="exac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根据事业单位财务规定，甲方付款至乙方基本账户。</w:t>
            </w:r>
          </w:p>
          <w:p w14:paraId="36ECFDA8">
            <w:pPr>
              <w:spacing w:line="320" w:lineRule="exac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乙方提供基本账户信息如下：</w:t>
            </w:r>
          </w:p>
          <w:p w14:paraId="1F47F5B8">
            <w:pPr>
              <w:spacing w:line="320" w:lineRule="exac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开户名：</w:t>
            </w:r>
          </w:p>
          <w:p w14:paraId="200842B6">
            <w:pPr>
              <w:spacing w:line="320" w:lineRule="exac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开户银行：</w:t>
            </w:r>
          </w:p>
          <w:p w14:paraId="261B733B">
            <w:pPr>
              <w:spacing w:line="320" w:lineRule="exac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账    号：</w:t>
            </w:r>
          </w:p>
          <w:p w14:paraId="210B6B84">
            <w:pPr>
              <w:spacing w:line="320" w:lineRule="exac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统一社会信用代码：</w:t>
            </w:r>
          </w:p>
          <w:p w14:paraId="3E2F0C71">
            <w:pPr>
              <w:spacing w:line="320" w:lineRule="exac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乙方保证提供的基本账户信息准确无误。如乙方提供的基本账户信息有问题导致付款出错由乙方对产生的后果负责。</w:t>
            </w:r>
          </w:p>
        </w:tc>
        <w:tc>
          <w:tcPr>
            <w:tcW w:w="1930" w:type="dxa"/>
            <w:tcBorders>
              <w:top w:val="single" w:color="auto" w:sz="4" w:space="0"/>
              <w:left w:val="nil"/>
              <w:bottom w:val="single" w:color="auto" w:sz="4" w:space="0"/>
              <w:right w:val="single" w:color="auto" w:sz="4" w:space="0"/>
            </w:tcBorders>
            <w:vAlign w:val="center"/>
          </w:tcPr>
          <w:p w14:paraId="785DE73A">
            <w:pPr>
              <w:spacing w:line="360" w:lineRule="auto"/>
              <w:jc w:val="center"/>
              <w:rPr>
                <w:rFonts w:ascii="宋体" w:hAnsi="宋体" w:cs="宋体"/>
                <w:color w:val="000000" w:themeColor="text1"/>
                <w:sz w:val="24"/>
                <w:szCs w:val="24"/>
                <w:highlight w:val="none"/>
                <w14:textFill>
                  <w14:solidFill>
                    <w14:schemeClr w14:val="tx1"/>
                  </w14:solidFill>
                </w14:textFill>
              </w:rPr>
            </w:pPr>
          </w:p>
        </w:tc>
        <w:tc>
          <w:tcPr>
            <w:tcW w:w="836" w:type="dxa"/>
            <w:tcBorders>
              <w:top w:val="single" w:color="auto" w:sz="4" w:space="0"/>
              <w:left w:val="nil"/>
              <w:bottom w:val="single" w:color="auto" w:sz="4" w:space="0"/>
              <w:right w:val="single" w:color="auto" w:sz="4" w:space="0"/>
            </w:tcBorders>
            <w:vAlign w:val="center"/>
          </w:tcPr>
          <w:p w14:paraId="5BF08B6C">
            <w:pPr>
              <w:spacing w:line="360" w:lineRule="auto"/>
              <w:jc w:val="center"/>
              <w:rPr>
                <w:rFonts w:ascii="宋体" w:hAnsi="宋体" w:cs="宋体"/>
                <w:color w:val="000000" w:themeColor="text1"/>
                <w:sz w:val="24"/>
                <w:szCs w:val="24"/>
                <w:highlight w:val="none"/>
                <w14:textFill>
                  <w14:solidFill>
                    <w14:schemeClr w14:val="tx1"/>
                  </w14:solidFill>
                </w14:textFill>
              </w:rPr>
            </w:pPr>
          </w:p>
        </w:tc>
        <w:tc>
          <w:tcPr>
            <w:tcW w:w="667" w:type="dxa"/>
            <w:tcBorders>
              <w:top w:val="single" w:color="auto" w:sz="4" w:space="0"/>
              <w:left w:val="nil"/>
              <w:bottom w:val="single" w:color="auto" w:sz="4" w:space="0"/>
              <w:right w:val="single" w:color="auto" w:sz="4" w:space="0"/>
            </w:tcBorders>
            <w:vAlign w:val="center"/>
          </w:tcPr>
          <w:p w14:paraId="4783F863">
            <w:pPr>
              <w:spacing w:line="360" w:lineRule="auto"/>
              <w:jc w:val="center"/>
              <w:rPr>
                <w:rFonts w:ascii="宋体" w:hAnsi="宋体" w:cs="宋体"/>
                <w:color w:val="000000" w:themeColor="text1"/>
                <w:sz w:val="24"/>
                <w:szCs w:val="24"/>
                <w:highlight w:val="none"/>
                <w14:textFill>
                  <w14:solidFill>
                    <w14:schemeClr w14:val="tx1"/>
                  </w14:solidFill>
                </w14:textFill>
              </w:rPr>
            </w:pPr>
          </w:p>
        </w:tc>
      </w:tr>
      <w:tr w14:paraId="02C11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8" w:type="dxa"/>
            <w:tcBorders>
              <w:top w:val="single" w:color="auto" w:sz="4" w:space="0"/>
              <w:left w:val="single" w:color="auto" w:sz="4" w:space="0"/>
              <w:bottom w:val="single" w:color="auto" w:sz="4" w:space="0"/>
              <w:right w:val="single" w:color="auto" w:sz="4" w:space="0"/>
            </w:tcBorders>
            <w:vAlign w:val="center"/>
          </w:tcPr>
          <w:p w14:paraId="67CBBE44">
            <w:pPr>
              <w:spacing w:line="320" w:lineRule="exact"/>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5</w:t>
            </w:r>
          </w:p>
        </w:tc>
        <w:tc>
          <w:tcPr>
            <w:tcW w:w="2772" w:type="dxa"/>
            <w:tcBorders>
              <w:top w:val="single" w:color="auto" w:sz="4" w:space="0"/>
              <w:left w:val="nil"/>
              <w:bottom w:val="single" w:color="auto" w:sz="4" w:space="0"/>
              <w:right w:val="single" w:color="auto" w:sz="4" w:space="0"/>
            </w:tcBorders>
            <w:vAlign w:val="center"/>
          </w:tcPr>
          <w:p w14:paraId="20705236">
            <w:pPr>
              <w:spacing w:line="320" w:lineRule="exact"/>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第六章 第六款</w:t>
            </w:r>
          </w:p>
        </w:tc>
        <w:tc>
          <w:tcPr>
            <w:tcW w:w="3869" w:type="dxa"/>
            <w:tcBorders>
              <w:top w:val="single" w:color="auto" w:sz="4" w:space="0"/>
              <w:left w:val="nil"/>
              <w:bottom w:val="single" w:color="auto" w:sz="4" w:space="0"/>
              <w:right w:val="single" w:color="auto" w:sz="4" w:space="0"/>
            </w:tcBorders>
            <w:vAlign w:val="center"/>
          </w:tcPr>
          <w:p w14:paraId="0077320C">
            <w:pPr>
              <w:spacing w:line="320" w:lineRule="exac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验收条款：</w:t>
            </w:r>
          </w:p>
          <w:p w14:paraId="1331D434">
            <w:pPr>
              <w:spacing w:line="320" w:lineRule="exac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1.验收由采购人负责实施；</w:t>
            </w:r>
          </w:p>
          <w:p w14:paraId="24E9547B">
            <w:pPr>
              <w:spacing w:line="320" w:lineRule="exac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2.验收依据：</w:t>
            </w:r>
          </w:p>
          <w:p w14:paraId="70CD9863">
            <w:pPr>
              <w:spacing w:line="320" w:lineRule="exac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2.1合同文件；</w:t>
            </w:r>
          </w:p>
          <w:p w14:paraId="14F658AF">
            <w:pPr>
              <w:spacing w:line="320" w:lineRule="exac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2.2中标人的投标文件；</w:t>
            </w:r>
          </w:p>
          <w:p w14:paraId="3CEDCE51">
            <w:pPr>
              <w:spacing w:line="320" w:lineRule="exac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3.设备质量：舞台及音响设备应为合格品，整体无污染，无侵权行为、无任何缺陷隐患，在中国境内可依常规安全合法使用。</w:t>
            </w:r>
          </w:p>
          <w:p w14:paraId="154F0DE5">
            <w:pPr>
              <w:spacing w:line="320" w:lineRule="exac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4.符合标准：依次序对照适用标准为：符合中华人民共和国国家安全质量标准、环保标准或行业标准。</w:t>
            </w:r>
          </w:p>
          <w:p w14:paraId="7DC206F9">
            <w:pPr>
              <w:spacing w:line="320" w:lineRule="exac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5.安全要求：场地搭建和布线等应符合行业标准规范，做好加固处理、强电防护和其他安全防护处理等，避免安全隐患。</w:t>
            </w:r>
          </w:p>
          <w:p w14:paraId="3DE2F538">
            <w:pPr>
              <w:spacing w:line="320" w:lineRule="exac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6.设备检查：在设备交付时，采购人应对设备进行全面检查，确保设备数量、型号、规格等与合同及投标文件一致。</w:t>
            </w:r>
          </w:p>
          <w:p w14:paraId="63ADC51D">
            <w:pPr>
              <w:spacing w:line="320" w:lineRule="exac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7.设备性能测试：对设备进行性能测试，确保设备能够正常工作，满足活动需求。</w:t>
            </w:r>
          </w:p>
          <w:p w14:paraId="54A731E0">
            <w:pPr>
              <w:spacing w:line="320" w:lineRule="exac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8.安全检查：对设备的安全性进行检查，确保设备安装牢固，无安全隐患。</w:t>
            </w:r>
          </w:p>
          <w:p w14:paraId="2038DDBE">
            <w:pPr>
              <w:spacing w:line="320" w:lineRule="exac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9.整体舞台检测演排：符合采购人要求。</w:t>
            </w:r>
          </w:p>
          <w:p w14:paraId="015E2C96">
            <w:pPr>
              <w:spacing w:line="320" w:lineRule="exac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10.双方签字确认设备状态，及舞台布局搭建效果呈现，注明验收时间、问题处理方式。</w:t>
            </w:r>
          </w:p>
        </w:tc>
        <w:tc>
          <w:tcPr>
            <w:tcW w:w="1930" w:type="dxa"/>
            <w:tcBorders>
              <w:top w:val="single" w:color="auto" w:sz="4" w:space="0"/>
              <w:left w:val="nil"/>
              <w:bottom w:val="single" w:color="auto" w:sz="4" w:space="0"/>
              <w:right w:val="single" w:color="auto" w:sz="4" w:space="0"/>
            </w:tcBorders>
            <w:vAlign w:val="center"/>
          </w:tcPr>
          <w:p w14:paraId="1CE9AF0A">
            <w:pPr>
              <w:spacing w:line="360" w:lineRule="auto"/>
              <w:jc w:val="center"/>
              <w:rPr>
                <w:rFonts w:ascii="宋体" w:hAnsi="宋体" w:cs="宋体"/>
                <w:color w:val="000000" w:themeColor="text1"/>
                <w:sz w:val="24"/>
                <w:szCs w:val="24"/>
                <w:highlight w:val="none"/>
                <w14:textFill>
                  <w14:solidFill>
                    <w14:schemeClr w14:val="tx1"/>
                  </w14:solidFill>
                </w14:textFill>
              </w:rPr>
            </w:pPr>
          </w:p>
        </w:tc>
        <w:tc>
          <w:tcPr>
            <w:tcW w:w="836" w:type="dxa"/>
            <w:tcBorders>
              <w:top w:val="single" w:color="auto" w:sz="4" w:space="0"/>
              <w:left w:val="nil"/>
              <w:bottom w:val="single" w:color="auto" w:sz="4" w:space="0"/>
              <w:right w:val="single" w:color="auto" w:sz="4" w:space="0"/>
            </w:tcBorders>
            <w:vAlign w:val="center"/>
          </w:tcPr>
          <w:p w14:paraId="1EB75762">
            <w:pPr>
              <w:spacing w:line="360" w:lineRule="auto"/>
              <w:jc w:val="center"/>
              <w:rPr>
                <w:rFonts w:ascii="宋体" w:hAnsi="宋体" w:cs="宋体"/>
                <w:color w:val="000000" w:themeColor="text1"/>
                <w:sz w:val="24"/>
                <w:szCs w:val="24"/>
                <w:highlight w:val="none"/>
                <w14:textFill>
                  <w14:solidFill>
                    <w14:schemeClr w14:val="tx1"/>
                  </w14:solidFill>
                </w14:textFill>
              </w:rPr>
            </w:pPr>
          </w:p>
        </w:tc>
        <w:tc>
          <w:tcPr>
            <w:tcW w:w="667" w:type="dxa"/>
            <w:tcBorders>
              <w:top w:val="single" w:color="auto" w:sz="4" w:space="0"/>
              <w:left w:val="nil"/>
              <w:bottom w:val="single" w:color="auto" w:sz="4" w:space="0"/>
              <w:right w:val="single" w:color="auto" w:sz="4" w:space="0"/>
            </w:tcBorders>
            <w:vAlign w:val="center"/>
          </w:tcPr>
          <w:p w14:paraId="48D0231F">
            <w:pPr>
              <w:spacing w:line="360" w:lineRule="auto"/>
              <w:jc w:val="center"/>
              <w:rPr>
                <w:rFonts w:ascii="宋体" w:hAnsi="宋体" w:cs="宋体"/>
                <w:color w:val="000000" w:themeColor="text1"/>
                <w:sz w:val="24"/>
                <w:szCs w:val="24"/>
                <w:highlight w:val="none"/>
                <w14:textFill>
                  <w14:solidFill>
                    <w14:schemeClr w14:val="tx1"/>
                  </w14:solidFill>
                </w14:textFill>
              </w:rPr>
            </w:pPr>
          </w:p>
        </w:tc>
      </w:tr>
    </w:tbl>
    <w:p w14:paraId="7A4F5467">
      <w:pPr>
        <w:spacing w:before="156" w:beforeLines="50"/>
        <w:rPr>
          <w:rFonts w:ascii="宋体" w:hAnsi="宋体" w:cs="宋体"/>
          <w:color w:val="000000" w:themeColor="text1"/>
          <w:sz w:val="24"/>
          <w:szCs w:val="24"/>
          <w:highlight w:val="none"/>
          <w14:textFill>
            <w14:solidFill>
              <w14:schemeClr w14:val="tx1"/>
            </w14:solidFill>
          </w14:textFill>
        </w:rPr>
      </w:pPr>
    </w:p>
    <w:p w14:paraId="5BEF2B49">
      <w:pPr>
        <w:autoSpaceDE w:val="0"/>
        <w:spacing w:line="360" w:lineRule="auto"/>
        <w:rPr>
          <w:rFonts w:ascii="宋体" w:hAnsi="宋体" w:cs="宋体"/>
          <w:color w:val="000000" w:themeColor="text1"/>
          <w:sz w:val="24"/>
          <w:szCs w:val="24"/>
          <w:highlight w:val="none"/>
          <w14:textFill>
            <w14:solidFill>
              <w14:schemeClr w14:val="tx1"/>
            </w14:solidFill>
          </w14:textFill>
        </w:rPr>
      </w:pPr>
    </w:p>
    <w:p w14:paraId="30B1CDA9">
      <w:pPr>
        <w:autoSpaceDE w:val="0"/>
        <w:spacing w:line="360" w:lineRule="auto"/>
        <w:rPr>
          <w:rFonts w:ascii="宋体" w:hAnsi="宋体" w:cs="宋体"/>
          <w:color w:val="000000" w:themeColor="text1"/>
          <w:sz w:val="24"/>
          <w:szCs w:val="24"/>
          <w:highlight w:val="none"/>
          <w14:textFill>
            <w14:solidFill>
              <w14:schemeClr w14:val="tx1"/>
            </w14:solidFill>
          </w14:textFill>
        </w:rPr>
      </w:pPr>
    </w:p>
    <w:p w14:paraId="1D277DF2">
      <w:pPr>
        <w:spacing w:line="360" w:lineRule="auto"/>
        <w:ind w:firstLine="1124" w:firstLineChars="400"/>
        <w:rPr>
          <w:rFonts w:ascii="宋体" w:hAnsi="宋体" w:cs="宋体"/>
          <w:b/>
          <w:color w:val="000000" w:themeColor="text1"/>
          <w:sz w:val="28"/>
          <w:szCs w:val="28"/>
          <w:highlight w:val="none"/>
          <w14:textFill>
            <w14:solidFill>
              <w14:schemeClr w14:val="tx1"/>
            </w14:solidFill>
          </w14:textFill>
        </w:rPr>
      </w:pPr>
      <w:bookmarkStart w:id="435" w:name="_Toc5779"/>
      <w:bookmarkEnd w:id="435"/>
      <w:bookmarkStart w:id="436" w:name="_Toc14236"/>
      <w:bookmarkEnd w:id="436"/>
      <w:bookmarkStart w:id="437" w:name="_Toc15277"/>
      <w:bookmarkEnd w:id="437"/>
      <w:bookmarkStart w:id="438" w:name="_Toc10610"/>
      <w:bookmarkEnd w:id="438"/>
      <w:bookmarkStart w:id="439" w:name="_Toc114132378"/>
      <w:bookmarkStart w:id="440" w:name="_Toc5344"/>
      <w:r>
        <w:rPr>
          <w:rFonts w:hint="eastAsia" w:ascii="宋体" w:hAnsi="宋体" w:cs="宋体"/>
          <w:b/>
          <w:color w:val="000000" w:themeColor="text1"/>
          <w:sz w:val="28"/>
          <w:szCs w:val="28"/>
          <w:highlight w:val="none"/>
          <w14:textFill>
            <w14:solidFill>
              <w14:schemeClr w14:val="tx1"/>
            </w14:solidFill>
          </w14:textFill>
        </w:rPr>
        <w:t>投标人：</w:t>
      </w:r>
      <w:r>
        <w:rPr>
          <w:rFonts w:hint="eastAsia" w:ascii="宋体" w:hAnsi="宋体" w:cs="宋体"/>
          <w:b/>
          <w:color w:val="000000" w:themeColor="text1"/>
          <w:sz w:val="28"/>
          <w:szCs w:val="28"/>
          <w:highlight w:val="none"/>
          <w:u w:val="single"/>
          <w14:textFill>
            <w14:solidFill>
              <w14:schemeClr w14:val="tx1"/>
            </w14:solidFill>
          </w14:textFill>
        </w:rPr>
        <w:tab/>
      </w:r>
      <w:r>
        <w:rPr>
          <w:rFonts w:hint="eastAsia" w:ascii="宋体" w:hAnsi="宋体" w:cs="宋体"/>
          <w:b/>
          <w:color w:val="000000" w:themeColor="text1"/>
          <w:sz w:val="28"/>
          <w:szCs w:val="28"/>
          <w:highlight w:val="none"/>
          <w:u w:val="single"/>
          <w14:textFill>
            <w14:solidFill>
              <w14:schemeClr w14:val="tx1"/>
            </w14:solidFill>
          </w14:textFill>
        </w:rPr>
        <w:t xml:space="preserve">                                 </w:t>
      </w:r>
      <w:r>
        <w:rPr>
          <w:rFonts w:hint="eastAsia" w:ascii="宋体" w:hAnsi="宋体" w:cs="宋体"/>
          <w:b/>
          <w:color w:val="000000" w:themeColor="text1"/>
          <w:sz w:val="28"/>
          <w:szCs w:val="28"/>
          <w:highlight w:val="none"/>
          <w14:textFill>
            <w14:solidFill>
              <w14:schemeClr w14:val="tx1"/>
            </w14:solidFill>
          </w14:textFill>
        </w:rPr>
        <w:t>(电子签章)</w:t>
      </w:r>
    </w:p>
    <w:p w14:paraId="093A316E">
      <w:pPr>
        <w:spacing w:line="360" w:lineRule="auto"/>
        <w:ind w:firstLine="1124" w:firstLineChars="400"/>
        <w:rPr>
          <w:rFonts w:ascii="宋体" w:hAnsi="宋体" w:cs="宋体"/>
          <w:b/>
          <w:color w:val="000000" w:themeColor="text1"/>
          <w:sz w:val="28"/>
          <w:szCs w:val="28"/>
          <w:highlight w:val="none"/>
          <w14:textFill>
            <w14:solidFill>
              <w14:schemeClr w14:val="tx1"/>
            </w14:solidFill>
          </w14:textFill>
        </w:rPr>
      </w:pPr>
      <w:r>
        <w:rPr>
          <w:rFonts w:hint="eastAsia" w:ascii="宋体" w:hAnsi="宋体" w:cs="宋体"/>
          <w:b/>
          <w:color w:val="000000" w:themeColor="text1"/>
          <w:sz w:val="28"/>
          <w:szCs w:val="28"/>
          <w:highlight w:val="none"/>
          <w14:textFill>
            <w14:solidFill>
              <w14:schemeClr w14:val="tx1"/>
            </w14:solidFill>
          </w14:textFill>
        </w:rPr>
        <w:t>法定代表人(单位负责人)或其委托代理人：</w:t>
      </w:r>
      <w:r>
        <w:rPr>
          <w:rFonts w:hint="eastAsia" w:ascii="宋体" w:hAnsi="宋体" w:cs="宋体"/>
          <w:b/>
          <w:color w:val="000000" w:themeColor="text1"/>
          <w:sz w:val="28"/>
          <w:szCs w:val="28"/>
          <w:highlight w:val="none"/>
          <w:u w:val="single"/>
          <w14:textFill>
            <w14:solidFill>
              <w14:schemeClr w14:val="tx1"/>
            </w14:solidFill>
          </w14:textFill>
        </w:rPr>
        <w:tab/>
      </w:r>
      <w:r>
        <w:rPr>
          <w:rFonts w:hint="eastAsia" w:ascii="宋体" w:hAnsi="宋体" w:cs="宋体"/>
          <w:b/>
          <w:color w:val="000000" w:themeColor="text1"/>
          <w:sz w:val="28"/>
          <w:szCs w:val="28"/>
          <w:highlight w:val="none"/>
          <w:u w:val="single"/>
          <w14:textFill>
            <w14:solidFill>
              <w14:schemeClr w14:val="tx1"/>
            </w14:solidFill>
          </w14:textFill>
        </w:rPr>
        <w:t xml:space="preserve">   </w:t>
      </w:r>
      <w:r>
        <w:rPr>
          <w:rFonts w:hint="eastAsia" w:ascii="宋体" w:hAnsi="宋体" w:cs="宋体"/>
          <w:b/>
          <w:color w:val="000000" w:themeColor="text1"/>
          <w:sz w:val="28"/>
          <w:szCs w:val="28"/>
          <w:highlight w:val="none"/>
          <w14:textFill>
            <w14:solidFill>
              <w14:schemeClr w14:val="tx1"/>
            </w14:solidFill>
          </w14:textFill>
        </w:rPr>
        <w:t>(电子签章或签字)</w:t>
      </w:r>
    </w:p>
    <w:p w14:paraId="41E05FC8">
      <w:pPr>
        <w:spacing w:line="360" w:lineRule="auto"/>
        <w:ind w:firstLine="1124" w:firstLineChars="400"/>
        <w:rPr>
          <w:rFonts w:ascii="宋体" w:hAnsi="宋体" w:cs="宋体"/>
          <w:b/>
          <w:color w:val="000000" w:themeColor="text1"/>
          <w:sz w:val="28"/>
          <w:szCs w:val="28"/>
          <w:highlight w:val="none"/>
          <w14:textFill>
            <w14:solidFill>
              <w14:schemeClr w14:val="tx1"/>
            </w14:solidFill>
          </w14:textFill>
        </w:rPr>
      </w:pPr>
      <w:r>
        <w:rPr>
          <w:rFonts w:hint="eastAsia" w:ascii="宋体" w:hAnsi="宋体" w:cs="宋体"/>
          <w:b/>
          <w:color w:val="000000" w:themeColor="text1"/>
          <w:sz w:val="28"/>
          <w:szCs w:val="28"/>
          <w:highlight w:val="none"/>
          <w14:textFill>
            <w14:solidFill>
              <w14:schemeClr w14:val="tx1"/>
            </w14:solidFill>
          </w14:textFill>
        </w:rPr>
        <w:t>日期：</w:t>
      </w:r>
      <w:r>
        <w:rPr>
          <w:rFonts w:hint="eastAsia" w:ascii="宋体" w:hAnsi="宋体" w:cs="宋体"/>
          <w:bCs/>
          <w:color w:val="000000" w:themeColor="text1"/>
          <w:sz w:val="28"/>
          <w:szCs w:val="28"/>
          <w:highlight w:val="none"/>
          <w:u w:val="single"/>
          <w14:textFill>
            <w14:solidFill>
              <w14:schemeClr w14:val="tx1"/>
            </w14:solidFill>
          </w14:textFill>
        </w:rPr>
        <w:t xml:space="preserve">      </w:t>
      </w:r>
      <w:r>
        <w:rPr>
          <w:rFonts w:hint="eastAsia" w:ascii="宋体" w:hAnsi="宋体" w:cs="宋体"/>
          <w:b/>
          <w:color w:val="000000" w:themeColor="text1"/>
          <w:sz w:val="28"/>
          <w:szCs w:val="28"/>
          <w:highlight w:val="none"/>
          <w14:textFill>
            <w14:solidFill>
              <w14:schemeClr w14:val="tx1"/>
            </w14:solidFill>
          </w14:textFill>
        </w:rPr>
        <w:t>年</w:t>
      </w:r>
      <w:r>
        <w:rPr>
          <w:rFonts w:hint="eastAsia" w:ascii="宋体" w:hAnsi="宋体" w:cs="宋体"/>
          <w:bCs/>
          <w:color w:val="000000" w:themeColor="text1"/>
          <w:sz w:val="28"/>
          <w:szCs w:val="28"/>
          <w:highlight w:val="none"/>
          <w:u w:val="single"/>
          <w14:textFill>
            <w14:solidFill>
              <w14:schemeClr w14:val="tx1"/>
            </w14:solidFill>
          </w14:textFill>
        </w:rPr>
        <w:t xml:space="preserve">     </w:t>
      </w:r>
      <w:r>
        <w:rPr>
          <w:rFonts w:hint="eastAsia" w:ascii="宋体" w:hAnsi="宋体" w:cs="宋体"/>
          <w:b/>
          <w:color w:val="000000" w:themeColor="text1"/>
          <w:sz w:val="28"/>
          <w:szCs w:val="28"/>
          <w:highlight w:val="none"/>
          <w14:textFill>
            <w14:solidFill>
              <w14:schemeClr w14:val="tx1"/>
            </w14:solidFill>
          </w14:textFill>
        </w:rPr>
        <w:t>月</w:t>
      </w:r>
      <w:r>
        <w:rPr>
          <w:rFonts w:hint="eastAsia" w:ascii="宋体" w:hAnsi="宋体" w:cs="宋体"/>
          <w:bCs/>
          <w:color w:val="000000" w:themeColor="text1"/>
          <w:sz w:val="28"/>
          <w:szCs w:val="28"/>
          <w:highlight w:val="none"/>
          <w:u w:val="single"/>
          <w14:textFill>
            <w14:solidFill>
              <w14:schemeClr w14:val="tx1"/>
            </w14:solidFill>
          </w14:textFill>
        </w:rPr>
        <w:t xml:space="preserve">     </w:t>
      </w:r>
      <w:r>
        <w:rPr>
          <w:rFonts w:hint="eastAsia" w:ascii="宋体" w:hAnsi="宋体" w:cs="宋体"/>
          <w:b/>
          <w:color w:val="000000" w:themeColor="text1"/>
          <w:sz w:val="28"/>
          <w:szCs w:val="28"/>
          <w:highlight w:val="none"/>
          <w14:textFill>
            <w14:solidFill>
              <w14:schemeClr w14:val="tx1"/>
            </w14:solidFill>
          </w14:textFill>
        </w:rPr>
        <w:t>日</w:t>
      </w:r>
    </w:p>
    <w:p w14:paraId="68E48070">
      <w:pPr>
        <w:pStyle w:val="4"/>
        <w:widowControl/>
        <w:autoSpaceDE w:val="0"/>
        <w:spacing w:before="0" w:after="0" w:line="360" w:lineRule="auto"/>
        <w:jc w:val="center"/>
        <w:rPr>
          <w:rFonts w:ascii="宋体" w:hAnsi="宋体" w:cs="宋体"/>
          <w:color w:val="000000" w:themeColor="text1"/>
          <w:sz w:val="28"/>
          <w:szCs w:val="28"/>
          <w:highlight w:val="none"/>
          <w14:textFill>
            <w14:solidFill>
              <w14:schemeClr w14:val="tx1"/>
            </w14:solidFill>
          </w14:textFill>
        </w:rPr>
        <w:sectPr>
          <w:pgSz w:w="11906" w:h="16838"/>
          <w:pgMar w:top="1440" w:right="1080" w:bottom="1440" w:left="1080" w:header="720" w:footer="720" w:gutter="0"/>
          <w:cols w:space="720" w:num="1"/>
          <w:docGrid w:type="lines" w:linePitch="312" w:charSpace="0"/>
        </w:sectPr>
      </w:pPr>
    </w:p>
    <w:p w14:paraId="569E43C6">
      <w:pPr>
        <w:pStyle w:val="4"/>
        <w:widowControl/>
        <w:autoSpaceDE w:val="0"/>
        <w:spacing w:before="0" w:after="0" w:line="360" w:lineRule="auto"/>
        <w:jc w:val="center"/>
        <w:rPr>
          <w:rFonts w:ascii="宋体" w:hAnsi="宋体" w:cs="宋体"/>
          <w:color w:val="000000" w:themeColor="text1"/>
          <w:sz w:val="28"/>
          <w:szCs w:val="28"/>
          <w:highlight w:val="none"/>
          <w14:textFill>
            <w14:solidFill>
              <w14:schemeClr w14:val="tx1"/>
            </w14:solidFill>
          </w14:textFill>
        </w:rPr>
      </w:pPr>
      <w:bookmarkStart w:id="441" w:name="_Toc242"/>
      <w:r>
        <w:rPr>
          <w:rFonts w:hint="eastAsia" w:ascii="宋体" w:hAnsi="宋体" w:cs="宋体"/>
          <w:color w:val="000000" w:themeColor="text1"/>
          <w:sz w:val="28"/>
          <w:szCs w:val="28"/>
          <w:highlight w:val="none"/>
          <w14:textFill>
            <w14:solidFill>
              <w14:schemeClr w14:val="tx1"/>
            </w14:solidFill>
          </w14:textFill>
        </w:rPr>
        <w:t>八、</w:t>
      </w:r>
      <w:bookmarkEnd w:id="441"/>
      <w:r>
        <w:rPr>
          <w:rFonts w:hint="eastAsia" w:ascii="宋体" w:hAnsi="宋体" w:cs="宋体"/>
          <w:color w:val="000000" w:themeColor="text1"/>
          <w:sz w:val="28"/>
          <w:szCs w:val="28"/>
          <w:highlight w:val="none"/>
          <w14:textFill>
            <w14:solidFill>
              <w14:schemeClr w14:val="tx1"/>
            </w14:solidFill>
          </w14:textFill>
        </w:rPr>
        <w:t>服务方案</w:t>
      </w:r>
    </w:p>
    <w:p w14:paraId="44A872E9">
      <w:pPr>
        <w:autoSpaceDE w:val="0"/>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(格式自拟)</w:t>
      </w:r>
    </w:p>
    <w:p w14:paraId="3B7DFDCB">
      <w:pPr>
        <w:pStyle w:val="52"/>
        <w:ind w:left="900" w:hanging="480"/>
        <w:rPr>
          <w:rFonts w:ascii="宋体" w:hAnsi="宋体"/>
          <w:color w:val="000000" w:themeColor="text1"/>
          <w:szCs w:val="24"/>
          <w:highlight w:val="none"/>
          <w14:textFill>
            <w14:solidFill>
              <w14:schemeClr w14:val="tx1"/>
            </w14:solidFill>
          </w14:textFill>
        </w:rPr>
      </w:pPr>
    </w:p>
    <w:p w14:paraId="1F337281">
      <w:pPr>
        <w:pStyle w:val="53"/>
        <w:rPr>
          <w:rFonts w:ascii="宋体" w:hAnsi="宋体"/>
          <w:color w:val="000000" w:themeColor="text1"/>
          <w:sz w:val="24"/>
          <w:szCs w:val="24"/>
          <w:highlight w:val="none"/>
          <w14:textFill>
            <w14:solidFill>
              <w14:schemeClr w14:val="tx1"/>
            </w14:solidFill>
          </w14:textFill>
        </w:rPr>
      </w:pPr>
    </w:p>
    <w:p w14:paraId="3CF44233">
      <w:pPr>
        <w:pStyle w:val="52"/>
        <w:ind w:left="900" w:hanging="480"/>
        <w:rPr>
          <w:color w:val="000000" w:themeColor="text1"/>
          <w:highlight w:val="none"/>
          <w14:textFill>
            <w14:solidFill>
              <w14:schemeClr w14:val="tx1"/>
            </w14:solidFill>
          </w14:textFill>
        </w:rPr>
      </w:pPr>
    </w:p>
    <w:p w14:paraId="147916B2">
      <w:pPr>
        <w:pStyle w:val="52"/>
        <w:ind w:left="900" w:hanging="480"/>
        <w:rPr>
          <w:rFonts w:ascii="宋体" w:hAnsi="宋体"/>
          <w:color w:val="000000" w:themeColor="text1"/>
          <w:szCs w:val="24"/>
          <w:highlight w:val="none"/>
          <w14:textFill>
            <w14:solidFill>
              <w14:schemeClr w14:val="tx1"/>
            </w14:solidFill>
          </w14:textFill>
        </w:rPr>
      </w:pPr>
    </w:p>
    <w:p w14:paraId="439B83B4">
      <w:pPr>
        <w:rPr>
          <w:rFonts w:ascii="宋体" w:hAnsi="宋体" w:cs="宋体"/>
          <w:color w:val="000000" w:themeColor="text1"/>
          <w:sz w:val="28"/>
          <w:szCs w:val="28"/>
          <w:highlight w:val="none"/>
          <w14:textFill>
            <w14:solidFill>
              <w14:schemeClr w14:val="tx1"/>
            </w14:solidFill>
          </w14:textFill>
        </w:rPr>
      </w:pPr>
      <w:bookmarkStart w:id="442" w:name="_Toc25691"/>
    </w:p>
    <w:p w14:paraId="7A490A62">
      <w:pPr>
        <w:pStyle w:val="14"/>
        <w:rPr>
          <w:color w:val="000000" w:themeColor="text1"/>
          <w:highlight w:val="none"/>
          <w14:textFill>
            <w14:solidFill>
              <w14:schemeClr w14:val="tx1"/>
            </w14:solidFill>
          </w14:textFill>
        </w:rPr>
      </w:pPr>
    </w:p>
    <w:p w14:paraId="38E69E45">
      <w:pPr>
        <w:pStyle w:val="4"/>
        <w:widowControl/>
        <w:autoSpaceDE w:val="0"/>
        <w:spacing w:before="0" w:after="0" w:line="360" w:lineRule="auto"/>
        <w:jc w:val="center"/>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九、</w:t>
      </w:r>
      <w:bookmarkEnd w:id="442"/>
      <w:r>
        <w:rPr>
          <w:rFonts w:hint="eastAsia" w:ascii="宋体" w:hAnsi="宋体" w:cs="宋体"/>
          <w:color w:val="000000" w:themeColor="text1"/>
          <w:sz w:val="28"/>
          <w:szCs w:val="28"/>
          <w:highlight w:val="none"/>
          <w14:textFill>
            <w14:solidFill>
              <w14:schemeClr w14:val="tx1"/>
            </w14:solidFill>
          </w14:textFill>
        </w:rPr>
        <w:t>项目实施进度计划</w:t>
      </w:r>
    </w:p>
    <w:p w14:paraId="03EA8E0B">
      <w:pPr>
        <w:autoSpaceDE w:val="0"/>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(格式自拟)</w:t>
      </w:r>
    </w:p>
    <w:p w14:paraId="64C4046F">
      <w:pPr>
        <w:pStyle w:val="53"/>
        <w:rPr>
          <w:rFonts w:ascii="宋体" w:hAnsi="宋体"/>
          <w:color w:val="000000" w:themeColor="text1"/>
          <w:highlight w:val="none"/>
          <w14:textFill>
            <w14:solidFill>
              <w14:schemeClr w14:val="tx1"/>
            </w14:solidFill>
          </w14:textFill>
        </w:rPr>
      </w:pPr>
    </w:p>
    <w:p w14:paraId="4EA86AE0">
      <w:pPr>
        <w:pStyle w:val="52"/>
        <w:ind w:left="900" w:hanging="480"/>
        <w:rPr>
          <w:rFonts w:ascii="宋体" w:hAnsi="宋体"/>
          <w:color w:val="000000" w:themeColor="text1"/>
          <w:highlight w:val="none"/>
          <w14:textFill>
            <w14:solidFill>
              <w14:schemeClr w14:val="tx1"/>
            </w14:solidFill>
          </w14:textFill>
        </w:rPr>
      </w:pPr>
    </w:p>
    <w:p w14:paraId="08398710">
      <w:pPr>
        <w:pStyle w:val="53"/>
        <w:rPr>
          <w:rFonts w:ascii="宋体" w:hAnsi="宋体"/>
          <w:color w:val="000000" w:themeColor="text1"/>
          <w:highlight w:val="none"/>
          <w14:textFill>
            <w14:solidFill>
              <w14:schemeClr w14:val="tx1"/>
            </w14:solidFill>
          </w14:textFill>
        </w:rPr>
      </w:pPr>
    </w:p>
    <w:p w14:paraId="4CC1EF93">
      <w:pPr>
        <w:pStyle w:val="52"/>
        <w:ind w:left="900" w:hanging="480"/>
        <w:rPr>
          <w:rFonts w:ascii="宋体" w:hAnsi="宋体"/>
          <w:color w:val="000000" w:themeColor="text1"/>
          <w:highlight w:val="none"/>
          <w14:textFill>
            <w14:solidFill>
              <w14:schemeClr w14:val="tx1"/>
            </w14:solidFill>
          </w14:textFill>
        </w:rPr>
      </w:pPr>
    </w:p>
    <w:p w14:paraId="4572C1F7">
      <w:pPr>
        <w:pStyle w:val="53"/>
        <w:rPr>
          <w:color w:val="000000" w:themeColor="text1"/>
          <w:highlight w:val="none"/>
          <w14:textFill>
            <w14:solidFill>
              <w14:schemeClr w14:val="tx1"/>
            </w14:solidFill>
          </w14:textFill>
        </w:rPr>
      </w:pPr>
    </w:p>
    <w:p w14:paraId="5F2D8CE1">
      <w:pPr>
        <w:pStyle w:val="53"/>
        <w:rPr>
          <w:color w:val="000000" w:themeColor="text1"/>
          <w:highlight w:val="none"/>
          <w14:textFill>
            <w14:solidFill>
              <w14:schemeClr w14:val="tx1"/>
            </w14:solidFill>
          </w14:textFill>
        </w:rPr>
      </w:pPr>
    </w:p>
    <w:p w14:paraId="7CE86861">
      <w:pPr>
        <w:pStyle w:val="52"/>
        <w:ind w:left="900" w:hanging="480"/>
        <w:rPr>
          <w:rFonts w:ascii="宋体" w:hAnsi="宋体"/>
          <w:color w:val="000000" w:themeColor="text1"/>
          <w:highlight w:val="none"/>
          <w14:textFill>
            <w14:solidFill>
              <w14:schemeClr w14:val="tx1"/>
            </w14:solidFill>
          </w14:textFill>
        </w:rPr>
      </w:pPr>
    </w:p>
    <w:bookmarkEnd w:id="439"/>
    <w:p w14:paraId="48A45D84">
      <w:pPr>
        <w:pStyle w:val="4"/>
        <w:widowControl/>
        <w:autoSpaceDE w:val="0"/>
        <w:spacing w:before="0" w:after="0" w:line="360" w:lineRule="auto"/>
        <w:jc w:val="center"/>
        <w:rPr>
          <w:rFonts w:ascii="宋体" w:hAnsi="宋体" w:cs="宋体"/>
          <w:color w:val="000000" w:themeColor="text1"/>
          <w:sz w:val="28"/>
          <w:szCs w:val="28"/>
          <w:highlight w:val="none"/>
          <w14:textFill>
            <w14:solidFill>
              <w14:schemeClr w14:val="tx1"/>
            </w14:solidFill>
          </w14:textFill>
        </w:rPr>
      </w:pPr>
      <w:bookmarkStart w:id="443" w:name="_Toc684"/>
      <w:bookmarkStart w:id="444" w:name="_Toc20388"/>
      <w:bookmarkStart w:id="445" w:name="_Toc5476"/>
      <w:bookmarkStart w:id="446" w:name="_Toc10949"/>
      <w:r>
        <w:rPr>
          <w:rFonts w:hint="eastAsia" w:ascii="宋体" w:hAnsi="宋体" w:cs="宋体"/>
          <w:color w:val="000000" w:themeColor="text1"/>
          <w:sz w:val="28"/>
          <w:szCs w:val="28"/>
          <w:highlight w:val="none"/>
          <w14:textFill>
            <w14:solidFill>
              <w14:schemeClr w14:val="tx1"/>
            </w14:solidFill>
          </w14:textFill>
        </w:rPr>
        <w:t>十、</w:t>
      </w:r>
      <w:bookmarkEnd w:id="443"/>
      <w:bookmarkEnd w:id="444"/>
      <w:bookmarkEnd w:id="445"/>
      <w:bookmarkEnd w:id="446"/>
      <w:r>
        <w:rPr>
          <w:rFonts w:hint="eastAsia" w:ascii="宋体" w:hAnsi="宋体" w:cs="宋体"/>
          <w:color w:val="000000" w:themeColor="text1"/>
          <w:sz w:val="28"/>
          <w:szCs w:val="28"/>
          <w:highlight w:val="none"/>
          <w14:textFill>
            <w14:solidFill>
              <w14:schemeClr w14:val="tx1"/>
            </w14:solidFill>
          </w14:textFill>
        </w:rPr>
        <w:t>质量保障措施及违约责任承诺</w:t>
      </w:r>
    </w:p>
    <w:p w14:paraId="7A92DCC4">
      <w:pPr>
        <w:autoSpaceDE w:val="0"/>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(格式自拟)</w:t>
      </w:r>
    </w:p>
    <w:p w14:paraId="7FDA94E1">
      <w:pPr>
        <w:autoSpaceDE w:val="0"/>
        <w:spacing w:line="360" w:lineRule="auto"/>
        <w:jc w:val="center"/>
        <w:rPr>
          <w:rFonts w:ascii="宋体" w:hAnsi="宋体" w:cs="宋体"/>
          <w:color w:val="000000" w:themeColor="text1"/>
          <w:sz w:val="28"/>
          <w:szCs w:val="28"/>
          <w:highlight w:val="none"/>
          <w14:textFill>
            <w14:solidFill>
              <w14:schemeClr w14:val="tx1"/>
            </w14:solidFill>
          </w14:textFill>
        </w:rPr>
      </w:pPr>
    </w:p>
    <w:p w14:paraId="74740498">
      <w:pPr>
        <w:autoSpaceDE w:val="0"/>
        <w:spacing w:line="360" w:lineRule="auto"/>
        <w:jc w:val="center"/>
        <w:rPr>
          <w:rFonts w:ascii="宋体" w:hAnsi="宋体" w:cs="宋体"/>
          <w:color w:val="000000" w:themeColor="text1"/>
          <w:sz w:val="28"/>
          <w:szCs w:val="28"/>
          <w:highlight w:val="none"/>
          <w14:textFill>
            <w14:solidFill>
              <w14:schemeClr w14:val="tx1"/>
            </w14:solidFill>
          </w14:textFill>
        </w:rPr>
      </w:pPr>
    </w:p>
    <w:p w14:paraId="5C694D17">
      <w:pPr>
        <w:autoSpaceDE w:val="0"/>
        <w:spacing w:line="360" w:lineRule="auto"/>
        <w:jc w:val="center"/>
        <w:rPr>
          <w:rFonts w:ascii="宋体" w:hAnsi="宋体" w:cs="宋体"/>
          <w:color w:val="000000" w:themeColor="text1"/>
          <w:sz w:val="28"/>
          <w:szCs w:val="28"/>
          <w:highlight w:val="none"/>
          <w14:textFill>
            <w14:solidFill>
              <w14:schemeClr w14:val="tx1"/>
            </w14:solidFill>
          </w14:textFill>
        </w:rPr>
      </w:pPr>
    </w:p>
    <w:p w14:paraId="3C00CBBE">
      <w:pPr>
        <w:rPr>
          <w:rFonts w:ascii="宋体" w:hAnsi="宋体" w:cs="宋体"/>
          <w:color w:val="000000" w:themeColor="text1"/>
          <w:highlight w:val="none"/>
          <w14:textFill>
            <w14:solidFill>
              <w14:schemeClr w14:val="tx1"/>
            </w14:solidFill>
          </w14:textFill>
        </w:rPr>
      </w:pPr>
    </w:p>
    <w:p w14:paraId="52822106">
      <w:pPr>
        <w:spacing w:line="360" w:lineRule="auto"/>
        <w:rPr>
          <w:rFonts w:ascii="宋体" w:hAnsi="宋体" w:cs="宋体"/>
          <w:color w:val="000000" w:themeColor="text1"/>
          <w:highlight w:val="none"/>
          <w14:textFill>
            <w14:solidFill>
              <w14:schemeClr w14:val="tx1"/>
            </w14:solidFill>
          </w14:textFill>
        </w:rPr>
      </w:pPr>
    </w:p>
    <w:p w14:paraId="04D44F1A">
      <w:pPr>
        <w:spacing w:line="360" w:lineRule="auto"/>
        <w:rPr>
          <w:rFonts w:ascii="宋体" w:hAnsi="宋体" w:cs="宋体"/>
          <w:color w:val="000000" w:themeColor="text1"/>
          <w:highlight w:val="none"/>
          <w14:textFill>
            <w14:solidFill>
              <w14:schemeClr w14:val="tx1"/>
            </w14:solidFill>
          </w14:textFill>
        </w:rPr>
      </w:pPr>
    </w:p>
    <w:p w14:paraId="59C9EE71">
      <w:pPr>
        <w:pStyle w:val="4"/>
        <w:widowControl/>
        <w:autoSpaceDE w:val="0"/>
        <w:spacing w:before="0" w:after="0" w:line="360" w:lineRule="auto"/>
        <w:jc w:val="center"/>
        <w:rPr>
          <w:rFonts w:ascii="宋体" w:hAnsi="宋体" w:cs="宋体"/>
          <w:color w:val="000000" w:themeColor="text1"/>
          <w:sz w:val="28"/>
          <w:szCs w:val="28"/>
          <w:highlight w:val="none"/>
          <w14:textFill>
            <w14:solidFill>
              <w14:schemeClr w14:val="tx1"/>
            </w14:solidFill>
          </w14:textFill>
        </w:rPr>
      </w:pPr>
      <w:bookmarkStart w:id="447" w:name="_Toc3712"/>
      <w:bookmarkStart w:id="448" w:name="_Toc7363"/>
      <w:bookmarkStart w:id="449" w:name="_Toc18768"/>
      <w:bookmarkStart w:id="450" w:name="_Toc27242"/>
      <w:r>
        <w:rPr>
          <w:rFonts w:hint="eastAsia" w:ascii="宋体" w:hAnsi="宋体" w:cs="宋体"/>
          <w:color w:val="000000" w:themeColor="text1"/>
          <w:sz w:val="28"/>
          <w:szCs w:val="28"/>
          <w:highlight w:val="none"/>
          <w14:textFill>
            <w14:solidFill>
              <w14:schemeClr w14:val="tx1"/>
            </w14:solidFill>
          </w14:textFill>
        </w:rPr>
        <w:t>十一、</w:t>
      </w:r>
      <w:bookmarkEnd w:id="447"/>
      <w:bookmarkEnd w:id="448"/>
      <w:bookmarkEnd w:id="449"/>
      <w:r>
        <w:rPr>
          <w:rFonts w:hint="eastAsia" w:ascii="宋体" w:hAnsi="宋体" w:cs="宋体"/>
          <w:color w:val="000000" w:themeColor="text1"/>
          <w:sz w:val="28"/>
          <w:szCs w:val="28"/>
          <w:highlight w:val="none"/>
          <w14:textFill>
            <w14:solidFill>
              <w14:schemeClr w14:val="tx1"/>
            </w14:solidFill>
          </w14:textFill>
        </w:rPr>
        <w:t>应急及突发事件处理预案</w:t>
      </w:r>
    </w:p>
    <w:p w14:paraId="687084B4">
      <w:pPr>
        <w:autoSpaceDE w:val="0"/>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(格式自拟)</w:t>
      </w:r>
    </w:p>
    <w:p w14:paraId="10BFAEBA">
      <w:pPr>
        <w:autoSpaceDE w:val="0"/>
        <w:spacing w:line="360" w:lineRule="auto"/>
        <w:jc w:val="center"/>
        <w:rPr>
          <w:rFonts w:ascii="宋体" w:hAnsi="宋体" w:cs="宋体"/>
          <w:color w:val="000000" w:themeColor="text1"/>
          <w:sz w:val="28"/>
          <w:szCs w:val="28"/>
          <w:highlight w:val="none"/>
          <w14:textFill>
            <w14:solidFill>
              <w14:schemeClr w14:val="tx1"/>
            </w14:solidFill>
          </w14:textFill>
        </w:rPr>
      </w:pPr>
    </w:p>
    <w:p w14:paraId="75B271C9">
      <w:pPr>
        <w:rPr>
          <w:color w:val="000000" w:themeColor="text1"/>
          <w:highlight w:val="none"/>
          <w14:textFill>
            <w14:solidFill>
              <w14:schemeClr w14:val="tx1"/>
            </w14:solidFill>
          </w14:textFill>
        </w:rPr>
      </w:pPr>
    </w:p>
    <w:bookmarkEnd w:id="450"/>
    <w:p w14:paraId="32FD8C33">
      <w:pPr>
        <w:pStyle w:val="4"/>
        <w:widowControl/>
        <w:autoSpaceDE w:val="0"/>
        <w:spacing w:before="0" w:after="0" w:line="360" w:lineRule="auto"/>
        <w:jc w:val="center"/>
        <w:rPr>
          <w:rFonts w:ascii="宋体" w:hAnsi="宋体" w:cs="宋体"/>
          <w:color w:val="000000" w:themeColor="text1"/>
          <w:sz w:val="28"/>
          <w:szCs w:val="28"/>
          <w:highlight w:val="none"/>
          <w14:textFill>
            <w14:solidFill>
              <w14:schemeClr w14:val="tx1"/>
            </w14:solidFill>
          </w14:textFill>
        </w:rPr>
      </w:pPr>
      <w:bookmarkStart w:id="451" w:name="_Toc27818"/>
      <w:r>
        <w:rPr>
          <w:rFonts w:hint="eastAsia" w:ascii="宋体" w:hAnsi="宋体" w:cs="宋体"/>
          <w:color w:val="000000" w:themeColor="text1"/>
          <w:sz w:val="28"/>
          <w:szCs w:val="28"/>
          <w:highlight w:val="none"/>
          <w14:textFill>
            <w14:solidFill>
              <w14:schemeClr w14:val="tx1"/>
            </w14:solidFill>
          </w14:textFill>
        </w:rPr>
        <w:t>十二、类似业绩</w:t>
      </w:r>
      <w:bookmarkEnd w:id="451"/>
    </w:p>
    <w:tbl>
      <w:tblPr>
        <w:tblStyle w:val="34"/>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
        <w:gridCol w:w="2036"/>
        <w:gridCol w:w="1215"/>
        <w:gridCol w:w="1705"/>
        <w:gridCol w:w="1321"/>
        <w:gridCol w:w="1396"/>
        <w:gridCol w:w="1018"/>
      </w:tblGrid>
      <w:tr w14:paraId="07558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948" w:type="dxa"/>
            <w:vAlign w:val="center"/>
          </w:tcPr>
          <w:p w14:paraId="0602F5C7">
            <w:pPr>
              <w:jc w:val="center"/>
              <w:rPr>
                <w:rFonts w:ascii="宋体" w:hAnsi="宋体" w:cs="宋体"/>
                <w:b/>
                <w:color w:val="000000" w:themeColor="text1"/>
                <w:sz w:val="24"/>
                <w:highlight w:val="none"/>
                <w14:textFill>
                  <w14:solidFill>
                    <w14:schemeClr w14:val="tx1"/>
                  </w14:solidFill>
                </w14:textFill>
              </w:rPr>
            </w:pPr>
            <w:bookmarkStart w:id="452" w:name="_Toc11"/>
            <w:r>
              <w:rPr>
                <w:rFonts w:hint="eastAsia" w:ascii="宋体" w:hAnsi="宋体" w:cs="宋体"/>
                <w:b/>
                <w:color w:val="000000" w:themeColor="text1"/>
                <w:sz w:val="24"/>
                <w:highlight w:val="none"/>
                <w14:textFill>
                  <w14:solidFill>
                    <w14:schemeClr w14:val="tx1"/>
                  </w14:solidFill>
                </w14:textFill>
              </w:rPr>
              <w:t>序号</w:t>
            </w:r>
          </w:p>
        </w:tc>
        <w:tc>
          <w:tcPr>
            <w:tcW w:w="2036" w:type="dxa"/>
            <w:vAlign w:val="center"/>
          </w:tcPr>
          <w:p w14:paraId="28F53FF5">
            <w:pPr>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合同名称</w:t>
            </w:r>
          </w:p>
        </w:tc>
        <w:tc>
          <w:tcPr>
            <w:tcW w:w="1215" w:type="dxa"/>
            <w:vAlign w:val="center"/>
          </w:tcPr>
          <w:p w14:paraId="232FA430">
            <w:pPr>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合同总价</w:t>
            </w:r>
          </w:p>
        </w:tc>
        <w:tc>
          <w:tcPr>
            <w:tcW w:w="1705" w:type="dxa"/>
            <w:vAlign w:val="center"/>
          </w:tcPr>
          <w:p w14:paraId="6A75BAAA">
            <w:pPr>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使用单位名称</w:t>
            </w:r>
          </w:p>
        </w:tc>
        <w:tc>
          <w:tcPr>
            <w:tcW w:w="1321" w:type="dxa"/>
          </w:tcPr>
          <w:p w14:paraId="74BECE79">
            <w:pPr>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使用单位联系人及联系电话</w:t>
            </w:r>
          </w:p>
        </w:tc>
        <w:tc>
          <w:tcPr>
            <w:tcW w:w="1396" w:type="dxa"/>
            <w:vAlign w:val="center"/>
          </w:tcPr>
          <w:p w14:paraId="754FCBAF">
            <w:pPr>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签订合同时间</w:t>
            </w:r>
          </w:p>
        </w:tc>
        <w:tc>
          <w:tcPr>
            <w:tcW w:w="1018" w:type="dxa"/>
            <w:vAlign w:val="center"/>
          </w:tcPr>
          <w:p w14:paraId="3D2340C6">
            <w:pPr>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备注</w:t>
            </w:r>
          </w:p>
        </w:tc>
      </w:tr>
      <w:tr w14:paraId="3100C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8" w:type="dxa"/>
            <w:vAlign w:val="center"/>
          </w:tcPr>
          <w:p w14:paraId="550AAFA0">
            <w:pPr>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p>
        </w:tc>
        <w:tc>
          <w:tcPr>
            <w:tcW w:w="2036" w:type="dxa"/>
            <w:vAlign w:val="center"/>
          </w:tcPr>
          <w:p w14:paraId="4FF3AE59">
            <w:pPr>
              <w:jc w:val="center"/>
              <w:rPr>
                <w:rFonts w:ascii="宋体" w:hAnsi="宋体" w:cs="宋体"/>
                <w:color w:val="000000" w:themeColor="text1"/>
                <w:sz w:val="24"/>
                <w:highlight w:val="none"/>
                <w14:textFill>
                  <w14:solidFill>
                    <w14:schemeClr w14:val="tx1"/>
                  </w14:solidFill>
                </w14:textFill>
              </w:rPr>
            </w:pPr>
          </w:p>
        </w:tc>
        <w:tc>
          <w:tcPr>
            <w:tcW w:w="1215" w:type="dxa"/>
            <w:vAlign w:val="center"/>
          </w:tcPr>
          <w:p w14:paraId="3A4B18B6">
            <w:pPr>
              <w:jc w:val="center"/>
              <w:rPr>
                <w:rFonts w:ascii="宋体" w:hAnsi="宋体" w:cs="宋体"/>
                <w:color w:val="000000" w:themeColor="text1"/>
                <w:sz w:val="24"/>
                <w:highlight w:val="none"/>
                <w14:textFill>
                  <w14:solidFill>
                    <w14:schemeClr w14:val="tx1"/>
                  </w14:solidFill>
                </w14:textFill>
              </w:rPr>
            </w:pPr>
          </w:p>
        </w:tc>
        <w:tc>
          <w:tcPr>
            <w:tcW w:w="1705" w:type="dxa"/>
            <w:vAlign w:val="center"/>
          </w:tcPr>
          <w:p w14:paraId="0B6E5922">
            <w:pPr>
              <w:jc w:val="center"/>
              <w:rPr>
                <w:rFonts w:ascii="宋体" w:hAnsi="宋体" w:cs="宋体"/>
                <w:color w:val="000000" w:themeColor="text1"/>
                <w:sz w:val="24"/>
                <w:highlight w:val="none"/>
                <w14:textFill>
                  <w14:solidFill>
                    <w14:schemeClr w14:val="tx1"/>
                  </w14:solidFill>
                </w14:textFill>
              </w:rPr>
            </w:pPr>
          </w:p>
        </w:tc>
        <w:tc>
          <w:tcPr>
            <w:tcW w:w="1321" w:type="dxa"/>
          </w:tcPr>
          <w:p w14:paraId="69B92D12">
            <w:pPr>
              <w:jc w:val="center"/>
              <w:rPr>
                <w:rFonts w:ascii="宋体" w:hAnsi="宋体" w:cs="宋体"/>
                <w:color w:val="000000" w:themeColor="text1"/>
                <w:sz w:val="24"/>
                <w:highlight w:val="none"/>
                <w14:textFill>
                  <w14:solidFill>
                    <w14:schemeClr w14:val="tx1"/>
                  </w14:solidFill>
                </w14:textFill>
              </w:rPr>
            </w:pPr>
          </w:p>
        </w:tc>
        <w:tc>
          <w:tcPr>
            <w:tcW w:w="1396" w:type="dxa"/>
            <w:vAlign w:val="center"/>
          </w:tcPr>
          <w:p w14:paraId="1E2EBDDD">
            <w:pPr>
              <w:jc w:val="center"/>
              <w:rPr>
                <w:rFonts w:ascii="宋体" w:hAnsi="宋体" w:cs="宋体"/>
                <w:color w:val="000000" w:themeColor="text1"/>
                <w:sz w:val="24"/>
                <w:highlight w:val="none"/>
                <w14:textFill>
                  <w14:solidFill>
                    <w14:schemeClr w14:val="tx1"/>
                  </w14:solidFill>
                </w14:textFill>
              </w:rPr>
            </w:pPr>
          </w:p>
        </w:tc>
        <w:tc>
          <w:tcPr>
            <w:tcW w:w="1018" w:type="dxa"/>
            <w:vAlign w:val="center"/>
          </w:tcPr>
          <w:p w14:paraId="105D9054">
            <w:pPr>
              <w:jc w:val="center"/>
              <w:rPr>
                <w:rFonts w:ascii="宋体" w:hAnsi="宋体" w:cs="宋体"/>
                <w:color w:val="000000" w:themeColor="text1"/>
                <w:sz w:val="24"/>
                <w:highlight w:val="none"/>
                <w14:textFill>
                  <w14:solidFill>
                    <w14:schemeClr w14:val="tx1"/>
                  </w14:solidFill>
                </w14:textFill>
              </w:rPr>
            </w:pPr>
          </w:p>
        </w:tc>
      </w:tr>
      <w:tr w14:paraId="153C8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8" w:type="dxa"/>
            <w:vAlign w:val="center"/>
          </w:tcPr>
          <w:p w14:paraId="1428B1F3">
            <w:pPr>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w:t>
            </w:r>
          </w:p>
        </w:tc>
        <w:tc>
          <w:tcPr>
            <w:tcW w:w="2036" w:type="dxa"/>
            <w:vAlign w:val="center"/>
          </w:tcPr>
          <w:p w14:paraId="3E861C25">
            <w:pPr>
              <w:jc w:val="center"/>
              <w:rPr>
                <w:rFonts w:ascii="宋体" w:hAnsi="宋体" w:cs="宋体"/>
                <w:color w:val="000000" w:themeColor="text1"/>
                <w:sz w:val="24"/>
                <w:highlight w:val="none"/>
                <w14:textFill>
                  <w14:solidFill>
                    <w14:schemeClr w14:val="tx1"/>
                  </w14:solidFill>
                </w14:textFill>
              </w:rPr>
            </w:pPr>
          </w:p>
        </w:tc>
        <w:tc>
          <w:tcPr>
            <w:tcW w:w="1215" w:type="dxa"/>
            <w:vAlign w:val="center"/>
          </w:tcPr>
          <w:p w14:paraId="2FE30652">
            <w:pPr>
              <w:jc w:val="center"/>
              <w:rPr>
                <w:rFonts w:ascii="宋体" w:hAnsi="宋体" w:cs="宋体"/>
                <w:color w:val="000000" w:themeColor="text1"/>
                <w:sz w:val="24"/>
                <w:highlight w:val="none"/>
                <w14:textFill>
                  <w14:solidFill>
                    <w14:schemeClr w14:val="tx1"/>
                  </w14:solidFill>
                </w14:textFill>
              </w:rPr>
            </w:pPr>
          </w:p>
        </w:tc>
        <w:tc>
          <w:tcPr>
            <w:tcW w:w="1705" w:type="dxa"/>
            <w:vAlign w:val="center"/>
          </w:tcPr>
          <w:p w14:paraId="091EF392">
            <w:pPr>
              <w:rPr>
                <w:rFonts w:ascii="宋体" w:hAnsi="宋体" w:cs="宋体"/>
                <w:color w:val="000000" w:themeColor="text1"/>
                <w:sz w:val="24"/>
                <w:highlight w:val="none"/>
                <w14:textFill>
                  <w14:solidFill>
                    <w14:schemeClr w14:val="tx1"/>
                  </w14:solidFill>
                </w14:textFill>
              </w:rPr>
            </w:pPr>
          </w:p>
        </w:tc>
        <w:tc>
          <w:tcPr>
            <w:tcW w:w="1321" w:type="dxa"/>
          </w:tcPr>
          <w:p w14:paraId="19E996BE">
            <w:pPr>
              <w:jc w:val="center"/>
              <w:rPr>
                <w:rFonts w:ascii="宋体" w:hAnsi="宋体" w:cs="宋体"/>
                <w:color w:val="000000" w:themeColor="text1"/>
                <w:sz w:val="24"/>
                <w:highlight w:val="none"/>
                <w14:textFill>
                  <w14:solidFill>
                    <w14:schemeClr w14:val="tx1"/>
                  </w14:solidFill>
                </w14:textFill>
              </w:rPr>
            </w:pPr>
          </w:p>
        </w:tc>
        <w:tc>
          <w:tcPr>
            <w:tcW w:w="1396" w:type="dxa"/>
            <w:vAlign w:val="center"/>
          </w:tcPr>
          <w:p w14:paraId="718E05A5">
            <w:pPr>
              <w:jc w:val="center"/>
              <w:rPr>
                <w:rFonts w:ascii="宋体" w:hAnsi="宋体" w:cs="宋体"/>
                <w:color w:val="000000" w:themeColor="text1"/>
                <w:sz w:val="24"/>
                <w:highlight w:val="none"/>
                <w14:textFill>
                  <w14:solidFill>
                    <w14:schemeClr w14:val="tx1"/>
                  </w14:solidFill>
                </w14:textFill>
              </w:rPr>
            </w:pPr>
          </w:p>
        </w:tc>
        <w:tc>
          <w:tcPr>
            <w:tcW w:w="1018" w:type="dxa"/>
            <w:vAlign w:val="center"/>
          </w:tcPr>
          <w:p w14:paraId="739B67D6">
            <w:pPr>
              <w:jc w:val="center"/>
              <w:rPr>
                <w:rFonts w:ascii="宋体" w:hAnsi="宋体" w:cs="宋体"/>
                <w:color w:val="000000" w:themeColor="text1"/>
                <w:sz w:val="24"/>
                <w:highlight w:val="none"/>
                <w14:textFill>
                  <w14:solidFill>
                    <w14:schemeClr w14:val="tx1"/>
                  </w14:solidFill>
                </w14:textFill>
              </w:rPr>
            </w:pPr>
          </w:p>
        </w:tc>
      </w:tr>
      <w:tr w14:paraId="1CDD3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8" w:type="dxa"/>
            <w:vAlign w:val="center"/>
          </w:tcPr>
          <w:p w14:paraId="2ECD7759">
            <w:pPr>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w:t>
            </w:r>
          </w:p>
        </w:tc>
        <w:tc>
          <w:tcPr>
            <w:tcW w:w="2036" w:type="dxa"/>
            <w:vAlign w:val="center"/>
          </w:tcPr>
          <w:p w14:paraId="41186DB3">
            <w:pPr>
              <w:jc w:val="center"/>
              <w:rPr>
                <w:rFonts w:ascii="宋体" w:hAnsi="宋体" w:cs="宋体"/>
                <w:color w:val="000000" w:themeColor="text1"/>
                <w:sz w:val="24"/>
                <w:highlight w:val="none"/>
                <w14:textFill>
                  <w14:solidFill>
                    <w14:schemeClr w14:val="tx1"/>
                  </w14:solidFill>
                </w14:textFill>
              </w:rPr>
            </w:pPr>
          </w:p>
        </w:tc>
        <w:tc>
          <w:tcPr>
            <w:tcW w:w="1215" w:type="dxa"/>
            <w:vAlign w:val="center"/>
          </w:tcPr>
          <w:p w14:paraId="6D9D631B">
            <w:pPr>
              <w:jc w:val="center"/>
              <w:rPr>
                <w:rFonts w:ascii="宋体" w:hAnsi="宋体" w:cs="宋体"/>
                <w:color w:val="000000" w:themeColor="text1"/>
                <w:sz w:val="24"/>
                <w:highlight w:val="none"/>
                <w14:textFill>
                  <w14:solidFill>
                    <w14:schemeClr w14:val="tx1"/>
                  </w14:solidFill>
                </w14:textFill>
              </w:rPr>
            </w:pPr>
          </w:p>
        </w:tc>
        <w:tc>
          <w:tcPr>
            <w:tcW w:w="1705" w:type="dxa"/>
            <w:vAlign w:val="center"/>
          </w:tcPr>
          <w:p w14:paraId="757AA5F1">
            <w:pPr>
              <w:jc w:val="center"/>
              <w:rPr>
                <w:rFonts w:ascii="宋体" w:hAnsi="宋体" w:cs="宋体"/>
                <w:color w:val="000000" w:themeColor="text1"/>
                <w:sz w:val="24"/>
                <w:highlight w:val="none"/>
                <w14:textFill>
                  <w14:solidFill>
                    <w14:schemeClr w14:val="tx1"/>
                  </w14:solidFill>
                </w14:textFill>
              </w:rPr>
            </w:pPr>
          </w:p>
        </w:tc>
        <w:tc>
          <w:tcPr>
            <w:tcW w:w="1321" w:type="dxa"/>
          </w:tcPr>
          <w:p w14:paraId="4333F595">
            <w:pPr>
              <w:jc w:val="center"/>
              <w:rPr>
                <w:rFonts w:ascii="宋体" w:hAnsi="宋体" w:cs="宋体"/>
                <w:color w:val="000000" w:themeColor="text1"/>
                <w:sz w:val="24"/>
                <w:highlight w:val="none"/>
                <w14:textFill>
                  <w14:solidFill>
                    <w14:schemeClr w14:val="tx1"/>
                  </w14:solidFill>
                </w14:textFill>
              </w:rPr>
            </w:pPr>
          </w:p>
        </w:tc>
        <w:tc>
          <w:tcPr>
            <w:tcW w:w="1396" w:type="dxa"/>
            <w:vAlign w:val="center"/>
          </w:tcPr>
          <w:p w14:paraId="712E7212">
            <w:pPr>
              <w:jc w:val="center"/>
              <w:rPr>
                <w:rFonts w:ascii="宋体" w:hAnsi="宋体" w:cs="宋体"/>
                <w:color w:val="000000" w:themeColor="text1"/>
                <w:sz w:val="24"/>
                <w:highlight w:val="none"/>
                <w14:textFill>
                  <w14:solidFill>
                    <w14:schemeClr w14:val="tx1"/>
                  </w14:solidFill>
                </w14:textFill>
              </w:rPr>
            </w:pPr>
          </w:p>
        </w:tc>
        <w:tc>
          <w:tcPr>
            <w:tcW w:w="1018" w:type="dxa"/>
            <w:vAlign w:val="center"/>
          </w:tcPr>
          <w:p w14:paraId="6AEFD14E">
            <w:pPr>
              <w:jc w:val="center"/>
              <w:rPr>
                <w:rFonts w:ascii="宋体" w:hAnsi="宋体" w:cs="宋体"/>
                <w:color w:val="000000" w:themeColor="text1"/>
                <w:sz w:val="24"/>
                <w:highlight w:val="none"/>
                <w14:textFill>
                  <w14:solidFill>
                    <w14:schemeClr w14:val="tx1"/>
                  </w14:solidFill>
                </w14:textFill>
              </w:rPr>
            </w:pPr>
          </w:p>
        </w:tc>
      </w:tr>
      <w:tr w14:paraId="6922A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8" w:type="dxa"/>
            <w:vAlign w:val="center"/>
          </w:tcPr>
          <w:p w14:paraId="52C52F04">
            <w:pPr>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w:t>
            </w:r>
          </w:p>
        </w:tc>
        <w:tc>
          <w:tcPr>
            <w:tcW w:w="2036" w:type="dxa"/>
            <w:vAlign w:val="center"/>
          </w:tcPr>
          <w:p w14:paraId="45BF473E">
            <w:pPr>
              <w:jc w:val="center"/>
              <w:rPr>
                <w:rFonts w:ascii="宋体" w:hAnsi="宋体" w:cs="宋体"/>
                <w:color w:val="000000" w:themeColor="text1"/>
                <w:sz w:val="24"/>
                <w:highlight w:val="none"/>
                <w14:textFill>
                  <w14:solidFill>
                    <w14:schemeClr w14:val="tx1"/>
                  </w14:solidFill>
                </w14:textFill>
              </w:rPr>
            </w:pPr>
          </w:p>
        </w:tc>
        <w:tc>
          <w:tcPr>
            <w:tcW w:w="1215" w:type="dxa"/>
            <w:vAlign w:val="center"/>
          </w:tcPr>
          <w:p w14:paraId="66AF2365">
            <w:pPr>
              <w:jc w:val="center"/>
              <w:rPr>
                <w:rFonts w:ascii="宋体" w:hAnsi="宋体" w:cs="宋体"/>
                <w:color w:val="000000" w:themeColor="text1"/>
                <w:sz w:val="24"/>
                <w:highlight w:val="none"/>
                <w14:textFill>
                  <w14:solidFill>
                    <w14:schemeClr w14:val="tx1"/>
                  </w14:solidFill>
                </w14:textFill>
              </w:rPr>
            </w:pPr>
          </w:p>
        </w:tc>
        <w:tc>
          <w:tcPr>
            <w:tcW w:w="1705" w:type="dxa"/>
            <w:vAlign w:val="center"/>
          </w:tcPr>
          <w:p w14:paraId="107E2DC7">
            <w:pPr>
              <w:jc w:val="center"/>
              <w:rPr>
                <w:rFonts w:ascii="宋体" w:hAnsi="宋体" w:cs="宋体"/>
                <w:color w:val="000000" w:themeColor="text1"/>
                <w:sz w:val="24"/>
                <w:highlight w:val="none"/>
                <w14:textFill>
                  <w14:solidFill>
                    <w14:schemeClr w14:val="tx1"/>
                  </w14:solidFill>
                </w14:textFill>
              </w:rPr>
            </w:pPr>
          </w:p>
        </w:tc>
        <w:tc>
          <w:tcPr>
            <w:tcW w:w="1321" w:type="dxa"/>
          </w:tcPr>
          <w:p w14:paraId="0AA8A993">
            <w:pPr>
              <w:jc w:val="center"/>
              <w:rPr>
                <w:rFonts w:ascii="宋体" w:hAnsi="宋体" w:cs="宋体"/>
                <w:color w:val="000000" w:themeColor="text1"/>
                <w:sz w:val="24"/>
                <w:highlight w:val="none"/>
                <w14:textFill>
                  <w14:solidFill>
                    <w14:schemeClr w14:val="tx1"/>
                  </w14:solidFill>
                </w14:textFill>
              </w:rPr>
            </w:pPr>
          </w:p>
        </w:tc>
        <w:tc>
          <w:tcPr>
            <w:tcW w:w="1396" w:type="dxa"/>
            <w:vAlign w:val="center"/>
          </w:tcPr>
          <w:p w14:paraId="60507172">
            <w:pPr>
              <w:jc w:val="center"/>
              <w:rPr>
                <w:rFonts w:ascii="宋体" w:hAnsi="宋体" w:cs="宋体"/>
                <w:color w:val="000000" w:themeColor="text1"/>
                <w:sz w:val="24"/>
                <w:highlight w:val="none"/>
                <w14:textFill>
                  <w14:solidFill>
                    <w14:schemeClr w14:val="tx1"/>
                  </w14:solidFill>
                </w14:textFill>
              </w:rPr>
            </w:pPr>
          </w:p>
        </w:tc>
        <w:tc>
          <w:tcPr>
            <w:tcW w:w="1018" w:type="dxa"/>
            <w:vAlign w:val="center"/>
          </w:tcPr>
          <w:p w14:paraId="24FDE61A">
            <w:pPr>
              <w:jc w:val="center"/>
              <w:rPr>
                <w:rFonts w:ascii="宋体" w:hAnsi="宋体" w:cs="宋体"/>
                <w:color w:val="000000" w:themeColor="text1"/>
                <w:sz w:val="24"/>
                <w:highlight w:val="none"/>
                <w14:textFill>
                  <w14:solidFill>
                    <w14:schemeClr w14:val="tx1"/>
                  </w14:solidFill>
                </w14:textFill>
              </w:rPr>
            </w:pPr>
          </w:p>
        </w:tc>
      </w:tr>
    </w:tbl>
    <w:p w14:paraId="43DA1DBA">
      <w:pPr>
        <w:spacing w:line="440" w:lineRule="exact"/>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注：提供相应的证明文件(有效合同或中标（成交）通知书)。</w:t>
      </w:r>
    </w:p>
    <w:bookmarkEnd w:id="452"/>
    <w:p w14:paraId="6C92C242">
      <w:pPr>
        <w:rPr>
          <w:rFonts w:ascii="宋体" w:hAnsi="宋体" w:cs="宋体"/>
          <w:b/>
          <w:color w:val="000000" w:themeColor="text1"/>
          <w:sz w:val="24"/>
          <w:szCs w:val="24"/>
          <w:highlight w:val="none"/>
          <w14:textFill>
            <w14:solidFill>
              <w14:schemeClr w14:val="tx1"/>
            </w14:solidFill>
          </w14:textFill>
        </w:rPr>
      </w:pPr>
    </w:p>
    <w:p w14:paraId="78110C7F">
      <w:pPr>
        <w:rPr>
          <w:rFonts w:ascii="宋体" w:hAnsi="宋体" w:cs="宋体"/>
          <w:color w:val="000000" w:themeColor="text1"/>
          <w:highlight w:val="none"/>
          <w14:textFill>
            <w14:solidFill>
              <w14:schemeClr w14:val="tx1"/>
            </w14:solidFill>
          </w14:textFill>
        </w:rPr>
      </w:pPr>
    </w:p>
    <w:p w14:paraId="6683F8FD">
      <w:pPr>
        <w:rPr>
          <w:rFonts w:ascii="宋体" w:hAnsi="宋体" w:cs="宋体"/>
          <w:b/>
          <w:color w:val="000000" w:themeColor="text1"/>
          <w:sz w:val="24"/>
          <w:szCs w:val="24"/>
          <w:highlight w:val="none"/>
          <w14:textFill>
            <w14:solidFill>
              <w14:schemeClr w14:val="tx1"/>
            </w14:solidFill>
          </w14:textFill>
        </w:rPr>
      </w:pPr>
    </w:p>
    <w:p w14:paraId="4B5A301A">
      <w:pPr>
        <w:spacing w:line="360" w:lineRule="auto"/>
        <w:ind w:firstLine="1124" w:firstLineChars="400"/>
        <w:rPr>
          <w:rFonts w:ascii="宋体" w:hAnsi="宋体" w:cs="宋体"/>
          <w:b/>
          <w:color w:val="000000" w:themeColor="text1"/>
          <w:sz w:val="28"/>
          <w:szCs w:val="28"/>
          <w:highlight w:val="none"/>
          <w14:textFill>
            <w14:solidFill>
              <w14:schemeClr w14:val="tx1"/>
            </w14:solidFill>
          </w14:textFill>
        </w:rPr>
      </w:pPr>
      <w:r>
        <w:rPr>
          <w:rFonts w:hint="eastAsia" w:ascii="宋体" w:hAnsi="宋体" w:cs="宋体"/>
          <w:b/>
          <w:color w:val="000000" w:themeColor="text1"/>
          <w:sz w:val="28"/>
          <w:szCs w:val="28"/>
          <w:highlight w:val="none"/>
          <w14:textFill>
            <w14:solidFill>
              <w14:schemeClr w14:val="tx1"/>
            </w14:solidFill>
          </w14:textFill>
        </w:rPr>
        <w:t>投标人：</w:t>
      </w:r>
      <w:r>
        <w:rPr>
          <w:rFonts w:hint="eastAsia" w:ascii="宋体" w:hAnsi="宋体" w:cs="宋体"/>
          <w:b/>
          <w:color w:val="000000" w:themeColor="text1"/>
          <w:sz w:val="28"/>
          <w:szCs w:val="28"/>
          <w:highlight w:val="none"/>
          <w:u w:val="single"/>
          <w14:textFill>
            <w14:solidFill>
              <w14:schemeClr w14:val="tx1"/>
            </w14:solidFill>
          </w14:textFill>
        </w:rPr>
        <w:tab/>
      </w:r>
      <w:r>
        <w:rPr>
          <w:rFonts w:hint="eastAsia" w:ascii="宋体" w:hAnsi="宋体" w:cs="宋体"/>
          <w:b/>
          <w:color w:val="000000" w:themeColor="text1"/>
          <w:sz w:val="28"/>
          <w:szCs w:val="28"/>
          <w:highlight w:val="none"/>
          <w:u w:val="single"/>
          <w14:textFill>
            <w14:solidFill>
              <w14:schemeClr w14:val="tx1"/>
            </w14:solidFill>
          </w14:textFill>
        </w:rPr>
        <w:t xml:space="preserve">                                 </w:t>
      </w:r>
      <w:r>
        <w:rPr>
          <w:rFonts w:hint="eastAsia" w:ascii="宋体" w:hAnsi="宋体" w:cs="宋体"/>
          <w:b/>
          <w:color w:val="000000" w:themeColor="text1"/>
          <w:sz w:val="28"/>
          <w:szCs w:val="28"/>
          <w:highlight w:val="none"/>
          <w14:textFill>
            <w14:solidFill>
              <w14:schemeClr w14:val="tx1"/>
            </w14:solidFill>
          </w14:textFill>
        </w:rPr>
        <w:t>(电子签章)</w:t>
      </w:r>
    </w:p>
    <w:p w14:paraId="3CADB298">
      <w:pPr>
        <w:spacing w:line="360" w:lineRule="auto"/>
        <w:ind w:firstLine="1124" w:firstLineChars="400"/>
        <w:rPr>
          <w:rFonts w:ascii="宋体" w:hAnsi="宋体" w:cs="宋体"/>
          <w:b/>
          <w:color w:val="000000" w:themeColor="text1"/>
          <w:sz w:val="28"/>
          <w:szCs w:val="28"/>
          <w:highlight w:val="none"/>
          <w14:textFill>
            <w14:solidFill>
              <w14:schemeClr w14:val="tx1"/>
            </w14:solidFill>
          </w14:textFill>
        </w:rPr>
      </w:pPr>
      <w:r>
        <w:rPr>
          <w:rFonts w:hint="eastAsia" w:ascii="宋体" w:hAnsi="宋体" w:cs="宋体"/>
          <w:b/>
          <w:color w:val="000000" w:themeColor="text1"/>
          <w:sz w:val="28"/>
          <w:szCs w:val="28"/>
          <w:highlight w:val="none"/>
          <w14:textFill>
            <w14:solidFill>
              <w14:schemeClr w14:val="tx1"/>
            </w14:solidFill>
          </w14:textFill>
        </w:rPr>
        <w:t>法定代表人(单位负责人)或其委托代理人：</w:t>
      </w:r>
      <w:r>
        <w:rPr>
          <w:rFonts w:hint="eastAsia" w:ascii="宋体" w:hAnsi="宋体" w:cs="宋体"/>
          <w:b/>
          <w:color w:val="000000" w:themeColor="text1"/>
          <w:sz w:val="28"/>
          <w:szCs w:val="28"/>
          <w:highlight w:val="none"/>
          <w:u w:val="single"/>
          <w14:textFill>
            <w14:solidFill>
              <w14:schemeClr w14:val="tx1"/>
            </w14:solidFill>
          </w14:textFill>
        </w:rPr>
        <w:tab/>
      </w:r>
      <w:r>
        <w:rPr>
          <w:rFonts w:hint="eastAsia" w:ascii="宋体" w:hAnsi="宋体" w:cs="宋体"/>
          <w:b/>
          <w:color w:val="000000" w:themeColor="text1"/>
          <w:sz w:val="28"/>
          <w:szCs w:val="28"/>
          <w:highlight w:val="none"/>
          <w:u w:val="single"/>
          <w14:textFill>
            <w14:solidFill>
              <w14:schemeClr w14:val="tx1"/>
            </w14:solidFill>
          </w14:textFill>
        </w:rPr>
        <w:t xml:space="preserve">   </w:t>
      </w:r>
      <w:r>
        <w:rPr>
          <w:rFonts w:hint="eastAsia" w:ascii="宋体" w:hAnsi="宋体" w:cs="宋体"/>
          <w:b/>
          <w:color w:val="000000" w:themeColor="text1"/>
          <w:sz w:val="28"/>
          <w:szCs w:val="28"/>
          <w:highlight w:val="none"/>
          <w14:textFill>
            <w14:solidFill>
              <w14:schemeClr w14:val="tx1"/>
            </w14:solidFill>
          </w14:textFill>
        </w:rPr>
        <w:t>(电子签章或签字)</w:t>
      </w:r>
    </w:p>
    <w:p w14:paraId="7B989E4C">
      <w:pPr>
        <w:spacing w:line="360" w:lineRule="auto"/>
        <w:ind w:firstLine="1124" w:firstLineChars="400"/>
        <w:rPr>
          <w:rFonts w:ascii="宋体" w:hAnsi="宋体" w:cs="宋体"/>
          <w:b/>
          <w:color w:val="000000" w:themeColor="text1"/>
          <w:sz w:val="28"/>
          <w:szCs w:val="28"/>
          <w:highlight w:val="none"/>
          <w14:textFill>
            <w14:solidFill>
              <w14:schemeClr w14:val="tx1"/>
            </w14:solidFill>
          </w14:textFill>
        </w:rPr>
      </w:pPr>
      <w:r>
        <w:rPr>
          <w:rFonts w:hint="eastAsia" w:ascii="宋体" w:hAnsi="宋体" w:cs="宋体"/>
          <w:b/>
          <w:color w:val="000000" w:themeColor="text1"/>
          <w:sz w:val="28"/>
          <w:szCs w:val="28"/>
          <w:highlight w:val="none"/>
          <w14:textFill>
            <w14:solidFill>
              <w14:schemeClr w14:val="tx1"/>
            </w14:solidFill>
          </w14:textFill>
        </w:rPr>
        <w:t>日期：</w:t>
      </w:r>
      <w:r>
        <w:rPr>
          <w:rFonts w:hint="eastAsia" w:ascii="宋体" w:hAnsi="宋体" w:cs="宋体"/>
          <w:bCs/>
          <w:color w:val="000000" w:themeColor="text1"/>
          <w:sz w:val="28"/>
          <w:szCs w:val="28"/>
          <w:highlight w:val="none"/>
          <w:u w:val="single"/>
          <w14:textFill>
            <w14:solidFill>
              <w14:schemeClr w14:val="tx1"/>
            </w14:solidFill>
          </w14:textFill>
        </w:rPr>
        <w:t xml:space="preserve">      </w:t>
      </w:r>
      <w:r>
        <w:rPr>
          <w:rFonts w:hint="eastAsia" w:ascii="宋体" w:hAnsi="宋体" w:cs="宋体"/>
          <w:b/>
          <w:color w:val="000000" w:themeColor="text1"/>
          <w:sz w:val="28"/>
          <w:szCs w:val="28"/>
          <w:highlight w:val="none"/>
          <w14:textFill>
            <w14:solidFill>
              <w14:schemeClr w14:val="tx1"/>
            </w14:solidFill>
          </w14:textFill>
        </w:rPr>
        <w:t>年</w:t>
      </w:r>
      <w:r>
        <w:rPr>
          <w:rFonts w:hint="eastAsia" w:ascii="宋体" w:hAnsi="宋体" w:cs="宋体"/>
          <w:bCs/>
          <w:color w:val="000000" w:themeColor="text1"/>
          <w:sz w:val="28"/>
          <w:szCs w:val="28"/>
          <w:highlight w:val="none"/>
          <w:u w:val="single"/>
          <w14:textFill>
            <w14:solidFill>
              <w14:schemeClr w14:val="tx1"/>
            </w14:solidFill>
          </w14:textFill>
        </w:rPr>
        <w:t xml:space="preserve">     </w:t>
      </w:r>
      <w:r>
        <w:rPr>
          <w:rFonts w:hint="eastAsia" w:ascii="宋体" w:hAnsi="宋体" w:cs="宋体"/>
          <w:b/>
          <w:color w:val="000000" w:themeColor="text1"/>
          <w:sz w:val="28"/>
          <w:szCs w:val="28"/>
          <w:highlight w:val="none"/>
          <w14:textFill>
            <w14:solidFill>
              <w14:schemeClr w14:val="tx1"/>
            </w14:solidFill>
          </w14:textFill>
        </w:rPr>
        <w:t>月</w:t>
      </w:r>
      <w:r>
        <w:rPr>
          <w:rFonts w:hint="eastAsia" w:ascii="宋体" w:hAnsi="宋体" w:cs="宋体"/>
          <w:bCs/>
          <w:color w:val="000000" w:themeColor="text1"/>
          <w:sz w:val="28"/>
          <w:szCs w:val="28"/>
          <w:highlight w:val="none"/>
          <w:u w:val="single"/>
          <w14:textFill>
            <w14:solidFill>
              <w14:schemeClr w14:val="tx1"/>
            </w14:solidFill>
          </w14:textFill>
        </w:rPr>
        <w:t xml:space="preserve">     </w:t>
      </w:r>
      <w:r>
        <w:rPr>
          <w:rFonts w:hint="eastAsia" w:ascii="宋体" w:hAnsi="宋体" w:cs="宋体"/>
          <w:b/>
          <w:color w:val="000000" w:themeColor="text1"/>
          <w:sz w:val="28"/>
          <w:szCs w:val="28"/>
          <w:highlight w:val="none"/>
          <w14:textFill>
            <w14:solidFill>
              <w14:schemeClr w14:val="tx1"/>
            </w14:solidFill>
          </w14:textFill>
        </w:rPr>
        <w:t>日</w:t>
      </w:r>
    </w:p>
    <w:p w14:paraId="188B5DDF">
      <w:pPr>
        <w:ind w:firstLine="560" w:firstLineChars="200"/>
        <w:jc w:val="center"/>
        <w:outlineLvl w:val="2"/>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br w:type="page"/>
      </w:r>
      <w:bookmarkStart w:id="453" w:name="_Toc25478"/>
      <w:bookmarkStart w:id="454" w:name="_Toc3001"/>
      <w:bookmarkStart w:id="455" w:name="_Toc29923"/>
      <w:bookmarkStart w:id="456" w:name="_Toc114132390"/>
      <w:r>
        <w:rPr>
          <w:rFonts w:hint="eastAsia" w:ascii="宋体" w:hAnsi="宋体" w:cs="宋体"/>
          <w:b/>
          <w:bCs/>
          <w:color w:val="000000" w:themeColor="text1"/>
          <w:sz w:val="28"/>
          <w:szCs w:val="28"/>
          <w:highlight w:val="none"/>
          <w14:textFill>
            <w14:solidFill>
              <w14:schemeClr w14:val="tx1"/>
            </w14:solidFill>
          </w14:textFill>
        </w:rPr>
        <w:t>十三、其他</w:t>
      </w:r>
      <w:bookmarkEnd w:id="453"/>
      <w:bookmarkEnd w:id="454"/>
      <w:bookmarkEnd w:id="455"/>
      <w:bookmarkEnd w:id="456"/>
    </w:p>
    <w:p w14:paraId="41A19FAD">
      <w:pPr>
        <w:spacing w:before="156" w:beforeLines="50" w:line="360" w:lineRule="auto"/>
        <w:ind w:firstLine="720" w:firstLineChars="300"/>
        <w:rPr>
          <w:rFonts w:ascii="宋体" w:hAnsi="宋体" w:cs="宋体"/>
          <w:color w:val="000000" w:themeColor="text1"/>
          <w:sz w:val="24"/>
          <w:szCs w:val="24"/>
          <w:highlight w:val="none"/>
          <w14:textFill>
            <w14:solidFill>
              <w14:schemeClr w14:val="tx1"/>
            </w14:solidFill>
          </w14:textFill>
        </w:rPr>
      </w:pPr>
      <w:bookmarkStart w:id="457" w:name="_Toc468"/>
      <w:bookmarkEnd w:id="457"/>
      <w:bookmarkStart w:id="458" w:name="_Toc12254"/>
      <w:bookmarkEnd w:id="458"/>
      <w:r>
        <w:rPr>
          <w:rFonts w:hint="eastAsia" w:ascii="宋体" w:hAnsi="宋体" w:cs="宋体"/>
          <w:color w:val="000000" w:themeColor="text1"/>
          <w:sz w:val="24"/>
          <w:szCs w:val="24"/>
          <w:highlight w:val="none"/>
          <w14:textFill>
            <w14:solidFill>
              <w14:schemeClr w14:val="tx1"/>
            </w14:solidFill>
          </w14:textFill>
        </w:rPr>
        <w:t>(一)招标文件要求提交的其他资料</w:t>
      </w:r>
    </w:p>
    <w:p w14:paraId="122C27A2">
      <w:pPr>
        <w:spacing w:before="156" w:beforeLines="50" w:line="360" w:lineRule="auto"/>
        <w:ind w:firstLine="720" w:firstLineChars="3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(二)投标人认为需要提交的其他资料</w:t>
      </w:r>
      <w:bookmarkEnd w:id="440"/>
    </w:p>
    <w:sectPr>
      <w:headerReference r:id="rId16" w:type="default"/>
      <w:footerReference r:id="rId17" w:type="default"/>
      <w:pgSz w:w="11906" w:h="16838"/>
      <w:pgMar w:top="1440" w:right="1080" w:bottom="1440" w:left="1080" w:header="720" w:footer="72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小标宋简体">
    <w:altName w:val="方正舒体"/>
    <w:panose1 w:val="02000000000000000000"/>
    <w:charset w:val="86"/>
    <w:family w:val="auto"/>
    <w:pitch w:val="default"/>
    <w:sig w:usb0="00000000" w:usb1="00000000" w:usb2="00000012" w:usb3="00000000" w:csb0="00040001" w:csb1="00000000"/>
  </w:font>
  <w:font w:name="方正舒体">
    <w:panose1 w:val="02010601030101010101"/>
    <w:charset w:val="86"/>
    <w:family w:val="auto"/>
    <w:pitch w:val="default"/>
    <w:sig w:usb0="00000003" w:usb1="080E0000" w:usb2="00000000" w:usb3="00000000" w:csb0="00040000"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time">
    <w:altName w:val="Noto Sans SC"/>
    <w:panose1 w:val="00000000000000000000"/>
    <w:charset w:val="00"/>
    <w:family w:val="roman"/>
    <w:pitch w:val="default"/>
    <w:sig w:usb0="00000000" w:usb1="00000000" w:usb2="00000000" w:usb3="00000000" w:csb0="00040001" w:csb1="00000000"/>
  </w:font>
  <w:font w:name="yyb">
    <w:altName w:val="宋体"/>
    <w:panose1 w:val="020B0200000000000000"/>
    <w:charset w:val="86"/>
    <w:family w:val="auto"/>
    <w:pitch w:val="default"/>
    <w:sig w:usb0="00000000" w:usb1="00000000" w:usb2="00000016" w:usb3="00000000" w:csb0="60060107" w:csb1="00000000"/>
  </w:font>
  <w:font w:name="Arial Narrow">
    <w:panose1 w:val="020B0606020202030204"/>
    <w:charset w:val="00"/>
    <w:family w:val="swiss"/>
    <w:pitch w:val="default"/>
    <w:sig w:usb0="00000287" w:usb1="00000800" w:usb2="00000000" w:usb3="00000000" w:csb0="2000009F" w:csb1="DFD70000"/>
  </w:font>
  <w:font w:name="Malgun Gothic">
    <w:panose1 w:val="020B0503020000020004"/>
    <w:charset w:val="81"/>
    <w:family w:val="swiss"/>
    <w:pitch w:val="default"/>
    <w:sig w:usb0="9000002F" w:usb1="29D77CFB" w:usb2="00000012" w:usb3="00000000" w:csb0="00080001" w:csb1="00000000"/>
  </w:font>
  <w:font w:name="新宋体">
    <w:panose1 w:val="02010609030101010101"/>
    <w:charset w:val="86"/>
    <w:family w:val="modern"/>
    <w:pitch w:val="default"/>
    <w:sig w:usb0="00000203" w:usb1="288F0000" w:usb2="00000006" w:usb3="00000000" w:csb0="00040001" w:csb1="00000000"/>
  </w:font>
  <w:font w:name="Noto Sans SC">
    <w:panose1 w:val="020B0200000000000000"/>
    <w:charset w:val="86"/>
    <w:family w:val="auto"/>
    <w:pitch w:val="default"/>
    <w:sig w:usb0="20000083" w:usb1="2ADF3C10" w:usb2="00000016" w:usb3="00000000" w:csb0="60060107" w:csb1="00000000"/>
  </w:font>
  <w:font w:name="Tahoma">
    <w:panose1 w:val="020B0604030504040204"/>
    <w:charset w:val="00"/>
    <w:family w:val="auto"/>
    <w:pitch w:val="default"/>
    <w:sig w:usb0="E1002EFF" w:usb1="C000605B" w:usb2="00000029" w:usb3="00000000" w:csb0="200101FF" w:csb1="2028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E5B830">
    <w:pPr>
      <w:pStyle w:val="21"/>
      <w:jc w:val="center"/>
    </w:pPr>
  </w:p>
  <w:p w14:paraId="2C589E09">
    <w:pPr>
      <w:pStyle w:val="21"/>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AF587">
    <w:pPr>
      <w:pStyle w:val="21"/>
    </w:pPr>
    <w:r>
      <mc:AlternateContent>
        <mc:Choice Requires="wps">
          <w:drawing>
            <wp:anchor distT="0" distB="0" distL="114300" distR="114300" simplePos="0" relativeHeight="251664384" behindDoc="0" locked="0" layoutInCell="1" allowOverlap="1">
              <wp:simplePos x="0" y="0"/>
              <wp:positionH relativeFrom="margin">
                <wp:posOffset>2966720</wp:posOffset>
              </wp:positionH>
              <wp:positionV relativeFrom="paragraph">
                <wp:posOffset>-106045</wp:posOffset>
              </wp:positionV>
              <wp:extent cx="283845" cy="237490"/>
              <wp:effectExtent l="0" t="0" r="0" b="0"/>
              <wp:wrapNone/>
              <wp:docPr id="14" name="文本框 1036"/>
              <wp:cNvGraphicFramePr/>
              <a:graphic xmlns:a="http://schemas.openxmlformats.org/drawingml/2006/main">
                <a:graphicData uri="http://schemas.microsoft.com/office/word/2010/wordprocessingShape">
                  <wps:wsp>
                    <wps:cNvSpPr txBox="1"/>
                    <wps:spPr>
                      <a:xfrm>
                        <a:off x="0" y="0"/>
                        <a:ext cx="283845" cy="237490"/>
                      </a:xfrm>
                      <a:prstGeom prst="rect">
                        <a:avLst/>
                      </a:prstGeom>
                      <a:noFill/>
                      <a:ln>
                        <a:noFill/>
                      </a:ln>
                    </wps:spPr>
                    <wps:txbx>
                      <w:txbxContent>
                        <w:p w14:paraId="4A1D0B4B">
                          <w:pPr>
                            <w:pStyle w:val="21"/>
                          </w:pPr>
                          <w:r>
                            <w:fldChar w:fldCharType="begin"/>
                          </w:r>
                          <w:r>
                            <w:instrText xml:space="preserve"> PAGE  \* MERGEFORMAT </w:instrText>
                          </w:r>
                          <w:r>
                            <w:fldChar w:fldCharType="separate"/>
                          </w:r>
                          <w:r>
                            <w:t>26</w:t>
                          </w:r>
                          <w:r>
                            <w:fldChar w:fldCharType="end"/>
                          </w:r>
                        </w:p>
                      </w:txbxContent>
                    </wps:txbx>
                    <wps:bodyPr wrap="square" lIns="0" tIns="0" rIns="0" bIns="0"/>
                  </wps:wsp>
                </a:graphicData>
              </a:graphic>
            </wp:anchor>
          </w:drawing>
        </mc:Choice>
        <mc:Fallback>
          <w:pict>
            <v:shape id="文本框 1036" o:spid="_x0000_s1026" o:spt="202" type="#_x0000_t202" style="position:absolute;left:0pt;margin-left:233.6pt;margin-top:-8.35pt;height:18.7pt;width:22.35pt;mso-position-horizontal-relative:margin;z-index:251664384;mso-width-relative:page;mso-height-relative:page;" filled="f" stroked="f" coordsize="21600,21600" o:gfxdata="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yj7Ur2gAAAAoBAAAPAAAAAAAAAAEAIAAAACIAAABkcnMvZG93bnJl&#10;di54bWxQSwECFAAUAAAACACHTuJAKJnVPcIBAAB3AwAADgAAAAAAAAABACAAAAApAQAAZHJzL2Uy&#10;b0RvYy54bWxQSwUGAAAAAAYABgBZAQAAXQUAAAAA&#10;">
              <v:fill on="f" focussize="0,0"/>
              <v:stroke on="f"/>
              <v:imagedata o:title=""/>
              <o:lock v:ext="edit" aspectratio="f"/>
              <v:textbox inset="0mm,0mm,0mm,0mm">
                <w:txbxContent>
                  <w:p w14:paraId="4A1D0B4B">
                    <w:pPr>
                      <w:pStyle w:val="21"/>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FE0579">
    <w:pPr>
      <w:pStyle w:val="21"/>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0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37E817F">
                          <w:pPr>
                            <w:pStyle w:val="21"/>
                          </w:pPr>
                          <w:r>
                            <w:fldChar w:fldCharType="begin"/>
                          </w:r>
                          <w:r>
                            <w:instrText xml:space="preserve"> PAGE  \* MERGEFORMAT </w:instrText>
                          </w:r>
                          <w:r>
                            <w:fldChar w:fldCharType="separate"/>
                          </w:r>
                          <w:r>
                            <w:t>56</w:t>
                          </w:r>
                          <w:r>
                            <w:fldChar w:fldCharType="end"/>
                          </w:r>
                        </w:p>
                      </w:txbxContent>
                    </wps:txbx>
                    <wps:bodyPr wrap="none" lIns="0" tIns="0" rIns="0" bIns="0">
                      <a:spAutoFit/>
                    </wps:bodyPr>
                  </wps:wsp>
                </a:graphicData>
              </a:graphic>
            </wp:anchor>
          </w:drawing>
        </mc:Choice>
        <mc:Fallback>
          <w:pict>
            <v:shape id="文本框 1034"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ycrWvcQBAACRAwAADgAAAAAAAAABACAAAAAeAQAAZHJzL2Uyb0RvYy54bWxQ&#10;SwUGAAAAAAYABgBZAQAAVAUAAAAA&#10;">
              <v:fill on="f" focussize="0,0"/>
              <v:stroke on="f"/>
              <v:imagedata o:title=""/>
              <o:lock v:ext="edit" aspectratio="f"/>
              <v:textbox inset="0mm,0mm,0mm,0mm" style="mso-fit-shape-to-text:t;">
                <w:txbxContent>
                  <w:p w14:paraId="337E817F">
                    <w:pPr>
                      <w:pStyle w:val="21"/>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EAEF0A">
    <w:pPr>
      <w:pStyle w:val="21"/>
      <w:ind w:right="360" w:firstLine="360"/>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067C37E">
                          <w:pPr>
                            <w:pStyle w:val="21"/>
                          </w:pPr>
                          <w:r>
                            <w:fldChar w:fldCharType="begin"/>
                          </w:r>
                          <w:r>
                            <w:instrText xml:space="preserve"> PAGE  \* MERGEFORMAT </w:instrText>
                          </w:r>
                          <w:r>
                            <w:fldChar w:fldCharType="separate"/>
                          </w:r>
                          <w:r>
                            <w:t>29</w:t>
                          </w:r>
                          <w:r>
                            <w:fldChar w:fldCharType="end"/>
                          </w:r>
                        </w:p>
                      </w:txbxContent>
                    </wps:txbx>
                    <wps:bodyPr vert="horz" wrap="none" lIns="0" tIns="0" rIns="0" bIns="0" anchor="t" anchorCtr="0">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ql5uc8AAAAFAQAADwAAAAAAAAABACAAAAAiAAAA&#10;ZHJzL2Rvd25yZXYueG1sUEsBAhQAFAAAAAgAh07iQFIMmMDXAQAAswMAAA4AAAAAAAAAAQAgAAAA&#10;HgEAAGRycy9lMm9Eb2MueG1sUEsFBgAAAAAGAAYAWQEAAGcFAAAAAA==&#10;">
              <v:fill on="f" focussize="0,0"/>
              <v:stroke on="f"/>
              <v:imagedata o:title=""/>
              <o:lock v:ext="edit" aspectratio="f"/>
              <v:textbox inset="0mm,0mm,0mm,0mm" style="mso-fit-shape-to-text:t;">
                <w:txbxContent>
                  <w:p w14:paraId="6067C37E">
                    <w:pPr>
                      <w:pStyle w:val="21"/>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BC72E7">
    <w:pPr>
      <w:pStyle w:val="21"/>
      <w:framePr w:wrap="around" w:vAnchor="text" w:hAnchor="margin" w:xAlign="right" w:y="1"/>
      <w:rPr>
        <w:rStyle w:val="38"/>
      </w:rPr>
    </w:pPr>
    <w:r>
      <w:rPr>
        <w:rStyle w:val="38"/>
      </w:rPr>
      <w:fldChar w:fldCharType="begin"/>
    </w:r>
    <w:r>
      <w:rPr>
        <w:rStyle w:val="38"/>
      </w:rPr>
      <w:instrText xml:space="preserve">PAGE  </w:instrText>
    </w:r>
    <w:r>
      <w:rPr>
        <w:rStyle w:val="38"/>
      </w:rPr>
      <w:fldChar w:fldCharType="end"/>
    </w:r>
  </w:p>
  <w:p w14:paraId="1A50DAA2">
    <w:pPr>
      <w:pStyle w:val="21"/>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AE9786">
    <w:pPr>
      <w:pStyle w:val="21"/>
      <w:tabs>
        <w:tab w:val="left" w:pos="3487"/>
        <w:tab w:val="center" w:pos="4933"/>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FD496B5">
                          <w:pPr>
                            <w:pStyle w:val="21"/>
                          </w:pPr>
                          <w:r>
                            <w:fldChar w:fldCharType="begin"/>
                          </w:r>
                          <w:r>
                            <w:instrText xml:space="preserve"> PAGE  \* MERGEFORMAT </w:instrText>
                          </w:r>
                          <w:r>
                            <w:fldChar w:fldCharType="separate"/>
                          </w:r>
                          <w:r>
                            <w:t>54</w:t>
                          </w:r>
                          <w:r>
                            <w:fldChar w:fldCharType="end"/>
                          </w:r>
                        </w:p>
                      </w:txbxContent>
                    </wps:txbx>
                    <wps:bodyPr vert="horz" wrap="none" lIns="0" tIns="0" rIns="0" bIns="0" anchor="t" anchorCtr="0" upright="1">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AwO3h3gEAAL8DAAAOAAAAAAAA&#10;AAEAIAAAAB4BAABkcnMvZTJvRG9jLnhtbFBLBQYAAAAABgAGAFkBAABuBQAAAAA=&#10;">
              <v:fill on="f" focussize="0,0"/>
              <v:stroke on="f"/>
              <v:imagedata o:title=""/>
              <o:lock v:ext="edit" aspectratio="f"/>
              <v:textbox inset="0mm,0mm,0mm,0mm" style="mso-fit-shape-to-text:t;">
                <w:txbxContent>
                  <w:p w14:paraId="6FD496B5">
                    <w:pPr>
                      <w:pStyle w:val="21"/>
                    </w:pPr>
                    <w:r>
                      <w:fldChar w:fldCharType="begin"/>
                    </w:r>
                    <w:r>
                      <w:instrText xml:space="preserve"> PAGE  \* MERGEFORMAT </w:instrText>
                    </w:r>
                    <w:r>
                      <w:fldChar w:fldCharType="separate"/>
                    </w:r>
                    <w:r>
                      <w:t>54</w:t>
                    </w:r>
                    <w:r>
                      <w:fldChar w:fldCharType="end"/>
                    </w:r>
                  </w:p>
                </w:txbxContent>
              </v:textbox>
            </v:shape>
          </w:pict>
        </mc:Fallback>
      </mc:AlternateContent>
    </w:r>
    <w:r>
      <w:rPr>
        <w:rFonts w:hint="eastAsia"/>
      </w:rPr>
      <w:tab/>
    </w:r>
    <w:r>
      <w:rPr>
        <w:rFonts w:hint="eastAsia"/>
      </w:rPr>
      <w:tab/>
    </w:r>
    <w:r>
      <w:rPr>
        <w:rFonts w:hint="eastAsia"/>
      </w:rPr>
      <w:tab/>
    </w:r>
  </w:p>
  <w:p w14:paraId="1FAF128E">
    <w:pPr>
      <w:pStyle w:val="2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F046A0">
    <w:pPr>
      <w:pStyle w:val="21"/>
      <w:tabs>
        <w:tab w:val="left" w:pos="3487"/>
        <w:tab w:val="center" w:pos="4933"/>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271D9C9">
                          <w:pPr>
                            <w:pStyle w:val="21"/>
                          </w:pPr>
                          <w:r>
                            <w:fldChar w:fldCharType="begin"/>
                          </w:r>
                          <w:r>
                            <w:instrText xml:space="preserve"> PAGE  \* MERGEFORMAT </w:instrText>
                          </w:r>
                          <w:r>
                            <w:fldChar w:fldCharType="separate"/>
                          </w:r>
                          <w:r>
                            <w:t>72</w:t>
                          </w:r>
                          <w:r>
                            <w:fldChar w:fldCharType="end"/>
                          </w:r>
                        </w:p>
                      </w:txbxContent>
                    </wps:txbx>
                    <wps:bodyPr vert="horz" wrap="none" lIns="0" tIns="0" rIns="0" bIns="0" anchor="t" anchorCtr="0" upright="1">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B5MWbX3gEAAMADAAAOAAAAAAAA&#10;AAEAIAAAAB4BAABkcnMvZTJvRG9jLnhtbFBLBQYAAAAABgAGAFkBAABuBQAAAAA=&#10;">
              <v:fill on="f" focussize="0,0"/>
              <v:stroke on="f"/>
              <v:imagedata o:title=""/>
              <o:lock v:ext="edit" aspectratio="f"/>
              <v:textbox inset="0mm,0mm,0mm,0mm" style="mso-fit-shape-to-text:t;">
                <w:txbxContent>
                  <w:p w14:paraId="0271D9C9">
                    <w:pPr>
                      <w:pStyle w:val="21"/>
                    </w:pPr>
                    <w:r>
                      <w:fldChar w:fldCharType="begin"/>
                    </w:r>
                    <w:r>
                      <w:instrText xml:space="preserve"> PAGE  \* MERGEFORMAT </w:instrText>
                    </w:r>
                    <w:r>
                      <w:fldChar w:fldCharType="separate"/>
                    </w:r>
                    <w:r>
                      <w:t>72</w:t>
                    </w:r>
                    <w:r>
                      <w:fldChar w:fldCharType="end"/>
                    </w:r>
                  </w:p>
                </w:txbxContent>
              </v:textbox>
            </v:shape>
          </w:pict>
        </mc:Fallback>
      </mc:AlternateContent>
    </w:r>
    <w:r>
      <w:rPr>
        <w:rFonts w:hint="eastAsia"/>
      </w:rPr>
      <w:tab/>
    </w:r>
    <w:r>
      <w:rPr>
        <w:rFonts w:hint="eastAsia"/>
      </w:rPr>
      <w:tab/>
    </w:r>
    <w:r>
      <w:rPr>
        <w:rFonts w:hint="eastAsia"/>
      </w:rPr>
      <w:tab/>
    </w:r>
  </w:p>
  <w:p w14:paraId="6B9A6A18">
    <w:pPr>
      <w:pStyle w:val="21"/>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8AD013">
    <w:pPr>
      <w:pStyle w:val="21"/>
      <w:tabs>
        <w:tab w:val="left" w:pos="3487"/>
        <w:tab w:val="center" w:pos="4933"/>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7AAB502">
                          <w:pPr>
                            <w:pStyle w:val="21"/>
                          </w:pPr>
                          <w:r>
                            <w:fldChar w:fldCharType="begin"/>
                          </w:r>
                          <w:r>
                            <w:instrText xml:space="preserve"> PAGE  \* MERGEFORMAT </w:instrText>
                          </w:r>
                          <w:r>
                            <w:fldChar w:fldCharType="separate"/>
                          </w:r>
                          <w:r>
                            <w:t>75</w:t>
                          </w:r>
                          <w:r>
                            <w:fldChar w:fldCharType="end"/>
                          </w:r>
                        </w:p>
                      </w:txbxContent>
                    </wps:txbx>
                    <wps:bodyPr vert="horz" wrap="none" lIns="0" tIns="0" rIns="0" bIns="0" anchor="t" anchorCtr="0" upright="1">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OZ4aX/dAQAAwAMAAA4AAAAAAAAA&#10;AQAgAAAAHgEAAGRycy9lMm9Eb2MueG1sUEsFBgAAAAAGAAYAWQEAAG0FAAAAAA==&#10;">
              <v:fill on="f" focussize="0,0"/>
              <v:stroke on="f"/>
              <v:imagedata o:title=""/>
              <o:lock v:ext="edit" aspectratio="f"/>
              <v:textbox inset="0mm,0mm,0mm,0mm" style="mso-fit-shape-to-text:t;">
                <w:txbxContent>
                  <w:p w14:paraId="17AAB502">
                    <w:pPr>
                      <w:pStyle w:val="21"/>
                    </w:pPr>
                    <w:r>
                      <w:fldChar w:fldCharType="begin"/>
                    </w:r>
                    <w:r>
                      <w:instrText xml:space="preserve"> PAGE  \* MERGEFORMAT </w:instrText>
                    </w:r>
                    <w:r>
                      <w:fldChar w:fldCharType="separate"/>
                    </w:r>
                    <w:r>
                      <w:t>75</w:t>
                    </w:r>
                    <w:r>
                      <w:fldChar w:fldCharType="end"/>
                    </w:r>
                  </w:p>
                </w:txbxContent>
              </v:textbox>
            </v:shape>
          </w:pict>
        </mc:Fallback>
      </mc:AlternateContent>
    </w:r>
    <w:r>
      <w:rPr>
        <w:rFonts w:hint="eastAsia"/>
      </w:rPr>
      <w:tab/>
    </w:r>
    <w:r>
      <w:rPr>
        <w:rFonts w:hint="eastAsia"/>
      </w:rPr>
      <w:tab/>
    </w:r>
    <w:r>
      <w:rPr>
        <w:rFonts w:hint="eastAsia"/>
      </w:rPr>
      <w:tab/>
    </w:r>
  </w:p>
  <w:p w14:paraId="4A5B777B">
    <w:pPr>
      <w:pStyle w:val="2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758E29">
    <w:pPr>
      <w:pStyle w:val="22"/>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D86F6B">
    <w:pPr>
      <w:pStyle w:val="22"/>
    </w:pPr>
    <w:r>
      <w:rPr>
        <w:rFonts w:hint="eastAsia" w:ascii="宋体" w:hAnsi="宋体"/>
        <w:sz w:val="44"/>
        <w:szCs w:val="44"/>
      </w:rPr>
      <w:drawing>
        <wp:anchor distT="0" distB="0" distL="114300" distR="114300" simplePos="0" relativeHeight="251663360" behindDoc="1" locked="0" layoutInCell="1" allowOverlap="1">
          <wp:simplePos x="0" y="0"/>
          <wp:positionH relativeFrom="column">
            <wp:posOffset>-136525</wp:posOffset>
          </wp:positionH>
          <wp:positionV relativeFrom="paragraph">
            <wp:posOffset>-45720</wp:posOffset>
          </wp:positionV>
          <wp:extent cx="198755" cy="237490"/>
          <wp:effectExtent l="0" t="0" r="10795" b="10160"/>
          <wp:wrapTight wrapText="bothSides">
            <wp:wrapPolygon>
              <wp:start x="21592" y="-2"/>
              <wp:lineTo x="0" y="0"/>
              <wp:lineTo x="0" y="21599"/>
              <wp:lineTo x="21592" y="21601"/>
              <wp:lineTo x="8" y="21601"/>
              <wp:lineTo x="21600" y="21599"/>
              <wp:lineTo x="21600" y="0"/>
              <wp:lineTo x="8" y="-2"/>
              <wp:lineTo x="21592" y="-2"/>
            </wp:wrapPolygon>
          </wp:wrapTight>
          <wp:docPr id="13" name="图片 1035" descr="透明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35" descr="透明logo"/>
                  <pic:cNvPicPr>
                    <a:picLocks noChangeAspect="1"/>
                  </pic:cNvPicPr>
                </pic:nvPicPr>
                <pic:blipFill>
                  <a:blip r:embed="rId1"/>
                  <a:stretch>
                    <a:fillRect/>
                  </a:stretch>
                </pic:blipFill>
                <pic:spPr>
                  <a:xfrm>
                    <a:off x="0" y="0"/>
                    <a:ext cx="198755" cy="237490"/>
                  </a:xfrm>
                  <a:prstGeom prst="rect">
                    <a:avLst/>
                  </a:prstGeom>
                  <a:noFill/>
                  <a:ln>
                    <a:noFill/>
                  </a:ln>
                </pic:spPr>
              </pic:pic>
            </a:graphicData>
          </a:graphic>
        </wp:anchor>
      </w:drawing>
    </w:r>
    <w:r>
      <w:rPr>
        <w:rFonts w:hint="eastAsia"/>
        <w:b/>
        <w:bCs/>
        <w:sz w:val="21"/>
        <w:szCs w:val="21"/>
      </w:rPr>
      <w:t xml:space="preserve">云南元大工程咨询有限责任公司                                                    </w:t>
    </w:r>
    <w:r>
      <w:rPr>
        <w:rFonts w:hint="eastAsia" w:ascii="Arial Narrow" w:hAnsi="Arial Narrow"/>
        <w:b/>
        <w:bCs/>
        <w:color w:val="000000"/>
        <w:sz w:val="21"/>
        <w:szCs w:val="21"/>
      </w:rPr>
      <w:t>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19A84B">
    <w:pPr>
      <w:pStyle w:val="22"/>
      <w:jc w:val="right"/>
    </w:pPr>
    <w:r>
      <w:rPr>
        <w:rFonts w:hint="eastAsia" w:ascii="宋体" w:hAnsi="宋体"/>
        <w:sz w:val="44"/>
        <w:szCs w:val="44"/>
      </w:rPr>
      <w:drawing>
        <wp:anchor distT="0" distB="0" distL="114300" distR="114300" simplePos="0" relativeHeight="251662336" behindDoc="1" locked="0" layoutInCell="1" allowOverlap="1">
          <wp:simplePos x="0" y="0"/>
          <wp:positionH relativeFrom="column">
            <wp:posOffset>-24130</wp:posOffset>
          </wp:positionH>
          <wp:positionV relativeFrom="paragraph">
            <wp:posOffset>-38100</wp:posOffset>
          </wp:positionV>
          <wp:extent cx="198755" cy="212725"/>
          <wp:effectExtent l="0" t="0" r="10795" b="15875"/>
          <wp:wrapTight wrapText="bothSides">
            <wp:wrapPolygon>
              <wp:start x="21592" y="-2"/>
              <wp:lineTo x="0" y="0"/>
              <wp:lineTo x="0" y="21599"/>
              <wp:lineTo x="21592" y="21601"/>
              <wp:lineTo x="8" y="21601"/>
              <wp:lineTo x="21600" y="21599"/>
              <wp:lineTo x="21600" y="0"/>
              <wp:lineTo x="8" y="-2"/>
              <wp:lineTo x="21592" y="-2"/>
            </wp:wrapPolygon>
          </wp:wrapTight>
          <wp:docPr id="12" name="图片 1" descr="透明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透明logo"/>
                  <pic:cNvPicPr>
                    <a:picLocks noChangeAspect="1"/>
                  </pic:cNvPicPr>
                </pic:nvPicPr>
                <pic:blipFill>
                  <a:blip r:embed="rId1"/>
                  <a:stretch>
                    <a:fillRect/>
                  </a:stretch>
                </pic:blipFill>
                <pic:spPr>
                  <a:xfrm>
                    <a:off x="0" y="0"/>
                    <a:ext cx="198755" cy="212725"/>
                  </a:xfrm>
                  <a:prstGeom prst="rect">
                    <a:avLst/>
                  </a:prstGeom>
                  <a:noFill/>
                  <a:ln>
                    <a:noFill/>
                  </a:ln>
                </pic:spPr>
              </pic:pic>
            </a:graphicData>
          </a:graphic>
        </wp:anchor>
      </w:drawing>
    </w:r>
    <w:r>
      <w:rPr>
        <w:rFonts w:hint="eastAsia"/>
        <w:b/>
        <w:bCs/>
        <w:sz w:val="21"/>
        <w:szCs w:val="21"/>
      </w:rPr>
      <w:t xml:space="preserve">  云南元大工程咨询有限责任公司                                                  </w:t>
    </w:r>
    <w:r>
      <w:rPr>
        <w:rFonts w:hint="eastAsia" w:ascii="Arial Narrow" w:hAnsi="Arial Narrow"/>
        <w:b/>
        <w:bCs/>
        <w:color w:val="000000"/>
        <w:sz w:val="21"/>
        <w:szCs w:val="21"/>
      </w:rPr>
      <w:t>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25811">
    <w:pPr>
      <w:pStyle w:val="22"/>
      <w:pBdr>
        <w:bottom w:val="single" w:color="auto" w:sz="4" w:space="1"/>
      </w:pBdr>
      <w:jc w:val="both"/>
    </w:pPr>
    <w:r>
      <w:rPr>
        <w:rFonts w:hint="eastAsia" w:ascii="宋体" w:hAnsi="宋体"/>
        <w:sz w:val="44"/>
        <w:szCs w:val="44"/>
      </w:rPr>
      <w:drawing>
        <wp:inline distT="0" distB="0" distL="114300" distR="114300">
          <wp:extent cx="136525" cy="145415"/>
          <wp:effectExtent l="0" t="0" r="15875" b="6985"/>
          <wp:docPr id="17" name="图片 3" descr="透明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透明logo"/>
                  <pic:cNvPicPr>
                    <a:picLocks noChangeAspect="1"/>
                  </pic:cNvPicPr>
                </pic:nvPicPr>
                <pic:blipFill>
                  <a:blip r:embed="rId1"/>
                  <a:stretch>
                    <a:fillRect/>
                  </a:stretch>
                </pic:blipFill>
                <pic:spPr>
                  <a:xfrm>
                    <a:off x="0" y="0"/>
                    <a:ext cx="136525" cy="145415"/>
                  </a:xfrm>
                  <a:prstGeom prst="rect">
                    <a:avLst/>
                  </a:prstGeom>
                  <a:noFill/>
                  <a:ln>
                    <a:noFill/>
                  </a:ln>
                </pic:spPr>
              </pic:pic>
            </a:graphicData>
          </a:graphic>
        </wp:inline>
      </w:drawing>
    </w:r>
    <w:r>
      <w:rPr>
        <w:rFonts w:hint="eastAsia" w:ascii="宋体" w:hAnsi="宋体"/>
        <w:b/>
        <w:bCs/>
        <w:sz w:val="21"/>
        <w:szCs w:val="21"/>
      </w:rPr>
      <w:t>云南元大工程咨询有限责任公司</w:t>
    </w:r>
    <w:r>
      <w:rPr>
        <w:rFonts w:hint="eastAsia"/>
        <w:b/>
        <w:bCs/>
        <w:sz w:val="21"/>
        <w:szCs w:val="21"/>
      </w:rPr>
      <w:t xml:space="preserve">                                                      </w:t>
    </w:r>
    <w:r>
      <w:rPr>
        <w:rFonts w:hint="eastAsia" w:ascii="宋体" w:hAnsi="宋体"/>
        <w:b/>
        <w:bCs/>
        <w:color w:val="000000"/>
        <w:sz w:val="21"/>
        <w:szCs w:val="21"/>
      </w:rPr>
      <w:t>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A4D023">
    <w:pPr>
      <w:pStyle w:val="22"/>
      <w:pBdr>
        <w:bottom w:val="single" w:color="auto" w:sz="4" w:space="1"/>
      </w:pBdr>
      <w:jc w:val="both"/>
    </w:pPr>
    <w:r>
      <w:rPr>
        <w:rFonts w:hint="eastAsia" w:ascii="宋体" w:hAnsi="宋体"/>
        <w:sz w:val="44"/>
        <w:szCs w:val="44"/>
      </w:rPr>
      <w:drawing>
        <wp:inline distT="0" distB="0" distL="114300" distR="114300">
          <wp:extent cx="136525" cy="145415"/>
          <wp:effectExtent l="0" t="0" r="15875" b="6985"/>
          <wp:docPr id="18" name="图片 14" descr="透明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descr="透明logo"/>
                  <pic:cNvPicPr>
                    <a:picLocks noChangeAspect="1"/>
                  </pic:cNvPicPr>
                </pic:nvPicPr>
                <pic:blipFill>
                  <a:blip r:embed="rId1"/>
                  <a:stretch>
                    <a:fillRect/>
                  </a:stretch>
                </pic:blipFill>
                <pic:spPr>
                  <a:xfrm>
                    <a:off x="0" y="0"/>
                    <a:ext cx="136525" cy="145415"/>
                  </a:xfrm>
                  <a:prstGeom prst="rect">
                    <a:avLst/>
                  </a:prstGeom>
                  <a:noFill/>
                  <a:ln>
                    <a:noFill/>
                  </a:ln>
                </pic:spPr>
              </pic:pic>
            </a:graphicData>
          </a:graphic>
        </wp:inline>
      </w:drawing>
    </w:r>
    <w:r>
      <w:rPr>
        <w:rFonts w:hint="eastAsia" w:ascii="宋体" w:hAnsi="宋体"/>
        <w:b/>
        <w:bCs/>
        <w:sz w:val="21"/>
        <w:szCs w:val="21"/>
      </w:rPr>
      <w:t>云南元大工程咨询有限责任公司</w:t>
    </w:r>
    <w:r>
      <w:rPr>
        <w:rFonts w:hint="eastAsia"/>
        <w:b/>
        <w:bCs/>
        <w:sz w:val="21"/>
        <w:szCs w:val="21"/>
      </w:rPr>
      <w:t xml:space="preserve">                                                      </w:t>
    </w:r>
    <w:r>
      <w:rPr>
        <w:rFonts w:hint="eastAsia" w:ascii="宋体" w:hAnsi="宋体"/>
        <w:b/>
        <w:bCs/>
        <w:color w:val="000000"/>
        <w:sz w:val="21"/>
        <w:szCs w:val="21"/>
      </w:rPr>
      <w:t>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0E724">
    <w:pPr>
      <w:pStyle w:val="22"/>
      <w:pBdr>
        <w:bottom w:val="none" w:color="auto" w:sz="0" w:space="1"/>
      </w:pBdr>
      <w:rPr>
        <w:u w:val="single"/>
      </w:rPr>
    </w:pPr>
    <w:r>
      <w:rPr>
        <w:rFonts w:hint="eastAsia" w:ascii="宋体" w:hAnsi="宋体"/>
        <w:sz w:val="44"/>
        <w:szCs w:val="44"/>
        <w:u w:val="single"/>
      </w:rPr>
      <w:drawing>
        <wp:inline distT="0" distB="0" distL="114300" distR="114300">
          <wp:extent cx="136525" cy="145415"/>
          <wp:effectExtent l="0" t="0" r="15875" b="6985"/>
          <wp:docPr id="19" name="图片 5" descr="透明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descr="透明logo"/>
                  <pic:cNvPicPr>
                    <a:picLocks noChangeAspect="1"/>
                  </pic:cNvPicPr>
                </pic:nvPicPr>
                <pic:blipFill>
                  <a:blip r:embed="rId1"/>
                  <a:stretch>
                    <a:fillRect/>
                  </a:stretch>
                </pic:blipFill>
                <pic:spPr>
                  <a:xfrm>
                    <a:off x="0" y="0"/>
                    <a:ext cx="136525" cy="145415"/>
                  </a:xfrm>
                  <a:prstGeom prst="rect">
                    <a:avLst/>
                  </a:prstGeom>
                  <a:noFill/>
                  <a:ln>
                    <a:noFill/>
                  </a:ln>
                </pic:spPr>
              </pic:pic>
            </a:graphicData>
          </a:graphic>
        </wp:inline>
      </w:drawing>
    </w:r>
    <w:r>
      <w:rPr>
        <w:rFonts w:hint="eastAsia" w:ascii="宋体" w:hAnsi="宋体"/>
        <w:b/>
        <w:bCs/>
        <w:sz w:val="21"/>
        <w:szCs w:val="21"/>
        <w:u w:val="single"/>
      </w:rPr>
      <w:t>云南元大工程咨询有限责任公司</w:t>
    </w:r>
    <w:r>
      <w:rPr>
        <w:rFonts w:hint="eastAsia"/>
        <w:b/>
        <w:bCs/>
        <w:sz w:val="21"/>
        <w:szCs w:val="21"/>
        <w:u w:val="single"/>
      </w:rPr>
      <w:t xml:space="preserve">                                                      </w:t>
    </w:r>
    <w:r>
      <w:rPr>
        <w:rFonts w:hint="eastAsia" w:ascii="宋体" w:hAnsi="宋体"/>
        <w:b/>
        <w:bCs/>
        <w:color w:val="000000"/>
        <w:sz w:val="21"/>
        <w:szCs w:val="21"/>
        <w:u w:val="single"/>
      </w:rPr>
      <w:t>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34EF1C">
    <w:pPr>
      <w:pStyle w:val="22"/>
      <w:pBdr>
        <w:bottom w:val="single" w:color="auto" w:sz="4" w:space="1"/>
      </w:pBdr>
      <w:jc w:val="both"/>
    </w:pPr>
    <w:r>
      <w:rPr>
        <w:rFonts w:hint="eastAsia" w:ascii="宋体" w:hAnsi="宋体"/>
        <w:sz w:val="44"/>
        <w:szCs w:val="44"/>
      </w:rPr>
      <w:drawing>
        <wp:inline distT="0" distB="0" distL="114300" distR="114300">
          <wp:extent cx="136525" cy="145415"/>
          <wp:effectExtent l="0" t="0" r="15875" b="6985"/>
          <wp:docPr id="20" name="图片 12" descr="透明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descr="透明logo"/>
                  <pic:cNvPicPr>
                    <a:picLocks noChangeAspect="1"/>
                  </pic:cNvPicPr>
                </pic:nvPicPr>
                <pic:blipFill>
                  <a:blip r:embed="rId1"/>
                  <a:stretch>
                    <a:fillRect/>
                  </a:stretch>
                </pic:blipFill>
                <pic:spPr>
                  <a:xfrm>
                    <a:off x="0" y="0"/>
                    <a:ext cx="136525" cy="145415"/>
                  </a:xfrm>
                  <a:prstGeom prst="rect">
                    <a:avLst/>
                  </a:prstGeom>
                  <a:noFill/>
                  <a:ln>
                    <a:noFill/>
                  </a:ln>
                </pic:spPr>
              </pic:pic>
            </a:graphicData>
          </a:graphic>
        </wp:inline>
      </w:drawing>
    </w:r>
    <w:r>
      <w:rPr>
        <w:rFonts w:hint="eastAsia" w:ascii="宋体" w:hAnsi="宋体"/>
        <w:b/>
        <w:bCs/>
        <w:sz w:val="21"/>
        <w:szCs w:val="21"/>
      </w:rPr>
      <w:t>云南元大工程咨询有限责任公司</w:t>
    </w:r>
    <w:r>
      <w:rPr>
        <w:rFonts w:hint="eastAsia"/>
        <w:b/>
        <w:bCs/>
        <w:sz w:val="21"/>
        <w:szCs w:val="21"/>
      </w:rPr>
      <w:t xml:space="preserve">                                                      </w:t>
    </w:r>
    <w:r>
      <w:rPr>
        <w:rFonts w:hint="eastAsia" w:ascii="宋体" w:hAnsi="宋体"/>
        <w:b/>
        <w:bCs/>
        <w:color w:val="000000"/>
        <w:sz w:val="21"/>
        <w:szCs w:val="21"/>
      </w:rPr>
      <w:t>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37E705"/>
    <w:multiLevelType w:val="multilevel"/>
    <w:tmpl w:val="8037E705"/>
    <w:lvl w:ilvl="0" w:tentative="0">
      <w:start w:val="1"/>
      <w:numFmt w:val="decimal"/>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1">
    <w:nsid w:val="814D5B86"/>
    <w:multiLevelType w:val="singleLevel"/>
    <w:tmpl w:val="814D5B86"/>
    <w:lvl w:ilvl="0" w:tentative="0">
      <w:start w:val="10"/>
      <w:numFmt w:val="decimal"/>
      <w:suff w:val="space"/>
      <w:lvlText w:val="%1."/>
      <w:lvlJc w:val="left"/>
    </w:lvl>
  </w:abstractNum>
  <w:abstractNum w:abstractNumId="2">
    <w:nsid w:val="84BDA339"/>
    <w:multiLevelType w:val="singleLevel"/>
    <w:tmpl w:val="84BDA339"/>
    <w:lvl w:ilvl="0" w:tentative="0">
      <w:start w:val="1"/>
      <w:numFmt w:val="decimal"/>
      <w:lvlText w:val="(%1)"/>
      <w:lvlJc w:val="left"/>
      <w:pPr>
        <w:tabs>
          <w:tab w:val="left" w:pos="312"/>
        </w:tabs>
      </w:pPr>
    </w:lvl>
  </w:abstractNum>
  <w:abstractNum w:abstractNumId="3">
    <w:nsid w:val="00000074"/>
    <w:multiLevelType w:val="singleLevel"/>
    <w:tmpl w:val="00000074"/>
    <w:lvl w:ilvl="0" w:tentative="0">
      <w:start w:val="1"/>
      <w:numFmt w:val="bullet"/>
      <w:pStyle w:val="28"/>
      <w:lvlText w:val=""/>
      <w:lvlJc w:val="left"/>
      <w:pPr>
        <w:tabs>
          <w:tab w:val="left" w:pos="425"/>
        </w:tabs>
        <w:ind w:left="425" w:hanging="425"/>
      </w:pPr>
      <w:rPr>
        <w:rFonts w:hint="default" w:ascii="Wingdings" w:hAnsi="Wingdings"/>
      </w:rPr>
    </w:lvl>
  </w:abstractNum>
  <w:abstractNum w:abstractNumId="4">
    <w:nsid w:val="216BE14E"/>
    <w:multiLevelType w:val="singleLevel"/>
    <w:tmpl w:val="216BE14E"/>
    <w:lvl w:ilvl="0" w:tentative="0">
      <w:start w:val="1"/>
      <w:numFmt w:val="decimal"/>
      <w:lvlText w:val="%1."/>
      <w:lvlJc w:val="left"/>
      <w:pPr>
        <w:tabs>
          <w:tab w:val="left" w:pos="312"/>
        </w:tabs>
      </w:pPr>
    </w:lvl>
  </w:abstractNum>
  <w:abstractNum w:abstractNumId="5">
    <w:nsid w:val="7BF9652E"/>
    <w:multiLevelType w:val="multilevel"/>
    <w:tmpl w:val="7BF9652E"/>
    <w:lvl w:ilvl="0" w:tentative="0">
      <w:start w:val="1"/>
      <w:numFmt w:val="decimal"/>
      <w:pStyle w:val="72"/>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3"/>
  </w:num>
  <w:num w:numId="3">
    <w:abstractNumId w:val="5"/>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noPunctuationKerning w:val="1"/>
  <w:characterSpacingControl w:val="compressPunctuation"/>
  <w:noLineBreaksAfter w:lang="zh-CN" w:val="([{·‘“〈《「『【〔〖（．［｛￡￥"/>
  <w:noLineBreaksBefore w:lang="zh-CN" w:val="!),.:;?]}¨·ˇˉ―‖’”…∶、。〃々〉》」』】〕〗！＂＇），．：；？］｀｜｝～￠"/>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c5YTY2NGY4NDc1YWFmNDI1NGZlYjI2YTA2ZWIzOWQifQ=="/>
  </w:docVars>
  <w:rsids>
    <w:rsidRoot w:val="001A07FD"/>
    <w:rsid w:val="00004C3D"/>
    <w:rsid w:val="00007303"/>
    <w:rsid w:val="0002117A"/>
    <w:rsid w:val="00022EC7"/>
    <w:rsid w:val="00033965"/>
    <w:rsid w:val="00040E78"/>
    <w:rsid w:val="000636B3"/>
    <w:rsid w:val="0009057F"/>
    <w:rsid w:val="00097724"/>
    <w:rsid w:val="000A002F"/>
    <w:rsid w:val="000B57B0"/>
    <w:rsid w:val="000B736F"/>
    <w:rsid w:val="000C62ED"/>
    <w:rsid w:val="000D0527"/>
    <w:rsid w:val="000D2395"/>
    <w:rsid w:val="00114C5D"/>
    <w:rsid w:val="0012049E"/>
    <w:rsid w:val="00120DCC"/>
    <w:rsid w:val="00126A9B"/>
    <w:rsid w:val="00127A61"/>
    <w:rsid w:val="00132FBC"/>
    <w:rsid w:val="001342FF"/>
    <w:rsid w:val="00180065"/>
    <w:rsid w:val="00182CB0"/>
    <w:rsid w:val="001835EC"/>
    <w:rsid w:val="001A07FD"/>
    <w:rsid w:val="001B7434"/>
    <w:rsid w:val="001C1815"/>
    <w:rsid w:val="001C330F"/>
    <w:rsid w:val="001D170D"/>
    <w:rsid w:val="001D6318"/>
    <w:rsid w:val="001E0367"/>
    <w:rsid w:val="001F644B"/>
    <w:rsid w:val="002029B4"/>
    <w:rsid w:val="00210086"/>
    <w:rsid w:val="00213BD1"/>
    <w:rsid w:val="00213E69"/>
    <w:rsid w:val="002235B9"/>
    <w:rsid w:val="00253C2F"/>
    <w:rsid w:val="00257868"/>
    <w:rsid w:val="00264493"/>
    <w:rsid w:val="00280FE5"/>
    <w:rsid w:val="00296693"/>
    <w:rsid w:val="002C626E"/>
    <w:rsid w:val="002D3267"/>
    <w:rsid w:val="002D6B77"/>
    <w:rsid w:val="002D747E"/>
    <w:rsid w:val="002F00F2"/>
    <w:rsid w:val="00313985"/>
    <w:rsid w:val="00313E99"/>
    <w:rsid w:val="00317202"/>
    <w:rsid w:val="0032298A"/>
    <w:rsid w:val="00324338"/>
    <w:rsid w:val="00325EE4"/>
    <w:rsid w:val="003347CA"/>
    <w:rsid w:val="00346AC4"/>
    <w:rsid w:val="0036146A"/>
    <w:rsid w:val="003641F1"/>
    <w:rsid w:val="0037624D"/>
    <w:rsid w:val="003815C9"/>
    <w:rsid w:val="003B4871"/>
    <w:rsid w:val="003C6633"/>
    <w:rsid w:val="003D1A4B"/>
    <w:rsid w:val="003D42BF"/>
    <w:rsid w:val="003E46C2"/>
    <w:rsid w:val="00403F20"/>
    <w:rsid w:val="004077CC"/>
    <w:rsid w:val="00432202"/>
    <w:rsid w:val="00452F81"/>
    <w:rsid w:val="00483E43"/>
    <w:rsid w:val="00487F3A"/>
    <w:rsid w:val="00491CEE"/>
    <w:rsid w:val="004A1EB8"/>
    <w:rsid w:val="004B48E9"/>
    <w:rsid w:val="004B6D88"/>
    <w:rsid w:val="004B6E40"/>
    <w:rsid w:val="004D0519"/>
    <w:rsid w:val="004D0ECA"/>
    <w:rsid w:val="00523237"/>
    <w:rsid w:val="005451A9"/>
    <w:rsid w:val="005652C3"/>
    <w:rsid w:val="00571A95"/>
    <w:rsid w:val="00572B7B"/>
    <w:rsid w:val="00575364"/>
    <w:rsid w:val="00583614"/>
    <w:rsid w:val="005A33B4"/>
    <w:rsid w:val="005A5FA4"/>
    <w:rsid w:val="005B0DA8"/>
    <w:rsid w:val="005D22A1"/>
    <w:rsid w:val="005F256D"/>
    <w:rsid w:val="005F481F"/>
    <w:rsid w:val="00610769"/>
    <w:rsid w:val="00627823"/>
    <w:rsid w:val="00637C87"/>
    <w:rsid w:val="00640FAC"/>
    <w:rsid w:val="0064302B"/>
    <w:rsid w:val="00645086"/>
    <w:rsid w:val="006451C7"/>
    <w:rsid w:val="00663DCE"/>
    <w:rsid w:val="00670B46"/>
    <w:rsid w:val="006765EE"/>
    <w:rsid w:val="00692809"/>
    <w:rsid w:val="006A5253"/>
    <w:rsid w:val="006A6368"/>
    <w:rsid w:val="006A6C89"/>
    <w:rsid w:val="006C64E0"/>
    <w:rsid w:val="006D56CA"/>
    <w:rsid w:val="006E0A5F"/>
    <w:rsid w:val="006E2414"/>
    <w:rsid w:val="007244DD"/>
    <w:rsid w:val="00732639"/>
    <w:rsid w:val="007370FE"/>
    <w:rsid w:val="0075194C"/>
    <w:rsid w:val="00761E55"/>
    <w:rsid w:val="0076272E"/>
    <w:rsid w:val="00790AC9"/>
    <w:rsid w:val="0079184F"/>
    <w:rsid w:val="007A490A"/>
    <w:rsid w:val="007C49FC"/>
    <w:rsid w:val="007E54B8"/>
    <w:rsid w:val="00802276"/>
    <w:rsid w:val="00806548"/>
    <w:rsid w:val="00815E06"/>
    <w:rsid w:val="00816F9A"/>
    <w:rsid w:val="008259CC"/>
    <w:rsid w:val="00832D02"/>
    <w:rsid w:val="00847ADB"/>
    <w:rsid w:val="0086130A"/>
    <w:rsid w:val="00871125"/>
    <w:rsid w:val="008736E3"/>
    <w:rsid w:val="00877FA2"/>
    <w:rsid w:val="008A1DAE"/>
    <w:rsid w:val="008D737C"/>
    <w:rsid w:val="008E3838"/>
    <w:rsid w:val="009001DF"/>
    <w:rsid w:val="00905380"/>
    <w:rsid w:val="00914ADA"/>
    <w:rsid w:val="00916252"/>
    <w:rsid w:val="00930024"/>
    <w:rsid w:val="00945C5D"/>
    <w:rsid w:val="00990306"/>
    <w:rsid w:val="00992717"/>
    <w:rsid w:val="009A33D4"/>
    <w:rsid w:val="009B239C"/>
    <w:rsid w:val="009B3FC3"/>
    <w:rsid w:val="009D482B"/>
    <w:rsid w:val="009F2683"/>
    <w:rsid w:val="009F4950"/>
    <w:rsid w:val="00A066DE"/>
    <w:rsid w:val="00A12ACE"/>
    <w:rsid w:val="00A15160"/>
    <w:rsid w:val="00A22779"/>
    <w:rsid w:val="00A36387"/>
    <w:rsid w:val="00A73EA0"/>
    <w:rsid w:val="00A837C5"/>
    <w:rsid w:val="00A933EF"/>
    <w:rsid w:val="00AA7A86"/>
    <w:rsid w:val="00AB2BBA"/>
    <w:rsid w:val="00B01715"/>
    <w:rsid w:val="00B20997"/>
    <w:rsid w:val="00B33786"/>
    <w:rsid w:val="00B51DC1"/>
    <w:rsid w:val="00B7266A"/>
    <w:rsid w:val="00BA4011"/>
    <w:rsid w:val="00BB3915"/>
    <w:rsid w:val="00BB67C4"/>
    <w:rsid w:val="00BC33B4"/>
    <w:rsid w:val="00BD79AC"/>
    <w:rsid w:val="00C01350"/>
    <w:rsid w:val="00C04CDD"/>
    <w:rsid w:val="00C1321F"/>
    <w:rsid w:val="00C175A1"/>
    <w:rsid w:val="00C22008"/>
    <w:rsid w:val="00C547A6"/>
    <w:rsid w:val="00C550C5"/>
    <w:rsid w:val="00C57E14"/>
    <w:rsid w:val="00C61887"/>
    <w:rsid w:val="00C75850"/>
    <w:rsid w:val="00C764EE"/>
    <w:rsid w:val="00C83533"/>
    <w:rsid w:val="00CA323D"/>
    <w:rsid w:val="00CB6E20"/>
    <w:rsid w:val="00CC18F2"/>
    <w:rsid w:val="00CE112A"/>
    <w:rsid w:val="00CE1C09"/>
    <w:rsid w:val="00CE333C"/>
    <w:rsid w:val="00CF3A7F"/>
    <w:rsid w:val="00D01855"/>
    <w:rsid w:val="00D05BAD"/>
    <w:rsid w:val="00D072EB"/>
    <w:rsid w:val="00D0774B"/>
    <w:rsid w:val="00D10E6F"/>
    <w:rsid w:val="00D1231E"/>
    <w:rsid w:val="00D27755"/>
    <w:rsid w:val="00D322BA"/>
    <w:rsid w:val="00D47B02"/>
    <w:rsid w:val="00D561F9"/>
    <w:rsid w:val="00D61972"/>
    <w:rsid w:val="00D61D76"/>
    <w:rsid w:val="00D63159"/>
    <w:rsid w:val="00D64615"/>
    <w:rsid w:val="00D71F18"/>
    <w:rsid w:val="00D73391"/>
    <w:rsid w:val="00D87008"/>
    <w:rsid w:val="00D94924"/>
    <w:rsid w:val="00DA362F"/>
    <w:rsid w:val="00DB60D2"/>
    <w:rsid w:val="00DC181B"/>
    <w:rsid w:val="00E04CED"/>
    <w:rsid w:val="00E51FC1"/>
    <w:rsid w:val="00E65F97"/>
    <w:rsid w:val="00E664C0"/>
    <w:rsid w:val="00E76015"/>
    <w:rsid w:val="00E777D2"/>
    <w:rsid w:val="00E80DD1"/>
    <w:rsid w:val="00E8364E"/>
    <w:rsid w:val="00E964D4"/>
    <w:rsid w:val="00E97655"/>
    <w:rsid w:val="00EA04F9"/>
    <w:rsid w:val="00ED6C89"/>
    <w:rsid w:val="00ED7785"/>
    <w:rsid w:val="00ED7AA1"/>
    <w:rsid w:val="00EF5289"/>
    <w:rsid w:val="00F036C9"/>
    <w:rsid w:val="00F04FBF"/>
    <w:rsid w:val="00F404E2"/>
    <w:rsid w:val="00F774D7"/>
    <w:rsid w:val="00F95256"/>
    <w:rsid w:val="00FA09CD"/>
    <w:rsid w:val="00FB007A"/>
    <w:rsid w:val="00FC1DCF"/>
    <w:rsid w:val="00FD60BD"/>
    <w:rsid w:val="00FE0AFE"/>
    <w:rsid w:val="00FF051D"/>
    <w:rsid w:val="011E1FE4"/>
    <w:rsid w:val="0123601C"/>
    <w:rsid w:val="01260854"/>
    <w:rsid w:val="012757C8"/>
    <w:rsid w:val="01301ABF"/>
    <w:rsid w:val="01312018"/>
    <w:rsid w:val="01357F39"/>
    <w:rsid w:val="013B3DAC"/>
    <w:rsid w:val="015239CA"/>
    <w:rsid w:val="015B5F06"/>
    <w:rsid w:val="01614141"/>
    <w:rsid w:val="0172542B"/>
    <w:rsid w:val="017C6D0A"/>
    <w:rsid w:val="01924330"/>
    <w:rsid w:val="0198159D"/>
    <w:rsid w:val="01A13CFA"/>
    <w:rsid w:val="01A5504F"/>
    <w:rsid w:val="01A73D87"/>
    <w:rsid w:val="01B565C1"/>
    <w:rsid w:val="01B914AF"/>
    <w:rsid w:val="01BD1C95"/>
    <w:rsid w:val="01BF37C7"/>
    <w:rsid w:val="01CF1530"/>
    <w:rsid w:val="01EA2B5A"/>
    <w:rsid w:val="01F01BD2"/>
    <w:rsid w:val="01F7345C"/>
    <w:rsid w:val="0206745D"/>
    <w:rsid w:val="020C4532"/>
    <w:rsid w:val="021C1248"/>
    <w:rsid w:val="021D0E15"/>
    <w:rsid w:val="02237C74"/>
    <w:rsid w:val="02290933"/>
    <w:rsid w:val="022D4D30"/>
    <w:rsid w:val="023561A3"/>
    <w:rsid w:val="023E7457"/>
    <w:rsid w:val="024240C0"/>
    <w:rsid w:val="02443EEB"/>
    <w:rsid w:val="02445A7A"/>
    <w:rsid w:val="02466F4D"/>
    <w:rsid w:val="024B4F97"/>
    <w:rsid w:val="024C6635"/>
    <w:rsid w:val="026A4C19"/>
    <w:rsid w:val="02836C82"/>
    <w:rsid w:val="028C75B5"/>
    <w:rsid w:val="028D7421"/>
    <w:rsid w:val="0293255D"/>
    <w:rsid w:val="029405ED"/>
    <w:rsid w:val="02A12ECC"/>
    <w:rsid w:val="02A36276"/>
    <w:rsid w:val="02A6785C"/>
    <w:rsid w:val="02B33D32"/>
    <w:rsid w:val="02CB1CF7"/>
    <w:rsid w:val="02EB4148"/>
    <w:rsid w:val="02F456F2"/>
    <w:rsid w:val="02FF5E45"/>
    <w:rsid w:val="030A7A0F"/>
    <w:rsid w:val="03157DC2"/>
    <w:rsid w:val="031C7E43"/>
    <w:rsid w:val="03250248"/>
    <w:rsid w:val="033032BD"/>
    <w:rsid w:val="03323B24"/>
    <w:rsid w:val="0332405E"/>
    <w:rsid w:val="0336071C"/>
    <w:rsid w:val="03406BAA"/>
    <w:rsid w:val="034137A4"/>
    <w:rsid w:val="03473F1B"/>
    <w:rsid w:val="034779D9"/>
    <w:rsid w:val="034F6CA6"/>
    <w:rsid w:val="03512950"/>
    <w:rsid w:val="03600923"/>
    <w:rsid w:val="03612899"/>
    <w:rsid w:val="036602D3"/>
    <w:rsid w:val="03694970"/>
    <w:rsid w:val="037449EB"/>
    <w:rsid w:val="037811F4"/>
    <w:rsid w:val="037D739A"/>
    <w:rsid w:val="038325D2"/>
    <w:rsid w:val="0386185A"/>
    <w:rsid w:val="038D1BDA"/>
    <w:rsid w:val="03947941"/>
    <w:rsid w:val="03A857A2"/>
    <w:rsid w:val="03AB51FA"/>
    <w:rsid w:val="03AC2C51"/>
    <w:rsid w:val="03AF1619"/>
    <w:rsid w:val="03B64756"/>
    <w:rsid w:val="03BD3DD6"/>
    <w:rsid w:val="03BE51E1"/>
    <w:rsid w:val="03C42873"/>
    <w:rsid w:val="03C42E3C"/>
    <w:rsid w:val="03CC3F79"/>
    <w:rsid w:val="03CF7C4F"/>
    <w:rsid w:val="03DC295A"/>
    <w:rsid w:val="03E54623"/>
    <w:rsid w:val="03E95A9C"/>
    <w:rsid w:val="03EA08A3"/>
    <w:rsid w:val="03F03D6B"/>
    <w:rsid w:val="03F10FDA"/>
    <w:rsid w:val="03FB2A2B"/>
    <w:rsid w:val="03FD05D6"/>
    <w:rsid w:val="03FD5310"/>
    <w:rsid w:val="04020397"/>
    <w:rsid w:val="040939F5"/>
    <w:rsid w:val="040A1AB4"/>
    <w:rsid w:val="040B7076"/>
    <w:rsid w:val="040C5552"/>
    <w:rsid w:val="040E688C"/>
    <w:rsid w:val="04190159"/>
    <w:rsid w:val="041D3B8B"/>
    <w:rsid w:val="04222C11"/>
    <w:rsid w:val="04222DC2"/>
    <w:rsid w:val="0425740B"/>
    <w:rsid w:val="042926A3"/>
    <w:rsid w:val="042D375A"/>
    <w:rsid w:val="04324C9F"/>
    <w:rsid w:val="0443383E"/>
    <w:rsid w:val="04477AA3"/>
    <w:rsid w:val="04543ED4"/>
    <w:rsid w:val="045B4CD5"/>
    <w:rsid w:val="045D35D9"/>
    <w:rsid w:val="04610B65"/>
    <w:rsid w:val="04617D78"/>
    <w:rsid w:val="04700DA8"/>
    <w:rsid w:val="047667B8"/>
    <w:rsid w:val="04770423"/>
    <w:rsid w:val="047D0E0B"/>
    <w:rsid w:val="047F280B"/>
    <w:rsid w:val="048164E5"/>
    <w:rsid w:val="048900BC"/>
    <w:rsid w:val="048F7D83"/>
    <w:rsid w:val="049031F8"/>
    <w:rsid w:val="04904AF7"/>
    <w:rsid w:val="04934A97"/>
    <w:rsid w:val="04A20E0C"/>
    <w:rsid w:val="04A46629"/>
    <w:rsid w:val="04A907D2"/>
    <w:rsid w:val="04AC5B58"/>
    <w:rsid w:val="04B65AE5"/>
    <w:rsid w:val="04B671F8"/>
    <w:rsid w:val="04C16D9D"/>
    <w:rsid w:val="04C26BF4"/>
    <w:rsid w:val="04C85125"/>
    <w:rsid w:val="04D408DC"/>
    <w:rsid w:val="04D55332"/>
    <w:rsid w:val="04D94F44"/>
    <w:rsid w:val="04E860AA"/>
    <w:rsid w:val="04E95B0A"/>
    <w:rsid w:val="04FC3C10"/>
    <w:rsid w:val="04FD22C2"/>
    <w:rsid w:val="05084F0D"/>
    <w:rsid w:val="050956C0"/>
    <w:rsid w:val="05187D21"/>
    <w:rsid w:val="05235756"/>
    <w:rsid w:val="052C7ECC"/>
    <w:rsid w:val="053D376D"/>
    <w:rsid w:val="053E3BA1"/>
    <w:rsid w:val="0548762F"/>
    <w:rsid w:val="055A55B4"/>
    <w:rsid w:val="055B4B6A"/>
    <w:rsid w:val="056F7069"/>
    <w:rsid w:val="05750C76"/>
    <w:rsid w:val="059262F7"/>
    <w:rsid w:val="0596776E"/>
    <w:rsid w:val="05995331"/>
    <w:rsid w:val="059B5F8E"/>
    <w:rsid w:val="05A0049A"/>
    <w:rsid w:val="05AC4812"/>
    <w:rsid w:val="05AD77C3"/>
    <w:rsid w:val="05B22B37"/>
    <w:rsid w:val="05BA76E7"/>
    <w:rsid w:val="05C018BB"/>
    <w:rsid w:val="05C535A6"/>
    <w:rsid w:val="05CA098C"/>
    <w:rsid w:val="05D53592"/>
    <w:rsid w:val="05DF00ED"/>
    <w:rsid w:val="05F12C37"/>
    <w:rsid w:val="05FB0B46"/>
    <w:rsid w:val="060D49F6"/>
    <w:rsid w:val="060D4BC6"/>
    <w:rsid w:val="061B0E59"/>
    <w:rsid w:val="06274A52"/>
    <w:rsid w:val="063B2E28"/>
    <w:rsid w:val="063E01A9"/>
    <w:rsid w:val="06437F73"/>
    <w:rsid w:val="065169B7"/>
    <w:rsid w:val="06530FE4"/>
    <w:rsid w:val="06557011"/>
    <w:rsid w:val="065A6B29"/>
    <w:rsid w:val="065C4894"/>
    <w:rsid w:val="065C6C6F"/>
    <w:rsid w:val="065F10D4"/>
    <w:rsid w:val="06720437"/>
    <w:rsid w:val="06774CCE"/>
    <w:rsid w:val="06896484"/>
    <w:rsid w:val="069C6C8A"/>
    <w:rsid w:val="06A2574F"/>
    <w:rsid w:val="06A3061F"/>
    <w:rsid w:val="06AB60C8"/>
    <w:rsid w:val="06B222FA"/>
    <w:rsid w:val="06B97603"/>
    <w:rsid w:val="06BD5DFB"/>
    <w:rsid w:val="06C160ED"/>
    <w:rsid w:val="06C76C7A"/>
    <w:rsid w:val="06E43D08"/>
    <w:rsid w:val="06E45A7E"/>
    <w:rsid w:val="06E471D0"/>
    <w:rsid w:val="06EA1517"/>
    <w:rsid w:val="06EA508C"/>
    <w:rsid w:val="06FC0A47"/>
    <w:rsid w:val="07004B6F"/>
    <w:rsid w:val="070362DC"/>
    <w:rsid w:val="071161E4"/>
    <w:rsid w:val="07156355"/>
    <w:rsid w:val="072D5B54"/>
    <w:rsid w:val="072E6CF9"/>
    <w:rsid w:val="07413064"/>
    <w:rsid w:val="074F7829"/>
    <w:rsid w:val="075229E7"/>
    <w:rsid w:val="075524D7"/>
    <w:rsid w:val="0764271A"/>
    <w:rsid w:val="0766405F"/>
    <w:rsid w:val="076F426C"/>
    <w:rsid w:val="077010BF"/>
    <w:rsid w:val="07747A5D"/>
    <w:rsid w:val="077C6EA8"/>
    <w:rsid w:val="07870AFB"/>
    <w:rsid w:val="07A3722F"/>
    <w:rsid w:val="07AA2823"/>
    <w:rsid w:val="07AC3018"/>
    <w:rsid w:val="07B16A3E"/>
    <w:rsid w:val="07BE249F"/>
    <w:rsid w:val="07C846A8"/>
    <w:rsid w:val="07CA340E"/>
    <w:rsid w:val="07CC4EFF"/>
    <w:rsid w:val="07CD7FD0"/>
    <w:rsid w:val="07D13516"/>
    <w:rsid w:val="07D7163A"/>
    <w:rsid w:val="07DC0946"/>
    <w:rsid w:val="07DC322C"/>
    <w:rsid w:val="07DF7E70"/>
    <w:rsid w:val="07EE0989"/>
    <w:rsid w:val="07F50C16"/>
    <w:rsid w:val="07FB26AE"/>
    <w:rsid w:val="08065D90"/>
    <w:rsid w:val="08095CCE"/>
    <w:rsid w:val="082606ED"/>
    <w:rsid w:val="082A5712"/>
    <w:rsid w:val="08332452"/>
    <w:rsid w:val="08365435"/>
    <w:rsid w:val="083D71F3"/>
    <w:rsid w:val="083E0654"/>
    <w:rsid w:val="084272AE"/>
    <w:rsid w:val="08485B98"/>
    <w:rsid w:val="08522949"/>
    <w:rsid w:val="08533769"/>
    <w:rsid w:val="085C1124"/>
    <w:rsid w:val="08613067"/>
    <w:rsid w:val="08766BA9"/>
    <w:rsid w:val="08910588"/>
    <w:rsid w:val="08955281"/>
    <w:rsid w:val="089A4BD1"/>
    <w:rsid w:val="089E56AF"/>
    <w:rsid w:val="089F5554"/>
    <w:rsid w:val="08A1040D"/>
    <w:rsid w:val="08A75568"/>
    <w:rsid w:val="08B0009A"/>
    <w:rsid w:val="08BB6BFA"/>
    <w:rsid w:val="08BD3F4B"/>
    <w:rsid w:val="08C044A0"/>
    <w:rsid w:val="08C62846"/>
    <w:rsid w:val="08D137DE"/>
    <w:rsid w:val="08D22A7B"/>
    <w:rsid w:val="08D31006"/>
    <w:rsid w:val="08DE3382"/>
    <w:rsid w:val="08EB30F3"/>
    <w:rsid w:val="08F77C00"/>
    <w:rsid w:val="08F96B2F"/>
    <w:rsid w:val="08FB002A"/>
    <w:rsid w:val="08FB7D62"/>
    <w:rsid w:val="09045F63"/>
    <w:rsid w:val="090B72F2"/>
    <w:rsid w:val="091F2158"/>
    <w:rsid w:val="092A2AC4"/>
    <w:rsid w:val="092B455A"/>
    <w:rsid w:val="09344F53"/>
    <w:rsid w:val="09385353"/>
    <w:rsid w:val="093E6C11"/>
    <w:rsid w:val="093F5148"/>
    <w:rsid w:val="094822F4"/>
    <w:rsid w:val="094D5E95"/>
    <w:rsid w:val="09521670"/>
    <w:rsid w:val="096114AF"/>
    <w:rsid w:val="09622C8A"/>
    <w:rsid w:val="09690873"/>
    <w:rsid w:val="096B7C2E"/>
    <w:rsid w:val="09733FA3"/>
    <w:rsid w:val="09734004"/>
    <w:rsid w:val="097529BD"/>
    <w:rsid w:val="0977168F"/>
    <w:rsid w:val="0979721D"/>
    <w:rsid w:val="097E64CE"/>
    <w:rsid w:val="09806C85"/>
    <w:rsid w:val="0981256E"/>
    <w:rsid w:val="09816188"/>
    <w:rsid w:val="09883EF9"/>
    <w:rsid w:val="09895AEA"/>
    <w:rsid w:val="0990401D"/>
    <w:rsid w:val="09925E73"/>
    <w:rsid w:val="09994350"/>
    <w:rsid w:val="09AF2373"/>
    <w:rsid w:val="09AF7B3F"/>
    <w:rsid w:val="09BB0D18"/>
    <w:rsid w:val="09C57CF0"/>
    <w:rsid w:val="09CA63E2"/>
    <w:rsid w:val="09D516AE"/>
    <w:rsid w:val="09D67E54"/>
    <w:rsid w:val="09D74D29"/>
    <w:rsid w:val="09D939C6"/>
    <w:rsid w:val="09E85B5D"/>
    <w:rsid w:val="09F1006B"/>
    <w:rsid w:val="09F67F84"/>
    <w:rsid w:val="09FC34DE"/>
    <w:rsid w:val="09FC62FD"/>
    <w:rsid w:val="09FD1FE2"/>
    <w:rsid w:val="0A1A4C7D"/>
    <w:rsid w:val="0A1E7695"/>
    <w:rsid w:val="0A1F49CF"/>
    <w:rsid w:val="0A200B7B"/>
    <w:rsid w:val="0A262B9A"/>
    <w:rsid w:val="0A28790D"/>
    <w:rsid w:val="0A2D01F0"/>
    <w:rsid w:val="0A391C3C"/>
    <w:rsid w:val="0A3A58B4"/>
    <w:rsid w:val="0A3B59B5"/>
    <w:rsid w:val="0A4725AB"/>
    <w:rsid w:val="0A513856"/>
    <w:rsid w:val="0A5371D6"/>
    <w:rsid w:val="0A553658"/>
    <w:rsid w:val="0A5627EE"/>
    <w:rsid w:val="0A5D3B7D"/>
    <w:rsid w:val="0A690774"/>
    <w:rsid w:val="0A6A65D8"/>
    <w:rsid w:val="0A7359B5"/>
    <w:rsid w:val="0A770E94"/>
    <w:rsid w:val="0A810269"/>
    <w:rsid w:val="0A85761D"/>
    <w:rsid w:val="0A8F242E"/>
    <w:rsid w:val="0A9713FA"/>
    <w:rsid w:val="0A9D666F"/>
    <w:rsid w:val="0AA33345"/>
    <w:rsid w:val="0AA3792E"/>
    <w:rsid w:val="0AA51080"/>
    <w:rsid w:val="0AA84E3F"/>
    <w:rsid w:val="0AAA1760"/>
    <w:rsid w:val="0AAA2B3A"/>
    <w:rsid w:val="0AB522C9"/>
    <w:rsid w:val="0ABA6138"/>
    <w:rsid w:val="0ABB4D47"/>
    <w:rsid w:val="0AC216A5"/>
    <w:rsid w:val="0AC50208"/>
    <w:rsid w:val="0AD33E3F"/>
    <w:rsid w:val="0AE20526"/>
    <w:rsid w:val="0AEA2F37"/>
    <w:rsid w:val="0AEB32E5"/>
    <w:rsid w:val="0AEC6CAF"/>
    <w:rsid w:val="0AF107DD"/>
    <w:rsid w:val="0AF31380"/>
    <w:rsid w:val="0AF5567E"/>
    <w:rsid w:val="0AF62D40"/>
    <w:rsid w:val="0B016BFE"/>
    <w:rsid w:val="0B1A2D41"/>
    <w:rsid w:val="0B1C75E2"/>
    <w:rsid w:val="0B1F12FF"/>
    <w:rsid w:val="0B1F7084"/>
    <w:rsid w:val="0B253A19"/>
    <w:rsid w:val="0B2B5A29"/>
    <w:rsid w:val="0B2C3ECB"/>
    <w:rsid w:val="0B3E081F"/>
    <w:rsid w:val="0B3F14BE"/>
    <w:rsid w:val="0B402E91"/>
    <w:rsid w:val="0B440899"/>
    <w:rsid w:val="0B4F1486"/>
    <w:rsid w:val="0B5176A3"/>
    <w:rsid w:val="0B523220"/>
    <w:rsid w:val="0B53032B"/>
    <w:rsid w:val="0B5516D7"/>
    <w:rsid w:val="0B5A37DD"/>
    <w:rsid w:val="0B660086"/>
    <w:rsid w:val="0B885EBC"/>
    <w:rsid w:val="0B955598"/>
    <w:rsid w:val="0BAC2AF2"/>
    <w:rsid w:val="0BB148C8"/>
    <w:rsid w:val="0BC40CAB"/>
    <w:rsid w:val="0BC65752"/>
    <w:rsid w:val="0BC96FF0"/>
    <w:rsid w:val="0BCE7C92"/>
    <w:rsid w:val="0BD92501"/>
    <w:rsid w:val="0BE2426F"/>
    <w:rsid w:val="0BF039C5"/>
    <w:rsid w:val="0BF16C73"/>
    <w:rsid w:val="0BF6473E"/>
    <w:rsid w:val="0C007680"/>
    <w:rsid w:val="0C092397"/>
    <w:rsid w:val="0C13117C"/>
    <w:rsid w:val="0C190A0A"/>
    <w:rsid w:val="0C1F62A2"/>
    <w:rsid w:val="0C305D19"/>
    <w:rsid w:val="0C312B42"/>
    <w:rsid w:val="0C367838"/>
    <w:rsid w:val="0C377070"/>
    <w:rsid w:val="0C39708C"/>
    <w:rsid w:val="0C3C2F8D"/>
    <w:rsid w:val="0C3F6EAB"/>
    <w:rsid w:val="0C4A232F"/>
    <w:rsid w:val="0C4D15E6"/>
    <w:rsid w:val="0C504988"/>
    <w:rsid w:val="0C5160B2"/>
    <w:rsid w:val="0C526B31"/>
    <w:rsid w:val="0C52795B"/>
    <w:rsid w:val="0C556C9B"/>
    <w:rsid w:val="0C59537B"/>
    <w:rsid w:val="0C80443B"/>
    <w:rsid w:val="0C882A07"/>
    <w:rsid w:val="0C9375A0"/>
    <w:rsid w:val="0CA20475"/>
    <w:rsid w:val="0CA97251"/>
    <w:rsid w:val="0CB5073B"/>
    <w:rsid w:val="0CBE259C"/>
    <w:rsid w:val="0CBE5BE1"/>
    <w:rsid w:val="0CC55A09"/>
    <w:rsid w:val="0CDA7707"/>
    <w:rsid w:val="0CE137CF"/>
    <w:rsid w:val="0CE22F41"/>
    <w:rsid w:val="0CE802C6"/>
    <w:rsid w:val="0CF47059"/>
    <w:rsid w:val="0CF66726"/>
    <w:rsid w:val="0D0227BA"/>
    <w:rsid w:val="0D0976C5"/>
    <w:rsid w:val="0D103128"/>
    <w:rsid w:val="0D15073F"/>
    <w:rsid w:val="0D1A0E57"/>
    <w:rsid w:val="0D1B3030"/>
    <w:rsid w:val="0D262447"/>
    <w:rsid w:val="0D3416CE"/>
    <w:rsid w:val="0D3B7FF1"/>
    <w:rsid w:val="0D3D017E"/>
    <w:rsid w:val="0D423EAE"/>
    <w:rsid w:val="0D464A33"/>
    <w:rsid w:val="0D55791C"/>
    <w:rsid w:val="0D58687D"/>
    <w:rsid w:val="0D6016CA"/>
    <w:rsid w:val="0D644F58"/>
    <w:rsid w:val="0D6B0338"/>
    <w:rsid w:val="0D743B02"/>
    <w:rsid w:val="0D756FB8"/>
    <w:rsid w:val="0D7731A8"/>
    <w:rsid w:val="0D7D3E0F"/>
    <w:rsid w:val="0D8C6527"/>
    <w:rsid w:val="0D914310"/>
    <w:rsid w:val="0D960AEA"/>
    <w:rsid w:val="0D9F1C65"/>
    <w:rsid w:val="0DA01161"/>
    <w:rsid w:val="0DA50DBC"/>
    <w:rsid w:val="0DB51E27"/>
    <w:rsid w:val="0DBC505E"/>
    <w:rsid w:val="0DC3189E"/>
    <w:rsid w:val="0DC707C8"/>
    <w:rsid w:val="0DCC7C72"/>
    <w:rsid w:val="0DCD3C64"/>
    <w:rsid w:val="0DD40E63"/>
    <w:rsid w:val="0DD84CEF"/>
    <w:rsid w:val="0DE40111"/>
    <w:rsid w:val="0DE82542"/>
    <w:rsid w:val="0DF13CCD"/>
    <w:rsid w:val="0E017904"/>
    <w:rsid w:val="0E056209"/>
    <w:rsid w:val="0E082052"/>
    <w:rsid w:val="0E10296A"/>
    <w:rsid w:val="0E1123EC"/>
    <w:rsid w:val="0E14510B"/>
    <w:rsid w:val="0E175DE2"/>
    <w:rsid w:val="0E25165B"/>
    <w:rsid w:val="0E26697C"/>
    <w:rsid w:val="0E2A37B2"/>
    <w:rsid w:val="0E317099"/>
    <w:rsid w:val="0E3576D8"/>
    <w:rsid w:val="0E3A792E"/>
    <w:rsid w:val="0E3E3CC5"/>
    <w:rsid w:val="0E5C1800"/>
    <w:rsid w:val="0E611528"/>
    <w:rsid w:val="0E742D85"/>
    <w:rsid w:val="0E826A95"/>
    <w:rsid w:val="0E85404C"/>
    <w:rsid w:val="0E9249D8"/>
    <w:rsid w:val="0E982E35"/>
    <w:rsid w:val="0E9B0F0B"/>
    <w:rsid w:val="0E9B2EC6"/>
    <w:rsid w:val="0EC55FD7"/>
    <w:rsid w:val="0ECA6962"/>
    <w:rsid w:val="0ECB69EA"/>
    <w:rsid w:val="0EDB32C2"/>
    <w:rsid w:val="0EDD61F6"/>
    <w:rsid w:val="0EE00EF5"/>
    <w:rsid w:val="0EE17975"/>
    <w:rsid w:val="0EF23A92"/>
    <w:rsid w:val="0EF60443"/>
    <w:rsid w:val="0EFD73A4"/>
    <w:rsid w:val="0F036975"/>
    <w:rsid w:val="0F060BEE"/>
    <w:rsid w:val="0F07055B"/>
    <w:rsid w:val="0F096DD6"/>
    <w:rsid w:val="0F0C4B1B"/>
    <w:rsid w:val="0F0E428C"/>
    <w:rsid w:val="0F0F05F5"/>
    <w:rsid w:val="0F135152"/>
    <w:rsid w:val="0F2426C9"/>
    <w:rsid w:val="0F395963"/>
    <w:rsid w:val="0F476BAA"/>
    <w:rsid w:val="0F4A0745"/>
    <w:rsid w:val="0F4C5300"/>
    <w:rsid w:val="0F4D6C8C"/>
    <w:rsid w:val="0F5D2D47"/>
    <w:rsid w:val="0F6077AD"/>
    <w:rsid w:val="0F6B12D9"/>
    <w:rsid w:val="0F6B4716"/>
    <w:rsid w:val="0F711E78"/>
    <w:rsid w:val="0F7958FE"/>
    <w:rsid w:val="0F7C5C0D"/>
    <w:rsid w:val="0F841580"/>
    <w:rsid w:val="0F844F0D"/>
    <w:rsid w:val="0F847DFE"/>
    <w:rsid w:val="0F854DAD"/>
    <w:rsid w:val="0F8B052B"/>
    <w:rsid w:val="0F934158"/>
    <w:rsid w:val="0F946B48"/>
    <w:rsid w:val="0F987BB1"/>
    <w:rsid w:val="0F9A28BF"/>
    <w:rsid w:val="0FA1275E"/>
    <w:rsid w:val="0FA1295E"/>
    <w:rsid w:val="0FAE25F2"/>
    <w:rsid w:val="0FB0094E"/>
    <w:rsid w:val="0FB1037C"/>
    <w:rsid w:val="0FB52782"/>
    <w:rsid w:val="0FC5233F"/>
    <w:rsid w:val="0FCB77DB"/>
    <w:rsid w:val="0FD22917"/>
    <w:rsid w:val="0FDE37A4"/>
    <w:rsid w:val="0FE35988"/>
    <w:rsid w:val="0FE83EE6"/>
    <w:rsid w:val="0FEB5787"/>
    <w:rsid w:val="0FF3288D"/>
    <w:rsid w:val="10014FAA"/>
    <w:rsid w:val="10046849"/>
    <w:rsid w:val="100D6A7B"/>
    <w:rsid w:val="101822F4"/>
    <w:rsid w:val="10192D3D"/>
    <w:rsid w:val="10207D16"/>
    <w:rsid w:val="102A70A8"/>
    <w:rsid w:val="102E6AA2"/>
    <w:rsid w:val="1030763E"/>
    <w:rsid w:val="103247B3"/>
    <w:rsid w:val="103510F8"/>
    <w:rsid w:val="1042731E"/>
    <w:rsid w:val="10493AD0"/>
    <w:rsid w:val="104E7F92"/>
    <w:rsid w:val="10572A08"/>
    <w:rsid w:val="105803F6"/>
    <w:rsid w:val="105C0433"/>
    <w:rsid w:val="10602134"/>
    <w:rsid w:val="1061150C"/>
    <w:rsid w:val="106541F4"/>
    <w:rsid w:val="106D2640"/>
    <w:rsid w:val="106F63B8"/>
    <w:rsid w:val="10705922"/>
    <w:rsid w:val="10736BDE"/>
    <w:rsid w:val="10744371"/>
    <w:rsid w:val="10745BAC"/>
    <w:rsid w:val="107E2A9F"/>
    <w:rsid w:val="108D761B"/>
    <w:rsid w:val="108E0E73"/>
    <w:rsid w:val="109261AE"/>
    <w:rsid w:val="10953945"/>
    <w:rsid w:val="109B162A"/>
    <w:rsid w:val="10A1053B"/>
    <w:rsid w:val="10A446A1"/>
    <w:rsid w:val="10AA0A9A"/>
    <w:rsid w:val="10AA73F0"/>
    <w:rsid w:val="10AF655B"/>
    <w:rsid w:val="10B35443"/>
    <w:rsid w:val="10B74703"/>
    <w:rsid w:val="10C84DEB"/>
    <w:rsid w:val="10CD3B0D"/>
    <w:rsid w:val="10D6085B"/>
    <w:rsid w:val="10D61337"/>
    <w:rsid w:val="10DA4B72"/>
    <w:rsid w:val="10DF0EA8"/>
    <w:rsid w:val="10E072B6"/>
    <w:rsid w:val="10E073EA"/>
    <w:rsid w:val="10E17D24"/>
    <w:rsid w:val="10E62609"/>
    <w:rsid w:val="10E70020"/>
    <w:rsid w:val="10E873B2"/>
    <w:rsid w:val="10F76182"/>
    <w:rsid w:val="10FF2916"/>
    <w:rsid w:val="10FF74E9"/>
    <w:rsid w:val="110102DE"/>
    <w:rsid w:val="110660B6"/>
    <w:rsid w:val="110805BA"/>
    <w:rsid w:val="110A705A"/>
    <w:rsid w:val="110C7FA9"/>
    <w:rsid w:val="11166833"/>
    <w:rsid w:val="112A22DF"/>
    <w:rsid w:val="112D5A17"/>
    <w:rsid w:val="112F6737"/>
    <w:rsid w:val="11303ECA"/>
    <w:rsid w:val="113D2012"/>
    <w:rsid w:val="11445071"/>
    <w:rsid w:val="11530389"/>
    <w:rsid w:val="11750C39"/>
    <w:rsid w:val="117B4074"/>
    <w:rsid w:val="118063A3"/>
    <w:rsid w:val="118345D0"/>
    <w:rsid w:val="118834E8"/>
    <w:rsid w:val="118B3031"/>
    <w:rsid w:val="11912948"/>
    <w:rsid w:val="1191476C"/>
    <w:rsid w:val="11942705"/>
    <w:rsid w:val="11995E1B"/>
    <w:rsid w:val="11A4793D"/>
    <w:rsid w:val="11AD3799"/>
    <w:rsid w:val="11B87529"/>
    <w:rsid w:val="11BB554E"/>
    <w:rsid w:val="11C10E95"/>
    <w:rsid w:val="11CE5360"/>
    <w:rsid w:val="11D010D8"/>
    <w:rsid w:val="11DA3D05"/>
    <w:rsid w:val="11DC3895"/>
    <w:rsid w:val="11DC7CED"/>
    <w:rsid w:val="11DE1389"/>
    <w:rsid w:val="11E4127E"/>
    <w:rsid w:val="11E5640E"/>
    <w:rsid w:val="11FE6839"/>
    <w:rsid w:val="120276BC"/>
    <w:rsid w:val="120314AE"/>
    <w:rsid w:val="120650CA"/>
    <w:rsid w:val="120B3EBE"/>
    <w:rsid w:val="12161FC9"/>
    <w:rsid w:val="12187C39"/>
    <w:rsid w:val="12220F12"/>
    <w:rsid w:val="122C4188"/>
    <w:rsid w:val="123154DB"/>
    <w:rsid w:val="12347D50"/>
    <w:rsid w:val="1238478B"/>
    <w:rsid w:val="124368EB"/>
    <w:rsid w:val="12611A06"/>
    <w:rsid w:val="12651482"/>
    <w:rsid w:val="126857B5"/>
    <w:rsid w:val="126A757D"/>
    <w:rsid w:val="127E42EA"/>
    <w:rsid w:val="127F79EB"/>
    <w:rsid w:val="128200C1"/>
    <w:rsid w:val="12854777"/>
    <w:rsid w:val="129640D0"/>
    <w:rsid w:val="129C0FBA"/>
    <w:rsid w:val="12A04742"/>
    <w:rsid w:val="12A66205"/>
    <w:rsid w:val="12A74667"/>
    <w:rsid w:val="12A9551C"/>
    <w:rsid w:val="12AD766B"/>
    <w:rsid w:val="12C109B0"/>
    <w:rsid w:val="12CC2211"/>
    <w:rsid w:val="12D15108"/>
    <w:rsid w:val="12D36C4C"/>
    <w:rsid w:val="12D73B1B"/>
    <w:rsid w:val="12D926AB"/>
    <w:rsid w:val="12DA162B"/>
    <w:rsid w:val="12EA1900"/>
    <w:rsid w:val="12F8237A"/>
    <w:rsid w:val="13010F83"/>
    <w:rsid w:val="13085A55"/>
    <w:rsid w:val="13170A24"/>
    <w:rsid w:val="13195AB9"/>
    <w:rsid w:val="13196509"/>
    <w:rsid w:val="131C4B3E"/>
    <w:rsid w:val="13225654"/>
    <w:rsid w:val="13286CF2"/>
    <w:rsid w:val="133F55C4"/>
    <w:rsid w:val="13490205"/>
    <w:rsid w:val="134E57BA"/>
    <w:rsid w:val="135B2C24"/>
    <w:rsid w:val="1360623B"/>
    <w:rsid w:val="136B4523"/>
    <w:rsid w:val="13702B73"/>
    <w:rsid w:val="137D0969"/>
    <w:rsid w:val="137D4E72"/>
    <w:rsid w:val="138403CC"/>
    <w:rsid w:val="13871C6A"/>
    <w:rsid w:val="138F12B4"/>
    <w:rsid w:val="139323BD"/>
    <w:rsid w:val="13934B68"/>
    <w:rsid w:val="139E05E7"/>
    <w:rsid w:val="13B01C4A"/>
    <w:rsid w:val="13BD38DE"/>
    <w:rsid w:val="13C23925"/>
    <w:rsid w:val="13C72262"/>
    <w:rsid w:val="13CD7365"/>
    <w:rsid w:val="13D22765"/>
    <w:rsid w:val="13D5193B"/>
    <w:rsid w:val="13D74E0E"/>
    <w:rsid w:val="13E57E1F"/>
    <w:rsid w:val="13FA3627"/>
    <w:rsid w:val="13FB5036"/>
    <w:rsid w:val="140531BE"/>
    <w:rsid w:val="14053962"/>
    <w:rsid w:val="140609C1"/>
    <w:rsid w:val="140D4429"/>
    <w:rsid w:val="14105F14"/>
    <w:rsid w:val="141334FE"/>
    <w:rsid w:val="141A5F76"/>
    <w:rsid w:val="14245BF6"/>
    <w:rsid w:val="142B6A9A"/>
    <w:rsid w:val="142C3B15"/>
    <w:rsid w:val="143771ED"/>
    <w:rsid w:val="143A427F"/>
    <w:rsid w:val="144514C5"/>
    <w:rsid w:val="144A2C2D"/>
    <w:rsid w:val="144D6FE9"/>
    <w:rsid w:val="14524026"/>
    <w:rsid w:val="1456780D"/>
    <w:rsid w:val="14567BA9"/>
    <w:rsid w:val="145A6997"/>
    <w:rsid w:val="145C1151"/>
    <w:rsid w:val="145F5E47"/>
    <w:rsid w:val="14635758"/>
    <w:rsid w:val="1464065A"/>
    <w:rsid w:val="14651548"/>
    <w:rsid w:val="1466789B"/>
    <w:rsid w:val="146733DC"/>
    <w:rsid w:val="146F301B"/>
    <w:rsid w:val="1475076A"/>
    <w:rsid w:val="1486370F"/>
    <w:rsid w:val="14903CC0"/>
    <w:rsid w:val="14A405FA"/>
    <w:rsid w:val="14A93723"/>
    <w:rsid w:val="14B77516"/>
    <w:rsid w:val="14C30A80"/>
    <w:rsid w:val="14C34F24"/>
    <w:rsid w:val="14C842E9"/>
    <w:rsid w:val="14CB3DD9"/>
    <w:rsid w:val="14D25167"/>
    <w:rsid w:val="14D312C2"/>
    <w:rsid w:val="14D64C58"/>
    <w:rsid w:val="14D863FE"/>
    <w:rsid w:val="14D94748"/>
    <w:rsid w:val="14EB7FD7"/>
    <w:rsid w:val="14F450DE"/>
    <w:rsid w:val="1506410A"/>
    <w:rsid w:val="150773B2"/>
    <w:rsid w:val="15083589"/>
    <w:rsid w:val="1509549D"/>
    <w:rsid w:val="150B284B"/>
    <w:rsid w:val="1510147E"/>
    <w:rsid w:val="15194C20"/>
    <w:rsid w:val="15251CCC"/>
    <w:rsid w:val="152C392C"/>
    <w:rsid w:val="15302709"/>
    <w:rsid w:val="153822B5"/>
    <w:rsid w:val="153D54C3"/>
    <w:rsid w:val="153D6904"/>
    <w:rsid w:val="153E0A4F"/>
    <w:rsid w:val="15412E70"/>
    <w:rsid w:val="154F0CA1"/>
    <w:rsid w:val="1559799F"/>
    <w:rsid w:val="1566387D"/>
    <w:rsid w:val="156C7B69"/>
    <w:rsid w:val="156D5EF8"/>
    <w:rsid w:val="15752AD1"/>
    <w:rsid w:val="15795DBF"/>
    <w:rsid w:val="1581564B"/>
    <w:rsid w:val="15815B31"/>
    <w:rsid w:val="158C17BA"/>
    <w:rsid w:val="15A85EC8"/>
    <w:rsid w:val="15A87CC5"/>
    <w:rsid w:val="15AA4A59"/>
    <w:rsid w:val="15B37D7D"/>
    <w:rsid w:val="15B56500"/>
    <w:rsid w:val="15B64A89"/>
    <w:rsid w:val="15B764B8"/>
    <w:rsid w:val="15BA7066"/>
    <w:rsid w:val="15BD2394"/>
    <w:rsid w:val="15C14F0E"/>
    <w:rsid w:val="15CA22E2"/>
    <w:rsid w:val="15E71910"/>
    <w:rsid w:val="15E975DD"/>
    <w:rsid w:val="15F01F35"/>
    <w:rsid w:val="15F35395"/>
    <w:rsid w:val="15FB15F1"/>
    <w:rsid w:val="160649DC"/>
    <w:rsid w:val="161127D6"/>
    <w:rsid w:val="161D0664"/>
    <w:rsid w:val="162A59B4"/>
    <w:rsid w:val="162C1100"/>
    <w:rsid w:val="16302145"/>
    <w:rsid w:val="16336BB3"/>
    <w:rsid w:val="16361EF4"/>
    <w:rsid w:val="16411B98"/>
    <w:rsid w:val="16416C78"/>
    <w:rsid w:val="16420569"/>
    <w:rsid w:val="164856A2"/>
    <w:rsid w:val="164D0F49"/>
    <w:rsid w:val="1658169C"/>
    <w:rsid w:val="165850B8"/>
    <w:rsid w:val="165B38E5"/>
    <w:rsid w:val="165B3ABD"/>
    <w:rsid w:val="165B4696"/>
    <w:rsid w:val="165D4F05"/>
    <w:rsid w:val="165E0DD5"/>
    <w:rsid w:val="165F6ECF"/>
    <w:rsid w:val="16783AEC"/>
    <w:rsid w:val="16805733"/>
    <w:rsid w:val="16844830"/>
    <w:rsid w:val="16864F47"/>
    <w:rsid w:val="168D1743"/>
    <w:rsid w:val="16A9768A"/>
    <w:rsid w:val="16AA3646"/>
    <w:rsid w:val="16B3375E"/>
    <w:rsid w:val="16BD3B80"/>
    <w:rsid w:val="16C20A2C"/>
    <w:rsid w:val="16C222AF"/>
    <w:rsid w:val="16C674DB"/>
    <w:rsid w:val="16C91A60"/>
    <w:rsid w:val="16D04E99"/>
    <w:rsid w:val="16D50F3F"/>
    <w:rsid w:val="16DA7F08"/>
    <w:rsid w:val="16DE6045"/>
    <w:rsid w:val="16E00BE0"/>
    <w:rsid w:val="16E920E1"/>
    <w:rsid w:val="16ED6E01"/>
    <w:rsid w:val="16F37F36"/>
    <w:rsid w:val="16F91FC6"/>
    <w:rsid w:val="17047DC3"/>
    <w:rsid w:val="170A6E3A"/>
    <w:rsid w:val="170B670F"/>
    <w:rsid w:val="170D502C"/>
    <w:rsid w:val="17160E32"/>
    <w:rsid w:val="172B1350"/>
    <w:rsid w:val="173F74B1"/>
    <w:rsid w:val="17424826"/>
    <w:rsid w:val="17450DAB"/>
    <w:rsid w:val="17455B45"/>
    <w:rsid w:val="175D4615"/>
    <w:rsid w:val="1761165C"/>
    <w:rsid w:val="176D1177"/>
    <w:rsid w:val="177B4F54"/>
    <w:rsid w:val="178869F9"/>
    <w:rsid w:val="17891E00"/>
    <w:rsid w:val="178D5FB8"/>
    <w:rsid w:val="179130B8"/>
    <w:rsid w:val="17942940"/>
    <w:rsid w:val="179B37CF"/>
    <w:rsid w:val="17A07677"/>
    <w:rsid w:val="17A34B99"/>
    <w:rsid w:val="17A728DB"/>
    <w:rsid w:val="17A9063A"/>
    <w:rsid w:val="17AD0FA2"/>
    <w:rsid w:val="17AF353E"/>
    <w:rsid w:val="17B578A2"/>
    <w:rsid w:val="17C0574B"/>
    <w:rsid w:val="17C45BC4"/>
    <w:rsid w:val="17CA0378"/>
    <w:rsid w:val="17CF09D2"/>
    <w:rsid w:val="17DB0F91"/>
    <w:rsid w:val="17E175A0"/>
    <w:rsid w:val="17E551B2"/>
    <w:rsid w:val="17E9245F"/>
    <w:rsid w:val="17F20888"/>
    <w:rsid w:val="18040581"/>
    <w:rsid w:val="181319C1"/>
    <w:rsid w:val="1821268E"/>
    <w:rsid w:val="182860E3"/>
    <w:rsid w:val="182F0E90"/>
    <w:rsid w:val="1830496A"/>
    <w:rsid w:val="18307747"/>
    <w:rsid w:val="183577C0"/>
    <w:rsid w:val="18375672"/>
    <w:rsid w:val="1840063A"/>
    <w:rsid w:val="18441ED8"/>
    <w:rsid w:val="18463EB4"/>
    <w:rsid w:val="18552337"/>
    <w:rsid w:val="185D11EC"/>
    <w:rsid w:val="185D16C0"/>
    <w:rsid w:val="18634066"/>
    <w:rsid w:val="18635AD1"/>
    <w:rsid w:val="18670086"/>
    <w:rsid w:val="187C0DEA"/>
    <w:rsid w:val="187D1080"/>
    <w:rsid w:val="187F2863"/>
    <w:rsid w:val="18863DF4"/>
    <w:rsid w:val="188744BB"/>
    <w:rsid w:val="18996923"/>
    <w:rsid w:val="189F0D0E"/>
    <w:rsid w:val="18B3705E"/>
    <w:rsid w:val="18B83863"/>
    <w:rsid w:val="18BA450A"/>
    <w:rsid w:val="18BA710E"/>
    <w:rsid w:val="18C652C6"/>
    <w:rsid w:val="18C945B4"/>
    <w:rsid w:val="18D21BDA"/>
    <w:rsid w:val="18D55226"/>
    <w:rsid w:val="18DE58E4"/>
    <w:rsid w:val="18F94693"/>
    <w:rsid w:val="18FA15E8"/>
    <w:rsid w:val="18FA2EDF"/>
    <w:rsid w:val="18FC0F9D"/>
    <w:rsid w:val="19036BA9"/>
    <w:rsid w:val="19081A4B"/>
    <w:rsid w:val="190C774C"/>
    <w:rsid w:val="19172452"/>
    <w:rsid w:val="191A702D"/>
    <w:rsid w:val="191E4E1F"/>
    <w:rsid w:val="192D58FE"/>
    <w:rsid w:val="192E4B53"/>
    <w:rsid w:val="192E5772"/>
    <w:rsid w:val="193832BA"/>
    <w:rsid w:val="193A152D"/>
    <w:rsid w:val="193C2A53"/>
    <w:rsid w:val="19520625"/>
    <w:rsid w:val="195A0567"/>
    <w:rsid w:val="196569FB"/>
    <w:rsid w:val="19664364"/>
    <w:rsid w:val="196E5552"/>
    <w:rsid w:val="196E5E76"/>
    <w:rsid w:val="19721A8F"/>
    <w:rsid w:val="197440E1"/>
    <w:rsid w:val="197F4070"/>
    <w:rsid w:val="198335AE"/>
    <w:rsid w:val="19874772"/>
    <w:rsid w:val="19895D23"/>
    <w:rsid w:val="198A4708"/>
    <w:rsid w:val="19920D4D"/>
    <w:rsid w:val="199D21E8"/>
    <w:rsid w:val="19AA0461"/>
    <w:rsid w:val="19CD7561"/>
    <w:rsid w:val="19CF110E"/>
    <w:rsid w:val="19E25E3F"/>
    <w:rsid w:val="19E52AA1"/>
    <w:rsid w:val="1A294AA6"/>
    <w:rsid w:val="1A2D2604"/>
    <w:rsid w:val="1A310B82"/>
    <w:rsid w:val="1A350D84"/>
    <w:rsid w:val="1A377C2A"/>
    <w:rsid w:val="1A4152E0"/>
    <w:rsid w:val="1A472154"/>
    <w:rsid w:val="1A474E13"/>
    <w:rsid w:val="1A5339C4"/>
    <w:rsid w:val="1A644AB4"/>
    <w:rsid w:val="1A6708A4"/>
    <w:rsid w:val="1A6958A2"/>
    <w:rsid w:val="1A6E76E0"/>
    <w:rsid w:val="1A7171D0"/>
    <w:rsid w:val="1A7D29A0"/>
    <w:rsid w:val="1A7F5449"/>
    <w:rsid w:val="1A8213DE"/>
    <w:rsid w:val="1A831F62"/>
    <w:rsid w:val="1A8F132E"/>
    <w:rsid w:val="1A9A2283"/>
    <w:rsid w:val="1AA02A75"/>
    <w:rsid w:val="1AA545AC"/>
    <w:rsid w:val="1AB01AA7"/>
    <w:rsid w:val="1AB1315B"/>
    <w:rsid w:val="1AB31597"/>
    <w:rsid w:val="1ABA4C3C"/>
    <w:rsid w:val="1ABB1F8D"/>
    <w:rsid w:val="1ABF0C02"/>
    <w:rsid w:val="1AC41F04"/>
    <w:rsid w:val="1ADE4866"/>
    <w:rsid w:val="1AE76091"/>
    <w:rsid w:val="1AE906A6"/>
    <w:rsid w:val="1AF15F95"/>
    <w:rsid w:val="1AF220BF"/>
    <w:rsid w:val="1AFC4695"/>
    <w:rsid w:val="1AFE48C4"/>
    <w:rsid w:val="1B0565A6"/>
    <w:rsid w:val="1B0D514B"/>
    <w:rsid w:val="1B0D5DB8"/>
    <w:rsid w:val="1B0D6EF9"/>
    <w:rsid w:val="1B155DAE"/>
    <w:rsid w:val="1B1937E3"/>
    <w:rsid w:val="1B1B79A7"/>
    <w:rsid w:val="1B2D4945"/>
    <w:rsid w:val="1B3B6643"/>
    <w:rsid w:val="1B426698"/>
    <w:rsid w:val="1B48580D"/>
    <w:rsid w:val="1B4F12C0"/>
    <w:rsid w:val="1B505038"/>
    <w:rsid w:val="1B544B28"/>
    <w:rsid w:val="1B5A281F"/>
    <w:rsid w:val="1B623DBB"/>
    <w:rsid w:val="1B6362E7"/>
    <w:rsid w:val="1B7B659A"/>
    <w:rsid w:val="1B7C68C5"/>
    <w:rsid w:val="1B861899"/>
    <w:rsid w:val="1B862808"/>
    <w:rsid w:val="1B866CAC"/>
    <w:rsid w:val="1B9976C5"/>
    <w:rsid w:val="1B9A41B4"/>
    <w:rsid w:val="1BAC4F1D"/>
    <w:rsid w:val="1BC603E1"/>
    <w:rsid w:val="1BC96585"/>
    <w:rsid w:val="1BDB0DA5"/>
    <w:rsid w:val="1BDB6FF7"/>
    <w:rsid w:val="1BEA723A"/>
    <w:rsid w:val="1BF51C3E"/>
    <w:rsid w:val="1BFD51C0"/>
    <w:rsid w:val="1C0F062D"/>
    <w:rsid w:val="1C1D5112"/>
    <w:rsid w:val="1C287709"/>
    <w:rsid w:val="1C2E3F1B"/>
    <w:rsid w:val="1C316C17"/>
    <w:rsid w:val="1C3430F9"/>
    <w:rsid w:val="1C36422E"/>
    <w:rsid w:val="1C3E30E2"/>
    <w:rsid w:val="1C400508"/>
    <w:rsid w:val="1C4325EA"/>
    <w:rsid w:val="1C55786F"/>
    <w:rsid w:val="1C574CD2"/>
    <w:rsid w:val="1C587057"/>
    <w:rsid w:val="1C5A73AA"/>
    <w:rsid w:val="1C5E5533"/>
    <w:rsid w:val="1C615CA3"/>
    <w:rsid w:val="1C6F7740"/>
    <w:rsid w:val="1C7B1063"/>
    <w:rsid w:val="1C981A6C"/>
    <w:rsid w:val="1C992AF1"/>
    <w:rsid w:val="1C9951CE"/>
    <w:rsid w:val="1CA218C3"/>
    <w:rsid w:val="1CAC26D5"/>
    <w:rsid w:val="1CAC44F0"/>
    <w:rsid w:val="1CB338D9"/>
    <w:rsid w:val="1CB60245"/>
    <w:rsid w:val="1CB64C90"/>
    <w:rsid w:val="1CB74E3A"/>
    <w:rsid w:val="1CC131AC"/>
    <w:rsid w:val="1CC1549A"/>
    <w:rsid w:val="1CCF0FDF"/>
    <w:rsid w:val="1CDC4DD5"/>
    <w:rsid w:val="1CE123EB"/>
    <w:rsid w:val="1CE67422"/>
    <w:rsid w:val="1CED1FE7"/>
    <w:rsid w:val="1CF22578"/>
    <w:rsid w:val="1CFA7D5E"/>
    <w:rsid w:val="1D040258"/>
    <w:rsid w:val="1D0600A4"/>
    <w:rsid w:val="1D090FD2"/>
    <w:rsid w:val="1D0B2C6B"/>
    <w:rsid w:val="1D1134EC"/>
    <w:rsid w:val="1D133BC8"/>
    <w:rsid w:val="1D1E3BB6"/>
    <w:rsid w:val="1D25344E"/>
    <w:rsid w:val="1D2D4A96"/>
    <w:rsid w:val="1D3426AA"/>
    <w:rsid w:val="1D364C87"/>
    <w:rsid w:val="1D365D00"/>
    <w:rsid w:val="1D455EC3"/>
    <w:rsid w:val="1D4D182F"/>
    <w:rsid w:val="1D4D7463"/>
    <w:rsid w:val="1D4F1661"/>
    <w:rsid w:val="1D5007A4"/>
    <w:rsid w:val="1D52395B"/>
    <w:rsid w:val="1D525097"/>
    <w:rsid w:val="1D546098"/>
    <w:rsid w:val="1D5759F2"/>
    <w:rsid w:val="1D5A383D"/>
    <w:rsid w:val="1D5E27D2"/>
    <w:rsid w:val="1D630053"/>
    <w:rsid w:val="1D70676E"/>
    <w:rsid w:val="1D7833A7"/>
    <w:rsid w:val="1D7F4B72"/>
    <w:rsid w:val="1D85724E"/>
    <w:rsid w:val="1D8875C4"/>
    <w:rsid w:val="1D9531D6"/>
    <w:rsid w:val="1D9E15BC"/>
    <w:rsid w:val="1D9F4E0F"/>
    <w:rsid w:val="1DA15142"/>
    <w:rsid w:val="1DA3564B"/>
    <w:rsid w:val="1DA95BEC"/>
    <w:rsid w:val="1DBA2CB3"/>
    <w:rsid w:val="1DCA10D2"/>
    <w:rsid w:val="1DD0634C"/>
    <w:rsid w:val="1DD27F86"/>
    <w:rsid w:val="1DDB508D"/>
    <w:rsid w:val="1DDC180E"/>
    <w:rsid w:val="1DDD4370"/>
    <w:rsid w:val="1DE26BE9"/>
    <w:rsid w:val="1DEE29D7"/>
    <w:rsid w:val="1DEF0B38"/>
    <w:rsid w:val="1DF54639"/>
    <w:rsid w:val="1E036FCE"/>
    <w:rsid w:val="1E062BF9"/>
    <w:rsid w:val="1E065C13"/>
    <w:rsid w:val="1E085D3E"/>
    <w:rsid w:val="1E154BF9"/>
    <w:rsid w:val="1E1862E1"/>
    <w:rsid w:val="1E1A2348"/>
    <w:rsid w:val="1E1D1861"/>
    <w:rsid w:val="1E1D6DEF"/>
    <w:rsid w:val="1E37428D"/>
    <w:rsid w:val="1E3C6AD3"/>
    <w:rsid w:val="1E4E62D8"/>
    <w:rsid w:val="1E5D6D83"/>
    <w:rsid w:val="1E6734A9"/>
    <w:rsid w:val="1E6F1209"/>
    <w:rsid w:val="1E736820"/>
    <w:rsid w:val="1E760CF8"/>
    <w:rsid w:val="1E890F8D"/>
    <w:rsid w:val="1E8E0CA5"/>
    <w:rsid w:val="1E93764B"/>
    <w:rsid w:val="1E99462A"/>
    <w:rsid w:val="1EA03755"/>
    <w:rsid w:val="1EA41923"/>
    <w:rsid w:val="1EAE2868"/>
    <w:rsid w:val="1EB33096"/>
    <w:rsid w:val="1EC048C3"/>
    <w:rsid w:val="1EC975DB"/>
    <w:rsid w:val="1ECA4C3A"/>
    <w:rsid w:val="1ECC1963"/>
    <w:rsid w:val="1ED26278"/>
    <w:rsid w:val="1ED90CD1"/>
    <w:rsid w:val="1EDA5344"/>
    <w:rsid w:val="1EDD4E34"/>
    <w:rsid w:val="1EE126DA"/>
    <w:rsid w:val="1EE46BA6"/>
    <w:rsid w:val="1EE768A5"/>
    <w:rsid w:val="1EEB1B44"/>
    <w:rsid w:val="1EEE5E85"/>
    <w:rsid w:val="1EF94A6D"/>
    <w:rsid w:val="1F017AEB"/>
    <w:rsid w:val="1F0D44D4"/>
    <w:rsid w:val="1F23217D"/>
    <w:rsid w:val="1F240D31"/>
    <w:rsid w:val="1F2729AA"/>
    <w:rsid w:val="1F274302"/>
    <w:rsid w:val="1F295B65"/>
    <w:rsid w:val="1F2C23A5"/>
    <w:rsid w:val="1F330CB4"/>
    <w:rsid w:val="1F470EBC"/>
    <w:rsid w:val="1F494278"/>
    <w:rsid w:val="1F5A49CB"/>
    <w:rsid w:val="1F5B77C8"/>
    <w:rsid w:val="1F611711"/>
    <w:rsid w:val="1F733E57"/>
    <w:rsid w:val="1F8651D7"/>
    <w:rsid w:val="1F9000F9"/>
    <w:rsid w:val="1F91219C"/>
    <w:rsid w:val="1FA5518F"/>
    <w:rsid w:val="1FA7646C"/>
    <w:rsid w:val="1FB17C4B"/>
    <w:rsid w:val="1FB26264"/>
    <w:rsid w:val="1FB50509"/>
    <w:rsid w:val="1FC37163"/>
    <w:rsid w:val="1FC52E36"/>
    <w:rsid w:val="1FCC04CC"/>
    <w:rsid w:val="1FCF1052"/>
    <w:rsid w:val="1FD455CC"/>
    <w:rsid w:val="1FDA04EC"/>
    <w:rsid w:val="1FE25E09"/>
    <w:rsid w:val="1FE50445"/>
    <w:rsid w:val="1FE74328"/>
    <w:rsid w:val="1FF35315"/>
    <w:rsid w:val="1FFC63A4"/>
    <w:rsid w:val="1FFE2D39"/>
    <w:rsid w:val="20062169"/>
    <w:rsid w:val="200A1C59"/>
    <w:rsid w:val="200D169D"/>
    <w:rsid w:val="20112FE8"/>
    <w:rsid w:val="20176124"/>
    <w:rsid w:val="201B04D3"/>
    <w:rsid w:val="201B3E4C"/>
    <w:rsid w:val="201D5AB5"/>
    <w:rsid w:val="201F0ACD"/>
    <w:rsid w:val="2027763E"/>
    <w:rsid w:val="20290D75"/>
    <w:rsid w:val="202A0778"/>
    <w:rsid w:val="203767C6"/>
    <w:rsid w:val="20387A9B"/>
    <w:rsid w:val="203B40D3"/>
    <w:rsid w:val="203D636C"/>
    <w:rsid w:val="20471238"/>
    <w:rsid w:val="20476CD2"/>
    <w:rsid w:val="2049014A"/>
    <w:rsid w:val="206D762C"/>
    <w:rsid w:val="206F5F60"/>
    <w:rsid w:val="207F0DE6"/>
    <w:rsid w:val="20812468"/>
    <w:rsid w:val="208732AA"/>
    <w:rsid w:val="2094247A"/>
    <w:rsid w:val="20A35555"/>
    <w:rsid w:val="20A576A3"/>
    <w:rsid w:val="20C62E2D"/>
    <w:rsid w:val="20CC5161"/>
    <w:rsid w:val="20DD55C0"/>
    <w:rsid w:val="20FF04B2"/>
    <w:rsid w:val="21006345"/>
    <w:rsid w:val="210A77C6"/>
    <w:rsid w:val="210E7527"/>
    <w:rsid w:val="21115269"/>
    <w:rsid w:val="21185260"/>
    <w:rsid w:val="211A0376"/>
    <w:rsid w:val="212E7BC9"/>
    <w:rsid w:val="21313A58"/>
    <w:rsid w:val="21374CD0"/>
    <w:rsid w:val="213767C6"/>
    <w:rsid w:val="213803E6"/>
    <w:rsid w:val="214624AA"/>
    <w:rsid w:val="21510699"/>
    <w:rsid w:val="21651053"/>
    <w:rsid w:val="216B6728"/>
    <w:rsid w:val="21701F90"/>
    <w:rsid w:val="21723F5A"/>
    <w:rsid w:val="217B0CA4"/>
    <w:rsid w:val="21820E17"/>
    <w:rsid w:val="218242A5"/>
    <w:rsid w:val="21837342"/>
    <w:rsid w:val="21893052"/>
    <w:rsid w:val="218C4456"/>
    <w:rsid w:val="218D2F57"/>
    <w:rsid w:val="21A02F6A"/>
    <w:rsid w:val="21BA6329"/>
    <w:rsid w:val="21C265F4"/>
    <w:rsid w:val="21C4472F"/>
    <w:rsid w:val="21CB2A0B"/>
    <w:rsid w:val="21D94B12"/>
    <w:rsid w:val="21DF2B6D"/>
    <w:rsid w:val="21E2743B"/>
    <w:rsid w:val="21E5308A"/>
    <w:rsid w:val="21E7129C"/>
    <w:rsid w:val="21ED35E0"/>
    <w:rsid w:val="21EF0988"/>
    <w:rsid w:val="21F229A5"/>
    <w:rsid w:val="21FD7606"/>
    <w:rsid w:val="22160D89"/>
    <w:rsid w:val="221943D6"/>
    <w:rsid w:val="22344991"/>
    <w:rsid w:val="223A0D35"/>
    <w:rsid w:val="224007FD"/>
    <w:rsid w:val="22401962"/>
    <w:rsid w:val="22462048"/>
    <w:rsid w:val="224A27E1"/>
    <w:rsid w:val="225673D8"/>
    <w:rsid w:val="225B2978"/>
    <w:rsid w:val="225C1870"/>
    <w:rsid w:val="22625D7D"/>
    <w:rsid w:val="228003FA"/>
    <w:rsid w:val="228201CD"/>
    <w:rsid w:val="229421BE"/>
    <w:rsid w:val="22A747F1"/>
    <w:rsid w:val="22A85759"/>
    <w:rsid w:val="22AE6C61"/>
    <w:rsid w:val="22C14878"/>
    <w:rsid w:val="22D308C1"/>
    <w:rsid w:val="22E41AB5"/>
    <w:rsid w:val="22E75DE4"/>
    <w:rsid w:val="22EB7249"/>
    <w:rsid w:val="22EE13BE"/>
    <w:rsid w:val="22F2371A"/>
    <w:rsid w:val="22F36CE7"/>
    <w:rsid w:val="22F4274D"/>
    <w:rsid w:val="22F52486"/>
    <w:rsid w:val="22F5322F"/>
    <w:rsid w:val="22F83344"/>
    <w:rsid w:val="23111551"/>
    <w:rsid w:val="231A6133"/>
    <w:rsid w:val="231D64C6"/>
    <w:rsid w:val="23257829"/>
    <w:rsid w:val="232823B4"/>
    <w:rsid w:val="23350BE5"/>
    <w:rsid w:val="233631B9"/>
    <w:rsid w:val="23440F58"/>
    <w:rsid w:val="23445482"/>
    <w:rsid w:val="23452FA8"/>
    <w:rsid w:val="2347743F"/>
    <w:rsid w:val="234B1326"/>
    <w:rsid w:val="234B7834"/>
    <w:rsid w:val="23503E27"/>
    <w:rsid w:val="23527A75"/>
    <w:rsid w:val="2355143D"/>
    <w:rsid w:val="23574E22"/>
    <w:rsid w:val="2368268D"/>
    <w:rsid w:val="23691BCC"/>
    <w:rsid w:val="237262EE"/>
    <w:rsid w:val="23762C8C"/>
    <w:rsid w:val="23767606"/>
    <w:rsid w:val="237B1C23"/>
    <w:rsid w:val="2391168E"/>
    <w:rsid w:val="239910D0"/>
    <w:rsid w:val="239F090A"/>
    <w:rsid w:val="23A21379"/>
    <w:rsid w:val="23AA6648"/>
    <w:rsid w:val="23AB565B"/>
    <w:rsid w:val="23B10DE0"/>
    <w:rsid w:val="23B26890"/>
    <w:rsid w:val="23B532A2"/>
    <w:rsid w:val="23B61FE8"/>
    <w:rsid w:val="23BC5478"/>
    <w:rsid w:val="23D5368E"/>
    <w:rsid w:val="23D65030"/>
    <w:rsid w:val="23D758F4"/>
    <w:rsid w:val="23DC005E"/>
    <w:rsid w:val="23E42AEF"/>
    <w:rsid w:val="23EA5297"/>
    <w:rsid w:val="23EF56F1"/>
    <w:rsid w:val="240A311F"/>
    <w:rsid w:val="2412611A"/>
    <w:rsid w:val="24155059"/>
    <w:rsid w:val="24157BAC"/>
    <w:rsid w:val="241646BB"/>
    <w:rsid w:val="241A255A"/>
    <w:rsid w:val="241E21DD"/>
    <w:rsid w:val="242019D2"/>
    <w:rsid w:val="2424564E"/>
    <w:rsid w:val="242A3024"/>
    <w:rsid w:val="242E2026"/>
    <w:rsid w:val="242E2942"/>
    <w:rsid w:val="2435307B"/>
    <w:rsid w:val="24457925"/>
    <w:rsid w:val="24466541"/>
    <w:rsid w:val="244B1B1F"/>
    <w:rsid w:val="244F40DF"/>
    <w:rsid w:val="2453116F"/>
    <w:rsid w:val="24582E25"/>
    <w:rsid w:val="24596F3D"/>
    <w:rsid w:val="245A4A6F"/>
    <w:rsid w:val="24612BD3"/>
    <w:rsid w:val="24691C87"/>
    <w:rsid w:val="246E4971"/>
    <w:rsid w:val="247C4419"/>
    <w:rsid w:val="2480705F"/>
    <w:rsid w:val="249B6F37"/>
    <w:rsid w:val="249D3C8D"/>
    <w:rsid w:val="249D49FD"/>
    <w:rsid w:val="24A16060"/>
    <w:rsid w:val="24A57C78"/>
    <w:rsid w:val="24B403E6"/>
    <w:rsid w:val="24B5313D"/>
    <w:rsid w:val="24BE4EFD"/>
    <w:rsid w:val="24C21BBB"/>
    <w:rsid w:val="24C44283"/>
    <w:rsid w:val="24C630E0"/>
    <w:rsid w:val="24D54729"/>
    <w:rsid w:val="24D906E1"/>
    <w:rsid w:val="24D977A8"/>
    <w:rsid w:val="24E5367B"/>
    <w:rsid w:val="24E862E1"/>
    <w:rsid w:val="24F2365A"/>
    <w:rsid w:val="24F5542D"/>
    <w:rsid w:val="24FB450C"/>
    <w:rsid w:val="24FC6EE5"/>
    <w:rsid w:val="24FF28EB"/>
    <w:rsid w:val="25072C0B"/>
    <w:rsid w:val="250F6EEB"/>
    <w:rsid w:val="25226E09"/>
    <w:rsid w:val="25304E51"/>
    <w:rsid w:val="253D113C"/>
    <w:rsid w:val="25416E10"/>
    <w:rsid w:val="254479BB"/>
    <w:rsid w:val="25461985"/>
    <w:rsid w:val="25492F42"/>
    <w:rsid w:val="255A1523"/>
    <w:rsid w:val="255C3837"/>
    <w:rsid w:val="256002A5"/>
    <w:rsid w:val="25643C6C"/>
    <w:rsid w:val="256B4217"/>
    <w:rsid w:val="257E787A"/>
    <w:rsid w:val="258C1362"/>
    <w:rsid w:val="258E6D46"/>
    <w:rsid w:val="2597065A"/>
    <w:rsid w:val="25A22934"/>
    <w:rsid w:val="25B23C5D"/>
    <w:rsid w:val="25B62BF1"/>
    <w:rsid w:val="25C23BBA"/>
    <w:rsid w:val="25C74149"/>
    <w:rsid w:val="25CB7274"/>
    <w:rsid w:val="25D24FC7"/>
    <w:rsid w:val="25DA4166"/>
    <w:rsid w:val="25E17ECF"/>
    <w:rsid w:val="25EF786A"/>
    <w:rsid w:val="26094761"/>
    <w:rsid w:val="261A1049"/>
    <w:rsid w:val="262C3AAA"/>
    <w:rsid w:val="26347833"/>
    <w:rsid w:val="2640357F"/>
    <w:rsid w:val="26435DB4"/>
    <w:rsid w:val="264B4D7A"/>
    <w:rsid w:val="26606A77"/>
    <w:rsid w:val="26615315"/>
    <w:rsid w:val="266C4096"/>
    <w:rsid w:val="26775B6F"/>
    <w:rsid w:val="267859C4"/>
    <w:rsid w:val="26895B15"/>
    <w:rsid w:val="26922151"/>
    <w:rsid w:val="269E30FB"/>
    <w:rsid w:val="269E6B26"/>
    <w:rsid w:val="26A16452"/>
    <w:rsid w:val="26A5448A"/>
    <w:rsid w:val="26A70A5F"/>
    <w:rsid w:val="26A82166"/>
    <w:rsid w:val="26AE258E"/>
    <w:rsid w:val="26B37672"/>
    <w:rsid w:val="26B64FCD"/>
    <w:rsid w:val="26B77F95"/>
    <w:rsid w:val="26C10195"/>
    <w:rsid w:val="26CA0473"/>
    <w:rsid w:val="26D662FA"/>
    <w:rsid w:val="26DE174A"/>
    <w:rsid w:val="26E541E7"/>
    <w:rsid w:val="26E624B9"/>
    <w:rsid w:val="26FF5BE7"/>
    <w:rsid w:val="270547C8"/>
    <w:rsid w:val="270E64D3"/>
    <w:rsid w:val="270F77E4"/>
    <w:rsid w:val="271138CD"/>
    <w:rsid w:val="2713110A"/>
    <w:rsid w:val="27135897"/>
    <w:rsid w:val="2714772D"/>
    <w:rsid w:val="27151192"/>
    <w:rsid w:val="27160E77"/>
    <w:rsid w:val="271763E5"/>
    <w:rsid w:val="271D1792"/>
    <w:rsid w:val="2728071A"/>
    <w:rsid w:val="27302C1C"/>
    <w:rsid w:val="27343A60"/>
    <w:rsid w:val="27345B98"/>
    <w:rsid w:val="273645AF"/>
    <w:rsid w:val="274307FB"/>
    <w:rsid w:val="27516C6F"/>
    <w:rsid w:val="27534744"/>
    <w:rsid w:val="27562706"/>
    <w:rsid w:val="2758774E"/>
    <w:rsid w:val="275D4D64"/>
    <w:rsid w:val="27627383"/>
    <w:rsid w:val="276500BD"/>
    <w:rsid w:val="277C17A6"/>
    <w:rsid w:val="277E6196"/>
    <w:rsid w:val="27934C2A"/>
    <w:rsid w:val="27955A62"/>
    <w:rsid w:val="27A26508"/>
    <w:rsid w:val="27A71EA8"/>
    <w:rsid w:val="27B222EE"/>
    <w:rsid w:val="27B34984"/>
    <w:rsid w:val="27BC5CC6"/>
    <w:rsid w:val="27C20290"/>
    <w:rsid w:val="27D5405B"/>
    <w:rsid w:val="27F07987"/>
    <w:rsid w:val="27F703E5"/>
    <w:rsid w:val="27F751B9"/>
    <w:rsid w:val="27FC40D9"/>
    <w:rsid w:val="28007034"/>
    <w:rsid w:val="28011B94"/>
    <w:rsid w:val="28033B5E"/>
    <w:rsid w:val="28067D4B"/>
    <w:rsid w:val="280A1EA5"/>
    <w:rsid w:val="280E0EB1"/>
    <w:rsid w:val="28123DA1"/>
    <w:rsid w:val="2815308A"/>
    <w:rsid w:val="28173165"/>
    <w:rsid w:val="282012C0"/>
    <w:rsid w:val="28216CA3"/>
    <w:rsid w:val="282E19AD"/>
    <w:rsid w:val="2843733B"/>
    <w:rsid w:val="2845221C"/>
    <w:rsid w:val="28552ABF"/>
    <w:rsid w:val="28741198"/>
    <w:rsid w:val="287770F2"/>
    <w:rsid w:val="287F6F5C"/>
    <w:rsid w:val="288B7412"/>
    <w:rsid w:val="28902F18"/>
    <w:rsid w:val="28974012"/>
    <w:rsid w:val="289B1EA7"/>
    <w:rsid w:val="289B2962"/>
    <w:rsid w:val="289C1416"/>
    <w:rsid w:val="28BB1F86"/>
    <w:rsid w:val="28C4604E"/>
    <w:rsid w:val="28CD2D8F"/>
    <w:rsid w:val="28D368A4"/>
    <w:rsid w:val="28D82E3E"/>
    <w:rsid w:val="28D93EE5"/>
    <w:rsid w:val="28DB23E5"/>
    <w:rsid w:val="28DE1ED5"/>
    <w:rsid w:val="28E41F0E"/>
    <w:rsid w:val="28E61A92"/>
    <w:rsid w:val="28E622DE"/>
    <w:rsid w:val="28EA7902"/>
    <w:rsid w:val="28ED3EC6"/>
    <w:rsid w:val="28F54A8F"/>
    <w:rsid w:val="28FC1880"/>
    <w:rsid w:val="290D7848"/>
    <w:rsid w:val="290E101B"/>
    <w:rsid w:val="291318B9"/>
    <w:rsid w:val="291639C2"/>
    <w:rsid w:val="291948CF"/>
    <w:rsid w:val="292B0E85"/>
    <w:rsid w:val="293B5548"/>
    <w:rsid w:val="2940493E"/>
    <w:rsid w:val="294F4B3D"/>
    <w:rsid w:val="29500AAA"/>
    <w:rsid w:val="29531ED2"/>
    <w:rsid w:val="295E299A"/>
    <w:rsid w:val="295E3016"/>
    <w:rsid w:val="2961224A"/>
    <w:rsid w:val="29675FF7"/>
    <w:rsid w:val="296C1CDA"/>
    <w:rsid w:val="296E06FE"/>
    <w:rsid w:val="296F7C86"/>
    <w:rsid w:val="2973261D"/>
    <w:rsid w:val="29745B98"/>
    <w:rsid w:val="297B0E08"/>
    <w:rsid w:val="297C7B0D"/>
    <w:rsid w:val="297E31A8"/>
    <w:rsid w:val="298E747C"/>
    <w:rsid w:val="298E79F7"/>
    <w:rsid w:val="298F6502"/>
    <w:rsid w:val="29910CF5"/>
    <w:rsid w:val="299343CE"/>
    <w:rsid w:val="29A41709"/>
    <w:rsid w:val="29AA1DB7"/>
    <w:rsid w:val="29AA6F0A"/>
    <w:rsid w:val="29AE50CA"/>
    <w:rsid w:val="29B669AE"/>
    <w:rsid w:val="29C410CB"/>
    <w:rsid w:val="29CB24F7"/>
    <w:rsid w:val="29CE5AA6"/>
    <w:rsid w:val="29D46006"/>
    <w:rsid w:val="29EC23D0"/>
    <w:rsid w:val="2A005E7B"/>
    <w:rsid w:val="2A0271E9"/>
    <w:rsid w:val="2A105C27"/>
    <w:rsid w:val="2A12073C"/>
    <w:rsid w:val="2A177DCB"/>
    <w:rsid w:val="2A2102CB"/>
    <w:rsid w:val="2A2D77B2"/>
    <w:rsid w:val="2A2E723B"/>
    <w:rsid w:val="2A324E58"/>
    <w:rsid w:val="2A4A2FE8"/>
    <w:rsid w:val="2A4E25D2"/>
    <w:rsid w:val="2A510EB6"/>
    <w:rsid w:val="2A527FEC"/>
    <w:rsid w:val="2A614B6C"/>
    <w:rsid w:val="2A707A61"/>
    <w:rsid w:val="2A735630"/>
    <w:rsid w:val="2A741313"/>
    <w:rsid w:val="2A767E9E"/>
    <w:rsid w:val="2A772AD1"/>
    <w:rsid w:val="2A7E0CA7"/>
    <w:rsid w:val="2A8A65D9"/>
    <w:rsid w:val="2A8F0B44"/>
    <w:rsid w:val="2A9441FD"/>
    <w:rsid w:val="2AA15E6C"/>
    <w:rsid w:val="2AA52B51"/>
    <w:rsid w:val="2AA57411"/>
    <w:rsid w:val="2AA669D3"/>
    <w:rsid w:val="2AB033FD"/>
    <w:rsid w:val="2ABF4DF0"/>
    <w:rsid w:val="2AC14E24"/>
    <w:rsid w:val="2ACA7121"/>
    <w:rsid w:val="2ACD3983"/>
    <w:rsid w:val="2AD03A9F"/>
    <w:rsid w:val="2AD51650"/>
    <w:rsid w:val="2AD57308"/>
    <w:rsid w:val="2AD63B63"/>
    <w:rsid w:val="2AE656EB"/>
    <w:rsid w:val="2AF07E76"/>
    <w:rsid w:val="2AFC2AE6"/>
    <w:rsid w:val="2B0A5A98"/>
    <w:rsid w:val="2B0E302D"/>
    <w:rsid w:val="2B147D35"/>
    <w:rsid w:val="2B253DEB"/>
    <w:rsid w:val="2B2E7A61"/>
    <w:rsid w:val="2B345DDC"/>
    <w:rsid w:val="2B3D4E30"/>
    <w:rsid w:val="2B485E04"/>
    <w:rsid w:val="2B4867F2"/>
    <w:rsid w:val="2B5244B4"/>
    <w:rsid w:val="2B590EBA"/>
    <w:rsid w:val="2B7B6D2D"/>
    <w:rsid w:val="2B801021"/>
    <w:rsid w:val="2B847B5A"/>
    <w:rsid w:val="2B8D2638"/>
    <w:rsid w:val="2B8F395A"/>
    <w:rsid w:val="2B9569B0"/>
    <w:rsid w:val="2B990A49"/>
    <w:rsid w:val="2BA17C45"/>
    <w:rsid w:val="2BA52B2B"/>
    <w:rsid w:val="2BA65E3B"/>
    <w:rsid w:val="2BAC3692"/>
    <w:rsid w:val="2BB53AA1"/>
    <w:rsid w:val="2BC71AC4"/>
    <w:rsid w:val="2BCA03B4"/>
    <w:rsid w:val="2BCC070B"/>
    <w:rsid w:val="2BD11E41"/>
    <w:rsid w:val="2BD575BF"/>
    <w:rsid w:val="2BD91826"/>
    <w:rsid w:val="2BE96D7A"/>
    <w:rsid w:val="2BF57C61"/>
    <w:rsid w:val="2BF643B6"/>
    <w:rsid w:val="2C097269"/>
    <w:rsid w:val="2C0B557C"/>
    <w:rsid w:val="2C0D03AC"/>
    <w:rsid w:val="2C0D4CB6"/>
    <w:rsid w:val="2C11436F"/>
    <w:rsid w:val="2C136B6B"/>
    <w:rsid w:val="2C167BD8"/>
    <w:rsid w:val="2C172E9C"/>
    <w:rsid w:val="2C1B0D4A"/>
    <w:rsid w:val="2C204C46"/>
    <w:rsid w:val="2C2063A3"/>
    <w:rsid w:val="2C220978"/>
    <w:rsid w:val="2C2A2654"/>
    <w:rsid w:val="2C2A71DF"/>
    <w:rsid w:val="2C2F2B49"/>
    <w:rsid w:val="2C317228"/>
    <w:rsid w:val="2C427A7F"/>
    <w:rsid w:val="2C567FD4"/>
    <w:rsid w:val="2C576226"/>
    <w:rsid w:val="2C6D0055"/>
    <w:rsid w:val="2C73432D"/>
    <w:rsid w:val="2C762092"/>
    <w:rsid w:val="2C8006E7"/>
    <w:rsid w:val="2C81624D"/>
    <w:rsid w:val="2C82701B"/>
    <w:rsid w:val="2C8362C5"/>
    <w:rsid w:val="2C931228"/>
    <w:rsid w:val="2C9931D8"/>
    <w:rsid w:val="2CA0329E"/>
    <w:rsid w:val="2CA25CAE"/>
    <w:rsid w:val="2CA4764A"/>
    <w:rsid w:val="2CA6175D"/>
    <w:rsid w:val="2CAD2B18"/>
    <w:rsid w:val="2CB14E40"/>
    <w:rsid w:val="2CB60E52"/>
    <w:rsid w:val="2CBD55E3"/>
    <w:rsid w:val="2CCA6FF3"/>
    <w:rsid w:val="2CD317B6"/>
    <w:rsid w:val="2CDB60BB"/>
    <w:rsid w:val="2CDC65BC"/>
    <w:rsid w:val="2CE23C7B"/>
    <w:rsid w:val="2CEC1CCA"/>
    <w:rsid w:val="2CF610F6"/>
    <w:rsid w:val="2D0A1B8D"/>
    <w:rsid w:val="2D1759B5"/>
    <w:rsid w:val="2D1E1945"/>
    <w:rsid w:val="2D262B11"/>
    <w:rsid w:val="2D312AA8"/>
    <w:rsid w:val="2D4307EB"/>
    <w:rsid w:val="2D4C07A4"/>
    <w:rsid w:val="2D4D07A5"/>
    <w:rsid w:val="2D5A0CEC"/>
    <w:rsid w:val="2D614E83"/>
    <w:rsid w:val="2D741382"/>
    <w:rsid w:val="2D787C68"/>
    <w:rsid w:val="2D797517"/>
    <w:rsid w:val="2D7C6E5F"/>
    <w:rsid w:val="2D837289"/>
    <w:rsid w:val="2D8B74D3"/>
    <w:rsid w:val="2D947006"/>
    <w:rsid w:val="2D9818E0"/>
    <w:rsid w:val="2D990DB2"/>
    <w:rsid w:val="2D9C7FFE"/>
    <w:rsid w:val="2D9D235F"/>
    <w:rsid w:val="2DA76930"/>
    <w:rsid w:val="2DB23579"/>
    <w:rsid w:val="2DB31015"/>
    <w:rsid w:val="2DBE3D09"/>
    <w:rsid w:val="2DC25DCC"/>
    <w:rsid w:val="2DCA37BB"/>
    <w:rsid w:val="2DD322E5"/>
    <w:rsid w:val="2DEC21B7"/>
    <w:rsid w:val="2DED2B2D"/>
    <w:rsid w:val="2DF05973"/>
    <w:rsid w:val="2DF45CF7"/>
    <w:rsid w:val="2E012F21"/>
    <w:rsid w:val="2E0A72C8"/>
    <w:rsid w:val="2E165FEC"/>
    <w:rsid w:val="2E166FE0"/>
    <w:rsid w:val="2E206AEC"/>
    <w:rsid w:val="2E26683F"/>
    <w:rsid w:val="2E2B37B7"/>
    <w:rsid w:val="2E2F0AFB"/>
    <w:rsid w:val="2E342B44"/>
    <w:rsid w:val="2E3C328E"/>
    <w:rsid w:val="2E3D6D1A"/>
    <w:rsid w:val="2E463F1D"/>
    <w:rsid w:val="2E4C37F6"/>
    <w:rsid w:val="2E5073D1"/>
    <w:rsid w:val="2E530C6F"/>
    <w:rsid w:val="2E595590"/>
    <w:rsid w:val="2E5A2E46"/>
    <w:rsid w:val="2E5B7B24"/>
    <w:rsid w:val="2E5E399D"/>
    <w:rsid w:val="2E690493"/>
    <w:rsid w:val="2E701728"/>
    <w:rsid w:val="2E782DED"/>
    <w:rsid w:val="2E7A22FD"/>
    <w:rsid w:val="2E813E50"/>
    <w:rsid w:val="2E8303D5"/>
    <w:rsid w:val="2E861E29"/>
    <w:rsid w:val="2E906C47"/>
    <w:rsid w:val="2EA25753"/>
    <w:rsid w:val="2EB62EB9"/>
    <w:rsid w:val="2ED841FE"/>
    <w:rsid w:val="2EDC2A13"/>
    <w:rsid w:val="2EE11112"/>
    <w:rsid w:val="2EE27A30"/>
    <w:rsid w:val="2EEB0A78"/>
    <w:rsid w:val="2EEB7FAF"/>
    <w:rsid w:val="2EF91940"/>
    <w:rsid w:val="2F012479"/>
    <w:rsid w:val="2F014749"/>
    <w:rsid w:val="2F0325B3"/>
    <w:rsid w:val="2F081A5A"/>
    <w:rsid w:val="2F123765"/>
    <w:rsid w:val="2F2D14C0"/>
    <w:rsid w:val="2F303CBF"/>
    <w:rsid w:val="2F3367EE"/>
    <w:rsid w:val="2F350375"/>
    <w:rsid w:val="2F3B0B88"/>
    <w:rsid w:val="2F3E7079"/>
    <w:rsid w:val="2F4C1FD8"/>
    <w:rsid w:val="2F5114E8"/>
    <w:rsid w:val="2F59466B"/>
    <w:rsid w:val="2F687CD6"/>
    <w:rsid w:val="2F7E78CF"/>
    <w:rsid w:val="2F834A6F"/>
    <w:rsid w:val="2F8F3117"/>
    <w:rsid w:val="2FA37425"/>
    <w:rsid w:val="2FA554FB"/>
    <w:rsid w:val="2FAA7254"/>
    <w:rsid w:val="2FAE0B8A"/>
    <w:rsid w:val="2FAF6884"/>
    <w:rsid w:val="2FB90FA6"/>
    <w:rsid w:val="2FC13AF8"/>
    <w:rsid w:val="2FC17E5A"/>
    <w:rsid w:val="2FD82BE5"/>
    <w:rsid w:val="2FDB716E"/>
    <w:rsid w:val="2FDC5EDE"/>
    <w:rsid w:val="2FE42BDF"/>
    <w:rsid w:val="2FE6542D"/>
    <w:rsid w:val="2FE853E7"/>
    <w:rsid w:val="2FF0569B"/>
    <w:rsid w:val="2FFE1DA7"/>
    <w:rsid w:val="2FFF3FCD"/>
    <w:rsid w:val="30190BF8"/>
    <w:rsid w:val="3019196B"/>
    <w:rsid w:val="30195629"/>
    <w:rsid w:val="301B756B"/>
    <w:rsid w:val="301F34FF"/>
    <w:rsid w:val="30205738"/>
    <w:rsid w:val="30261F51"/>
    <w:rsid w:val="303D3508"/>
    <w:rsid w:val="305C7E85"/>
    <w:rsid w:val="305D4027"/>
    <w:rsid w:val="30637597"/>
    <w:rsid w:val="30647164"/>
    <w:rsid w:val="306D2A45"/>
    <w:rsid w:val="306F63F7"/>
    <w:rsid w:val="30755827"/>
    <w:rsid w:val="307757A1"/>
    <w:rsid w:val="30801AC4"/>
    <w:rsid w:val="308C311F"/>
    <w:rsid w:val="30903846"/>
    <w:rsid w:val="30935F12"/>
    <w:rsid w:val="30977539"/>
    <w:rsid w:val="309C34C5"/>
    <w:rsid w:val="30A56A43"/>
    <w:rsid w:val="30A942DE"/>
    <w:rsid w:val="30B51F82"/>
    <w:rsid w:val="30B579BF"/>
    <w:rsid w:val="30CA6005"/>
    <w:rsid w:val="30CF4851"/>
    <w:rsid w:val="30D228C7"/>
    <w:rsid w:val="30D629EF"/>
    <w:rsid w:val="30DB4216"/>
    <w:rsid w:val="30F8209D"/>
    <w:rsid w:val="30FF48C3"/>
    <w:rsid w:val="310B50C9"/>
    <w:rsid w:val="31112DB6"/>
    <w:rsid w:val="31155BC2"/>
    <w:rsid w:val="31172428"/>
    <w:rsid w:val="311E78A1"/>
    <w:rsid w:val="31243B22"/>
    <w:rsid w:val="31263AD6"/>
    <w:rsid w:val="31271F3F"/>
    <w:rsid w:val="312A4649"/>
    <w:rsid w:val="312B3ECD"/>
    <w:rsid w:val="313004FE"/>
    <w:rsid w:val="313A6212"/>
    <w:rsid w:val="31400B88"/>
    <w:rsid w:val="31462D0D"/>
    <w:rsid w:val="31480833"/>
    <w:rsid w:val="314D06F2"/>
    <w:rsid w:val="315471D8"/>
    <w:rsid w:val="31572824"/>
    <w:rsid w:val="315F58B2"/>
    <w:rsid w:val="31690BD4"/>
    <w:rsid w:val="31697918"/>
    <w:rsid w:val="31733465"/>
    <w:rsid w:val="31790544"/>
    <w:rsid w:val="3180771E"/>
    <w:rsid w:val="318266FA"/>
    <w:rsid w:val="318345B4"/>
    <w:rsid w:val="319246E2"/>
    <w:rsid w:val="31926D8A"/>
    <w:rsid w:val="319B4E07"/>
    <w:rsid w:val="31AF005E"/>
    <w:rsid w:val="31B25CAD"/>
    <w:rsid w:val="31B551CF"/>
    <w:rsid w:val="31B5579D"/>
    <w:rsid w:val="31C205E6"/>
    <w:rsid w:val="31C40A54"/>
    <w:rsid w:val="31C44D74"/>
    <w:rsid w:val="31C95FF1"/>
    <w:rsid w:val="31CA7C8B"/>
    <w:rsid w:val="31CC7C96"/>
    <w:rsid w:val="31CF2D03"/>
    <w:rsid w:val="31D420C7"/>
    <w:rsid w:val="31D5016F"/>
    <w:rsid w:val="31D5711B"/>
    <w:rsid w:val="31DE40E1"/>
    <w:rsid w:val="31DE4CF4"/>
    <w:rsid w:val="31DE6AA2"/>
    <w:rsid w:val="31E6099A"/>
    <w:rsid w:val="31EA2E41"/>
    <w:rsid w:val="31EC406F"/>
    <w:rsid w:val="3206536B"/>
    <w:rsid w:val="320927FD"/>
    <w:rsid w:val="320F30FF"/>
    <w:rsid w:val="32156CEA"/>
    <w:rsid w:val="32262FF7"/>
    <w:rsid w:val="32276B67"/>
    <w:rsid w:val="32326E21"/>
    <w:rsid w:val="323369A1"/>
    <w:rsid w:val="323C7A62"/>
    <w:rsid w:val="324C4353"/>
    <w:rsid w:val="324F6787"/>
    <w:rsid w:val="32544FB6"/>
    <w:rsid w:val="3257078F"/>
    <w:rsid w:val="326571C3"/>
    <w:rsid w:val="326710D4"/>
    <w:rsid w:val="32737B32"/>
    <w:rsid w:val="327B2543"/>
    <w:rsid w:val="328632C5"/>
    <w:rsid w:val="3288753C"/>
    <w:rsid w:val="329357A9"/>
    <w:rsid w:val="32981347"/>
    <w:rsid w:val="329B0525"/>
    <w:rsid w:val="32AA5162"/>
    <w:rsid w:val="32AF09F4"/>
    <w:rsid w:val="32BB10E4"/>
    <w:rsid w:val="32BD0416"/>
    <w:rsid w:val="32C5454E"/>
    <w:rsid w:val="32C959A4"/>
    <w:rsid w:val="32CA7C94"/>
    <w:rsid w:val="32DB26AD"/>
    <w:rsid w:val="32DC6DD3"/>
    <w:rsid w:val="32E0034D"/>
    <w:rsid w:val="32E14AC7"/>
    <w:rsid w:val="32E21699"/>
    <w:rsid w:val="32F2706E"/>
    <w:rsid w:val="32F45228"/>
    <w:rsid w:val="32F860CE"/>
    <w:rsid w:val="32FE615F"/>
    <w:rsid w:val="33041FDC"/>
    <w:rsid w:val="3311639E"/>
    <w:rsid w:val="332158DC"/>
    <w:rsid w:val="332E3179"/>
    <w:rsid w:val="33403DBD"/>
    <w:rsid w:val="33405BB7"/>
    <w:rsid w:val="334253AB"/>
    <w:rsid w:val="334B7EA0"/>
    <w:rsid w:val="334C46CB"/>
    <w:rsid w:val="335057BF"/>
    <w:rsid w:val="33557C28"/>
    <w:rsid w:val="33600D0F"/>
    <w:rsid w:val="337A3D09"/>
    <w:rsid w:val="337A40D1"/>
    <w:rsid w:val="337C0A0F"/>
    <w:rsid w:val="337C6572"/>
    <w:rsid w:val="33855DE4"/>
    <w:rsid w:val="33884F17"/>
    <w:rsid w:val="338874CA"/>
    <w:rsid w:val="338F6BC3"/>
    <w:rsid w:val="3398389C"/>
    <w:rsid w:val="33984010"/>
    <w:rsid w:val="33A84955"/>
    <w:rsid w:val="33A9077D"/>
    <w:rsid w:val="33AD0E22"/>
    <w:rsid w:val="33B217A9"/>
    <w:rsid w:val="33C46A0B"/>
    <w:rsid w:val="33C6593C"/>
    <w:rsid w:val="33CB74FA"/>
    <w:rsid w:val="33CD6DCE"/>
    <w:rsid w:val="33D12FD2"/>
    <w:rsid w:val="33D95773"/>
    <w:rsid w:val="33DC34B5"/>
    <w:rsid w:val="33E20D38"/>
    <w:rsid w:val="33E51F84"/>
    <w:rsid w:val="33F07958"/>
    <w:rsid w:val="340279D7"/>
    <w:rsid w:val="340A74A4"/>
    <w:rsid w:val="34147BC5"/>
    <w:rsid w:val="34180991"/>
    <w:rsid w:val="34261578"/>
    <w:rsid w:val="34390240"/>
    <w:rsid w:val="343F416B"/>
    <w:rsid w:val="344057F2"/>
    <w:rsid w:val="344204A3"/>
    <w:rsid w:val="34424826"/>
    <w:rsid w:val="34425A0E"/>
    <w:rsid w:val="344603D3"/>
    <w:rsid w:val="34461684"/>
    <w:rsid w:val="34476B80"/>
    <w:rsid w:val="34496EC7"/>
    <w:rsid w:val="3453266A"/>
    <w:rsid w:val="34565015"/>
    <w:rsid w:val="3456735A"/>
    <w:rsid w:val="346840B9"/>
    <w:rsid w:val="346F79A4"/>
    <w:rsid w:val="34714B36"/>
    <w:rsid w:val="3474049E"/>
    <w:rsid w:val="3474419F"/>
    <w:rsid w:val="34774060"/>
    <w:rsid w:val="34785297"/>
    <w:rsid w:val="347D25A2"/>
    <w:rsid w:val="34A5554F"/>
    <w:rsid w:val="34A6153F"/>
    <w:rsid w:val="34A92F99"/>
    <w:rsid w:val="34BF35E1"/>
    <w:rsid w:val="34C226AB"/>
    <w:rsid w:val="34CA155F"/>
    <w:rsid w:val="34CD5132"/>
    <w:rsid w:val="34CF6669"/>
    <w:rsid w:val="34E42621"/>
    <w:rsid w:val="34EC1999"/>
    <w:rsid w:val="34F309D5"/>
    <w:rsid w:val="34F5728F"/>
    <w:rsid w:val="34FA2A04"/>
    <w:rsid w:val="34FB5BBD"/>
    <w:rsid w:val="34FF774A"/>
    <w:rsid w:val="34FF7FF6"/>
    <w:rsid w:val="350E20EE"/>
    <w:rsid w:val="35150A2C"/>
    <w:rsid w:val="35181094"/>
    <w:rsid w:val="351C3430"/>
    <w:rsid w:val="351F3659"/>
    <w:rsid w:val="35235778"/>
    <w:rsid w:val="35297317"/>
    <w:rsid w:val="35300A69"/>
    <w:rsid w:val="35303AB8"/>
    <w:rsid w:val="353428FA"/>
    <w:rsid w:val="3536381B"/>
    <w:rsid w:val="3539406E"/>
    <w:rsid w:val="3546508A"/>
    <w:rsid w:val="35492DCC"/>
    <w:rsid w:val="354D5C60"/>
    <w:rsid w:val="3558300F"/>
    <w:rsid w:val="355E3D22"/>
    <w:rsid w:val="356279EA"/>
    <w:rsid w:val="35646E1B"/>
    <w:rsid w:val="356B6D96"/>
    <w:rsid w:val="356C165F"/>
    <w:rsid w:val="35706240"/>
    <w:rsid w:val="3585599D"/>
    <w:rsid w:val="35855EE2"/>
    <w:rsid w:val="358A269D"/>
    <w:rsid w:val="359C74CB"/>
    <w:rsid w:val="359E2DE3"/>
    <w:rsid w:val="359F3A49"/>
    <w:rsid w:val="35A160DC"/>
    <w:rsid w:val="35A86387"/>
    <w:rsid w:val="35A94C06"/>
    <w:rsid w:val="35AB75E3"/>
    <w:rsid w:val="35B5220F"/>
    <w:rsid w:val="35B75F88"/>
    <w:rsid w:val="35BC534C"/>
    <w:rsid w:val="35BE09FB"/>
    <w:rsid w:val="35BE67F0"/>
    <w:rsid w:val="35BF4036"/>
    <w:rsid w:val="35C94AEF"/>
    <w:rsid w:val="35CF29CE"/>
    <w:rsid w:val="35DA62F0"/>
    <w:rsid w:val="35DE52C2"/>
    <w:rsid w:val="35E57D51"/>
    <w:rsid w:val="35E65FA8"/>
    <w:rsid w:val="35E756BB"/>
    <w:rsid w:val="35EE6024"/>
    <w:rsid w:val="35F96946"/>
    <w:rsid w:val="35FC7E3E"/>
    <w:rsid w:val="36015B90"/>
    <w:rsid w:val="360F79C2"/>
    <w:rsid w:val="361D1BDF"/>
    <w:rsid w:val="361D2B8E"/>
    <w:rsid w:val="36341673"/>
    <w:rsid w:val="363671C6"/>
    <w:rsid w:val="363A3CFD"/>
    <w:rsid w:val="364B4321"/>
    <w:rsid w:val="364F5A2A"/>
    <w:rsid w:val="365A237F"/>
    <w:rsid w:val="365B6C55"/>
    <w:rsid w:val="365C1F55"/>
    <w:rsid w:val="3677516C"/>
    <w:rsid w:val="36794B25"/>
    <w:rsid w:val="36820344"/>
    <w:rsid w:val="3686708E"/>
    <w:rsid w:val="368B78F1"/>
    <w:rsid w:val="3698058A"/>
    <w:rsid w:val="36987B67"/>
    <w:rsid w:val="369B7C56"/>
    <w:rsid w:val="36A06287"/>
    <w:rsid w:val="36A466B6"/>
    <w:rsid w:val="36AC716F"/>
    <w:rsid w:val="36B803CA"/>
    <w:rsid w:val="36C06A93"/>
    <w:rsid w:val="36C44A37"/>
    <w:rsid w:val="36CC252F"/>
    <w:rsid w:val="36D47B10"/>
    <w:rsid w:val="36D66CC6"/>
    <w:rsid w:val="36D85957"/>
    <w:rsid w:val="36DA62AB"/>
    <w:rsid w:val="36E62C0E"/>
    <w:rsid w:val="36F11025"/>
    <w:rsid w:val="36FA437E"/>
    <w:rsid w:val="3702521F"/>
    <w:rsid w:val="370902B7"/>
    <w:rsid w:val="37143AAA"/>
    <w:rsid w:val="37172642"/>
    <w:rsid w:val="371D035E"/>
    <w:rsid w:val="371E292D"/>
    <w:rsid w:val="371F1DE0"/>
    <w:rsid w:val="372F639B"/>
    <w:rsid w:val="37311EC7"/>
    <w:rsid w:val="374809F5"/>
    <w:rsid w:val="37483B29"/>
    <w:rsid w:val="374A2C59"/>
    <w:rsid w:val="37506E00"/>
    <w:rsid w:val="37516362"/>
    <w:rsid w:val="37533EB5"/>
    <w:rsid w:val="37570D7E"/>
    <w:rsid w:val="375D2B5F"/>
    <w:rsid w:val="375E30CC"/>
    <w:rsid w:val="37656127"/>
    <w:rsid w:val="37676D1F"/>
    <w:rsid w:val="3768578B"/>
    <w:rsid w:val="376B0DD8"/>
    <w:rsid w:val="376C3559"/>
    <w:rsid w:val="37732382"/>
    <w:rsid w:val="377452B8"/>
    <w:rsid w:val="377D6D5D"/>
    <w:rsid w:val="378004A4"/>
    <w:rsid w:val="37894E57"/>
    <w:rsid w:val="378E2D18"/>
    <w:rsid w:val="37984652"/>
    <w:rsid w:val="379F77B1"/>
    <w:rsid w:val="37A57DC9"/>
    <w:rsid w:val="37A60062"/>
    <w:rsid w:val="37B027BE"/>
    <w:rsid w:val="37B370E4"/>
    <w:rsid w:val="37B645D5"/>
    <w:rsid w:val="37BF7375"/>
    <w:rsid w:val="37D1752B"/>
    <w:rsid w:val="37D43348"/>
    <w:rsid w:val="37D5757E"/>
    <w:rsid w:val="37DB6352"/>
    <w:rsid w:val="37DF0BD0"/>
    <w:rsid w:val="37E33B7D"/>
    <w:rsid w:val="37E34B4B"/>
    <w:rsid w:val="37E50A71"/>
    <w:rsid w:val="37ED6D06"/>
    <w:rsid w:val="37F44C25"/>
    <w:rsid w:val="37F54B45"/>
    <w:rsid w:val="37FE3FAF"/>
    <w:rsid w:val="3805122C"/>
    <w:rsid w:val="3807701A"/>
    <w:rsid w:val="380C31E3"/>
    <w:rsid w:val="38107C77"/>
    <w:rsid w:val="3811655F"/>
    <w:rsid w:val="3816174E"/>
    <w:rsid w:val="38220AE2"/>
    <w:rsid w:val="38316875"/>
    <w:rsid w:val="38481119"/>
    <w:rsid w:val="384C7CAD"/>
    <w:rsid w:val="38507FCD"/>
    <w:rsid w:val="385E543D"/>
    <w:rsid w:val="38662C6D"/>
    <w:rsid w:val="386A2CA1"/>
    <w:rsid w:val="38743FB4"/>
    <w:rsid w:val="38747BC2"/>
    <w:rsid w:val="3875587C"/>
    <w:rsid w:val="387A7E1D"/>
    <w:rsid w:val="387C5C46"/>
    <w:rsid w:val="38810325"/>
    <w:rsid w:val="38837DC8"/>
    <w:rsid w:val="38903694"/>
    <w:rsid w:val="38A26A7B"/>
    <w:rsid w:val="38A31CB4"/>
    <w:rsid w:val="38A36ACC"/>
    <w:rsid w:val="38BB0554"/>
    <w:rsid w:val="38CE0621"/>
    <w:rsid w:val="38D84D95"/>
    <w:rsid w:val="38DD2BC2"/>
    <w:rsid w:val="38E066C5"/>
    <w:rsid w:val="38E075A3"/>
    <w:rsid w:val="38E452E6"/>
    <w:rsid w:val="38F31481"/>
    <w:rsid w:val="38F372D7"/>
    <w:rsid w:val="38FB6C1F"/>
    <w:rsid w:val="39035396"/>
    <w:rsid w:val="390457E9"/>
    <w:rsid w:val="390901EF"/>
    <w:rsid w:val="39094D4C"/>
    <w:rsid w:val="39160A1A"/>
    <w:rsid w:val="391F67F6"/>
    <w:rsid w:val="393F2DCA"/>
    <w:rsid w:val="394D7A40"/>
    <w:rsid w:val="39505496"/>
    <w:rsid w:val="39521037"/>
    <w:rsid w:val="395B4F36"/>
    <w:rsid w:val="39677B25"/>
    <w:rsid w:val="39723D78"/>
    <w:rsid w:val="397513BC"/>
    <w:rsid w:val="39857312"/>
    <w:rsid w:val="398C7053"/>
    <w:rsid w:val="398D2FCC"/>
    <w:rsid w:val="39906662"/>
    <w:rsid w:val="39906DD7"/>
    <w:rsid w:val="3992579C"/>
    <w:rsid w:val="39A34C72"/>
    <w:rsid w:val="39C333D8"/>
    <w:rsid w:val="39C509DD"/>
    <w:rsid w:val="39CB419C"/>
    <w:rsid w:val="39D5032C"/>
    <w:rsid w:val="39D569DC"/>
    <w:rsid w:val="39DC5FBD"/>
    <w:rsid w:val="39E41315"/>
    <w:rsid w:val="39E62997"/>
    <w:rsid w:val="39E6373E"/>
    <w:rsid w:val="39E70D8A"/>
    <w:rsid w:val="39EB04D2"/>
    <w:rsid w:val="39F227A8"/>
    <w:rsid w:val="39F44362"/>
    <w:rsid w:val="39FF167B"/>
    <w:rsid w:val="3A014FA2"/>
    <w:rsid w:val="3A0345E0"/>
    <w:rsid w:val="3A095740"/>
    <w:rsid w:val="3A0E0140"/>
    <w:rsid w:val="3A0F19F4"/>
    <w:rsid w:val="3A142DA1"/>
    <w:rsid w:val="3A195C3F"/>
    <w:rsid w:val="3A1E4827"/>
    <w:rsid w:val="3A2A4F7A"/>
    <w:rsid w:val="3A2A65E3"/>
    <w:rsid w:val="3A334FB4"/>
    <w:rsid w:val="3A3C334E"/>
    <w:rsid w:val="3A430829"/>
    <w:rsid w:val="3A4E487E"/>
    <w:rsid w:val="3A5B06D4"/>
    <w:rsid w:val="3A6D58D7"/>
    <w:rsid w:val="3A6F11C9"/>
    <w:rsid w:val="3A7C29F2"/>
    <w:rsid w:val="3A8422BE"/>
    <w:rsid w:val="3A87183B"/>
    <w:rsid w:val="3A880E29"/>
    <w:rsid w:val="3A8C2065"/>
    <w:rsid w:val="3A921B6D"/>
    <w:rsid w:val="3A92538A"/>
    <w:rsid w:val="3A976388"/>
    <w:rsid w:val="3AA01FD3"/>
    <w:rsid w:val="3AA26B60"/>
    <w:rsid w:val="3AAE6EAB"/>
    <w:rsid w:val="3AB80AA7"/>
    <w:rsid w:val="3AD17712"/>
    <w:rsid w:val="3AE3139F"/>
    <w:rsid w:val="3AE710BD"/>
    <w:rsid w:val="3AF17E99"/>
    <w:rsid w:val="3AF91CCD"/>
    <w:rsid w:val="3AFF73A0"/>
    <w:rsid w:val="3B0D3AE9"/>
    <w:rsid w:val="3B0E529E"/>
    <w:rsid w:val="3B134072"/>
    <w:rsid w:val="3B274463"/>
    <w:rsid w:val="3B2963BF"/>
    <w:rsid w:val="3B2D40F6"/>
    <w:rsid w:val="3B39238D"/>
    <w:rsid w:val="3B4C06EE"/>
    <w:rsid w:val="3B561D9F"/>
    <w:rsid w:val="3B5775E3"/>
    <w:rsid w:val="3B5D4F41"/>
    <w:rsid w:val="3B727619"/>
    <w:rsid w:val="3B7B0A44"/>
    <w:rsid w:val="3B7F7BBE"/>
    <w:rsid w:val="3B8A4A97"/>
    <w:rsid w:val="3B947435"/>
    <w:rsid w:val="3B9B5A04"/>
    <w:rsid w:val="3B9D65CB"/>
    <w:rsid w:val="3BA32FC2"/>
    <w:rsid w:val="3BA574E1"/>
    <w:rsid w:val="3BA62C5E"/>
    <w:rsid w:val="3BAE054D"/>
    <w:rsid w:val="3BAE3F36"/>
    <w:rsid w:val="3BB6283D"/>
    <w:rsid w:val="3BC24168"/>
    <w:rsid w:val="3BC25DE6"/>
    <w:rsid w:val="3BC43686"/>
    <w:rsid w:val="3BDD7C80"/>
    <w:rsid w:val="3BED218D"/>
    <w:rsid w:val="3BED44B1"/>
    <w:rsid w:val="3BEE3F34"/>
    <w:rsid w:val="3BFB4A10"/>
    <w:rsid w:val="3C033335"/>
    <w:rsid w:val="3C115990"/>
    <w:rsid w:val="3C1A4E8D"/>
    <w:rsid w:val="3C1C3D9E"/>
    <w:rsid w:val="3C203A19"/>
    <w:rsid w:val="3C240E73"/>
    <w:rsid w:val="3C3012FC"/>
    <w:rsid w:val="3C3A2962"/>
    <w:rsid w:val="3C3C5492"/>
    <w:rsid w:val="3C3D6BA9"/>
    <w:rsid w:val="3C4C418E"/>
    <w:rsid w:val="3C4C5111"/>
    <w:rsid w:val="3C4D2D23"/>
    <w:rsid w:val="3C522566"/>
    <w:rsid w:val="3C634773"/>
    <w:rsid w:val="3C6479E0"/>
    <w:rsid w:val="3C683C76"/>
    <w:rsid w:val="3C6B5A13"/>
    <w:rsid w:val="3C6F2DB7"/>
    <w:rsid w:val="3C7241A3"/>
    <w:rsid w:val="3C736D56"/>
    <w:rsid w:val="3C784DBC"/>
    <w:rsid w:val="3C7923FD"/>
    <w:rsid w:val="3C7A69DA"/>
    <w:rsid w:val="3C7E21FC"/>
    <w:rsid w:val="3C812459"/>
    <w:rsid w:val="3C8369DF"/>
    <w:rsid w:val="3C985470"/>
    <w:rsid w:val="3C9A5B15"/>
    <w:rsid w:val="3CA130A1"/>
    <w:rsid w:val="3CAD1E92"/>
    <w:rsid w:val="3CAF5049"/>
    <w:rsid w:val="3CAF79B9"/>
    <w:rsid w:val="3CB21257"/>
    <w:rsid w:val="3CB42249"/>
    <w:rsid w:val="3CBA2524"/>
    <w:rsid w:val="3CBF16D4"/>
    <w:rsid w:val="3CC35212"/>
    <w:rsid w:val="3CC54CDE"/>
    <w:rsid w:val="3CC82230"/>
    <w:rsid w:val="3CCC7526"/>
    <w:rsid w:val="3CCD5AF4"/>
    <w:rsid w:val="3CD2706C"/>
    <w:rsid w:val="3CD81843"/>
    <w:rsid w:val="3CDB59F7"/>
    <w:rsid w:val="3CDD0F04"/>
    <w:rsid w:val="3CE26498"/>
    <w:rsid w:val="3CE545E6"/>
    <w:rsid w:val="3CFC25BA"/>
    <w:rsid w:val="3D1837B0"/>
    <w:rsid w:val="3D1A37B0"/>
    <w:rsid w:val="3D233F03"/>
    <w:rsid w:val="3D29491D"/>
    <w:rsid w:val="3D2B7651"/>
    <w:rsid w:val="3D3147D5"/>
    <w:rsid w:val="3D3B2FFA"/>
    <w:rsid w:val="3D3C4114"/>
    <w:rsid w:val="3D4C16AB"/>
    <w:rsid w:val="3D6B6B23"/>
    <w:rsid w:val="3D842AB7"/>
    <w:rsid w:val="3D8967F7"/>
    <w:rsid w:val="3D8C469F"/>
    <w:rsid w:val="3D8F3075"/>
    <w:rsid w:val="3D956BAE"/>
    <w:rsid w:val="3D960B78"/>
    <w:rsid w:val="3D9745C5"/>
    <w:rsid w:val="3D9A7949"/>
    <w:rsid w:val="3D9B71E3"/>
    <w:rsid w:val="3D9C12F8"/>
    <w:rsid w:val="3D9F6E79"/>
    <w:rsid w:val="3DC04F6A"/>
    <w:rsid w:val="3DC53A84"/>
    <w:rsid w:val="3DC63500"/>
    <w:rsid w:val="3DC84452"/>
    <w:rsid w:val="3DE90F59"/>
    <w:rsid w:val="3DEA45DF"/>
    <w:rsid w:val="3DF21144"/>
    <w:rsid w:val="3DF832AB"/>
    <w:rsid w:val="3E03044E"/>
    <w:rsid w:val="3E0516F6"/>
    <w:rsid w:val="3E2069EE"/>
    <w:rsid w:val="3E247497"/>
    <w:rsid w:val="3E2E03FF"/>
    <w:rsid w:val="3E3C34CE"/>
    <w:rsid w:val="3E3E1D53"/>
    <w:rsid w:val="3E3F5445"/>
    <w:rsid w:val="3E404EF2"/>
    <w:rsid w:val="3E432AAE"/>
    <w:rsid w:val="3E490ABE"/>
    <w:rsid w:val="3E53187B"/>
    <w:rsid w:val="3E5D51F2"/>
    <w:rsid w:val="3E651BA0"/>
    <w:rsid w:val="3E6A003B"/>
    <w:rsid w:val="3E6E10B1"/>
    <w:rsid w:val="3E6F4CF6"/>
    <w:rsid w:val="3E793279"/>
    <w:rsid w:val="3E7A3435"/>
    <w:rsid w:val="3E7C1B1C"/>
    <w:rsid w:val="3E8310AF"/>
    <w:rsid w:val="3E87638D"/>
    <w:rsid w:val="3E881D39"/>
    <w:rsid w:val="3E924FCB"/>
    <w:rsid w:val="3E947253"/>
    <w:rsid w:val="3E95202F"/>
    <w:rsid w:val="3E9B2286"/>
    <w:rsid w:val="3EB219E2"/>
    <w:rsid w:val="3EBC6EBE"/>
    <w:rsid w:val="3EC45D50"/>
    <w:rsid w:val="3ED8326F"/>
    <w:rsid w:val="3EDA52B5"/>
    <w:rsid w:val="3EEA4CD8"/>
    <w:rsid w:val="3EEE0E65"/>
    <w:rsid w:val="3EF9316D"/>
    <w:rsid w:val="3F0C10F2"/>
    <w:rsid w:val="3F165ACD"/>
    <w:rsid w:val="3F1D5506"/>
    <w:rsid w:val="3F3910CE"/>
    <w:rsid w:val="3F430284"/>
    <w:rsid w:val="3F443D56"/>
    <w:rsid w:val="3F44774C"/>
    <w:rsid w:val="3F4957D1"/>
    <w:rsid w:val="3F575327"/>
    <w:rsid w:val="3F5D36FC"/>
    <w:rsid w:val="3F5D7C13"/>
    <w:rsid w:val="3F60143E"/>
    <w:rsid w:val="3F665323"/>
    <w:rsid w:val="3F6B2844"/>
    <w:rsid w:val="3F8A3F1C"/>
    <w:rsid w:val="3F8F3AD1"/>
    <w:rsid w:val="3F9149C7"/>
    <w:rsid w:val="3F9609BC"/>
    <w:rsid w:val="3F983C5A"/>
    <w:rsid w:val="3FA27361"/>
    <w:rsid w:val="3FA27F16"/>
    <w:rsid w:val="3FAA0457"/>
    <w:rsid w:val="3FAA4E23"/>
    <w:rsid w:val="3FAA7193"/>
    <w:rsid w:val="3FAC6431"/>
    <w:rsid w:val="3FB65943"/>
    <w:rsid w:val="3FC567F5"/>
    <w:rsid w:val="3FC90DC4"/>
    <w:rsid w:val="3FCB0095"/>
    <w:rsid w:val="3FE25979"/>
    <w:rsid w:val="3FE560AB"/>
    <w:rsid w:val="3FF12080"/>
    <w:rsid w:val="40060D04"/>
    <w:rsid w:val="40063D93"/>
    <w:rsid w:val="400659DE"/>
    <w:rsid w:val="401502FB"/>
    <w:rsid w:val="401827A7"/>
    <w:rsid w:val="40186C21"/>
    <w:rsid w:val="402C30CE"/>
    <w:rsid w:val="403E03EF"/>
    <w:rsid w:val="403F3E6D"/>
    <w:rsid w:val="40416B7A"/>
    <w:rsid w:val="4044666A"/>
    <w:rsid w:val="404E4A52"/>
    <w:rsid w:val="40512767"/>
    <w:rsid w:val="40585BBC"/>
    <w:rsid w:val="40616001"/>
    <w:rsid w:val="40636569"/>
    <w:rsid w:val="4063762B"/>
    <w:rsid w:val="406C2120"/>
    <w:rsid w:val="40782186"/>
    <w:rsid w:val="408044D9"/>
    <w:rsid w:val="40823AE1"/>
    <w:rsid w:val="408623E7"/>
    <w:rsid w:val="409D05D4"/>
    <w:rsid w:val="409D2F5B"/>
    <w:rsid w:val="409E3FCC"/>
    <w:rsid w:val="40A135BD"/>
    <w:rsid w:val="40A248F8"/>
    <w:rsid w:val="40BA07EF"/>
    <w:rsid w:val="40C50601"/>
    <w:rsid w:val="40C9753F"/>
    <w:rsid w:val="40CA3013"/>
    <w:rsid w:val="40D07EFD"/>
    <w:rsid w:val="40DD4D48"/>
    <w:rsid w:val="40E1210B"/>
    <w:rsid w:val="40ED6D01"/>
    <w:rsid w:val="40F260C6"/>
    <w:rsid w:val="40F956A6"/>
    <w:rsid w:val="40F97454"/>
    <w:rsid w:val="40FA2D11"/>
    <w:rsid w:val="40FA67E4"/>
    <w:rsid w:val="40FD3FE9"/>
    <w:rsid w:val="40FF0D77"/>
    <w:rsid w:val="41023BED"/>
    <w:rsid w:val="411155FB"/>
    <w:rsid w:val="41150C03"/>
    <w:rsid w:val="411E3892"/>
    <w:rsid w:val="41223E7F"/>
    <w:rsid w:val="41296DAC"/>
    <w:rsid w:val="41301C9A"/>
    <w:rsid w:val="41355A90"/>
    <w:rsid w:val="4142704D"/>
    <w:rsid w:val="41432DC5"/>
    <w:rsid w:val="4148218A"/>
    <w:rsid w:val="414A4154"/>
    <w:rsid w:val="415037DD"/>
    <w:rsid w:val="41535E23"/>
    <w:rsid w:val="4168320A"/>
    <w:rsid w:val="4173703A"/>
    <w:rsid w:val="4176657D"/>
    <w:rsid w:val="418346BF"/>
    <w:rsid w:val="41884770"/>
    <w:rsid w:val="418859D6"/>
    <w:rsid w:val="41913B31"/>
    <w:rsid w:val="41943C55"/>
    <w:rsid w:val="4199458A"/>
    <w:rsid w:val="419E6F42"/>
    <w:rsid w:val="41A76EB0"/>
    <w:rsid w:val="41A95E6B"/>
    <w:rsid w:val="41AA277F"/>
    <w:rsid w:val="41AA69A0"/>
    <w:rsid w:val="41AC7EAB"/>
    <w:rsid w:val="41B72A7E"/>
    <w:rsid w:val="41C06A10"/>
    <w:rsid w:val="41CE08E1"/>
    <w:rsid w:val="41CF1651"/>
    <w:rsid w:val="41D50821"/>
    <w:rsid w:val="41E73751"/>
    <w:rsid w:val="41F90BCB"/>
    <w:rsid w:val="41FF4F3E"/>
    <w:rsid w:val="420317C4"/>
    <w:rsid w:val="42104685"/>
    <w:rsid w:val="421175BD"/>
    <w:rsid w:val="421321ED"/>
    <w:rsid w:val="421654C9"/>
    <w:rsid w:val="421B33FA"/>
    <w:rsid w:val="422371CF"/>
    <w:rsid w:val="42262641"/>
    <w:rsid w:val="423B7123"/>
    <w:rsid w:val="424005B8"/>
    <w:rsid w:val="4246182E"/>
    <w:rsid w:val="425830C6"/>
    <w:rsid w:val="425D1C65"/>
    <w:rsid w:val="42613503"/>
    <w:rsid w:val="42672AE3"/>
    <w:rsid w:val="42683D09"/>
    <w:rsid w:val="42723EF2"/>
    <w:rsid w:val="42733AD8"/>
    <w:rsid w:val="427341A8"/>
    <w:rsid w:val="42785161"/>
    <w:rsid w:val="427E3296"/>
    <w:rsid w:val="42866868"/>
    <w:rsid w:val="428D023C"/>
    <w:rsid w:val="428E1326"/>
    <w:rsid w:val="42A3581E"/>
    <w:rsid w:val="42AB65F4"/>
    <w:rsid w:val="42B72071"/>
    <w:rsid w:val="42C32D3C"/>
    <w:rsid w:val="42C5222D"/>
    <w:rsid w:val="42CA7254"/>
    <w:rsid w:val="42D37638"/>
    <w:rsid w:val="42D850CA"/>
    <w:rsid w:val="42DA0426"/>
    <w:rsid w:val="42DA422F"/>
    <w:rsid w:val="42F525F4"/>
    <w:rsid w:val="42F73568"/>
    <w:rsid w:val="42F75A6F"/>
    <w:rsid w:val="42FC76D0"/>
    <w:rsid w:val="42FE37FF"/>
    <w:rsid w:val="42FE3CD3"/>
    <w:rsid w:val="43031877"/>
    <w:rsid w:val="430A66DA"/>
    <w:rsid w:val="430D368B"/>
    <w:rsid w:val="43163BC9"/>
    <w:rsid w:val="432A5FEB"/>
    <w:rsid w:val="432E04F8"/>
    <w:rsid w:val="4330156F"/>
    <w:rsid w:val="43344CFF"/>
    <w:rsid w:val="433F75E7"/>
    <w:rsid w:val="4340655B"/>
    <w:rsid w:val="43416A49"/>
    <w:rsid w:val="434C2AAC"/>
    <w:rsid w:val="434F17F6"/>
    <w:rsid w:val="43501147"/>
    <w:rsid w:val="435412BA"/>
    <w:rsid w:val="4357461E"/>
    <w:rsid w:val="43574906"/>
    <w:rsid w:val="435773F8"/>
    <w:rsid w:val="435968D0"/>
    <w:rsid w:val="4364117A"/>
    <w:rsid w:val="43654948"/>
    <w:rsid w:val="436C3AF1"/>
    <w:rsid w:val="43781220"/>
    <w:rsid w:val="438133C5"/>
    <w:rsid w:val="438A3AF9"/>
    <w:rsid w:val="439F4200"/>
    <w:rsid w:val="43A55671"/>
    <w:rsid w:val="43B12B00"/>
    <w:rsid w:val="43BB6C43"/>
    <w:rsid w:val="43C04259"/>
    <w:rsid w:val="43C517AE"/>
    <w:rsid w:val="43D50FC7"/>
    <w:rsid w:val="43E22445"/>
    <w:rsid w:val="43E26547"/>
    <w:rsid w:val="43E602DA"/>
    <w:rsid w:val="43EB7D9D"/>
    <w:rsid w:val="43EF31BE"/>
    <w:rsid w:val="43F37296"/>
    <w:rsid w:val="43F87E97"/>
    <w:rsid w:val="44037A98"/>
    <w:rsid w:val="44052611"/>
    <w:rsid w:val="441445A5"/>
    <w:rsid w:val="441E54AB"/>
    <w:rsid w:val="44203BB0"/>
    <w:rsid w:val="44240C8C"/>
    <w:rsid w:val="442A13C4"/>
    <w:rsid w:val="442F13DF"/>
    <w:rsid w:val="44344BE9"/>
    <w:rsid w:val="444D2373"/>
    <w:rsid w:val="4458398C"/>
    <w:rsid w:val="44625F23"/>
    <w:rsid w:val="4476700E"/>
    <w:rsid w:val="44772335"/>
    <w:rsid w:val="4485200D"/>
    <w:rsid w:val="4498417F"/>
    <w:rsid w:val="449874E4"/>
    <w:rsid w:val="44A1052F"/>
    <w:rsid w:val="44A20B51"/>
    <w:rsid w:val="44A91191"/>
    <w:rsid w:val="44B736FA"/>
    <w:rsid w:val="44BC57E2"/>
    <w:rsid w:val="44C0330B"/>
    <w:rsid w:val="44C61D43"/>
    <w:rsid w:val="44C82D72"/>
    <w:rsid w:val="44CA5E7F"/>
    <w:rsid w:val="44D75CFE"/>
    <w:rsid w:val="44DF7E23"/>
    <w:rsid w:val="44EE3263"/>
    <w:rsid w:val="44EF7CD0"/>
    <w:rsid w:val="44F85735"/>
    <w:rsid w:val="4507209C"/>
    <w:rsid w:val="45090814"/>
    <w:rsid w:val="450B727A"/>
    <w:rsid w:val="45120AE5"/>
    <w:rsid w:val="451D14F1"/>
    <w:rsid w:val="453E2FB2"/>
    <w:rsid w:val="453F0FCB"/>
    <w:rsid w:val="454658E0"/>
    <w:rsid w:val="45467186"/>
    <w:rsid w:val="454A452D"/>
    <w:rsid w:val="4550167C"/>
    <w:rsid w:val="455530C7"/>
    <w:rsid w:val="45576E3F"/>
    <w:rsid w:val="455926D6"/>
    <w:rsid w:val="4561181B"/>
    <w:rsid w:val="4565330A"/>
    <w:rsid w:val="456A150E"/>
    <w:rsid w:val="457B0D80"/>
    <w:rsid w:val="457E59E7"/>
    <w:rsid w:val="457E617A"/>
    <w:rsid w:val="45813EBC"/>
    <w:rsid w:val="45885326"/>
    <w:rsid w:val="45913DE9"/>
    <w:rsid w:val="459A3F8A"/>
    <w:rsid w:val="45A24952"/>
    <w:rsid w:val="45A651CC"/>
    <w:rsid w:val="45B43E2A"/>
    <w:rsid w:val="45B65A03"/>
    <w:rsid w:val="45B81419"/>
    <w:rsid w:val="45C328DB"/>
    <w:rsid w:val="45C55BC2"/>
    <w:rsid w:val="45CB05CF"/>
    <w:rsid w:val="45CD7101"/>
    <w:rsid w:val="45CE13D6"/>
    <w:rsid w:val="45D5137F"/>
    <w:rsid w:val="45D71D2E"/>
    <w:rsid w:val="45DD7344"/>
    <w:rsid w:val="45DF1AEF"/>
    <w:rsid w:val="45E20FEE"/>
    <w:rsid w:val="45EB618E"/>
    <w:rsid w:val="45EC6848"/>
    <w:rsid w:val="45F92E2C"/>
    <w:rsid w:val="4604448E"/>
    <w:rsid w:val="46050349"/>
    <w:rsid w:val="460E12C5"/>
    <w:rsid w:val="46106FC7"/>
    <w:rsid w:val="46221289"/>
    <w:rsid w:val="463070B6"/>
    <w:rsid w:val="463209C2"/>
    <w:rsid w:val="46331B3D"/>
    <w:rsid w:val="463E4B6F"/>
    <w:rsid w:val="46416B21"/>
    <w:rsid w:val="464A4515"/>
    <w:rsid w:val="46513DDF"/>
    <w:rsid w:val="4653292B"/>
    <w:rsid w:val="46535859"/>
    <w:rsid w:val="46545224"/>
    <w:rsid w:val="4660050C"/>
    <w:rsid w:val="466351F0"/>
    <w:rsid w:val="466A1804"/>
    <w:rsid w:val="466B7564"/>
    <w:rsid w:val="46731A57"/>
    <w:rsid w:val="46757C31"/>
    <w:rsid w:val="467719C9"/>
    <w:rsid w:val="467A433C"/>
    <w:rsid w:val="467A6E3B"/>
    <w:rsid w:val="46823D4A"/>
    <w:rsid w:val="468541A6"/>
    <w:rsid w:val="46971BE9"/>
    <w:rsid w:val="46A05E0A"/>
    <w:rsid w:val="46AA764C"/>
    <w:rsid w:val="46B80111"/>
    <w:rsid w:val="46BB6E6B"/>
    <w:rsid w:val="46BF34B3"/>
    <w:rsid w:val="46C05415"/>
    <w:rsid w:val="46C91677"/>
    <w:rsid w:val="46CB3641"/>
    <w:rsid w:val="46D110ED"/>
    <w:rsid w:val="46D85D5E"/>
    <w:rsid w:val="46DB7138"/>
    <w:rsid w:val="46E66A26"/>
    <w:rsid w:val="46EF7152"/>
    <w:rsid w:val="4700492A"/>
    <w:rsid w:val="47037841"/>
    <w:rsid w:val="471825FE"/>
    <w:rsid w:val="47194953"/>
    <w:rsid w:val="471F1BDF"/>
    <w:rsid w:val="47280D7A"/>
    <w:rsid w:val="47294356"/>
    <w:rsid w:val="472D7E58"/>
    <w:rsid w:val="473E1095"/>
    <w:rsid w:val="47420E66"/>
    <w:rsid w:val="4760210A"/>
    <w:rsid w:val="476702CF"/>
    <w:rsid w:val="476E3313"/>
    <w:rsid w:val="476E4AC5"/>
    <w:rsid w:val="476F355F"/>
    <w:rsid w:val="47733871"/>
    <w:rsid w:val="477B0118"/>
    <w:rsid w:val="477B17BB"/>
    <w:rsid w:val="477E6F14"/>
    <w:rsid w:val="477F04A9"/>
    <w:rsid w:val="478104EB"/>
    <w:rsid w:val="47864AE0"/>
    <w:rsid w:val="47875F98"/>
    <w:rsid w:val="478C1F66"/>
    <w:rsid w:val="47967E44"/>
    <w:rsid w:val="479768CD"/>
    <w:rsid w:val="47AC4635"/>
    <w:rsid w:val="47C6205A"/>
    <w:rsid w:val="47D55DFF"/>
    <w:rsid w:val="47DA5F6C"/>
    <w:rsid w:val="47E0311C"/>
    <w:rsid w:val="47E03A71"/>
    <w:rsid w:val="47ED7D12"/>
    <w:rsid w:val="47F300C7"/>
    <w:rsid w:val="47F667AC"/>
    <w:rsid w:val="47F941DE"/>
    <w:rsid w:val="47FB7F56"/>
    <w:rsid w:val="47FF4932"/>
    <w:rsid w:val="48021543"/>
    <w:rsid w:val="48073A47"/>
    <w:rsid w:val="48123E17"/>
    <w:rsid w:val="481371F8"/>
    <w:rsid w:val="4823125B"/>
    <w:rsid w:val="482B699A"/>
    <w:rsid w:val="482C6B89"/>
    <w:rsid w:val="482E678E"/>
    <w:rsid w:val="48383005"/>
    <w:rsid w:val="483E66B7"/>
    <w:rsid w:val="48651873"/>
    <w:rsid w:val="486974E6"/>
    <w:rsid w:val="48704E27"/>
    <w:rsid w:val="48733F90"/>
    <w:rsid w:val="48745EA2"/>
    <w:rsid w:val="48781C17"/>
    <w:rsid w:val="487B7DAF"/>
    <w:rsid w:val="487F38C7"/>
    <w:rsid w:val="48816EF5"/>
    <w:rsid w:val="48907C5F"/>
    <w:rsid w:val="489A58E4"/>
    <w:rsid w:val="48B55277"/>
    <w:rsid w:val="48BB2948"/>
    <w:rsid w:val="48BE454A"/>
    <w:rsid w:val="48BF7AFB"/>
    <w:rsid w:val="48C23A8F"/>
    <w:rsid w:val="48D75E9C"/>
    <w:rsid w:val="48DF3C08"/>
    <w:rsid w:val="48F716AF"/>
    <w:rsid w:val="48FD16BB"/>
    <w:rsid w:val="49177011"/>
    <w:rsid w:val="49181DB0"/>
    <w:rsid w:val="491A0C9D"/>
    <w:rsid w:val="491B064B"/>
    <w:rsid w:val="49214148"/>
    <w:rsid w:val="49244F48"/>
    <w:rsid w:val="492B0AC8"/>
    <w:rsid w:val="492B486B"/>
    <w:rsid w:val="492F17BC"/>
    <w:rsid w:val="49337C40"/>
    <w:rsid w:val="4938447C"/>
    <w:rsid w:val="493D129C"/>
    <w:rsid w:val="493D2AC3"/>
    <w:rsid w:val="493E2F32"/>
    <w:rsid w:val="49417BEA"/>
    <w:rsid w:val="4944592C"/>
    <w:rsid w:val="49481DBE"/>
    <w:rsid w:val="494D658F"/>
    <w:rsid w:val="494E0559"/>
    <w:rsid w:val="494F64C8"/>
    <w:rsid w:val="49610518"/>
    <w:rsid w:val="4964159C"/>
    <w:rsid w:val="49675177"/>
    <w:rsid w:val="49793056"/>
    <w:rsid w:val="49842A63"/>
    <w:rsid w:val="498D4132"/>
    <w:rsid w:val="49A164D9"/>
    <w:rsid w:val="49A568DA"/>
    <w:rsid w:val="49AB6A49"/>
    <w:rsid w:val="49AC0AB8"/>
    <w:rsid w:val="49B1360A"/>
    <w:rsid w:val="49B27C62"/>
    <w:rsid w:val="49B371DE"/>
    <w:rsid w:val="49B53858"/>
    <w:rsid w:val="49BA290F"/>
    <w:rsid w:val="49BD04C4"/>
    <w:rsid w:val="49BD7B63"/>
    <w:rsid w:val="49C01457"/>
    <w:rsid w:val="49C34C45"/>
    <w:rsid w:val="49D140BF"/>
    <w:rsid w:val="49DA3B9B"/>
    <w:rsid w:val="49DE694F"/>
    <w:rsid w:val="49E13015"/>
    <w:rsid w:val="49E3107C"/>
    <w:rsid w:val="49E36EF3"/>
    <w:rsid w:val="49E73F3D"/>
    <w:rsid w:val="49E84C39"/>
    <w:rsid w:val="49EE19E0"/>
    <w:rsid w:val="49F41101"/>
    <w:rsid w:val="49F904C5"/>
    <w:rsid w:val="49FC7627"/>
    <w:rsid w:val="4A0B78D0"/>
    <w:rsid w:val="4A0C644A"/>
    <w:rsid w:val="4A1B754F"/>
    <w:rsid w:val="4A282DB9"/>
    <w:rsid w:val="4A2B37E9"/>
    <w:rsid w:val="4A33120A"/>
    <w:rsid w:val="4A3C6604"/>
    <w:rsid w:val="4A3C6839"/>
    <w:rsid w:val="4A4D3403"/>
    <w:rsid w:val="4A530E33"/>
    <w:rsid w:val="4A5A263E"/>
    <w:rsid w:val="4A683962"/>
    <w:rsid w:val="4A710911"/>
    <w:rsid w:val="4A7718DA"/>
    <w:rsid w:val="4A7F7F18"/>
    <w:rsid w:val="4A826493"/>
    <w:rsid w:val="4A9D34B8"/>
    <w:rsid w:val="4AA03036"/>
    <w:rsid w:val="4AA20B5D"/>
    <w:rsid w:val="4AA22C7D"/>
    <w:rsid w:val="4AA67C5A"/>
    <w:rsid w:val="4AA822D9"/>
    <w:rsid w:val="4AA91EEB"/>
    <w:rsid w:val="4AA93BE0"/>
    <w:rsid w:val="4AC36805"/>
    <w:rsid w:val="4AC74C06"/>
    <w:rsid w:val="4ACE1952"/>
    <w:rsid w:val="4AD93E52"/>
    <w:rsid w:val="4AE90539"/>
    <w:rsid w:val="4AF33D2D"/>
    <w:rsid w:val="4AF72453"/>
    <w:rsid w:val="4AF95546"/>
    <w:rsid w:val="4AFA62A3"/>
    <w:rsid w:val="4B042693"/>
    <w:rsid w:val="4B07077D"/>
    <w:rsid w:val="4B0C2494"/>
    <w:rsid w:val="4B0E7FA0"/>
    <w:rsid w:val="4B15079E"/>
    <w:rsid w:val="4B217B57"/>
    <w:rsid w:val="4B241572"/>
    <w:rsid w:val="4B4175E5"/>
    <w:rsid w:val="4B427C4A"/>
    <w:rsid w:val="4B4C5754"/>
    <w:rsid w:val="4B502B24"/>
    <w:rsid w:val="4B564A6F"/>
    <w:rsid w:val="4B5856BF"/>
    <w:rsid w:val="4B5A1437"/>
    <w:rsid w:val="4B653DC1"/>
    <w:rsid w:val="4B675B1C"/>
    <w:rsid w:val="4B6C796D"/>
    <w:rsid w:val="4B6D116B"/>
    <w:rsid w:val="4B6E145B"/>
    <w:rsid w:val="4B775B45"/>
    <w:rsid w:val="4B777ADD"/>
    <w:rsid w:val="4B7A5635"/>
    <w:rsid w:val="4B83419F"/>
    <w:rsid w:val="4B846F8F"/>
    <w:rsid w:val="4B8966E2"/>
    <w:rsid w:val="4B991F60"/>
    <w:rsid w:val="4B9E3D0C"/>
    <w:rsid w:val="4BA229EF"/>
    <w:rsid w:val="4BA44E68"/>
    <w:rsid w:val="4BA55489"/>
    <w:rsid w:val="4BAB0466"/>
    <w:rsid w:val="4BBB11BD"/>
    <w:rsid w:val="4BBC7BF0"/>
    <w:rsid w:val="4BBD7DA8"/>
    <w:rsid w:val="4BC16A27"/>
    <w:rsid w:val="4BC91B09"/>
    <w:rsid w:val="4BD775FC"/>
    <w:rsid w:val="4BD905AE"/>
    <w:rsid w:val="4BDD47F4"/>
    <w:rsid w:val="4BE1232F"/>
    <w:rsid w:val="4BE43FEB"/>
    <w:rsid w:val="4BE978A5"/>
    <w:rsid w:val="4BF86D6D"/>
    <w:rsid w:val="4C0739EE"/>
    <w:rsid w:val="4C0A4797"/>
    <w:rsid w:val="4C0F5D7E"/>
    <w:rsid w:val="4C181CE0"/>
    <w:rsid w:val="4C1D473A"/>
    <w:rsid w:val="4C255581"/>
    <w:rsid w:val="4C2832E3"/>
    <w:rsid w:val="4C2D4456"/>
    <w:rsid w:val="4C2D64CC"/>
    <w:rsid w:val="4C352404"/>
    <w:rsid w:val="4C3E48B5"/>
    <w:rsid w:val="4C40062D"/>
    <w:rsid w:val="4C49748B"/>
    <w:rsid w:val="4C497712"/>
    <w:rsid w:val="4C4F6AC2"/>
    <w:rsid w:val="4C58766F"/>
    <w:rsid w:val="4C59349D"/>
    <w:rsid w:val="4C5A5BD4"/>
    <w:rsid w:val="4C6C771F"/>
    <w:rsid w:val="4C6F0317"/>
    <w:rsid w:val="4C765DFD"/>
    <w:rsid w:val="4C86237E"/>
    <w:rsid w:val="4C8768B8"/>
    <w:rsid w:val="4C892A80"/>
    <w:rsid w:val="4C8F6EBF"/>
    <w:rsid w:val="4C903ABD"/>
    <w:rsid w:val="4C943519"/>
    <w:rsid w:val="4C9B1D07"/>
    <w:rsid w:val="4C9B5863"/>
    <w:rsid w:val="4CB61D91"/>
    <w:rsid w:val="4CBA3ACA"/>
    <w:rsid w:val="4CBC1B35"/>
    <w:rsid w:val="4CC54B9A"/>
    <w:rsid w:val="4CCC1EC1"/>
    <w:rsid w:val="4CD62D3F"/>
    <w:rsid w:val="4CD64AED"/>
    <w:rsid w:val="4CE25538"/>
    <w:rsid w:val="4CFC0809"/>
    <w:rsid w:val="4D000F8C"/>
    <w:rsid w:val="4D065468"/>
    <w:rsid w:val="4D1118D6"/>
    <w:rsid w:val="4D2266CA"/>
    <w:rsid w:val="4D2F757E"/>
    <w:rsid w:val="4D3426DE"/>
    <w:rsid w:val="4D384FD5"/>
    <w:rsid w:val="4D3C02CE"/>
    <w:rsid w:val="4D404761"/>
    <w:rsid w:val="4D430511"/>
    <w:rsid w:val="4D436B53"/>
    <w:rsid w:val="4D491497"/>
    <w:rsid w:val="4D5962AF"/>
    <w:rsid w:val="4D5A61A1"/>
    <w:rsid w:val="4D717EDF"/>
    <w:rsid w:val="4D804C12"/>
    <w:rsid w:val="4D8219CC"/>
    <w:rsid w:val="4D8B58D8"/>
    <w:rsid w:val="4D985E3F"/>
    <w:rsid w:val="4D9D711E"/>
    <w:rsid w:val="4D9E15F1"/>
    <w:rsid w:val="4DA150FB"/>
    <w:rsid w:val="4DB34E2F"/>
    <w:rsid w:val="4DB73F30"/>
    <w:rsid w:val="4DB957A7"/>
    <w:rsid w:val="4DBA440F"/>
    <w:rsid w:val="4DC62DB4"/>
    <w:rsid w:val="4DC96400"/>
    <w:rsid w:val="4DD245BF"/>
    <w:rsid w:val="4DD2625C"/>
    <w:rsid w:val="4DD46D7F"/>
    <w:rsid w:val="4DDF79D2"/>
    <w:rsid w:val="4DFD1E0B"/>
    <w:rsid w:val="4E0566D6"/>
    <w:rsid w:val="4E096E4E"/>
    <w:rsid w:val="4E0A45C6"/>
    <w:rsid w:val="4E1217EE"/>
    <w:rsid w:val="4E232D09"/>
    <w:rsid w:val="4E2B70BB"/>
    <w:rsid w:val="4E353A96"/>
    <w:rsid w:val="4E360A67"/>
    <w:rsid w:val="4E3911A8"/>
    <w:rsid w:val="4E392040"/>
    <w:rsid w:val="4E491CCC"/>
    <w:rsid w:val="4E4D226A"/>
    <w:rsid w:val="4E4D3DC5"/>
    <w:rsid w:val="4E4D7FC7"/>
    <w:rsid w:val="4E595274"/>
    <w:rsid w:val="4E656129"/>
    <w:rsid w:val="4E6B0AC1"/>
    <w:rsid w:val="4E6C395B"/>
    <w:rsid w:val="4E6F0D56"/>
    <w:rsid w:val="4E7504EE"/>
    <w:rsid w:val="4E83492A"/>
    <w:rsid w:val="4E880069"/>
    <w:rsid w:val="4E8C3510"/>
    <w:rsid w:val="4E9A2543"/>
    <w:rsid w:val="4EAF55F6"/>
    <w:rsid w:val="4EB243B8"/>
    <w:rsid w:val="4EC042E4"/>
    <w:rsid w:val="4EC84E18"/>
    <w:rsid w:val="4ECA15BA"/>
    <w:rsid w:val="4ED8514A"/>
    <w:rsid w:val="4EE11722"/>
    <w:rsid w:val="4EE41892"/>
    <w:rsid w:val="4EE85483"/>
    <w:rsid w:val="4EF45944"/>
    <w:rsid w:val="4F027C1A"/>
    <w:rsid w:val="4F05591F"/>
    <w:rsid w:val="4F067289"/>
    <w:rsid w:val="4F0F5AC0"/>
    <w:rsid w:val="4F1D0CB2"/>
    <w:rsid w:val="4F274E73"/>
    <w:rsid w:val="4F2C4394"/>
    <w:rsid w:val="4F2D7EE3"/>
    <w:rsid w:val="4F3A5808"/>
    <w:rsid w:val="4F471CD3"/>
    <w:rsid w:val="4F512B51"/>
    <w:rsid w:val="4F55619D"/>
    <w:rsid w:val="4F5D32A4"/>
    <w:rsid w:val="4F697E9B"/>
    <w:rsid w:val="4F722E88"/>
    <w:rsid w:val="4F756840"/>
    <w:rsid w:val="4F800A87"/>
    <w:rsid w:val="4F881572"/>
    <w:rsid w:val="4F8D5A54"/>
    <w:rsid w:val="4F951F9D"/>
    <w:rsid w:val="4F95697F"/>
    <w:rsid w:val="4F98252E"/>
    <w:rsid w:val="4F987A94"/>
    <w:rsid w:val="4FA04F65"/>
    <w:rsid w:val="4FA06485"/>
    <w:rsid w:val="4FA3402F"/>
    <w:rsid w:val="4FB25D36"/>
    <w:rsid w:val="4FB600AC"/>
    <w:rsid w:val="4FB70C06"/>
    <w:rsid w:val="4FC05495"/>
    <w:rsid w:val="4FC71ECB"/>
    <w:rsid w:val="4FC9093A"/>
    <w:rsid w:val="4FCF79B6"/>
    <w:rsid w:val="4FE06F43"/>
    <w:rsid w:val="4FE1408D"/>
    <w:rsid w:val="4FE53F47"/>
    <w:rsid w:val="4FEA423B"/>
    <w:rsid w:val="4FEB4D54"/>
    <w:rsid w:val="4FF17EF4"/>
    <w:rsid w:val="4FF57FAA"/>
    <w:rsid w:val="4FF87BDA"/>
    <w:rsid w:val="4FFA25FA"/>
    <w:rsid w:val="4FFB56B9"/>
    <w:rsid w:val="4FFC1C0F"/>
    <w:rsid w:val="50051B5E"/>
    <w:rsid w:val="501702A0"/>
    <w:rsid w:val="501B03E2"/>
    <w:rsid w:val="50265D8C"/>
    <w:rsid w:val="5033113E"/>
    <w:rsid w:val="50340634"/>
    <w:rsid w:val="50372B46"/>
    <w:rsid w:val="505470BC"/>
    <w:rsid w:val="505A7CD1"/>
    <w:rsid w:val="505F5948"/>
    <w:rsid w:val="50662C9F"/>
    <w:rsid w:val="50774DBC"/>
    <w:rsid w:val="50792360"/>
    <w:rsid w:val="507B05D5"/>
    <w:rsid w:val="507E4835"/>
    <w:rsid w:val="50826DEB"/>
    <w:rsid w:val="508620B7"/>
    <w:rsid w:val="509C7DFC"/>
    <w:rsid w:val="50A3118B"/>
    <w:rsid w:val="50A97106"/>
    <w:rsid w:val="50D0126F"/>
    <w:rsid w:val="50D07326"/>
    <w:rsid w:val="50D77086"/>
    <w:rsid w:val="50D92558"/>
    <w:rsid w:val="50DD19BA"/>
    <w:rsid w:val="50F06BCF"/>
    <w:rsid w:val="50F07B2B"/>
    <w:rsid w:val="50F9524E"/>
    <w:rsid w:val="50F95AA8"/>
    <w:rsid w:val="51067D29"/>
    <w:rsid w:val="510C6D30"/>
    <w:rsid w:val="51134562"/>
    <w:rsid w:val="51146B7A"/>
    <w:rsid w:val="511A3AF7"/>
    <w:rsid w:val="51227160"/>
    <w:rsid w:val="513C1EE5"/>
    <w:rsid w:val="51402E7D"/>
    <w:rsid w:val="515D429E"/>
    <w:rsid w:val="51612BE6"/>
    <w:rsid w:val="51624BA2"/>
    <w:rsid w:val="516A593E"/>
    <w:rsid w:val="516F5E8E"/>
    <w:rsid w:val="51716314"/>
    <w:rsid w:val="51782617"/>
    <w:rsid w:val="517A68F6"/>
    <w:rsid w:val="517F5754"/>
    <w:rsid w:val="51890380"/>
    <w:rsid w:val="518A2A4C"/>
    <w:rsid w:val="518D5DD1"/>
    <w:rsid w:val="51915487"/>
    <w:rsid w:val="519B6306"/>
    <w:rsid w:val="519D7CF2"/>
    <w:rsid w:val="519F7BA4"/>
    <w:rsid w:val="51A4356E"/>
    <w:rsid w:val="51A50DBB"/>
    <w:rsid w:val="51A7270E"/>
    <w:rsid w:val="51A76A58"/>
    <w:rsid w:val="51CB0999"/>
    <w:rsid w:val="51D14F11"/>
    <w:rsid w:val="51DC0DF8"/>
    <w:rsid w:val="51DC381E"/>
    <w:rsid w:val="51DF30F8"/>
    <w:rsid w:val="51EF2466"/>
    <w:rsid w:val="51F76001"/>
    <w:rsid w:val="51FA127E"/>
    <w:rsid w:val="52021276"/>
    <w:rsid w:val="5209326F"/>
    <w:rsid w:val="520B5239"/>
    <w:rsid w:val="52146CFA"/>
    <w:rsid w:val="521560B8"/>
    <w:rsid w:val="522105B9"/>
    <w:rsid w:val="522159A7"/>
    <w:rsid w:val="522679F4"/>
    <w:rsid w:val="52272BCD"/>
    <w:rsid w:val="523A79B4"/>
    <w:rsid w:val="523D2A95"/>
    <w:rsid w:val="523D6662"/>
    <w:rsid w:val="523E6D57"/>
    <w:rsid w:val="523F2AE5"/>
    <w:rsid w:val="524143B1"/>
    <w:rsid w:val="5242502D"/>
    <w:rsid w:val="5244052A"/>
    <w:rsid w:val="524A7E2B"/>
    <w:rsid w:val="524D5852"/>
    <w:rsid w:val="52611800"/>
    <w:rsid w:val="5262601D"/>
    <w:rsid w:val="52636E23"/>
    <w:rsid w:val="526C173C"/>
    <w:rsid w:val="526C7ABA"/>
    <w:rsid w:val="526D5880"/>
    <w:rsid w:val="527145A6"/>
    <w:rsid w:val="527A5E46"/>
    <w:rsid w:val="527F1DD2"/>
    <w:rsid w:val="528176BB"/>
    <w:rsid w:val="528A17EE"/>
    <w:rsid w:val="528C45CC"/>
    <w:rsid w:val="52925E66"/>
    <w:rsid w:val="529320A5"/>
    <w:rsid w:val="52950FA7"/>
    <w:rsid w:val="529B2122"/>
    <w:rsid w:val="529F12A2"/>
    <w:rsid w:val="52A94C11"/>
    <w:rsid w:val="52B6146D"/>
    <w:rsid w:val="52B701F3"/>
    <w:rsid w:val="52B94123"/>
    <w:rsid w:val="52BC7BD7"/>
    <w:rsid w:val="52C458AC"/>
    <w:rsid w:val="52C67C23"/>
    <w:rsid w:val="52CB543D"/>
    <w:rsid w:val="52DF2C1C"/>
    <w:rsid w:val="52E52AA6"/>
    <w:rsid w:val="52E57838"/>
    <w:rsid w:val="52E77A54"/>
    <w:rsid w:val="52F52966"/>
    <w:rsid w:val="52F932E4"/>
    <w:rsid w:val="52FD1663"/>
    <w:rsid w:val="53046FC0"/>
    <w:rsid w:val="530976BB"/>
    <w:rsid w:val="530C3017"/>
    <w:rsid w:val="531145F2"/>
    <w:rsid w:val="531254ED"/>
    <w:rsid w:val="53191BB3"/>
    <w:rsid w:val="531C7443"/>
    <w:rsid w:val="53205D51"/>
    <w:rsid w:val="5321080C"/>
    <w:rsid w:val="53290C61"/>
    <w:rsid w:val="5330312F"/>
    <w:rsid w:val="533F4362"/>
    <w:rsid w:val="53405E30"/>
    <w:rsid w:val="53491DE1"/>
    <w:rsid w:val="534B125D"/>
    <w:rsid w:val="535E53F3"/>
    <w:rsid w:val="53605111"/>
    <w:rsid w:val="536319B2"/>
    <w:rsid w:val="538F3C48"/>
    <w:rsid w:val="53933775"/>
    <w:rsid w:val="53934DFD"/>
    <w:rsid w:val="53935897"/>
    <w:rsid w:val="53960593"/>
    <w:rsid w:val="53A32CE0"/>
    <w:rsid w:val="53A60870"/>
    <w:rsid w:val="53A84C0C"/>
    <w:rsid w:val="53B33F6B"/>
    <w:rsid w:val="53C34865"/>
    <w:rsid w:val="53D17DBD"/>
    <w:rsid w:val="53D32684"/>
    <w:rsid w:val="53DA18AC"/>
    <w:rsid w:val="53E43F94"/>
    <w:rsid w:val="53E45AB6"/>
    <w:rsid w:val="53FC24E5"/>
    <w:rsid w:val="53FF2B7C"/>
    <w:rsid w:val="54033BCE"/>
    <w:rsid w:val="5404740F"/>
    <w:rsid w:val="540E2DBF"/>
    <w:rsid w:val="54102D6B"/>
    <w:rsid w:val="541224FD"/>
    <w:rsid w:val="54131712"/>
    <w:rsid w:val="5421430D"/>
    <w:rsid w:val="54260581"/>
    <w:rsid w:val="542F2E0F"/>
    <w:rsid w:val="543D36A4"/>
    <w:rsid w:val="543E4A86"/>
    <w:rsid w:val="54455968"/>
    <w:rsid w:val="54476F4C"/>
    <w:rsid w:val="54481628"/>
    <w:rsid w:val="5452655F"/>
    <w:rsid w:val="5454111A"/>
    <w:rsid w:val="5458228C"/>
    <w:rsid w:val="54604543"/>
    <w:rsid w:val="546662FF"/>
    <w:rsid w:val="5479292E"/>
    <w:rsid w:val="547E172A"/>
    <w:rsid w:val="548C61A6"/>
    <w:rsid w:val="54976D56"/>
    <w:rsid w:val="549A5809"/>
    <w:rsid w:val="54A06AF3"/>
    <w:rsid w:val="54AD34C4"/>
    <w:rsid w:val="54AF7026"/>
    <w:rsid w:val="54B27180"/>
    <w:rsid w:val="54B41BB8"/>
    <w:rsid w:val="54B43F95"/>
    <w:rsid w:val="54B83451"/>
    <w:rsid w:val="54BA216B"/>
    <w:rsid w:val="54BD5334"/>
    <w:rsid w:val="54BE6F73"/>
    <w:rsid w:val="54C221A8"/>
    <w:rsid w:val="54C57380"/>
    <w:rsid w:val="54D25A42"/>
    <w:rsid w:val="54D951F4"/>
    <w:rsid w:val="54DF16B0"/>
    <w:rsid w:val="54EA5895"/>
    <w:rsid w:val="54F14D1E"/>
    <w:rsid w:val="54F226E1"/>
    <w:rsid w:val="5508132B"/>
    <w:rsid w:val="55085A60"/>
    <w:rsid w:val="55086215"/>
    <w:rsid w:val="550A4657"/>
    <w:rsid w:val="55171945"/>
    <w:rsid w:val="55180218"/>
    <w:rsid w:val="55191A1B"/>
    <w:rsid w:val="551A2618"/>
    <w:rsid w:val="551F2C7C"/>
    <w:rsid w:val="5520492E"/>
    <w:rsid w:val="552219D9"/>
    <w:rsid w:val="553B071F"/>
    <w:rsid w:val="553C778E"/>
    <w:rsid w:val="554967A4"/>
    <w:rsid w:val="555161D1"/>
    <w:rsid w:val="55674E7D"/>
    <w:rsid w:val="55676C2B"/>
    <w:rsid w:val="556E1A9F"/>
    <w:rsid w:val="557430F6"/>
    <w:rsid w:val="55752A19"/>
    <w:rsid w:val="55855303"/>
    <w:rsid w:val="55951003"/>
    <w:rsid w:val="55962FE0"/>
    <w:rsid w:val="55A21A11"/>
    <w:rsid w:val="55A319B0"/>
    <w:rsid w:val="55AA6837"/>
    <w:rsid w:val="55B042F8"/>
    <w:rsid w:val="55B1402D"/>
    <w:rsid w:val="55C037D5"/>
    <w:rsid w:val="55C6402C"/>
    <w:rsid w:val="55C723EE"/>
    <w:rsid w:val="55CF5599"/>
    <w:rsid w:val="55D123D3"/>
    <w:rsid w:val="55D67B10"/>
    <w:rsid w:val="55DF0EB7"/>
    <w:rsid w:val="55EC7130"/>
    <w:rsid w:val="55F22C62"/>
    <w:rsid w:val="55F616B8"/>
    <w:rsid w:val="56007BF1"/>
    <w:rsid w:val="5603771C"/>
    <w:rsid w:val="56052390"/>
    <w:rsid w:val="560E0411"/>
    <w:rsid w:val="5616081F"/>
    <w:rsid w:val="56195637"/>
    <w:rsid w:val="561C2F39"/>
    <w:rsid w:val="5623368E"/>
    <w:rsid w:val="56262013"/>
    <w:rsid w:val="56285229"/>
    <w:rsid w:val="563034C0"/>
    <w:rsid w:val="56383558"/>
    <w:rsid w:val="565371AF"/>
    <w:rsid w:val="565D54C8"/>
    <w:rsid w:val="5660053F"/>
    <w:rsid w:val="56635D9C"/>
    <w:rsid w:val="566F789E"/>
    <w:rsid w:val="56726B7E"/>
    <w:rsid w:val="5673006D"/>
    <w:rsid w:val="567F1C71"/>
    <w:rsid w:val="568156EF"/>
    <w:rsid w:val="568320A3"/>
    <w:rsid w:val="56876E58"/>
    <w:rsid w:val="56921A85"/>
    <w:rsid w:val="56A33A36"/>
    <w:rsid w:val="56AF53A0"/>
    <w:rsid w:val="56B1297D"/>
    <w:rsid w:val="56B15EB0"/>
    <w:rsid w:val="56B55774"/>
    <w:rsid w:val="56B64232"/>
    <w:rsid w:val="56BD287A"/>
    <w:rsid w:val="56C47869"/>
    <w:rsid w:val="56D1134F"/>
    <w:rsid w:val="56D415D4"/>
    <w:rsid w:val="56D41A26"/>
    <w:rsid w:val="56D57BC4"/>
    <w:rsid w:val="56E0462C"/>
    <w:rsid w:val="56F54DBE"/>
    <w:rsid w:val="56FC51A8"/>
    <w:rsid w:val="570039CC"/>
    <w:rsid w:val="57016C0B"/>
    <w:rsid w:val="570A7E95"/>
    <w:rsid w:val="57101F87"/>
    <w:rsid w:val="57131037"/>
    <w:rsid w:val="571F10B8"/>
    <w:rsid w:val="57261977"/>
    <w:rsid w:val="57283CBF"/>
    <w:rsid w:val="572E1ACF"/>
    <w:rsid w:val="572F21CE"/>
    <w:rsid w:val="57315742"/>
    <w:rsid w:val="573A1EEA"/>
    <w:rsid w:val="573B6D22"/>
    <w:rsid w:val="57421428"/>
    <w:rsid w:val="57425B4A"/>
    <w:rsid w:val="57517B92"/>
    <w:rsid w:val="575907F5"/>
    <w:rsid w:val="57596512"/>
    <w:rsid w:val="576553EC"/>
    <w:rsid w:val="5774562F"/>
    <w:rsid w:val="577F5788"/>
    <w:rsid w:val="578109AF"/>
    <w:rsid w:val="57874D86"/>
    <w:rsid w:val="578A71ED"/>
    <w:rsid w:val="579F2C41"/>
    <w:rsid w:val="57A3769A"/>
    <w:rsid w:val="57A45773"/>
    <w:rsid w:val="57A45A0B"/>
    <w:rsid w:val="57B74EC7"/>
    <w:rsid w:val="57B91294"/>
    <w:rsid w:val="57C0220E"/>
    <w:rsid w:val="57C40364"/>
    <w:rsid w:val="57C41E6F"/>
    <w:rsid w:val="57C727C7"/>
    <w:rsid w:val="57C93BCD"/>
    <w:rsid w:val="57DE40B5"/>
    <w:rsid w:val="57E31CD9"/>
    <w:rsid w:val="57EE550F"/>
    <w:rsid w:val="57EF1159"/>
    <w:rsid w:val="57F94210"/>
    <w:rsid w:val="58035AB1"/>
    <w:rsid w:val="58144DB8"/>
    <w:rsid w:val="581860B8"/>
    <w:rsid w:val="581C4BA4"/>
    <w:rsid w:val="58283BAC"/>
    <w:rsid w:val="583354EA"/>
    <w:rsid w:val="58373CE1"/>
    <w:rsid w:val="58417401"/>
    <w:rsid w:val="58466C33"/>
    <w:rsid w:val="58472D43"/>
    <w:rsid w:val="584C096E"/>
    <w:rsid w:val="5851771E"/>
    <w:rsid w:val="585A0885"/>
    <w:rsid w:val="585A65D3"/>
    <w:rsid w:val="585B3B37"/>
    <w:rsid w:val="58615A94"/>
    <w:rsid w:val="58665949"/>
    <w:rsid w:val="586A41AF"/>
    <w:rsid w:val="587249A9"/>
    <w:rsid w:val="587B1D88"/>
    <w:rsid w:val="58800A8A"/>
    <w:rsid w:val="588333E5"/>
    <w:rsid w:val="588634E1"/>
    <w:rsid w:val="58866BAF"/>
    <w:rsid w:val="588C5E6A"/>
    <w:rsid w:val="58945C49"/>
    <w:rsid w:val="589711FB"/>
    <w:rsid w:val="58A127C2"/>
    <w:rsid w:val="58A42D03"/>
    <w:rsid w:val="58AA7D56"/>
    <w:rsid w:val="58AB0D0C"/>
    <w:rsid w:val="58AF3175"/>
    <w:rsid w:val="58BE2FCB"/>
    <w:rsid w:val="58C11659"/>
    <w:rsid w:val="58C148EA"/>
    <w:rsid w:val="58CD6C54"/>
    <w:rsid w:val="58D13774"/>
    <w:rsid w:val="58D36385"/>
    <w:rsid w:val="58D94AB5"/>
    <w:rsid w:val="58E654C7"/>
    <w:rsid w:val="58E95BA9"/>
    <w:rsid w:val="58EE3FA9"/>
    <w:rsid w:val="58F85C18"/>
    <w:rsid w:val="58FB7105"/>
    <w:rsid w:val="58FF1FF9"/>
    <w:rsid w:val="59010A8C"/>
    <w:rsid w:val="590D1A69"/>
    <w:rsid w:val="590E633D"/>
    <w:rsid w:val="591018E5"/>
    <w:rsid w:val="591C2557"/>
    <w:rsid w:val="592A1893"/>
    <w:rsid w:val="592E0A74"/>
    <w:rsid w:val="59301A29"/>
    <w:rsid w:val="593C4741"/>
    <w:rsid w:val="593E2878"/>
    <w:rsid w:val="5954396A"/>
    <w:rsid w:val="596318B0"/>
    <w:rsid w:val="597324B0"/>
    <w:rsid w:val="59791C33"/>
    <w:rsid w:val="5980650D"/>
    <w:rsid w:val="59883613"/>
    <w:rsid w:val="598A75B5"/>
    <w:rsid w:val="598C5A03"/>
    <w:rsid w:val="599360A7"/>
    <w:rsid w:val="5999312B"/>
    <w:rsid w:val="59A0270B"/>
    <w:rsid w:val="59A05222"/>
    <w:rsid w:val="59A76EDA"/>
    <w:rsid w:val="59AD76DB"/>
    <w:rsid w:val="59B2747D"/>
    <w:rsid w:val="59B82021"/>
    <w:rsid w:val="59B85CA7"/>
    <w:rsid w:val="59BB12F3"/>
    <w:rsid w:val="59BD143A"/>
    <w:rsid w:val="59C01EDA"/>
    <w:rsid w:val="59C208D3"/>
    <w:rsid w:val="59C85BBA"/>
    <w:rsid w:val="59D40607"/>
    <w:rsid w:val="59D7243C"/>
    <w:rsid w:val="59E03BC0"/>
    <w:rsid w:val="59E44CEE"/>
    <w:rsid w:val="59F111B9"/>
    <w:rsid w:val="59F91F3B"/>
    <w:rsid w:val="5A04713E"/>
    <w:rsid w:val="5A0720D9"/>
    <w:rsid w:val="5A0969B1"/>
    <w:rsid w:val="5A0C7DA1"/>
    <w:rsid w:val="5A136829"/>
    <w:rsid w:val="5A144828"/>
    <w:rsid w:val="5A146C55"/>
    <w:rsid w:val="5A1530F9"/>
    <w:rsid w:val="5A190D89"/>
    <w:rsid w:val="5A1C5F95"/>
    <w:rsid w:val="5A251DB9"/>
    <w:rsid w:val="5A33357F"/>
    <w:rsid w:val="5A3829AD"/>
    <w:rsid w:val="5A3F4F1E"/>
    <w:rsid w:val="5A492DA3"/>
    <w:rsid w:val="5A543740"/>
    <w:rsid w:val="5A582FE6"/>
    <w:rsid w:val="5A5C47D6"/>
    <w:rsid w:val="5A5F4CB3"/>
    <w:rsid w:val="5A641ED4"/>
    <w:rsid w:val="5A6F20DD"/>
    <w:rsid w:val="5A7F04A3"/>
    <w:rsid w:val="5A8048EE"/>
    <w:rsid w:val="5A8B5169"/>
    <w:rsid w:val="5A8F4A8E"/>
    <w:rsid w:val="5A930D03"/>
    <w:rsid w:val="5A935AD8"/>
    <w:rsid w:val="5A944180"/>
    <w:rsid w:val="5A9B74F7"/>
    <w:rsid w:val="5A9F3E07"/>
    <w:rsid w:val="5AA04A12"/>
    <w:rsid w:val="5AA57EDE"/>
    <w:rsid w:val="5ABC3575"/>
    <w:rsid w:val="5ACE5056"/>
    <w:rsid w:val="5AD80F59"/>
    <w:rsid w:val="5ADE2212"/>
    <w:rsid w:val="5AE954C7"/>
    <w:rsid w:val="5AEA2AEA"/>
    <w:rsid w:val="5AEA59DC"/>
    <w:rsid w:val="5AF2269E"/>
    <w:rsid w:val="5AF46948"/>
    <w:rsid w:val="5AFF0206"/>
    <w:rsid w:val="5B011FEF"/>
    <w:rsid w:val="5B036ED7"/>
    <w:rsid w:val="5B0C3FF1"/>
    <w:rsid w:val="5B123746"/>
    <w:rsid w:val="5B12588A"/>
    <w:rsid w:val="5B1851FF"/>
    <w:rsid w:val="5B194D1B"/>
    <w:rsid w:val="5B270A4B"/>
    <w:rsid w:val="5B2D36EB"/>
    <w:rsid w:val="5B3004B5"/>
    <w:rsid w:val="5B301722"/>
    <w:rsid w:val="5B326A1A"/>
    <w:rsid w:val="5B346D26"/>
    <w:rsid w:val="5B435A44"/>
    <w:rsid w:val="5B4517BC"/>
    <w:rsid w:val="5B451BE3"/>
    <w:rsid w:val="5B561B27"/>
    <w:rsid w:val="5B5F134F"/>
    <w:rsid w:val="5B614084"/>
    <w:rsid w:val="5B6F6839"/>
    <w:rsid w:val="5B773940"/>
    <w:rsid w:val="5B7D7444"/>
    <w:rsid w:val="5B7D7D38"/>
    <w:rsid w:val="5B857E0A"/>
    <w:rsid w:val="5B8A50DE"/>
    <w:rsid w:val="5B8E709E"/>
    <w:rsid w:val="5B8E7AB3"/>
    <w:rsid w:val="5BAA5AC3"/>
    <w:rsid w:val="5BB621CD"/>
    <w:rsid w:val="5BC81C80"/>
    <w:rsid w:val="5BC8375F"/>
    <w:rsid w:val="5BCD355F"/>
    <w:rsid w:val="5BCF366A"/>
    <w:rsid w:val="5BD20B76"/>
    <w:rsid w:val="5BDC7CD1"/>
    <w:rsid w:val="5BE037E0"/>
    <w:rsid w:val="5BE063FF"/>
    <w:rsid w:val="5BE70177"/>
    <w:rsid w:val="5BE80399"/>
    <w:rsid w:val="5BF93ED2"/>
    <w:rsid w:val="5BF94355"/>
    <w:rsid w:val="5BFE7BBD"/>
    <w:rsid w:val="5C013209"/>
    <w:rsid w:val="5C050F4B"/>
    <w:rsid w:val="5C086559"/>
    <w:rsid w:val="5C1B42CB"/>
    <w:rsid w:val="5C1D0043"/>
    <w:rsid w:val="5C2F2025"/>
    <w:rsid w:val="5C486627"/>
    <w:rsid w:val="5C49124A"/>
    <w:rsid w:val="5C4B4C8E"/>
    <w:rsid w:val="5C511A29"/>
    <w:rsid w:val="5C5A5329"/>
    <w:rsid w:val="5C5C479A"/>
    <w:rsid w:val="5C5C7D66"/>
    <w:rsid w:val="5C645C72"/>
    <w:rsid w:val="5C646D44"/>
    <w:rsid w:val="5C647AF5"/>
    <w:rsid w:val="5C66535C"/>
    <w:rsid w:val="5C6D424E"/>
    <w:rsid w:val="5C7B7A86"/>
    <w:rsid w:val="5C7E373D"/>
    <w:rsid w:val="5C854C8E"/>
    <w:rsid w:val="5C8A7F41"/>
    <w:rsid w:val="5C916109"/>
    <w:rsid w:val="5C954DB9"/>
    <w:rsid w:val="5C9C0F6E"/>
    <w:rsid w:val="5C9D30FF"/>
    <w:rsid w:val="5C9E1D55"/>
    <w:rsid w:val="5C9F47F3"/>
    <w:rsid w:val="5CA07506"/>
    <w:rsid w:val="5CB32755"/>
    <w:rsid w:val="5CB67D29"/>
    <w:rsid w:val="5CB853A8"/>
    <w:rsid w:val="5CBB4DCC"/>
    <w:rsid w:val="5CBC6740"/>
    <w:rsid w:val="5CBC79AD"/>
    <w:rsid w:val="5CC326A2"/>
    <w:rsid w:val="5CC46711"/>
    <w:rsid w:val="5CC73208"/>
    <w:rsid w:val="5CC837EE"/>
    <w:rsid w:val="5CC93D27"/>
    <w:rsid w:val="5CCB1B67"/>
    <w:rsid w:val="5CD01559"/>
    <w:rsid w:val="5CD93AEF"/>
    <w:rsid w:val="5CDE3232"/>
    <w:rsid w:val="5CE437F8"/>
    <w:rsid w:val="5CEB6FBB"/>
    <w:rsid w:val="5CEC59B4"/>
    <w:rsid w:val="5CF65041"/>
    <w:rsid w:val="5CF8460C"/>
    <w:rsid w:val="5D0905C7"/>
    <w:rsid w:val="5D0F424E"/>
    <w:rsid w:val="5D126783"/>
    <w:rsid w:val="5D1B7B11"/>
    <w:rsid w:val="5D1E6FEC"/>
    <w:rsid w:val="5D340697"/>
    <w:rsid w:val="5D4069EC"/>
    <w:rsid w:val="5D452035"/>
    <w:rsid w:val="5D563779"/>
    <w:rsid w:val="5D584E0B"/>
    <w:rsid w:val="5D651957"/>
    <w:rsid w:val="5D7336BB"/>
    <w:rsid w:val="5D801EDD"/>
    <w:rsid w:val="5D814A48"/>
    <w:rsid w:val="5D842CD4"/>
    <w:rsid w:val="5D8B0DBF"/>
    <w:rsid w:val="5D8F31C2"/>
    <w:rsid w:val="5D956AA9"/>
    <w:rsid w:val="5D9E3C43"/>
    <w:rsid w:val="5DA1087A"/>
    <w:rsid w:val="5DA55197"/>
    <w:rsid w:val="5DAA7FFC"/>
    <w:rsid w:val="5DBE5856"/>
    <w:rsid w:val="5DC45AC9"/>
    <w:rsid w:val="5DC76A50"/>
    <w:rsid w:val="5DE46A80"/>
    <w:rsid w:val="5DE70250"/>
    <w:rsid w:val="5DE95D92"/>
    <w:rsid w:val="5DEE3976"/>
    <w:rsid w:val="5DEE6BEB"/>
    <w:rsid w:val="5DF04D4E"/>
    <w:rsid w:val="5DF10AEF"/>
    <w:rsid w:val="5DF213F1"/>
    <w:rsid w:val="5DF64CBE"/>
    <w:rsid w:val="5DFB3C57"/>
    <w:rsid w:val="5E075358"/>
    <w:rsid w:val="5E1C3178"/>
    <w:rsid w:val="5E1E4546"/>
    <w:rsid w:val="5E2442D3"/>
    <w:rsid w:val="5E2A2EEB"/>
    <w:rsid w:val="5E2D6537"/>
    <w:rsid w:val="5E345375"/>
    <w:rsid w:val="5E37044A"/>
    <w:rsid w:val="5E375301"/>
    <w:rsid w:val="5E3C57C9"/>
    <w:rsid w:val="5E4044BD"/>
    <w:rsid w:val="5E4228B0"/>
    <w:rsid w:val="5E4D1B34"/>
    <w:rsid w:val="5E4E4E2C"/>
    <w:rsid w:val="5E510478"/>
    <w:rsid w:val="5E553788"/>
    <w:rsid w:val="5E5A772C"/>
    <w:rsid w:val="5E653D3B"/>
    <w:rsid w:val="5E7423B8"/>
    <w:rsid w:val="5E7548D4"/>
    <w:rsid w:val="5E80052C"/>
    <w:rsid w:val="5E886969"/>
    <w:rsid w:val="5E8B106F"/>
    <w:rsid w:val="5E8D40BB"/>
    <w:rsid w:val="5E904C2C"/>
    <w:rsid w:val="5E9162A9"/>
    <w:rsid w:val="5E926B16"/>
    <w:rsid w:val="5E9B11D3"/>
    <w:rsid w:val="5E9D0D74"/>
    <w:rsid w:val="5E9D3853"/>
    <w:rsid w:val="5EA2268D"/>
    <w:rsid w:val="5EAD25AF"/>
    <w:rsid w:val="5EB300D0"/>
    <w:rsid w:val="5EB33A73"/>
    <w:rsid w:val="5EB63AF2"/>
    <w:rsid w:val="5EB822A5"/>
    <w:rsid w:val="5EBA1FD7"/>
    <w:rsid w:val="5EBD1501"/>
    <w:rsid w:val="5EC01D44"/>
    <w:rsid w:val="5EC1111E"/>
    <w:rsid w:val="5ED52133"/>
    <w:rsid w:val="5EE70DDC"/>
    <w:rsid w:val="5EEC6E07"/>
    <w:rsid w:val="5EF47C88"/>
    <w:rsid w:val="5EF719B2"/>
    <w:rsid w:val="5EFC4365"/>
    <w:rsid w:val="5F037B01"/>
    <w:rsid w:val="5F047298"/>
    <w:rsid w:val="5F0C6B39"/>
    <w:rsid w:val="5F182D44"/>
    <w:rsid w:val="5F1A52A3"/>
    <w:rsid w:val="5F202C83"/>
    <w:rsid w:val="5F225970"/>
    <w:rsid w:val="5F243126"/>
    <w:rsid w:val="5F2476B4"/>
    <w:rsid w:val="5F2B08F6"/>
    <w:rsid w:val="5F2C14CD"/>
    <w:rsid w:val="5F2F17A6"/>
    <w:rsid w:val="5F357D99"/>
    <w:rsid w:val="5F372492"/>
    <w:rsid w:val="5F374C1D"/>
    <w:rsid w:val="5F41596A"/>
    <w:rsid w:val="5F427DC1"/>
    <w:rsid w:val="5F4F21FD"/>
    <w:rsid w:val="5F5244A8"/>
    <w:rsid w:val="5F600E96"/>
    <w:rsid w:val="5F6342F2"/>
    <w:rsid w:val="5F6B310D"/>
    <w:rsid w:val="5F6B7684"/>
    <w:rsid w:val="5F6D3196"/>
    <w:rsid w:val="5F7E1DB4"/>
    <w:rsid w:val="5F8605F5"/>
    <w:rsid w:val="5F876F48"/>
    <w:rsid w:val="5F8F3BF2"/>
    <w:rsid w:val="5F917274"/>
    <w:rsid w:val="5FA430F1"/>
    <w:rsid w:val="5FAD650A"/>
    <w:rsid w:val="5FB24F46"/>
    <w:rsid w:val="5FB51DFD"/>
    <w:rsid w:val="5FB7255D"/>
    <w:rsid w:val="5FB872AD"/>
    <w:rsid w:val="5FBE04DE"/>
    <w:rsid w:val="5FBE1C78"/>
    <w:rsid w:val="5FBF778F"/>
    <w:rsid w:val="5FCD7764"/>
    <w:rsid w:val="5FD2383A"/>
    <w:rsid w:val="5FDD32B2"/>
    <w:rsid w:val="5FE36A24"/>
    <w:rsid w:val="5FE76E3A"/>
    <w:rsid w:val="5FEC53F1"/>
    <w:rsid w:val="5FF34FD3"/>
    <w:rsid w:val="5FFE18E5"/>
    <w:rsid w:val="60044326"/>
    <w:rsid w:val="600B28A8"/>
    <w:rsid w:val="600C5734"/>
    <w:rsid w:val="60133C63"/>
    <w:rsid w:val="60136EC9"/>
    <w:rsid w:val="601A4086"/>
    <w:rsid w:val="601F29BB"/>
    <w:rsid w:val="603B6FC6"/>
    <w:rsid w:val="604060A0"/>
    <w:rsid w:val="60433F1A"/>
    <w:rsid w:val="604B5909"/>
    <w:rsid w:val="60600E46"/>
    <w:rsid w:val="608508AD"/>
    <w:rsid w:val="60954E83"/>
    <w:rsid w:val="609B0A35"/>
    <w:rsid w:val="60A24FBB"/>
    <w:rsid w:val="60A52CFD"/>
    <w:rsid w:val="60A818B2"/>
    <w:rsid w:val="60A9459B"/>
    <w:rsid w:val="60A948EC"/>
    <w:rsid w:val="60AA3E6F"/>
    <w:rsid w:val="60AB4123"/>
    <w:rsid w:val="60C24444"/>
    <w:rsid w:val="60C72638"/>
    <w:rsid w:val="60D304E9"/>
    <w:rsid w:val="60E06144"/>
    <w:rsid w:val="60E25FF8"/>
    <w:rsid w:val="60E53758"/>
    <w:rsid w:val="60F41327"/>
    <w:rsid w:val="610537C5"/>
    <w:rsid w:val="61066396"/>
    <w:rsid w:val="61073070"/>
    <w:rsid w:val="610E7FE2"/>
    <w:rsid w:val="61101393"/>
    <w:rsid w:val="61112E4A"/>
    <w:rsid w:val="61163296"/>
    <w:rsid w:val="6118702B"/>
    <w:rsid w:val="611E4209"/>
    <w:rsid w:val="61215DA3"/>
    <w:rsid w:val="6126799A"/>
    <w:rsid w:val="612F2B84"/>
    <w:rsid w:val="61361D14"/>
    <w:rsid w:val="61396BBD"/>
    <w:rsid w:val="613F394C"/>
    <w:rsid w:val="61407EC2"/>
    <w:rsid w:val="6146003C"/>
    <w:rsid w:val="61473F1B"/>
    <w:rsid w:val="614A363A"/>
    <w:rsid w:val="61563682"/>
    <w:rsid w:val="615C1E6E"/>
    <w:rsid w:val="6161317E"/>
    <w:rsid w:val="61695AD8"/>
    <w:rsid w:val="617215D0"/>
    <w:rsid w:val="61741BAB"/>
    <w:rsid w:val="61741EEE"/>
    <w:rsid w:val="61811074"/>
    <w:rsid w:val="61834DEC"/>
    <w:rsid w:val="619111E2"/>
    <w:rsid w:val="61952D71"/>
    <w:rsid w:val="619B7BF6"/>
    <w:rsid w:val="619E0583"/>
    <w:rsid w:val="61AD3FD5"/>
    <w:rsid w:val="61B37132"/>
    <w:rsid w:val="61B80901"/>
    <w:rsid w:val="61CD5978"/>
    <w:rsid w:val="61D05B58"/>
    <w:rsid w:val="61D30270"/>
    <w:rsid w:val="61D94A0C"/>
    <w:rsid w:val="61DD1A7B"/>
    <w:rsid w:val="61EB0EA9"/>
    <w:rsid w:val="61F53E67"/>
    <w:rsid w:val="61F734FF"/>
    <w:rsid w:val="61F74D37"/>
    <w:rsid w:val="61FA2BD4"/>
    <w:rsid w:val="61FC1CEE"/>
    <w:rsid w:val="61FF680B"/>
    <w:rsid w:val="620406FA"/>
    <w:rsid w:val="62066D15"/>
    <w:rsid w:val="620852F1"/>
    <w:rsid w:val="620D1467"/>
    <w:rsid w:val="620F70D9"/>
    <w:rsid w:val="6212154C"/>
    <w:rsid w:val="62187A9E"/>
    <w:rsid w:val="6220263B"/>
    <w:rsid w:val="622639C9"/>
    <w:rsid w:val="62375BD7"/>
    <w:rsid w:val="624000BA"/>
    <w:rsid w:val="62483940"/>
    <w:rsid w:val="624F631C"/>
    <w:rsid w:val="62546CB7"/>
    <w:rsid w:val="62574CE5"/>
    <w:rsid w:val="625802FF"/>
    <w:rsid w:val="625F34A5"/>
    <w:rsid w:val="62612C54"/>
    <w:rsid w:val="626528B0"/>
    <w:rsid w:val="626C0492"/>
    <w:rsid w:val="626D33A6"/>
    <w:rsid w:val="62712E97"/>
    <w:rsid w:val="62724FDD"/>
    <w:rsid w:val="627F0A9B"/>
    <w:rsid w:val="62897BCE"/>
    <w:rsid w:val="628C136C"/>
    <w:rsid w:val="628F514A"/>
    <w:rsid w:val="62925F9A"/>
    <w:rsid w:val="62993668"/>
    <w:rsid w:val="629D7BCE"/>
    <w:rsid w:val="62A15AED"/>
    <w:rsid w:val="62AC3ECF"/>
    <w:rsid w:val="62AD20A6"/>
    <w:rsid w:val="62B62F9F"/>
    <w:rsid w:val="62B80AC5"/>
    <w:rsid w:val="62BF00A6"/>
    <w:rsid w:val="62BF67D8"/>
    <w:rsid w:val="62C14AD3"/>
    <w:rsid w:val="62C25315"/>
    <w:rsid w:val="62C31C87"/>
    <w:rsid w:val="62CC0A6D"/>
    <w:rsid w:val="62D6489F"/>
    <w:rsid w:val="62EE43CA"/>
    <w:rsid w:val="62F10D4F"/>
    <w:rsid w:val="62F65CBD"/>
    <w:rsid w:val="62FB7407"/>
    <w:rsid w:val="630275CC"/>
    <w:rsid w:val="631843D1"/>
    <w:rsid w:val="631A79AB"/>
    <w:rsid w:val="631D0884"/>
    <w:rsid w:val="631E20A5"/>
    <w:rsid w:val="632E2B36"/>
    <w:rsid w:val="6333639E"/>
    <w:rsid w:val="633965A2"/>
    <w:rsid w:val="633D1D8C"/>
    <w:rsid w:val="63473EC6"/>
    <w:rsid w:val="634E6DD4"/>
    <w:rsid w:val="635119AA"/>
    <w:rsid w:val="63512ABE"/>
    <w:rsid w:val="635B6B27"/>
    <w:rsid w:val="635F3F31"/>
    <w:rsid w:val="63636ED1"/>
    <w:rsid w:val="63640C17"/>
    <w:rsid w:val="636A7786"/>
    <w:rsid w:val="636E387A"/>
    <w:rsid w:val="636F2577"/>
    <w:rsid w:val="636F2A29"/>
    <w:rsid w:val="637075F2"/>
    <w:rsid w:val="63723B46"/>
    <w:rsid w:val="63733A1E"/>
    <w:rsid w:val="6377272F"/>
    <w:rsid w:val="637A6445"/>
    <w:rsid w:val="638035F7"/>
    <w:rsid w:val="638D4E2A"/>
    <w:rsid w:val="638E0E8F"/>
    <w:rsid w:val="63935A5D"/>
    <w:rsid w:val="63982ED9"/>
    <w:rsid w:val="63995E62"/>
    <w:rsid w:val="639E7FE3"/>
    <w:rsid w:val="63A16C97"/>
    <w:rsid w:val="63A8685C"/>
    <w:rsid w:val="63B03E93"/>
    <w:rsid w:val="63BE65AF"/>
    <w:rsid w:val="63BF2C7A"/>
    <w:rsid w:val="63BF3991"/>
    <w:rsid w:val="63CA32E5"/>
    <w:rsid w:val="63CE38A9"/>
    <w:rsid w:val="63CE60C7"/>
    <w:rsid w:val="63D2651D"/>
    <w:rsid w:val="63DA030B"/>
    <w:rsid w:val="63DA740E"/>
    <w:rsid w:val="63DE4777"/>
    <w:rsid w:val="63E27E36"/>
    <w:rsid w:val="63E327D5"/>
    <w:rsid w:val="63E75801"/>
    <w:rsid w:val="63E8035A"/>
    <w:rsid w:val="63ED7F20"/>
    <w:rsid w:val="63F0428F"/>
    <w:rsid w:val="63F543C1"/>
    <w:rsid w:val="63F60615"/>
    <w:rsid w:val="63F62165"/>
    <w:rsid w:val="63F73EC8"/>
    <w:rsid w:val="63F92FAC"/>
    <w:rsid w:val="63FD2E7C"/>
    <w:rsid w:val="63FE4BFE"/>
    <w:rsid w:val="63FF0F8D"/>
    <w:rsid w:val="63FF7863"/>
    <w:rsid w:val="6408557D"/>
    <w:rsid w:val="640C348F"/>
    <w:rsid w:val="640D4490"/>
    <w:rsid w:val="64116D6B"/>
    <w:rsid w:val="64300A17"/>
    <w:rsid w:val="64410F8F"/>
    <w:rsid w:val="64487C27"/>
    <w:rsid w:val="644F0254"/>
    <w:rsid w:val="64504D2E"/>
    <w:rsid w:val="64593660"/>
    <w:rsid w:val="645A0930"/>
    <w:rsid w:val="646568B9"/>
    <w:rsid w:val="646F6A53"/>
    <w:rsid w:val="6474262C"/>
    <w:rsid w:val="64754984"/>
    <w:rsid w:val="647758E1"/>
    <w:rsid w:val="648E542B"/>
    <w:rsid w:val="649443B1"/>
    <w:rsid w:val="649461E7"/>
    <w:rsid w:val="64981717"/>
    <w:rsid w:val="649879E9"/>
    <w:rsid w:val="649950B9"/>
    <w:rsid w:val="649D114F"/>
    <w:rsid w:val="649E1F3D"/>
    <w:rsid w:val="64A1300C"/>
    <w:rsid w:val="64A55079"/>
    <w:rsid w:val="64A659B2"/>
    <w:rsid w:val="64AA08E2"/>
    <w:rsid w:val="64AF2F7D"/>
    <w:rsid w:val="64B74DAD"/>
    <w:rsid w:val="64BB2AEF"/>
    <w:rsid w:val="64CE7DFC"/>
    <w:rsid w:val="64D527D4"/>
    <w:rsid w:val="64D97995"/>
    <w:rsid w:val="64DC448A"/>
    <w:rsid w:val="64DE67DD"/>
    <w:rsid w:val="64DF27FC"/>
    <w:rsid w:val="64DF4789"/>
    <w:rsid w:val="64E66064"/>
    <w:rsid w:val="64F31418"/>
    <w:rsid w:val="64F34FD2"/>
    <w:rsid w:val="64F40F73"/>
    <w:rsid w:val="64FD2E13"/>
    <w:rsid w:val="65015003"/>
    <w:rsid w:val="65031DA0"/>
    <w:rsid w:val="6504360B"/>
    <w:rsid w:val="6506787F"/>
    <w:rsid w:val="651144BD"/>
    <w:rsid w:val="65152E06"/>
    <w:rsid w:val="651B533C"/>
    <w:rsid w:val="651E6BDA"/>
    <w:rsid w:val="651F0970"/>
    <w:rsid w:val="65217654"/>
    <w:rsid w:val="65242442"/>
    <w:rsid w:val="65293DDA"/>
    <w:rsid w:val="653A1C66"/>
    <w:rsid w:val="6545060B"/>
    <w:rsid w:val="655755C9"/>
    <w:rsid w:val="655B5866"/>
    <w:rsid w:val="655C6080"/>
    <w:rsid w:val="656475B4"/>
    <w:rsid w:val="657B2A5B"/>
    <w:rsid w:val="657D326A"/>
    <w:rsid w:val="657E2608"/>
    <w:rsid w:val="6585674A"/>
    <w:rsid w:val="658764E5"/>
    <w:rsid w:val="6591697F"/>
    <w:rsid w:val="65A45331"/>
    <w:rsid w:val="65A54E8F"/>
    <w:rsid w:val="65AE75E7"/>
    <w:rsid w:val="65B31411"/>
    <w:rsid w:val="65B73CE0"/>
    <w:rsid w:val="65C6115C"/>
    <w:rsid w:val="65CE4AA4"/>
    <w:rsid w:val="65DD053F"/>
    <w:rsid w:val="65E47E23"/>
    <w:rsid w:val="65EC2BA6"/>
    <w:rsid w:val="65F334F1"/>
    <w:rsid w:val="65F91B21"/>
    <w:rsid w:val="65FC3794"/>
    <w:rsid w:val="66034197"/>
    <w:rsid w:val="6608304C"/>
    <w:rsid w:val="66101D74"/>
    <w:rsid w:val="661029C7"/>
    <w:rsid w:val="66214BD4"/>
    <w:rsid w:val="662639BA"/>
    <w:rsid w:val="662841B4"/>
    <w:rsid w:val="66293A88"/>
    <w:rsid w:val="66337F7D"/>
    <w:rsid w:val="664F0072"/>
    <w:rsid w:val="66546008"/>
    <w:rsid w:val="66553050"/>
    <w:rsid w:val="665F43C6"/>
    <w:rsid w:val="6666518A"/>
    <w:rsid w:val="66725FA1"/>
    <w:rsid w:val="667411A7"/>
    <w:rsid w:val="66755F48"/>
    <w:rsid w:val="667C714C"/>
    <w:rsid w:val="667C7EB4"/>
    <w:rsid w:val="66831332"/>
    <w:rsid w:val="66877912"/>
    <w:rsid w:val="66A27392"/>
    <w:rsid w:val="66AF0431"/>
    <w:rsid w:val="66AF141C"/>
    <w:rsid w:val="66B02628"/>
    <w:rsid w:val="66B05193"/>
    <w:rsid w:val="66B17100"/>
    <w:rsid w:val="66B17F28"/>
    <w:rsid w:val="66C043ED"/>
    <w:rsid w:val="66CA0C91"/>
    <w:rsid w:val="66CF63DE"/>
    <w:rsid w:val="66DD6269"/>
    <w:rsid w:val="66EC354B"/>
    <w:rsid w:val="66ED2D08"/>
    <w:rsid w:val="66F21E3F"/>
    <w:rsid w:val="66F763E7"/>
    <w:rsid w:val="66FE24F1"/>
    <w:rsid w:val="66FE3167"/>
    <w:rsid w:val="6707356C"/>
    <w:rsid w:val="67074CBB"/>
    <w:rsid w:val="670E1088"/>
    <w:rsid w:val="670F30C2"/>
    <w:rsid w:val="67111C49"/>
    <w:rsid w:val="67145B47"/>
    <w:rsid w:val="671A2394"/>
    <w:rsid w:val="671D6C85"/>
    <w:rsid w:val="671F69E4"/>
    <w:rsid w:val="672002AE"/>
    <w:rsid w:val="6721602D"/>
    <w:rsid w:val="6721654B"/>
    <w:rsid w:val="672E31FD"/>
    <w:rsid w:val="67450603"/>
    <w:rsid w:val="67452E4F"/>
    <w:rsid w:val="67492634"/>
    <w:rsid w:val="674E19F8"/>
    <w:rsid w:val="67566AFF"/>
    <w:rsid w:val="67607803"/>
    <w:rsid w:val="6764746E"/>
    <w:rsid w:val="67664F2E"/>
    <w:rsid w:val="6767585D"/>
    <w:rsid w:val="677D5E3A"/>
    <w:rsid w:val="678761AA"/>
    <w:rsid w:val="6796339F"/>
    <w:rsid w:val="679A3871"/>
    <w:rsid w:val="67A74E48"/>
    <w:rsid w:val="67B321B6"/>
    <w:rsid w:val="67C06FCE"/>
    <w:rsid w:val="67C25632"/>
    <w:rsid w:val="67C501A7"/>
    <w:rsid w:val="67CE623B"/>
    <w:rsid w:val="67DA7D95"/>
    <w:rsid w:val="67DB5C91"/>
    <w:rsid w:val="67DC3A6D"/>
    <w:rsid w:val="67DD4B2A"/>
    <w:rsid w:val="67E9032E"/>
    <w:rsid w:val="67EF6A2D"/>
    <w:rsid w:val="67F02E2C"/>
    <w:rsid w:val="67F1641A"/>
    <w:rsid w:val="67F3434E"/>
    <w:rsid w:val="67FB35A0"/>
    <w:rsid w:val="67FC1E88"/>
    <w:rsid w:val="68010588"/>
    <w:rsid w:val="68095DB1"/>
    <w:rsid w:val="680D25D1"/>
    <w:rsid w:val="680F267D"/>
    <w:rsid w:val="68161C63"/>
    <w:rsid w:val="68190258"/>
    <w:rsid w:val="682E46BA"/>
    <w:rsid w:val="68385D5C"/>
    <w:rsid w:val="683E68A3"/>
    <w:rsid w:val="68430D89"/>
    <w:rsid w:val="686175BB"/>
    <w:rsid w:val="68671B56"/>
    <w:rsid w:val="68691D73"/>
    <w:rsid w:val="686C7F86"/>
    <w:rsid w:val="68745A9F"/>
    <w:rsid w:val="68816EB1"/>
    <w:rsid w:val="68830318"/>
    <w:rsid w:val="68856709"/>
    <w:rsid w:val="688608B9"/>
    <w:rsid w:val="68882CE8"/>
    <w:rsid w:val="68936CB9"/>
    <w:rsid w:val="68991C29"/>
    <w:rsid w:val="689A0C6D"/>
    <w:rsid w:val="689C69F1"/>
    <w:rsid w:val="689F6284"/>
    <w:rsid w:val="68A044D6"/>
    <w:rsid w:val="68A2482A"/>
    <w:rsid w:val="68AA3376"/>
    <w:rsid w:val="68AE04A8"/>
    <w:rsid w:val="68BA4E6C"/>
    <w:rsid w:val="68C06D53"/>
    <w:rsid w:val="68CF0AA1"/>
    <w:rsid w:val="68DA7C15"/>
    <w:rsid w:val="68DB550E"/>
    <w:rsid w:val="68ED36AB"/>
    <w:rsid w:val="68F0088D"/>
    <w:rsid w:val="68FA78AF"/>
    <w:rsid w:val="69007F9B"/>
    <w:rsid w:val="69126A56"/>
    <w:rsid w:val="69163055"/>
    <w:rsid w:val="69224EEB"/>
    <w:rsid w:val="69297733"/>
    <w:rsid w:val="69323293"/>
    <w:rsid w:val="693343A6"/>
    <w:rsid w:val="693518FB"/>
    <w:rsid w:val="694105EE"/>
    <w:rsid w:val="6942653C"/>
    <w:rsid w:val="694E485E"/>
    <w:rsid w:val="695D7D9C"/>
    <w:rsid w:val="69651C0E"/>
    <w:rsid w:val="69847953"/>
    <w:rsid w:val="69886B1F"/>
    <w:rsid w:val="698E4D92"/>
    <w:rsid w:val="699024A8"/>
    <w:rsid w:val="69A55B1C"/>
    <w:rsid w:val="69A66701"/>
    <w:rsid w:val="69B6558B"/>
    <w:rsid w:val="69BF3F73"/>
    <w:rsid w:val="69C94E27"/>
    <w:rsid w:val="69CC4E56"/>
    <w:rsid w:val="69D37463"/>
    <w:rsid w:val="69D65CD5"/>
    <w:rsid w:val="69D71C14"/>
    <w:rsid w:val="69D96B71"/>
    <w:rsid w:val="69DC5258"/>
    <w:rsid w:val="69E403F2"/>
    <w:rsid w:val="69E748B1"/>
    <w:rsid w:val="69F04B5C"/>
    <w:rsid w:val="69F35177"/>
    <w:rsid w:val="69F6153A"/>
    <w:rsid w:val="69FA77C2"/>
    <w:rsid w:val="69FD14B4"/>
    <w:rsid w:val="69FD3A97"/>
    <w:rsid w:val="69FE06EB"/>
    <w:rsid w:val="69FF4C98"/>
    <w:rsid w:val="6A0119FE"/>
    <w:rsid w:val="6A022F6E"/>
    <w:rsid w:val="6A040A94"/>
    <w:rsid w:val="6A0863E3"/>
    <w:rsid w:val="6A1327BB"/>
    <w:rsid w:val="6A18009C"/>
    <w:rsid w:val="6A1E0C4C"/>
    <w:rsid w:val="6A2F4FD5"/>
    <w:rsid w:val="6A435C05"/>
    <w:rsid w:val="6A444286"/>
    <w:rsid w:val="6A473D57"/>
    <w:rsid w:val="6A4D4B94"/>
    <w:rsid w:val="6A527A52"/>
    <w:rsid w:val="6A5C267E"/>
    <w:rsid w:val="6A636D50"/>
    <w:rsid w:val="6A680F8A"/>
    <w:rsid w:val="6A693CC3"/>
    <w:rsid w:val="6A711944"/>
    <w:rsid w:val="6A713E88"/>
    <w:rsid w:val="6A717754"/>
    <w:rsid w:val="6A760CE4"/>
    <w:rsid w:val="6A984C81"/>
    <w:rsid w:val="6A986469"/>
    <w:rsid w:val="6AA35385"/>
    <w:rsid w:val="6AA7510B"/>
    <w:rsid w:val="6AA81420"/>
    <w:rsid w:val="6AAF2FEA"/>
    <w:rsid w:val="6AAF6894"/>
    <w:rsid w:val="6AB35B2D"/>
    <w:rsid w:val="6AB65FA4"/>
    <w:rsid w:val="6AC12D47"/>
    <w:rsid w:val="6ADF6E0B"/>
    <w:rsid w:val="6AE23BEF"/>
    <w:rsid w:val="6AE257DF"/>
    <w:rsid w:val="6AFE1987"/>
    <w:rsid w:val="6B065A3A"/>
    <w:rsid w:val="6B0A23C9"/>
    <w:rsid w:val="6B0D4B35"/>
    <w:rsid w:val="6B17780C"/>
    <w:rsid w:val="6B19231D"/>
    <w:rsid w:val="6B2D2679"/>
    <w:rsid w:val="6B301701"/>
    <w:rsid w:val="6B407BC5"/>
    <w:rsid w:val="6B451619"/>
    <w:rsid w:val="6B4A1B58"/>
    <w:rsid w:val="6B574BF4"/>
    <w:rsid w:val="6B625A72"/>
    <w:rsid w:val="6B642323"/>
    <w:rsid w:val="6B653436"/>
    <w:rsid w:val="6B672191"/>
    <w:rsid w:val="6B7C01D9"/>
    <w:rsid w:val="6B8045DA"/>
    <w:rsid w:val="6B846734"/>
    <w:rsid w:val="6B863697"/>
    <w:rsid w:val="6B882FFF"/>
    <w:rsid w:val="6B8B2217"/>
    <w:rsid w:val="6B9E0F66"/>
    <w:rsid w:val="6BAB0A58"/>
    <w:rsid w:val="6BAF11AC"/>
    <w:rsid w:val="6BB63CF7"/>
    <w:rsid w:val="6BB73005"/>
    <w:rsid w:val="6BB940BE"/>
    <w:rsid w:val="6BBA2A4C"/>
    <w:rsid w:val="6BBF62EB"/>
    <w:rsid w:val="6BBF7915"/>
    <w:rsid w:val="6BC229B5"/>
    <w:rsid w:val="6BD41445"/>
    <w:rsid w:val="6BE40B7D"/>
    <w:rsid w:val="6BE52720"/>
    <w:rsid w:val="6BF070F4"/>
    <w:rsid w:val="6BF55F0D"/>
    <w:rsid w:val="6BFB3185"/>
    <w:rsid w:val="6C076C8D"/>
    <w:rsid w:val="6C165E81"/>
    <w:rsid w:val="6C1F5711"/>
    <w:rsid w:val="6C3816EE"/>
    <w:rsid w:val="6C4A6009"/>
    <w:rsid w:val="6C4F7AD0"/>
    <w:rsid w:val="6C5222E4"/>
    <w:rsid w:val="6C5B43F9"/>
    <w:rsid w:val="6C5F1FB2"/>
    <w:rsid w:val="6C68355C"/>
    <w:rsid w:val="6C6A2AE7"/>
    <w:rsid w:val="6C7A0A54"/>
    <w:rsid w:val="6C7E07B4"/>
    <w:rsid w:val="6C7E39FC"/>
    <w:rsid w:val="6C832144"/>
    <w:rsid w:val="6C857B97"/>
    <w:rsid w:val="6C880A80"/>
    <w:rsid w:val="6C8C646B"/>
    <w:rsid w:val="6C986F43"/>
    <w:rsid w:val="6C9B5F0F"/>
    <w:rsid w:val="6CA04FEE"/>
    <w:rsid w:val="6CA715FC"/>
    <w:rsid w:val="6CA9581E"/>
    <w:rsid w:val="6CA976D1"/>
    <w:rsid w:val="6CC83FFB"/>
    <w:rsid w:val="6CCE2CE9"/>
    <w:rsid w:val="6CCE613F"/>
    <w:rsid w:val="6CD97FB6"/>
    <w:rsid w:val="6CDC39D3"/>
    <w:rsid w:val="6CDF1345"/>
    <w:rsid w:val="6CE9267E"/>
    <w:rsid w:val="6CEA61B7"/>
    <w:rsid w:val="6CF43042"/>
    <w:rsid w:val="6CF45B45"/>
    <w:rsid w:val="6CF96C14"/>
    <w:rsid w:val="6D046E1E"/>
    <w:rsid w:val="6D065B63"/>
    <w:rsid w:val="6D0F39D8"/>
    <w:rsid w:val="6D1159A2"/>
    <w:rsid w:val="6D1601C6"/>
    <w:rsid w:val="6D1B0C22"/>
    <w:rsid w:val="6D2154B9"/>
    <w:rsid w:val="6D2866D9"/>
    <w:rsid w:val="6D2E7C52"/>
    <w:rsid w:val="6D341BCE"/>
    <w:rsid w:val="6D3E250F"/>
    <w:rsid w:val="6D4F0278"/>
    <w:rsid w:val="6D524C3F"/>
    <w:rsid w:val="6D65348E"/>
    <w:rsid w:val="6D683D05"/>
    <w:rsid w:val="6D76418E"/>
    <w:rsid w:val="6D765DA8"/>
    <w:rsid w:val="6D7D4A13"/>
    <w:rsid w:val="6D885538"/>
    <w:rsid w:val="6D8D4D8C"/>
    <w:rsid w:val="6D8E29B8"/>
    <w:rsid w:val="6D94173C"/>
    <w:rsid w:val="6DA60102"/>
    <w:rsid w:val="6DB70B0E"/>
    <w:rsid w:val="6DB91B96"/>
    <w:rsid w:val="6DBD7632"/>
    <w:rsid w:val="6DD524D7"/>
    <w:rsid w:val="6DEA1D4F"/>
    <w:rsid w:val="6DEE6E42"/>
    <w:rsid w:val="6DFE0297"/>
    <w:rsid w:val="6E091D34"/>
    <w:rsid w:val="6E1356B1"/>
    <w:rsid w:val="6E155EC0"/>
    <w:rsid w:val="6E193E52"/>
    <w:rsid w:val="6E1C1280"/>
    <w:rsid w:val="6E1C2BD4"/>
    <w:rsid w:val="6E2077C1"/>
    <w:rsid w:val="6E2246A0"/>
    <w:rsid w:val="6E2360E7"/>
    <w:rsid w:val="6E26388E"/>
    <w:rsid w:val="6E2F1C57"/>
    <w:rsid w:val="6E3B1E7B"/>
    <w:rsid w:val="6E3C4FD0"/>
    <w:rsid w:val="6E3F653F"/>
    <w:rsid w:val="6E400F09"/>
    <w:rsid w:val="6E476943"/>
    <w:rsid w:val="6E4C0C5C"/>
    <w:rsid w:val="6E4E0530"/>
    <w:rsid w:val="6E512EBB"/>
    <w:rsid w:val="6E5A3708"/>
    <w:rsid w:val="6E5A5127"/>
    <w:rsid w:val="6E62785D"/>
    <w:rsid w:val="6E69536A"/>
    <w:rsid w:val="6E731D44"/>
    <w:rsid w:val="6E785F23"/>
    <w:rsid w:val="6E795A06"/>
    <w:rsid w:val="6E7B0FAB"/>
    <w:rsid w:val="6E7B7303"/>
    <w:rsid w:val="6E877B8C"/>
    <w:rsid w:val="6E9028F6"/>
    <w:rsid w:val="6EAE2853"/>
    <w:rsid w:val="6EB55C13"/>
    <w:rsid w:val="6EB81E4D"/>
    <w:rsid w:val="6EBF4B5D"/>
    <w:rsid w:val="6EC36093"/>
    <w:rsid w:val="6EC61ED7"/>
    <w:rsid w:val="6ECC0D43"/>
    <w:rsid w:val="6ED352BD"/>
    <w:rsid w:val="6ED36C87"/>
    <w:rsid w:val="6ED96D77"/>
    <w:rsid w:val="6EDA439E"/>
    <w:rsid w:val="6EDE33B8"/>
    <w:rsid w:val="6EE73BF3"/>
    <w:rsid w:val="6EF23EC8"/>
    <w:rsid w:val="6F097FDF"/>
    <w:rsid w:val="6F0F4C4D"/>
    <w:rsid w:val="6F1136A6"/>
    <w:rsid w:val="6F196C54"/>
    <w:rsid w:val="6F1D3D63"/>
    <w:rsid w:val="6F204751"/>
    <w:rsid w:val="6F2E4AF3"/>
    <w:rsid w:val="6F305E87"/>
    <w:rsid w:val="6F3A0E20"/>
    <w:rsid w:val="6F400007"/>
    <w:rsid w:val="6F435767"/>
    <w:rsid w:val="6F5270A9"/>
    <w:rsid w:val="6F60051B"/>
    <w:rsid w:val="6F672974"/>
    <w:rsid w:val="6F6D52C9"/>
    <w:rsid w:val="6F83764E"/>
    <w:rsid w:val="6FA56875"/>
    <w:rsid w:val="6FB722E2"/>
    <w:rsid w:val="6FBC5AF2"/>
    <w:rsid w:val="6FBD0A96"/>
    <w:rsid w:val="6FBD19F9"/>
    <w:rsid w:val="6FC50E0F"/>
    <w:rsid w:val="6FC70A73"/>
    <w:rsid w:val="6FC90EEA"/>
    <w:rsid w:val="6FD360BC"/>
    <w:rsid w:val="6FD74384"/>
    <w:rsid w:val="6FDE6524"/>
    <w:rsid w:val="6FED3D79"/>
    <w:rsid w:val="6FED5B27"/>
    <w:rsid w:val="6FEE5C14"/>
    <w:rsid w:val="6FF173C5"/>
    <w:rsid w:val="6FF17D1A"/>
    <w:rsid w:val="6FF312D7"/>
    <w:rsid w:val="6FF46EB5"/>
    <w:rsid w:val="6FF60E7F"/>
    <w:rsid w:val="6FF7345D"/>
    <w:rsid w:val="700737D2"/>
    <w:rsid w:val="70076BE8"/>
    <w:rsid w:val="700A2FB3"/>
    <w:rsid w:val="700F39FC"/>
    <w:rsid w:val="701C549A"/>
    <w:rsid w:val="70274482"/>
    <w:rsid w:val="702B2A35"/>
    <w:rsid w:val="702B421F"/>
    <w:rsid w:val="702D0378"/>
    <w:rsid w:val="702D2212"/>
    <w:rsid w:val="70383246"/>
    <w:rsid w:val="703F45D4"/>
    <w:rsid w:val="704A5865"/>
    <w:rsid w:val="704C1FC5"/>
    <w:rsid w:val="704E6F93"/>
    <w:rsid w:val="70580AF3"/>
    <w:rsid w:val="705C1E2B"/>
    <w:rsid w:val="706528DB"/>
    <w:rsid w:val="7066392F"/>
    <w:rsid w:val="70757CA8"/>
    <w:rsid w:val="707D1827"/>
    <w:rsid w:val="708244C1"/>
    <w:rsid w:val="708B3C5F"/>
    <w:rsid w:val="708E4A8D"/>
    <w:rsid w:val="709625B2"/>
    <w:rsid w:val="70965512"/>
    <w:rsid w:val="70A33E2C"/>
    <w:rsid w:val="70A95EF1"/>
    <w:rsid w:val="70AB3A18"/>
    <w:rsid w:val="70C049EF"/>
    <w:rsid w:val="70C304AD"/>
    <w:rsid w:val="70D10993"/>
    <w:rsid w:val="70D25448"/>
    <w:rsid w:val="70DE6787"/>
    <w:rsid w:val="70DF1913"/>
    <w:rsid w:val="70F21646"/>
    <w:rsid w:val="70F51137"/>
    <w:rsid w:val="70F80FF7"/>
    <w:rsid w:val="70FB20D1"/>
    <w:rsid w:val="710A2B6F"/>
    <w:rsid w:val="712A5284"/>
    <w:rsid w:val="713003C1"/>
    <w:rsid w:val="71315DED"/>
    <w:rsid w:val="71386A31"/>
    <w:rsid w:val="713F0604"/>
    <w:rsid w:val="714C10CE"/>
    <w:rsid w:val="714D0A76"/>
    <w:rsid w:val="714F0B11"/>
    <w:rsid w:val="71567813"/>
    <w:rsid w:val="71593474"/>
    <w:rsid w:val="71747364"/>
    <w:rsid w:val="717A72B3"/>
    <w:rsid w:val="717C2DDE"/>
    <w:rsid w:val="71826CD6"/>
    <w:rsid w:val="71833A0B"/>
    <w:rsid w:val="719170B1"/>
    <w:rsid w:val="71956476"/>
    <w:rsid w:val="719572E7"/>
    <w:rsid w:val="719A601F"/>
    <w:rsid w:val="719A621B"/>
    <w:rsid w:val="71A273E3"/>
    <w:rsid w:val="71A501C8"/>
    <w:rsid w:val="71B051D4"/>
    <w:rsid w:val="71C45D52"/>
    <w:rsid w:val="71CB1700"/>
    <w:rsid w:val="71CF1988"/>
    <w:rsid w:val="71D436D3"/>
    <w:rsid w:val="71D7083C"/>
    <w:rsid w:val="71DD182C"/>
    <w:rsid w:val="71EB7095"/>
    <w:rsid w:val="71EC253A"/>
    <w:rsid w:val="71F03A09"/>
    <w:rsid w:val="71F238C8"/>
    <w:rsid w:val="71F24211"/>
    <w:rsid w:val="71F24762"/>
    <w:rsid w:val="720227A8"/>
    <w:rsid w:val="72034BB4"/>
    <w:rsid w:val="720A57A3"/>
    <w:rsid w:val="720D24B0"/>
    <w:rsid w:val="7225609D"/>
    <w:rsid w:val="7227057A"/>
    <w:rsid w:val="7231619E"/>
    <w:rsid w:val="723678F8"/>
    <w:rsid w:val="723937D3"/>
    <w:rsid w:val="724044A4"/>
    <w:rsid w:val="724A4805"/>
    <w:rsid w:val="72501370"/>
    <w:rsid w:val="725A12D7"/>
    <w:rsid w:val="725D51E5"/>
    <w:rsid w:val="725E4ABA"/>
    <w:rsid w:val="72734A0C"/>
    <w:rsid w:val="727F5809"/>
    <w:rsid w:val="728338D6"/>
    <w:rsid w:val="72857387"/>
    <w:rsid w:val="72872FB1"/>
    <w:rsid w:val="72907369"/>
    <w:rsid w:val="729C00DB"/>
    <w:rsid w:val="729C3F60"/>
    <w:rsid w:val="72A11024"/>
    <w:rsid w:val="72A44BC2"/>
    <w:rsid w:val="72A464DF"/>
    <w:rsid w:val="72A5278C"/>
    <w:rsid w:val="72C94629"/>
    <w:rsid w:val="72CA1ECC"/>
    <w:rsid w:val="72D46DF8"/>
    <w:rsid w:val="72D5358D"/>
    <w:rsid w:val="72DA48D1"/>
    <w:rsid w:val="72DC36E2"/>
    <w:rsid w:val="72DD00D4"/>
    <w:rsid w:val="72E256EB"/>
    <w:rsid w:val="72FD5876"/>
    <w:rsid w:val="73025D8D"/>
    <w:rsid w:val="730319B6"/>
    <w:rsid w:val="73222D61"/>
    <w:rsid w:val="732E5320"/>
    <w:rsid w:val="73311069"/>
    <w:rsid w:val="73373BC4"/>
    <w:rsid w:val="73414ECA"/>
    <w:rsid w:val="73593BFF"/>
    <w:rsid w:val="736851C2"/>
    <w:rsid w:val="736D1458"/>
    <w:rsid w:val="736F7F45"/>
    <w:rsid w:val="738D49B5"/>
    <w:rsid w:val="73994C91"/>
    <w:rsid w:val="73A11102"/>
    <w:rsid w:val="73A74179"/>
    <w:rsid w:val="73AB01D2"/>
    <w:rsid w:val="73AC75D7"/>
    <w:rsid w:val="73B47D79"/>
    <w:rsid w:val="73CA6488"/>
    <w:rsid w:val="73CE7C98"/>
    <w:rsid w:val="73D444C6"/>
    <w:rsid w:val="73D72D76"/>
    <w:rsid w:val="73D94DFC"/>
    <w:rsid w:val="73E218BF"/>
    <w:rsid w:val="73E35A10"/>
    <w:rsid w:val="73E536E4"/>
    <w:rsid w:val="73E62FB9"/>
    <w:rsid w:val="73E97557"/>
    <w:rsid w:val="73EC0920"/>
    <w:rsid w:val="73EF4563"/>
    <w:rsid w:val="73F66990"/>
    <w:rsid w:val="73F8347E"/>
    <w:rsid w:val="73FA088F"/>
    <w:rsid w:val="73FD6130"/>
    <w:rsid w:val="740940A8"/>
    <w:rsid w:val="74166A67"/>
    <w:rsid w:val="742325F8"/>
    <w:rsid w:val="74235AD3"/>
    <w:rsid w:val="74241931"/>
    <w:rsid w:val="742479DD"/>
    <w:rsid w:val="74280288"/>
    <w:rsid w:val="74365CEE"/>
    <w:rsid w:val="74394F80"/>
    <w:rsid w:val="74424ED0"/>
    <w:rsid w:val="74496D1C"/>
    <w:rsid w:val="744E128A"/>
    <w:rsid w:val="74513CA5"/>
    <w:rsid w:val="74545336"/>
    <w:rsid w:val="74570D81"/>
    <w:rsid w:val="7459689C"/>
    <w:rsid w:val="7461767D"/>
    <w:rsid w:val="74703059"/>
    <w:rsid w:val="7476433D"/>
    <w:rsid w:val="74776930"/>
    <w:rsid w:val="747D1B6F"/>
    <w:rsid w:val="747E12EE"/>
    <w:rsid w:val="74852162"/>
    <w:rsid w:val="748A642C"/>
    <w:rsid w:val="748B0C43"/>
    <w:rsid w:val="748D2F36"/>
    <w:rsid w:val="74A51FD1"/>
    <w:rsid w:val="74A62EF7"/>
    <w:rsid w:val="74AA1124"/>
    <w:rsid w:val="74B84955"/>
    <w:rsid w:val="74B9078A"/>
    <w:rsid w:val="74BF7C2E"/>
    <w:rsid w:val="74D011ED"/>
    <w:rsid w:val="74EA4023"/>
    <w:rsid w:val="74ED70F5"/>
    <w:rsid w:val="74EE6B85"/>
    <w:rsid w:val="74F636E3"/>
    <w:rsid w:val="74FE0196"/>
    <w:rsid w:val="7503692D"/>
    <w:rsid w:val="75056F60"/>
    <w:rsid w:val="750A2CD7"/>
    <w:rsid w:val="750B4E19"/>
    <w:rsid w:val="750C6F30"/>
    <w:rsid w:val="75116CCD"/>
    <w:rsid w:val="75237F82"/>
    <w:rsid w:val="75281089"/>
    <w:rsid w:val="75300083"/>
    <w:rsid w:val="7530098F"/>
    <w:rsid w:val="7530571E"/>
    <w:rsid w:val="75327770"/>
    <w:rsid w:val="753326F4"/>
    <w:rsid w:val="753366D1"/>
    <w:rsid w:val="753679E1"/>
    <w:rsid w:val="75381CB1"/>
    <w:rsid w:val="753A11C8"/>
    <w:rsid w:val="75514932"/>
    <w:rsid w:val="75542397"/>
    <w:rsid w:val="755E733A"/>
    <w:rsid w:val="755E7F92"/>
    <w:rsid w:val="75662603"/>
    <w:rsid w:val="756B7033"/>
    <w:rsid w:val="756C0ED9"/>
    <w:rsid w:val="75717AB9"/>
    <w:rsid w:val="75737CC8"/>
    <w:rsid w:val="7582387F"/>
    <w:rsid w:val="75852CB4"/>
    <w:rsid w:val="758722B2"/>
    <w:rsid w:val="75895F54"/>
    <w:rsid w:val="759A0A49"/>
    <w:rsid w:val="75AA6994"/>
    <w:rsid w:val="75B55338"/>
    <w:rsid w:val="75B72E5F"/>
    <w:rsid w:val="75B9331E"/>
    <w:rsid w:val="75B97A01"/>
    <w:rsid w:val="75BC5C4B"/>
    <w:rsid w:val="75C0373B"/>
    <w:rsid w:val="75C94940"/>
    <w:rsid w:val="75CA11B6"/>
    <w:rsid w:val="75D2493C"/>
    <w:rsid w:val="75DA6091"/>
    <w:rsid w:val="75DC5AFF"/>
    <w:rsid w:val="75E514EC"/>
    <w:rsid w:val="75E654F2"/>
    <w:rsid w:val="75ED303E"/>
    <w:rsid w:val="75F714AD"/>
    <w:rsid w:val="75FD06EE"/>
    <w:rsid w:val="76012426"/>
    <w:rsid w:val="76160937"/>
    <w:rsid w:val="761738FD"/>
    <w:rsid w:val="76201A67"/>
    <w:rsid w:val="762C1B71"/>
    <w:rsid w:val="762E67F0"/>
    <w:rsid w:val="76307A5E"/>
    <w:rsid w:val="763224E5"/>
    <w:rsid w:val="76372C1C"/>
    <w:rsid w:val="763A0C26"/>
    <w:rsid w:val="763D7808"/>
    <w:rsid w:val="763F1ED1"/>
    <w:rsid w:val="764010A6"/>
    <w:rsid w:val="76461CFB"/>
    <w:rsid w:val="764D2FDA"/>
    <w:rsid w:val="76511BC9"/>
    <w:rsid w:val="765A06A8"/>
    <w:rsid w:val="766D312E"/>
    <w:rsid w:val="767050DD"/>
    <w:rsid w:val="76776B05"/>
    <w:rsid w:val="76783A6F"/>
    <w:rsid w:val="767B1729"/>
    <w:rsid w:val="767E2C0D"/>
    <w:rsid w:val="76816D41"/>
    <w:rsid w:val="769647AB"/>
    <w:rsid w:val="76B11FF1"/>
    <w:rsid w:val="76B75142"/>
    <w:rsid w:val="76B92C06"/>
    <w:rsid w:val="76CD21B1"/>
    <w:rsid w:val="76D24E32"/>
    <w:rsid w:val="76D36A09"/>
    <w:rsid w:val="76D77758"/>
    <w:rsid w:val="76D80D82"/>
    <w:rsid w:val="76DC7E8B"/>
    <w:rsid w:val="76DE455C"/>
    <w:rsid w:val="76E71522"/>
    <w:rsid w:val="76EE28B0"/>
    <w:rsid w:val="76F15014"/>
    <w:rsid w:val="76FA655C"/>
    <w:rsid w:val="76FB24FC"/>
    <w:rsid w:val="76FC4CB7"/>
    <w:rsid w:val="76FE0619"/>
    <w:rsid w:val="770014DB"/>
    <w:rsid w:val="770D3EE5"/>
    <w:rsid w:val="77170A92"/>
    <w:rsid w:val="77183DD1"/>
    <w:rsid w:val="771A36A5"/>
    <w:rsid w:val="771B0238"/>
    <w:rsid w:val="7725256C"/>
    <w:rsid w:val="77284EFB"/>
    <w:rsid w:val="77315B33"/>
    <w:rsid w:val="774231F7"/>
    <w:rsid w:val="774730E9"/>
    <w:rsid w:val="774B1AB0"/>
    <w:rsid w:val="774F73AA"/>
    <w:rsid w:val="7760487F"/>
    <w:rsid w:val="776668EA"/>
    <w:rsid w:val="77672662"/>
    <w:rsid w:val="77691394"/>
    <w:rsid w:val="77697601"/>
    <w:rsid w:val="77733A96"/>
    <w:rsid w:val="77734C40"/>
    <w:rsid w:val="777B5BDD"/>
    <w:rsid w:val="77805CD8"/>
    <w:rsid w:val="77841140"/>
    <w:rsid w:val="77896DCC"/>
    <w:rsid w:val="779A667B"/>
    <w:rsid w:val="77A422F2"/>
    <w:rsid w:val="77B451F7"/>
    <w:rsid w:val="77B87871"/>
    <w:rsid w:val="77BF249E"/>
    <w:rsid w:val="77C16217"/>
    <w:rsid w:val="77C62998"/>
    <w:rsid w:val="77C678F9"/>
    <w:rsid w:val="77C758D6"/>
    <w:rsid w:val="77D575CC"/>
    <w:rsid w:val="77DA5927"/>
    <w:rsid w:val="77E45298"/>
    <w:rsid w:val="77EB22BA"/>
    <w:rsid w:val="77EB6DF0"/>
    <w:rsid w:val="77EE0CEA"/>
    <w:rsid w:val="77F77D9F"/>
    <w:rsid w:val="78014233"/>
    <w:rsid w:val="78016613"/>
    <w:rsid w:val="78041313"/>
    <w:rsid w:val="78073BAB"/>
    <w:rsid w:val="7809308F"/>
    <w:rsid w:val="780947F7"/>
    <w:rsid w:val="780A3BA4"/>
    <w:rsid w:val="780B0595"/>
    <w:rsid w:val="78197CD6"/>
    <w:rsid w:val="78224565"/>
    <w:rsid w:val="782F2CF7"/>
    <w:rsid w:val="78323F3B"/>
    <w:rsid w:val="783B5319"/>
    <w:rsid w:val="78455C98"/>
    <w:rsid w:val="784937C3"/>
    <w:rsid w:val="784B4256"/>
    <w:rsid w:val="784D587D"/>
    <w:rsid w:val="78553091"/>
    <w:rsid w:val="78572FFF"/>
    <w:rsid w:val="787747B0"/>
    <w:rsid w:val="787943FB"/>
    <w:rsid w:val="788B70BF"/>
    <w:rsid w:val="78940436"/>
    <w:rsid w:val="78981D74"/>
    <w:rsid w:val="789A2EC0"/>
    <w:rsid w:val="78AF1C70"/>
    <w:rsid w:val="78AF42C1"/>
    <w:rsid w:val="78AF6CFD"/>
    <w:rsid w:val="78B13110"/>
    <w:rsid w:val="78B65A28"/>
    <w:rsid w:val="78BF49FB"/>
    <w:rsid w:val="78C66E75"/>
    <w:rsid w:val="78CD2FA6"/>
    <w:rsid w:val="78CE4D45"/>
    <w:rsid w:val="78D05905"/>
    <w:rsid w:val="78D45AD6"/>
    <w:rsid w:val="78D63976"/>
    <w:rsid w:val="78D966C9"/>
    <w:rsid w:val="78DB7B06"/>
    <w:rsid w:val="78E33F6B"/>
    <w:rsid w:val="78EC71BF"/>
    <w:rsid w:val="78ED7CDF"/>
    <w:rsid w:val="78F22765"/>
    <w:rsid w:val="78F50C83"/>
    <w:rsid w:val="78F543CA"/>
    <w:rsid w:val="78F57EEE"/>
    <w:rsid w:val="78F91E55"/>
    <w:rsid w:val="78FE360B"/>
    <w:rsid w:val="79003330"/>
    <w:rsid w:val="79020895"/>
    <w:rsid w:val="791C29B3"/>
    <w:rsid w:val="791E4FA3"/>
    <w:rsid w:val="79334EF2"/>
    <w:rsid w:val="79342EE7"/>
    <w:rsid w:val="793637EB"/>
    <w:rsid w:val="794B3A23"/>
    <w:rsid w:val="795141AE"/>
    <w:rsid w:val="7956298E"/>
    <w:rsid w:val="79575E47"/>
    <w:rsid w:val="7958599E"/>
    <w:rsid w:val="79643A4C"/>
    <w:rsid w:val="79645E6C"/>
    <w:rsid w:val="7969495B"/>
    <w:rsid w:val="796D2361"/>
    <w:rsid w:val="797A4498"/>
    <w:rsid w:val="79A11CCD"/>
    <w:rsid w:val="79A16BDA"/>
    <w:rsid w:val="79A27982"/>
    <w:rsid w:val="79A9003C"/>
    <w:rsid w:val="79AE10B1"/>
    <w:rsid w:val="79AE27CB"/>
    <w:rsid w:val="79C47535"/>
    <w:rsid w:val="79C5176F"/>
    <w:rsid w:val="79CB4676"/>
    <w:rsid w:val="79D33FDF"/>
    <w:rsid w:val="79D52CE4"/>
    <w:rsid w:val="79DD09BA"/>
    <w:rsid w:val="79DF2984"/>
    <w:rsid w:val="79E166FC"/>
    <w:rsid w:val="79E65A0C"/>
    <w:rsid w:val="79EE2F80"/>
    <w:rsid w:val="79F736D0"/>
    <w:rsid w:val="79F8178B"/>
    <w:rsid w:val="79FC0CA2"/>
    <w:rsid w:val="79FC7B94"/>
    <w:rsid w:val="7A065C5D"/>
    <w:rsid w:val="7A290E87"/>
    <w:rsid w:val="7A326030"/>
    <w:rsid w:val="7A3C19B4"/>
    <w:rsid w:val="7A440A39"/>
    <w:rsid w:val="7A467EA8"/>
    <w:rsid w:val="7A5073DE"/>
    <w:rsid w:val="7A5B565A"/>
    <w:rsid w:val="7A654BD8"/>
    <w:rsid w:val="7A6A66F1"/>
    <w:rsid w:val="7A735F93"/>
    <w:rsid w:val="7A7C753A"/>
    <w:rsid w:val="7A831561"/>
    <w:rsid w:val="7A84150A"/>
    <w:rsid w:val="7A891E4E"/>
    <w:rsid w:val="7AA633A4"/>
    <w:rsid w:val="7AA747D5"/>
    <w:rsid w:val="7AA82DFE"/>
    <w:rsid w:val="7AAC3CFC"/>
    <w:rsid w:val="7AC14F76"/>
    <w:rsid w:val="7AC7729E"/>
    <w:rsid w:val="7ACC57F7"/>
    <w:rsid w:val="7ACD64B9"/>
    <w:rsid w:val="7ACD6C80"/>
    <w:rsid w:val="7AD678F8"/>
    <w:rsid w:val="7AD920E7"/>
    <w:rsid w:val="7AD945AB"/>
    <w:rsid w:val="7ADA128B"/>
    <w:rsid w:val="7AE01101"/>
    <w:rsid w:val="7AE85A66"/>
    <w:rsid w:val="7AEA6455"/>
    <w:rsid w:val="7AEC1D5F"/>
    <w:rsid w:val="7AF01545"/>
    <w:rsid w:val="7AF20495"/>
    <w:rsid w:val="7AF64D4C"/>
    <w:rsid w:val="7B091175"/>
    <w:rsid w:val="7B0C44EA"/>
    <w:rsid w:val="7B130B37"/>
    <w:rsid w:val="7B20566A"/>
    <w:rsid w:val="7B240144"/>
    <w:rsid w:val="7B272834"/>
    <w:rsid w:val="7B2D5FB5"/>
    <w:rsid w:val="7B2E5971"/>
    <w:rsid w:val="7B364D1E"/>
    <w:rsid w:val="7B3F15F6"/>
    <w:rsid w:val="7B413DBE"/>
    <w:rsid w:val="7B4973BB"/>
    <w:rsid w:val="7B4B5D82"/>
    <w:rsid w:val="7B4E7DC1"/>
    <w:rsid w:val="7B4F1751"/>
    <w:rsid w:val="7B5047BB"/>
    <w:rsid w:val="7B5829EE"/>
    <w:rsid w:val="7B5C749B"/>
    <w:rsid w:val="7B61606E"/>
    <w:rsid w:val="7B62149F"/>
    <w:rsid w:val="7B641393"/>
    <w:rsid w:val="7B646A7C"/>
    <w:rsid w:val="7B670E83"/>
    <w:rsid w:val="7B827A6B"/>
    <w:rsid w:val="7B8B2DC3"/>
    <w:rsid w:val="7B8D09CF"/>
    <w:rsid w:val="7B8E01BE"/>
    <w:rsid w:val="7B926564"/>
    <w:rsid w:val="7BAA2D03"/>
    <w:rsid w:val="7BC00474"/>
    <w:rsid w:val="7BD0029F"/>
    <w:rsid w:val="7BD5403F"/>
    <w:rsid w:val="7BDE04EB"/>
    <w:rsid w:val="7BE0676B"/>
    <w:rsid w:val="7BE349AD"/>
    <w:rsid w:val="7BE36225"/>
    <w:rsid w:val="7BF436F4"/>
    <w:rsid w:val="7BFE58E8"/>
    <w:rsid w:val="7BFF0716"/>
    <w:rsid w:val="7C0346F7"/>
    <w:rsid w:val="7C082C3E"/>
    <w:rsid w:val="7C120DEF"/>
    <w:rsid w:val="7C122EB9"/>
    <w:rsid w:val="7C1C7EBF"/>
    <w:rsid w:val="7C1D1542"/>
    <w:rsid w:val="7C1D3D72"/>
    <w:rsid w:val="7C2043DE"/>
    <w:rsid w:val="7C2257B5"/>
    <w:rsid w:val="7C274457"/>
    <w:rsid w:val="7C3364BB"/>
    <w:rsid w:val="7C3871F2"/>
    <w:rsid w:val="7C406F52"/>
    <w:rsid w:val="7C434F0F"/>
    <w:rsid w:val="7C4D19CA"/>
    <w:rsid w:val="7C5A7CD0"/>
    <w:rsid w:val="7C5F7DAC"/>
    <w:rsid w:val="7C642E78"/>
    <w:rsid w:val="7C6643C8"/>
    <w:rsid w:val="7C69029A"/>
    <w:rsid w:val="7C6B6751"/>
    <w:rsid w:val="7C740C0A"/>
    <w:rsid w:val="7C865C2E"/>
    <w:rsid w:val="7C871EDC"/>
    <w:rsid w:val="7C8D1066"/>
    <w:rsid w:val="7C9A6C9C"/>
    <w:rsid w:val="7C9F4BE6"/>
    <w:rsid w:val="7CAE318A"/>
    <w:rsid w:val="7CB60617"/>
    <w:rsid w:val="7CB65C1E"/>
    <w:rsid w:val="7CBC5690"/>
    <w:rsid w:val="7CCA16C9"/>
    <w:rsid w:val="7CCA362D"/>
    <w:rsid w:val="7CD24A22"/>
    <w:rsid w:val="7CE64029"/>
    <w:rsid w:val="7CF14EA8"/>
    <w:rsid w:val="7CF2291D"/>
    <w:rsid w:val="7CFB7AD5"/>
    <w:rsid w:val="7CFC2C5D"/>
    <w:rsid w:val="7CFE3795"/>
    <w:rsid w:val="7D0050EB"/>
    <w:rsid w:val="7D0345F2"/>
    <w:rsid w:val="7D052EA4"/>
    <w:rsid w:val="7D13263F"/>
    <w:rsid w:val="7D1355F5"/>
    <w:rsid w:val="7D176B5E"/>
    <w:rsid w:val="7D180687"/>
    <w:rsid w:val="7D1961AD"/>
    <w:rsid w:val="7D1D3A70"/>
    <w:rsid w:val="7D205941"/>
    <w:rsid w:val="7D2554AB"/>
    <w:rsid w:val="7D316B5D"/>
    <w:rsid w:val="7D383C22"/>
    <w:rsid w:val="7D3B6D72"/>
    <w:rsid w:val="7D4413BA"/>
    <w:rsid w:val="7D4D3C59"/>
    <w:rsid w:val="7D546FB4"/>
    <w:rsid w:val="7D5859CA"/>
    <w:rsid w:val="7D5D31C6"/>
    <w:rsid w:val="7D671AEB"/>
    <w:rsid w:val="7D6B6752"/>
    <w:rsid w:val="7D6C452F"/>
    <w:rsid w:val="7D7E02C9"/>
    <w:rsid w:val="7D835AA6"/>
    <w:rsid w:val="7D8950E1"/>
    <w:rsid w:val="7D8A2D8C"/>
    <w:rsid w:val="7D8B4EED"/>
    <w:rsid w:val="7D907C7B"/>
    <w:rsid w:val="7DA77C5D"/>
    <w:rsid w:val="7DB12889"/>
    <w:rsid w:val="7DCC76C3"/>
    <w:rsid w:val="7DCE343B"/>
    <w:rsid w:val="7DD331DF"/>
    <w:rsid w:val="7DE45A4F"/>
    <w:rsid w:val="7DE95B7F"/>
    <w:rsid w:val="7DF44E24"/>
    <w:rsid w:val="7DFC1BF7"/>
    <w:rsid w:val="7DFC4D0F"/>
    <w:rsid w:val="7DFE2B56"/>
    <w:rsid w:val="7DFE6BAD"/>
    <w:rsid w:val="7E047BFF"/>
    <w:rsid w:val="7E166D5B"/>
    <w:rsid w:val="7E207121"/>
    <w:rsid w:val="7E222DA3"/>
    <w:rsid w:val="7E2412AD"/>
    <w:rsid w:val="7E282B4B"/>
    <w:rsid w:val="7E2D2770"/>
    <w:rsid w:val="7E301A00"/>
    <w:rsid w:val="7E3E1E15"/>
    <w:rsid w:val="7E3F2CC4"/>
    <w:rsid w:val="7E476F8D"/>
    <w:rsid w:val="7E5F5EBD"/>
    <w:rsid w:val="7E6135BE"/>
    <w:rsid w:val="7E614912"/>
    <w:rsid w:val="7E636915"/>
    <w:rsid w:val="7E671779"/>
    <w:rsid w:val="7E6F2E17"/>
    <w:rsid w:val="7E7125DA"/>
    <w:rsid w:val="7E794A28"/>
    <w:rsid w:val="7E81400A"/>
    <w:rsid w:val="7E852C56"/>
    <w:rsid w:val="7E935F4B"/>
    <w:rsid w:val="7EA36676"/>
    <w:rsid w:val="7EAA6B71"/>
    <w:rsid w:val="7EBE0A42"/>
    <w:rsid w:val="7EC27C69"/>
    <w:rsid w:val="7EC34622"/>
    <w:rsid w:val="7EC81C39"/>
    <w:rsid w:val="7ED06D3F"/>
    <w:rsid w:val="7ED625A7"/>
    <w:rsid w:val="7ED83879"/>
    <w:rsid w:val="7EDF7062"/>
    <w:rsid w:val="7EE157DD"/>
    <w:rsid w:val="7EE44903"/>
    <w:rsid w:val="7EE53E5E"/>
    <w:rsid w:val="7EEA116F"/>
    <w:rsid w:val="7EEE4B99"/>
    <w:rsid w:val="7EF8718F"/>
    <w:rsid w:val="7EFF627E"/>
    <w:rsid w:val="7F001B70"/>
    <w:rsid w:val="7F0215EE"/>
    <w:rsid w:val="7F0A0C8F"/>
    <w:rsid w:val="7F0D3AEF"/>
    <w:rsid w:val="7F0D3C20"/>
    <w:rsid w:val="7F110979"/>
    <w:rsid w:val="7F162349"/>
    <w:rsid w:val="7F1A09AC"/>
    <w:rsid w:val="7F1D01D6"/>
    <w:rsid w:val="7F321A30"/>
    <w:rsid w:val="7F37614B"/>
    <w:rsid w:val="7F4F4D23"/>
    <w:rsid w:val="7F555EC9"/>
    <w:rsid w:val="7F5777EC"/>
    <w:rsid w:val="7F5D6825"/>
    <w:rsid w:val="7F622219"/>
    <w:rsid w:val="7F675064"/>
    <w:rsid w:val="7F6E51FB"/>
    <w:rsid w:val="7F80243F"/>
    <w:rsid w:val="7F8E7B60"/>
    <w:rsid w:val="7F902A52"/>
    <w:rsid w:val="7F9106ED"/>
    <w:rsid w:val="7F96323C"/>
    <w:rsid w:val="7FA24467"/>
    <w:rsid w:val="7FAC50B6"/>
    <w:rsid w:val="7FAD2629"/>
    <w:rsid w:val="7FAF4F27"/>
    <w:rsid w:val="7FBE3494"/>
    <w:rsid w:val="7FBF7612"/>
    <w:rsid w:val="7FDB3C42"/>
    <w:rsid w:val="7FF62632"/>
    <w:rsid w:val="BFDF14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 w:semiHidden="0" w:name="heading 4"/>
    <w:lsdException w:qFormat="1" w:unhideWhenUsed="0" w:uiPriority="9"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99"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iPriority="99" w:semiHidden="0"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sz w:val="21"/>
      <w:szCs w:val="21"/>
      <w:lang w:val="en-US" w:eastAsia="zh-CN" w:bidi="ar-SA"/>
    </w:rPr>
  </w:style>
  <w:style w:type="paragraph" w:styleId="2">
    <w:name w:val="heading 1"/>
    <w:basedOn w:val="1"/>
    <w:next w:val="1"/>
    <w:link w:val="42"/>
    <w:qFormat/>
    <w:uiPriority w:val="99"/>
    <w:pPr>
      <w:keepNext/>
      <w:keepLines/>
      <w:widowControl w:val="0"/>
      <w:spacing w:before="340" w:after="330" w:line="576" w:lineRule="auto"/>
      <w:outlineLvl w:val="0"/>
    </w:pPr>
    <w:rPr>
      <w:b/>
      <w:bCs/>
      <w:kern w:val="44"/>
      <w:sz w:val="44"/>
      <w:szCs w:val="44"/>
    </w:rPr>
  </w:style>
  <w:style w:type="paragraph" w:styleId="3">
    <w:name w:val="heading 2"/>
    <w:basedOn w:val="1"/>
    <w:next w:val="1"/>
    <w:link w:val="43"/>
    <w:qFormat/>
    <w:uiPriority w:val="99"/>
    <w:pPr>
      <w:keepNext/>
      <w:keepLines/>
      <w:widowControl w:val="0"/>
      <w:spacing w:before="260" w:after="260" w:line="412" w:lineRule="auto"/>
      <w:outlineLvl w:val="1"/>
    </w:pPr>
    <w:rPr>
      <w:rFonts w:ascii="Arial" w:hAnsi="Arial" w:eastAsia="黑体"/>
      <w:b/>
      <w:bCs/>
      <w:sz w:val="32"/>
      <w:szCs w:val="32"/>
    </w:rPr>
  </w:style>
  <w:style w:type="paragraph" w:styleId="4">
    <w:name w:val="heading 3"/>
    <w:basedOn w:val="1"/>
    <w:next w:val="1"/>
    <w:link w:val="44"/>
    <w:qFormat/>
    <w:uiPriority w:val="99"/>
    <w:pPr>
      <w:keepNext/>
      <w:keepLines/>
      <w:widowControl w:val="0"/>
      <w:spacing w:before="260" w:after="260" w:line="412" w:lineRule="auto"/>
      <w:outlineLvl w:val="2"/>
    </w:pPr>
    <w:rPr>
      <w:b/>
      <w:bCs/>
      <w:sz w:val="32"/>
      <w:szCs w:val="32"/>
    </w:rPr>
  </w:style>
  <w:style w:type="paragraph" w:styleId="5">
    <w:name w:val="heading 4"/>
    <w:basedOn w:val="1"/>
    <w:next w:val="1"/>
    <w:qFormat/>
    <w:uiPriority w:val="9"/>
    <w:pPr>
      <w:numPr>
        <w:ilvl w:val="3"/>
        <w:numId w:val="1"/>
      </w:numPr>
      <w:spacing w:before="120" w:after="120"/>
      <w:outlineLvl w:val="3"/>
    </w:pPr>
    <w:rPr>
      <w:b/>
      <w:bCs/>
      <w:sz w:val="30"/>
      <w:szCs w:val="24"/>
    </w:rPr>
  </w:style>
  <w:style w:type="paragraph" w:styleId="6">
    <w:name w:val="heading 5"/>
    <w:basedOn w:val="1"/>
    <w:next w:val="1"/>
    <w:qFormat/>
    <w:uiPriority w:val="9"/>
    <w:pPr>
      <w:keepNext/>
      <w:keepLines/>
      <w:spacing w:before="280" w:after="290" w:line="372" w:lineRule="auto"/>
      <w:outlineLvl w:val="4"/>
    </w:pPr>
    <w:rPr>
      <w:b/>
      <w:sz w:val="28"/>
    </w:rPr>
  </w:style>
  <w:style w:type="paragraph" w:styleId="7">
    <w:name w:val="heading 6"/>
    <w:basedOn w:val="1"/>
    <w:next w:val="1"/>
    <w:qFormat/>
    <w:uiPriority w:val="0"/>
    <w:pPr>
      <w:keepNext/>
      <w:keepLines/>
      <w:spacing w:before="240" w:after="64" w:line="320" w:lineRule="auto"/>
      <w:outlineLvl w:val="5"/>
    </w:pPr>
    <w:rPr>
      <w:rFonts w:ascii="Cambria" w:hAnsi="Cambria"/>
      <w:b/>
      <w:bCs/>
      <w:sz w:val="24"/>
    </w:rPr>
  </w:style>
  <w:style w:type="character" w:default="1" w:styleId="36">
    <w:name w:val="Default Paragraph Font"/>
    <w:semiHidden/>
    <w:unhideWhenUsed/>
    <w:qFormat/>
    <w:uiPriority w:val="1"/>
  </w:style>
  <w:style w:type="table" w:default="1" w:styleId="34">
    <w:name w:val="Normal Table"/>
    <w:semiHidden/>
    <w:unhideWhenUsed/>
    <w:qFormat/>
    <w:uiPriority w:val="99"/>
    <w:tblPr>
      <w:tblCellMar>
        <w:top w:w="0" w:type="dxa"/>
        <w:left w:w="108" w:type="dxa"/>
        <w:bottom w:w="0" w:type="dxa"/>
        <w:right w:w="108" w:type="dxa"/>
      </w:tblCellMar>
    </w:tblPr>
  </w:style>
  <w:style w:type="paragraph" w:styleId="8">
    <w:name w:val="toc 7"/>
    <w:basedOn w:val="1"/>
    <w:next w:val="1"/>
    <w:unhideWhenUsed/>
    <w:qFormat/>
    <w:uiPriority w:val="39"/>
    <w:pPr>
      <w:ind w:left="1260"/>
    </w:pPr>
    <w:rPr>
      <w:rFonts w:ascii="Calibri" w:hAnsi="Calibri" w:cs="Calibri"/>
      <w:sz w:val="18"/>
      <w:szCs w:val="18"/>
    </w:rPr>
  </w:style>
  <w:style w:type="paragraph" w:styleId="9">
    <w:name w:val="Normal Indent"/>
    <w:basedOn w:val="1"/>
    <w:next w:val="1"/>
    <w:unhideWhenUsed/>
    <w:qFormat/>
    <w:uiPriority w:val="99"/>
    <w:pPr>
      <w:ind w:firstLine="420" w:firstLineChars="200"/>
    </w:pPr>
  </w:style>
  <w:style w:type="paragraph" w:styleId="10">
    <w:name w:val="Document Map"/>
    <w:basedOn w:val="1"/>
    <w:link w:val="45"/>
    <w:unhideWhenUsed/>
    <w:qFormat/>
    <w:uiPriority w:val="99"/>
    <w:rPr>
      <w:rFonts w:ascii="宋体"/>
      <w:sz w:val="18"/>
      <w:szCs w:val="18"/>
    </w:rPr>
  </w:style>
  <w:style w:type="paragraph" w:styleId="11">
    <w:name w:val="toa heading"/>
    <w:basedOn w:val="1"/>
    <w:next w:val="1"/>
    <w:semiHidden/>
    <w:qFormat/>
    <w:uiPriority w:val="0"/>
    <w:pPr>
      <w:widowControl w:val="0"/>
      <w:spacing w:before="120"/>
      <w:jc w:val="both"/>
    </w:pPr>
    <w:rPr>
      <w:rFonts w:ascii="Arial" w:hAnsi="Arial" w:cs="Arial"/>
      <w:kern w:val="2"/>
      <w:sz w:val="24"/>
      <w:szCs w:val="24"/>
    </w:rPr>
  </w:style>
  <w:style w:type="paragraph" w:styleId="12">
    <w:name w:val="annotation text"/>
    <w:basedOn w:val="1"/>
    <w:link w:val="46"/>
    <w:unhideWhenUsed/>
    <w:qFormat/>
    <w:uiPriority w:val="99"/>
  </w:style>
  <w:style w:type="paragraph" w:styleId="13">
    <w:name w:val="Body Text 3"/>
    <w:basedOn w:val="1"/>
    <w:link w:val="47"/>
    <w:unhideWhenUsed/>
    <w:qFormat/>
    <w:uiPriority w:val="99"/>
    <w:rPr>
      <w:rFonts w:ascii="宋体"/>
      <w:sz w:val="24"/>
      <w:szCs w:val="24"/>
    </w:rPr>
  </w:style>
  <w:style w:type="paragraph" w:styleId="14">
    <w:name w:val="Body Text"/>
    <w:basedOn w:val="1"/>
    <w:qFormat/>
    <w:uiPriority w:val="0"/>
    <w:pPr>
      <w:spacing w:line="360" w:lineRule="auto"/>
    </w:pPr>
    <w:rPr>
      <w:kern w:val="2"/>
      <w:szCs w:val="24"/>
    </w:rPr>
  </w:style>
  <w:style w:type="paragraph" w:styleId="15">
    <w:name w:val="Body Text Indent"/>
    <w:basedOn w:val="1"/>
    <w:link w:val="48"/>
    <w:unhideWhenUsed/>
    <w:qFormat/>
    <w:uiPriority w:val="99"/>
    <w:pPr>
      <w:spacing w:line="460" w:lineRule="exact"/>
      <w:ind w:firstLine="510"/>
    </w:pPr>
  </w:style>
  <w:style w:type="paragraph" w:styleId="16">
    <w:name w:val="toc 5"/>
    <w:basedOn w:val="1"/>
    <w:next w:val="1"/>
    <w:unhideWhenUsed/>
    <w:qFormat/>
    <w:uiPriority w:val="39"/>
    <w:pPr>
      <w:ind w:left="840"/>
    </w:pPr>
    <w:rPr>
      <w:rFonts w:ascii="Calibri" w:hAnsi="Calibri" w:cs="Calibri"/>
      <w:sz w:val="18"/>
      <w:szCs w:val="18"/>
    </w:rPr>
  </w:style>
  <w:style w:type="paragraph" w:styleId="17">
    <w:name w:val="toc 3"/>
    <w:basedOn w:val="1"/>
    <w:next w:val="1"/>
    <w:unhideWhenUsed/>
    <w:qFormat/>
    <w:uiPriority w:val="39"/>
    <w:pPr>
      <w:ind w:left="420"/>
    </w:pPr>
    <w:rPr>
      <w:rFonts w:ascii="Calibri" w:hAnsi="Calibri" w:cs="Calibri"/>
      <w:i/>
      <w:iCs/>
      <w:sz w:val="20"/>
      <w:szCs w:val="20"/>
    </w:rPr>
  </w:style>
  <w:style w:type="paragraph" w:styleId="18">
    <w:name w:val="Plain Text"/>
    <w:basedOn w:val="1"/>
    <w:qFormat/>
    <w:uiPriority w:val="0"/>
    <w:rPr>
      <w:rFonts w:ascii="宋体" w:hAnsi="Courier New"/>
      <w:szCs w:val="20"/>
    </w:rPr>
  </w:style>
  <w:style w:type="paragraph" w:styleId="19">
    <w:name w:val="toc 8"/>
    <w:basedOn w:val="1"/>
    <w:next w:val="1"/>
    <w:unhideWhenUsed/>
    <w:qFormat/>
    <w:uiPriority w:val="39"/>
    <w:pPr>
      <w:ind w:left="1470"/>
    </w:pPr>
    <w:rPr>
      <w:rFonts w:ascii="Calibri" w:hAnsi="Calibri" w:cs="Calibri"/>
      <w:sz w:val="18"/>
      <w:szCs w:val="18"/>
    </w:rPr>
  </w:style>
  <w:style w:type="paragraph" w:styleId="20">
    <w:name w:val="Balloon Text"/>
    <w:basedOn w:val="1"/>
    <w:link w:val="80"/>
    <w:semiHidden/>
    <w:unhideWhenUsed/>
    <w:qFormat/>
    <w:uiPriority w:val="99"/>
    <w:rPr>
      <w:sz w:val="18"/>
      <w:szCs w:val="18"/>
    </w:rPr>
  </w:style>
  <w:style w:type="paragraph" w:styleId="21">
    <w:name w:val="footer"/>
    <w:basedOn w:val="1"/>
    <w:link w:val="50"/>
    <w:unhideWhenUsed/>
    <w:qFormat/>
    <w:uiPriority w:val="99"/>
    <w:pPr>
      <w:tabs>
        <w:tab w:val="center" w:pos="4153"/>
        <w:tab w:val="right" w:pos="8306"/>
      </w:tabs>
      <w:snapToGrid w:val="0"/>
    </w:pPr>
    <w:rPr>
      <w:sz w:val="18"/>
      <w:szCs w:val="18"/>
    </w:rPr>
  </w:style>
  <w:style w:type="paragraph" w:styleId="22">
    <w:name w:val="header"/>
    <w:basedOn w:val="1"/>
    <w:link w:val="51"/>
    <w:unhideWhenUsed/>
    <w:qFormat/>
    <w:uiPriority w:val="99"/>
    <w:pPr>
      <w:pBdr>
        <w:bottom w:val="single" w:color="auto" w:sz="6" w:space="1"/>
      </w:pBdr>
      <w:tabs>
        <w:tab w:val="center" w:pos="4153"/>
        <w:tab w:val="right" w:pos="8306"/>
      </w:tabs>
      <w:snapToGrid w:val="0"/>
      <w:jc w:val="center"/>
    </w:pPr>
    <w:rPr>
      <w:sz w:val="18"/>
      <w:szCs w:val="18"/>
    </w:rPr>
  </w:style>
  <w:style w:type="paragraph" w:styleId="23">
    <w:name w:val="toc 1"/>
    <w:basedOn w:val="1"/>
    <w:next w:val="1"/>
    <w:unhideWhenUsed/>
    <w:qFormat/>
    <w:uiPriority w:val="39"/>
    <w:pPr>
      <w:spacing w:before="120" w:after="120"/>
    </w:pPr>
    <w:rPr>
      <w:rFonts w:ascii="Calibri" w:hAnsi="Calibri" w:cs="Calibri"/>
      <w:b/>
      <w:bCs/>
      <w:caps/>
      <w:sz w:val="20"/>
      <w:szCs w:val="20"/>
    </w:rPr>
  </w:style>
  <w:style w:type="paragraph" w:styleId="24">
    <w:name w:val="toc 4"/>
    <w:basedOn w:val="1"/>
    <w:next w:val="1"/>
    <w:unhideWhenUsed/>
    <w:qFormat/>
    <w:uiPriority w:val="39"/>
    <w:pPr>
      <w:ind w:left="630"/>
    </w:pPr>
    <w:rPr>
      <w:rFonts w:ascii="Calibri" w:hAnsi="Calibri" w:cs="Calibri"/>
      <w:sz w:val="18"/>
      <w:szCs w:val="18"/>
    </w:rPr>
  </w:style>
  <w:style w:type="paragraph" w:styleId="25">
    <w:name w:val="toc 6"/>
    <w:basedOn w:val="1"/>
    <w:next w:val="1"/>
    <w:unhideWhenUsed/>
    <w:qFormat/>
    <w:uiPriority w:val="39"/>
    <w:pPr>
      <w:ind w:left="1050"/>
    </w:pPr>
    <w:rPr>
      <w:rFonts w:ascii="Calibri" w:hAnsi="Calibri" w:cs="Calibri"/>
      <w:sz w:val="18"/>
      <w:szCs w:val="18"/>
    </w:rPr>
  </w:style>
  <w:style w:type="paragraph" w:styleId="26">
    <w:name w:val="toc 2"/>
    <w:basedOn w:val="1"/>
    <w:next w:val="1"/>
    <w:unhideWhenUsed/>
    <w:qFormat/>
    <w:uiPriority w:val="39"/>
    <w:pPr>
      <w:ind w:left="210"/>
    </w:pPr>
    <w:rPr>
      <w:rFonts w:ascii="Calibri" w:hAnsi="Calibri" w:cs="Calibri"/>
      <w:smallCaps/>
      <w:sz w:val="20"/>
      <w:szCs w:val="20"/>
    </w:rPr>
  </w:style>
  <w:style w:type="paragraph" w:styleId="27">
    <w:name w:val="toc 9"/>
    <w:basedOn w:val="1"/>
    <w:next w:val="1"/>
    <w:unhideWhenUsed/>
    <w:qFormat/>
    <w:uiPriority w:val="39"/>
    <w:pPr>
      <w:ind w:left="1680"/>
    </w:pPr>
    <w:rPr>
      <w:rFonts w:ascii="Calibri" w:hAnsi="Calibri" w:cs="Calibri"/>
      <w:sz w:val="18"/>
      <w:szCs w:val="18"/>
    </w:rPr>
  </w:style>
  <w:style w:type="paragraph" w:styleId="28">
    <w:name w:val="Body Text 2"/>
    <w:basedOn w:val="1"/>
    <w:qFormat/>
    <w:uiPriority w:val="0"/>
    <w:pPr>
      <w:numPr>
        <w:ilvl w:val="0"/>
        <w:numId w:val="2"/>
      </w:numPr>
      <w:autoSpaceDE w:val="0"/>
      <w:autoSpaceDN w:val="0"/>
      <w:adjustRightInd w:val="0"/>
      <w:spacing w:line="560" w:lineRule="exact"/>
    </w:pPr>
    <w:rPr>
      <w:color w:val="000000"/>
      <w:sz w:val="24"/>
      <w:szCs w:val="20"/>
    </w:rPr>
  </w:style>
  <w:style w:type="paragraph" w:styleId="29">
    <w:name w:val="Normal (Web)"/>
    <w:basedOn w:val="1"/>
    <w:unhideWhenUsed/>
    <w:qFormat/>
    <w:uiPriority w:val="99"/>
    <w:pPr>
      <w:spacing w:before="100" w:beforeAutospacing="1" w:after="100" w:afterAutospacing="1"/>
    </w:pPr>
    <w:rPr>
      <w:sz w:val="24"/>
      <w:szCs w:val="24"/>
    </w:rPr>
  </w:style>
  <w:style w:type="paragraph" w:styleId="30">
    <w:name w:val="Title"/>
    <w:basedOn w:val="1"/>
    <w:qFormat/>
    <w:uiPriority w:val="0"/>
    <w:pPr>
      <w:jc w:val="center"/>
    </w:pPr>
    <w:rPr>
      <w:rFonts w:ascii="Arial" w:hAnsi="Arial" w:eastAsia="方正小标宋简体"/>
      <w:sz w:val="36"/>
    </w:rPr>
  </w:style>
  <w:style w:type="paragraph" w:styleId="31">
    <w:name w:val="annotation subject"/>
    <w:basedOn w:val="12"/>
    <w:next w:val="1"/>
    <w:link w:val="49"/>
    <w:unhideWhenUsed/>
    <w:qFormat/>
    <w:uiPriority w:val="99"/>
    <w:rPr>
      <w:b/>
      <w:bCs/>
    </w:rPr>
  </w:style>
  <w:style w:type="paragraph" w:styleId="32">
    <w:name w:val="Body Text First Indent"/>
    <w:basedOn w:val="14"/>
    <w:qFormat/>
    <w:uiPriority w:val="99"/>
    <w:pPr>
      <w:spacing w:line="312" w:lineRule="auto"/>
      <w:ind w:firstLine="420"/>
    </w:pPr>
    <w:rPr>
      <w:rFonts w:ascii="Calibri" w:hAnsi="Calibri"/>
    </w:rPr>
  </w:style>
  <w:style w:type="paragraph" w:styleId="33">
    <w:name w:val="Body Text First Indent 2"/>
    <w:basedOn w:val="15"/>
    <w:qFormat/>
    <w:uiPriority w:val="0"/>
    <w:pPr>
      <w:ind w:firstLine="420" w:firstLineChars="200"/>
    </w:pPr>
    <w:rPr>
      <w:kern w:val="2"/>
      <w:sz w:val="24"/>
      <w:szCs w:val="24"/>
    </w:rPr>
  </w:style>
  <w:style w:type="table" w:styleId="35">
    <w:name w:val="Table Grid"/>
    <w:basedOn w:val="34"/>
    <w:unhideWhenUsed/>
    <w:qFormat/>
    <w:uiPriority w:val="99"/>
    <w:pPr>
      <w:widowControl w:val="0"/>
      <w:jc w:val="both"/>
    </w:pPr>
    <w:rPr>
      <w:rFonts w:ascii="Calibri" w:hAnsi="Calibri" w:eastAsia="Times New Roman"/>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
    <w:name w:val="Strong"/>
    <w:basedOn w:val="36"/>
    <w:qFormat/>
    <w:uiPriority w:val="22"/>
    <w:rPr>
      <w:b/>
    </w:rPr>
  </w:style>
  <w:style w:type="character" w:styleId="38">
    <w:name w:val="page number"/>
    <w:qFormat/>
    <w:uiPriority w:val="0"/>
  </w:style>
  <w:style w:type="character" w:styleId="39">
    <w:name w:val="FollowedHyperlink"/>
    <w:unhideWhenUsed/>
    <w:qFormat/>
    <w:uiPriority w:val="99"/>
    <w:rPr>
      <w:color w:val="333333"/>
      <w:u w:val="none"/>
    </w:rPr>
  </w:style>
  <w:style w:type="character" w:styleId="40">
    <w:name w:val="Hyperlink"/>
    <w:unhideWhenUsed/>
    <w:qFormat/>
    <w:uiPriority w:val="99"/>
    <w:rPr>
      <w:color w:val="333333"/>
      <w:u w:val="none"/>
    </w:rPr>
  </w:style>
  <w:style w:type="character" w:styleId="41">
    <w:name w:val="annotation reference"/>
    <w:unhideWhenUsed/>
    <w:qFormat/>
    <w:uiPriority w:val="99"/>
    <w:rPr>
      <w:sz w:val="21"/>
      <w:szCs w:val="21"/>
    </w:rPr>
  </w:style>
  <w:style w:type="character" w:customStyle="1" w:styleId="42">
    <w:name w:val="标题 1 Char"/>
    <w:link w:val="2"/>
    <w:qFormat/>
    <w:uiPriority w:val="99"/>
    <w:rPr>
      <w:rFonts w:ascii="Arial" w:hAnsi="Arial"/>
      <w:b/>
      <w:bCs/>
      <w:kern w:val="44"/>
      <w:sz w:val="44"/>
      <w:szCs w:val="44"/>
    </w:rPr>
  </w:style>
  <w:style w:type="character" w:customStyle="1" w:styleId="43">
    <w:name w:val="标题 2 Char"/>
    <w:link w:val="3"/>
    <w:qFormat/>
    <w:uiPriority w:val="99"/>
    <w:rPr>
      <w:rFonts w:ascii="Arial" w:hAnsi="Arial" w:eastAsia="黑体" w:cs="Times New Roman"/>
      <w:b/>
      <w:bCs/>
      <w:kern w:val="0"/>
      <w:sz w:val="32"/>
      <w:szCs w:val="32"/>
    </w:rPr>
  </w:style>
  <w:style w:type="character" w:customStyle="1" w:styleId="44">
    <w:name w:val="标题 3 Char"/>
    <w:link w:val="4"/>
    <w:qFormat/>
    <w:uiPriority w:val="99"/>
    <w:rPr>
      <w:rFonts w:ascii="Calibri" w:hAnsi="Calibri" w:eastAsia="宋体" w:cs="Times New Roman"/>
      <w:b/>
      <w:bCs/>
      <w:kern w:val="0"/>
      <w:sz w:val="32"/>
      <w:szCs w:val="32"/>
    </w:rPr>
  </w:style>
  <w:style w:type="character" w:customStyle="1" w:styleId="45">
    <w:name w:val="文档结构图 Char"/>
    <w:link w:val="10"/>
    <w:semiHidden/>
    <w:qFormat/>
    <w:uiPriority w:val="99"/>
    <w:rPr>
      <w:rFonts w:ascii="宋体"/>
      <w:sz w:val="18"/>
      <w:szCs w:val="18"/>
    </w:rPr>
  </w:style>
  <w:style w:type="character" w:customStyle="1" w:styleId="46">
    <w:name w:val="批注文字 Char"/>
    <w:link w:val="12"/>
    <w:qFormat/>
    <w:uiPriority w:val="99"/>
    <w:rPr>
      <w:sz w:val="21"/>
      <w:szCs w:val="21"/>
    </w:rPr>
  </w:style>
  <w:style w:type="character" w:customStyle="1" w:styleId="47">
    <w:name w:val="正文文本 3 Char"/>
    <w:link w:val="13"/>
    <w:qFormat/>
    <w:uiPriority w:val="99"/>
    <w:rPr>
      <w:rFonts w:ascii="宋体" w:hAnsi="Calibri" w:eastAsia="宋体" w:cs="Times New Roman"/>
      <w:kern w:val="0"/>
      <w:sz w:val="24"/>
      <w:szCs w:val="24"/>
    </w:rPr>
  </w:style>
  <w:style w:type="character" w:customStyle="1" w:styleId="48">
    <w:name w:val="正文文本缩进 Char"/>
    <w:link w:val="15"/>
    <w:qFormat/>
    <w:uiPriority w:val="99"/>
    <w:rPr>
      <w:rFonts w:ascii="Calibri" w:hAnsi="Calibri" w:eastAsia="宋体" w:cs="Times New Roman"/>
      <w:kern w:val="0"/>
      <w:szCs w:val="21"/>
    </w:rPr>
  </w:style>
  <w:style w:type="character" w:customStyle="1" w:styleId="49">
    <w:name w:val="批注主题 Char"/>
    <w:link w:val="31"/>
    <w:semiHidden/>
    <w:qFormat/>
    <w:uiPriority w:val="99"/>
    <w:rPr>
      <w:b/>
      <w:bCs/>
      <w:sz w:val="21"/>
      <w:szCs w:val="21"/>
    </w:rPr>
  </w:style>
  <w:style w:type="character" w:customStyle="1" w:styleId="50">
    <w:name w:val="页脚 Char"/>
    <w:link w:val="21"/>
    <w:qFormat/>
    <w:uiPriority w:val="99"/>
    <w:rPr>
      <w:sz w:val="18"/>
      <w:szCs w:val="18"/>
    </w:rPr>
  </w:style>
  <w:style w:type="character" w:customStyle="1" w:styleId="51">
    <w:name w:val="页眉 Char"/>
    <w:link w:val="22"/>
    <w:qFormat/>
    <w:uiPriority w:val="99"/>
    <w:rPr>
      <w:sz w:val="18"/>
      <w:szCs w:val="18"/>
    </w:rPr>
  </w:style>
  <w:style w:type="paragraph" w:customStyle="1" w:styleId="52">
    <w:name w:val="图表目录1"/>
    <w:basedOn w:val="53"/>
    <w:next w:val="53"/>
    <w:qFormat/>
    <w:uiPriority w:val="0"/>
    <w:pPr>
      <w:spacing w:line="480" w:lineRule="exact"/>
      <w:ind w:left="200" w:leftChars="200" w:hanging="200" w:hangingChars="200"/>
    </w:pPr>
    <w:rPr>
      <w:color w:val="7030A0"/>
      <w:sz w:val="24"/>
    </w:rPr>
  </w:style>
  <w:style w:type="paragraph" w:customStyle="1" w:styleId="53">
    <w:name w:val="正文 New New New New New New New New New New New New New New New New New New New New New New New New New New New New New New New New New New New New New New New New New New New New New New New New New New New New New New New New New New New New New New Ne"/>
    <w:basedOn w:val="1"/>
    <w:next w:val="52"/>
    <w:qFormat/>
    <w:uiPriority w:val="0"/>
    <w:rPr>
      <w:rFonts w:ascii="Calibri" w:hAnsi="Calibri" w:cs="宋体"/>
    </w:rPr>
  </w:style>
  <w:style w:type="character" w:customStyle="1" w:styleId="54">
    <w:name w:val="font11"/>
    <w:qFormat/>
    <w:uiPriority w:val="0"/>
    <w:rPr>
      <w:rFonts w:hint="eastAsia" w:ascii="仿宋_GB2312" w:eastAsia="仿宋_GB2312" w:cs="仿宋_GB2312"/>
      <w:color w:val="000000"/>
      <w:sz w:val="24"/>
      <w:szCs w:val="24"/>
      <w:u w:val="none"/>
    </w:rPr>
  </w:style>
  <w:style w:type="character" w:customStyle="1" w:styleId="55">
    <w:name w:val="16"/>
    <w:qFormat/>
    <w:uiPriority w:val="0"/>
    <w:rPr>
      <w:rFonts w:hint="default" w:ascii="Times New Roman" w:hAnsi="Times New Roman" w:cs="Times New Roman"/>
      <w:b/>
      <w:bCs/>
      <w:sz w:val="32"/>
      <w:szCs w:val="32"/>
    </w:rPr>
  </w:style>
  <w:style w:type="character" w:customStyle="1" w:styleId="56">
    <w:name w:val="15"/>
    <w:qFormat/>
    <w:uiPriority w:val="0"/>
    <w:rPr>
      <w:rFonts w:hint="default" w:ascii="Times New Roman" w:hAnsi="Times New Roman" w:cs="Times New Roman"/>
      <w:b/>
      <w:bCs/>
      <w:kern w:val="44"/>
      <w:sz w:val="44"/>
      <w:szCs w:val="44"/>
    </w:rPr>
  </w:style>
  <w:style w:type="paragraph" w:customStyle="1" w:styleId="57">
    <w:name w:val="样式 样式 首行缩进:  2.57 字符 + 首行缩进:  2.57 字符"/>
    <w:basedOn w:val="1"/>
    <w:qFormat/>
    <w:uiPriority w:val="0"/>
    <w:pPr>
      <w:spacing w:line="360" w:lineRule="auto"/>
      <w:ind w:firstLine="771" w:firstLineChars="257"/>
    </w:pPr>
    <w:rPr>
      <w:rFonts w:eastAsia="仿宋" w:cs="宋体"/>
      <w:sz w:val="30"/>
      <w:szCs w:val="30"/>
    </w:rPr>
  </w:style>
  <w:style w:type="paragraph" w:customStyle="1" w:styleId="58">
    <w:name w:val="_Style 56"/>
    <w:unhideWhenUsed/>
    <w:qFormat/>
    <w:uiPriority w:val="99"/>
    <w:rPr>
      <w:rFonts w:ascii="Times New Roman" w:hAnsi="Times New Roman" w:eastAsia="宋体" w:cs="Times New Roman"/>
      <w:sz w:val="21"/>
      <w:szCs w:val="21"/>
      <w:lang w:val="en-US" w:eastAsia="zh-CN" w:bidi="ar-SA"/>
    </w:rPr>
  </w:style>
  <w:style w:type="paragraph" w:customStyle="1" w:styleId="59">
    <w:name w:val="msolistparagraph"/>
    <w:basedOn w:val="1"/>
    <w:qFormat/>
    <w:uiPriority w:val="0"/>
    <w:pPr>
      <w:widowControl w:val="0"/>
      <w:ind w:firstLine="420" w:firstLineChars="200"/>
      <w:jc w:val="both"/>
    </w:pPr>
    <w:rPr>
      <w:kern w:val="2"/>
    </w:rPr>
  </w:style>
  <w:style w:type="paragraph" w:customStyle="1" w:styleId="60">
    <w:name w:val="p0"/>
    <w:basedOn w:val="1"/>
    <w:qFormat/>
    <w:uiPriority w:val="0"/>
    <w:rPr>
      <w:rFonts w:ascii="Calibri" w:hAnsi="Calibri" w:eastAsia="仿宋_GB2312" w:cs="Calibri"/>
      <w:sz w:val="28"/>
    </w:rPr>
  </w:style>
  <w:style w:type="paragraph" w:customStyle="1" w:styleId="61">
    <w:name w:val="正文缩进1"/>
    <w:basedOn w:val="1"/>
    <w:qFormat/>
    <w:uiPriority w:val="0"/>
    <w:pPr>
      <w:autoSpaceDE w:val="0"/>
      <w:autoSpaceDN w:val="0"/>
      <w:adjustRightInd w:val="0"/>
      <w:ind w:firstLine="420"/>
    </w:pPr>
    <w:rPr>
      <w:rFonts w:ascii="宋体" w:hAnsi="Calibri"/>
      <w:sz w:val="24"/>
      <w:szCs w:val="22"/>
    </w:rPr>
  </w:style>
  <w:style w:type="paragraph" w:customStyle="1" w:styleId="62">
    <w:name w:val="Table Paragraph"/>
    <w:basedOn w:val="63"/>
    <w:qFormat/>
    <w:uiPriority w:val="1"/>
    <w:pPr>
      <w:jc w:val="left"/>
    </w:pPr>
    <w:rPr>
      <w:kern w:val="0"/>
      <w:sz w:val="22"/>
      <w:szCs w:val="22"/>
      <w:lang w:eastAsia="en-US"/>
    </w:rPr>
  </w:style>
  <w:style w:type="paragraph" w:customStyle="1" w:styleId="63">
    <w:name w:val="正文11"/>
    <w:next w:val="6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64">
    <w:name w:val="纯文本1"/>
    <w:basedOn w:val="1"/>
    <w:qFormat/>
    <w:uiPriority w:val="0"/>
    <w:rPr>
      <w:rFonts w:ascii="宋体" w:hAnsi="Courier New"/>
      <w:szCs w:val="22"/>
    </w:rPr>
  </w:style>
  <w:style w:type="paragraph" w:customStyle="1" w:styleId="65">
    <w:name w:val="索引 11"/>
    <w:basedOn w:val="1"/>
    <w:next w:val="1"/>
    <w:qFormat/>
    <w:uiPriority w:val="0"/>
    <w:pPr>
      <w:spacing w:line="360" w:lineRule="auto"/>
    </w:pPr>
    <w:rPr>
      <w:rFonts w:ascii="仿宋_GB2312" w:eastAsia="仿宋_GB2312"/>
      <w:sz w:val="24"/>
      <w:szCs w:val="20"/>
    </w:rPr>
  </w:style>
  <w:style w:type="paragraph" w:customStyle="1" w:styleId="66">
    <w:name w:val="Default"/>
    <w:qFormat/>
    <w:uiPriority w:val="0"/>
    <w:pPr>
      <w:widowControl w:val="0"/>
      <w:autoSpaceDE w:val="0"/>
      <w:autoSpaceDN w:val="0"/>
      <w:adjustRightInd w:val="0"/>
      <w:spacing w:line="440" w:lineRule="exact"/>
    </w:pPr>
    <w:rPr>
      <w:rFonts w:ascii="Times New Roman" w:hAnsi="Times New Roman" w:eastAsia="宋体" w:cs="宋体"/>
      <w:color w:val="000000"/>
      <w:sz w:val="24"/>
      <w:szCs w:val="24"/>
      <w:lang w:val="en-US" w:eastAsia="zh-CN" w:bidi="ar-SA"/>
    </w:rPr>
  </w:style>
  <w:style w:type="paragraph" w:customStyle="1" w:styleId="67">
    <w:name w:val="_Style 2"/>
    <w:basedOn w:val="1"/>
    <w:qFormat/>
    <w:uiPriority w:val="0"/>
  </w:style>
  <w:style w:type="paragraph" w:styleId="68">
    <w:name w:val="List Paragraph"/>
    <w:basedOn w:val="1"/>
    <w:qFormat/>
    <w:uiPriority w:val="34"/>
    <w:pPr>
      <w:ind w:firstLine="420"/>
    </w:pPr>
    <w:rPr>
      <w:rFonts w:ascii="Calibri" w:hAnsi="Calibri"/>
    </w:rPr>
  </w:style>
  <w:style w:type="character" w:customStyle="1" w:styleId="69">
    <w:name w:val="font21"/>
    <w:basedOn w:val="36"/>
    <w:qFormat/>
    <w:uiPriority w:val="0"/>
    <w:rPr>
      <w:rFonts w:hint="eastAsia" w:ascii="宋体" w:hAnsi="宋体" w:eastAsia="宋体" w:cs="宋体"/>
      <w:b/>
      <w:bCs/>
      <w:color w:val="000000"/>
      <w:sz w:val="28"/>
      <w:szCs w:val="28"/>
      <w:u w:val="none"/>
    </w:rPr>
  </w:style>
  <w:style w:type="character" w:customStyle="1" w:styleId="70">
    <w:name w:val="font31"/>
    <w:qFormat/>
    <w:uiPriority w:val="0"/>
    <w:rPr>
      <w:rFonts w:hint="eastAsia" w:ascii="宋体" w:hAnsi="宋体" w:eastAsia="宋体" w:cs="宋体"/>
      <w:b/>
      <w:bCs/>
      <w:color w:val="000000"/>
      <w:sz w:val="24"/>
      <w:szCs w:val="24"/>
      <w:u w:val="none"/>
    </w:rPr>
  </w:style>
  <w:style w:type="character" w:customStyle="1" w:styleId="71">
    <w:name w:val="font51"/>
    <w:qFormat/>
    <w:uiPriority w:val="0"/>
    <w:rPr>
      <w:rFonts w:hint="eastAsia" w:ascii="宋体" w:hAnsi="宋体" w:eastAsia="宋体" w:cs="宋体"/>
      <w:color w:val="000000"/>
      <w:sz w:val="21"/>
      <w:szCs w:val="21"/>
      <w:u w:val="none"/>
    </w:rPr>
  </w:style>
  <w:style w:type="paragraph" w:customStyle="1" w:styleId="72">
    <w:name w:val="71e7dc79-1ff7-45e8-997d-0ebda3762b91"/>
    <w:basedOn w:val="3"/>
    <w:next w:val="73"/>
    <w:qFormat/>
    <w:uiPriority w:val="0"/>
    <w:pPr>
      <w:numPr>
        <w:ilvl w:val="0"/>
        <w:numId w:val="3"/>
      </w:numPr>
      <w:adjustRightInd w:val="0"/>
      <w:spacing w:before="0" w:after="0" w:line="288" w:lineRule="auto"/>
      <w:ind w:left="0" w:firstLine="0"/>
    </w:pPr>
    <w:rPr>
      <w:rFonts w:ascii="微软雅黑" w:hAnsi="微软雅黑" w:eastAsia="微软雅黑" w:cs="宋体"/>
      <w:color w:val="000000"/>
      <w:sz w:val="28"/>
      <w:szCs w:val="24"/>
    </w:rPr>
  </w:style>
  <w:style w:type="paragraph" w:customStyle="1" w:styleId="73">
    <w:name w:val="acbfdd8b-e11b-4d36-88ff-6049b138f862"/>
    <w:basedOn w:val="14"/>
    <w:qFormat/>
    <w:uiPriority w:val="0"/>
    <w:pPr>
      <w:adjustRightInd w:val="0"/>
      <w:spacing w:line="288" w:lineRule="auto"/>
    </w:pPr>
    <w:rPr>
      <w:rFonts w:ascii="微软雅黑" w:hAnsi="微软雅黑" w:eastAsia="微软雅黑" w:cs="宋体"/>
      <w:color w:val="000000"/>
      <w:kern w:val="44"/>
      <w:sz w:val="22"/>
    </w:rPr>
  </w:style>
  <w:style w:type="paragraph" w:customStyle="1" w:styleId="74">
    <w:name w:val="Table Text"/>
    <w:basedOn w:val="1"/>
    <w:semiHidden/>
    <w:qFormat/>
    <w:uiPriority w:val="0"/>
    <w:pPr>
      <w:kinsoku w:val="0"/>
      <w:autoSpaceDE w:val="0"/>
      <w:autoSpaceDN w:val="0"/>
      <w:adjustRightInd w:val="0"/>
      <w:snapToGrid w:val="0"/>
      <w:spacing w:after="160"/>
      <w:textAlignment w:val="baseline"/>
    </w:pPr>
    <w:rPr>
      <w:rFonts w:ascii="宋体" w:hAnsi="宋体" w:cs="宋体"/>
      <w:snapToGrid w:val="0"/>
      <w:color w:val="000000"/>
      <w:sz w:val="23"/>
      <w:szCs w:val="23"/>
      <w:lang w:eastAsia="en-US"/>
    </w:rPr>
  </w:style>
  <w:style w:type="table" w:customStyle="1" w:styleId="75">
    <w:name w:val="Table Normal"/>
    <w:unhideWhenUsed/>
    <w:qFormat/>
    <w:uiPriority w:val="0"/>
    <w:pPr>
      <w:spacing w:after="160" w:line="278" w:lineRule="auto"/>
    </w:pPr>
    <w:rPr>
      <w:rFonts w:ascii="Arial" w:hAnsi="Arial" w:cs="Arial"/>
      <w:snapToGrid w:val="0"/>
      <w:color w:val="000000"/>
      <w:sz w:val="21"/>
      <w:szCs w:val="21"/>
      <w:lang w:eastAsia="en-US"/>
    </w:rPr>
    <w:tblPr>
      <w:tblCellMar>
        <w:top w:w="0" w:type="dxa"/>
        <w:left w:w="0" w:type="dxa"/>
        <w:bottom w:w="0" w:type="dxa"/>
        <w:right w:w="0" w:type="dxa"/>
      </w:tblCellMar>
    </w:tblPr>
  </w:style>
  <w:style w:type="character" w:customStyle="1" w:styleId="76">
    <w:name w:val="font91"/>
    <w:basedOn w:val="36"/>
    <w:qFormat/>
    <w:uiPriority w:val="0"/>
    <w:rPr>
      <w:rFonts w:ascii="宋体" w:hAnsi="宋体" w:eastAsia="宋体" w:cs="宋体"/>
      <w:color w:val="000000"/>
      <w:sz w:val="20"/>
      <w:szCs w:val="20"/>
      <w:u w:val="none"/>
    </w:rPr>
  </w:style>
  <w:style w:type="character" w:customStyle="1" w:styleId="77">
    <w:name w:val="font41"/>
    <w:basedOn w:val="36"/>
    <w:qFormat/>
    <w:uiPriority w:val="0"/>
    <w:rPr>
      <w:rFonts w:hint="eastAsia" w:ascii="宋体" w:hAnsi="宋体" w:eastAsia="宋体" w:cs="宋体"/>
      <w:b/>
      <w:bCs/>
      <w:color w:val="FF0000"/>
      <w:sz w:val="24"/>
      <w:szCs w:val="24"/>
      <w:u w:val="none"/>
    </w:rPr>
  </w:style>
  <w:style w:type="paragraph" w:customStyle="1" w:styleId="78">
    <w:name w:val="表格"/>
    <w:qFormat/>
    <w:uiPriority w:val="0"/>
    <w:pPr>
      <w:jc w:val="center"/>
    </w:pPr>
    <w:rPr>
      <w:rFonts w:ascii="time" w:hAnsi="time" w:eastAsia="宋体" w:cs="Times New Roman"/>
      <w:kern w:val="2"/>
      <w:sz w:val="24"/>
      <w:szCs w:val="24"/>
      <w:lang w:val="en-US" w:eastAsia="zh-CN" w:bidi="en-US"/>
    </w:rPr>
  </w:style>
  <w:style w:type="paragraph" w:customStyle="1" w:styleId="79">
    <w:name w:val="表格文字"/>
    <w:basedOn w:val="1"/>
    <w:qFormat/>
    <w:uiPriority w:val="0"/>
    <w:pPr>
      <w:adjustRightInd w:val="0"/>
      <w:spacing w:line="360" w:lineRule="auto"/>
      <w:ind w:firstLine="200" w:firstLineChars="200"/>
      <w:textAlignment w:val="baseline"/>
    </w:pPr>
    <w:rPr>
      <w:rFonts w:ascii="Arial" w:hAnsi="Arial" w:cs="Arial"/>
      <w:sz w:val="24"/>
      <w:szCs w:val="24"/>
    </w:rPr>
  </w:style>
  <w:style w:type="character" w:customStyle="1" w:styleId="80">
    <w:name w:val="批注框文本 Char"/>
    <w:basedOn w:val="36"/>
    <w:link w:val="20"/>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6.jpeg"/><Relationship Id="rId22" Type="http://schemas.openxmlformats.org/officeDocument/2006/relationships/image" Target="media/image5.jpeg"/><Relationship Id="rId21" Type="http://schemas.openxmlformats.org/officeDocument/2006/relationships/image" Target="media/image4.jpeg"/><Relationship Id="rId20" Type="http://schemas.openxmlformats.org/officeDocument/2006/relationships/image" Target="media/image3.jpe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FCB5620-068D-42A3-BB4A-4C6490A50ADB}">
  <ds:schemaRefs/>
</ds:datastoreItem>
</file>

<file path=docProps/app.xml><?xml version="1.0" encoding="utf-8"?>
<Properties xmlns="http://schemas.openxmlformats.org/officeDocument/2006/extended-properties" xmlns:vt="http://schemas.openxmlformats.org/officeDocument/2006/docPropsVTypes">
  <Template>Normal</Template>
  <Pages>78</Pages>
  <Words>167</Words>
  <Characters>187</Characters>
  <Lines>307</Lines>
  <Paragraphs>86</Paragraphs>
  <TotalTime>20</TotalTime>
  <ScaleCrop>false</ScaleCrop>
  <LinksUpToDate>false</LinksUpToDate>
  <CharactersWithSpaces>252</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2017-10-18T19:15:00Z</dcterms:created>
  <dc:creator>jsb</dc:creator>
  <cp:lastModifiedBy>冯志刚</cp:lastModifiedBy>
  <dcterms:modified xsi:type="dcterms:W3CDTF">2026-05-13T11:13:16Z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37B04196B5DA4E7FBDCACC3FCD8D425B_13</vt:lpwstr>
  </property>
  <property fmtid="{D5CDD505-2E9C-101B-9397-08002B2CF9AE}" pid="3" name="KSOProductBuildVer">
    <vt:lpwstr>2052-12.1.0.25865</vt:lpwstr>
  </property>
  <property fmtid="{D5CDD505-2E9C-101B-9397-08002B2CF9AE}" pid="4" name="KSOTemplateDocerSaveRecord">
    <vt:lpwstr>eyJoZGlkIjoiOTY0ZWYxYTllNjg4NTk4YjVhZDJhMWUzYjIzYTNlNTYiLCJ1c2VySWQiOiI0MjY0Nzk2MjcifQ==</vt:lpwstr>
  </property>
</Properties>
</file>