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D98830">
      <w:pPr>
        <w:spacing w:before="120" w:beforeLines="50"/>
        <w:jc w:val="center"/>
        <w:rPr>
          <w:rFonts w:ascii="华文新魏" w:hAnsi="宋体" w:eastAsia="华文新魏"/>
          <w:b/>
          <w:sz w:val="52"/>
          <w:szCs w:val="52"/>
        </w:rPr>
      </w:pPr>
    </w:p>
    <w:p w14:paraId="3ECFA031">
      <w:pPr>
        <w:spacing w:before="120" w:beforeLines="50"/>
        <w:jc w:val="center"/>
        <w:rPr>
          <w:rFonts w:ascii="华文新魏" w:hAnsi="宋体" w:eastAsia="华文新魏"/>
          <w:b/>
          <w:sz w:val="52"/>
          <w:szCs w:val="52"/>
        </w:rPr>
      </w:pPr>
      <w:r>
        <w:rPr>
          <w:rFonts w:hint="eastAsia" w:ascii="华文新魏" w:hAnsi="宋体" w:eastAsia="华文新魏"/>
          <w:b/>
          <w:sz w:val="52"/>
          <w:szCs w:val="52"/>
          <w:lang w:eastAsia="zh-CN"/>
        </w:rPr>
        <w:t xml:space="preserve">普陀区图书馆沈家门渔港文旅驿站（城市书房）运营服务 </w:t>
      </w:r>
      <w:r>
        <w:rPr>
          <w:rFonts w:hint="eastAsia" w:ascii="华文新魏" w:hAnsi="宋体" w:eastAsia="华文新魏"/>
          <w:b/>
          <w:sz w:val="52"/>
          <w:szCs w:val="52"/>
        </w:rPr>
        <w:t xml:space="preserve"> </w:t>
      </w:r>
    </w:p>
    <w:p w14:paraId="40C788BA">
      <w:pPr>
        <w:spacing w:after="156"/>
        <w:outlineLvl w:val="0"/>
        <w:rPr>
          <w:rFonts w:ascii="华文新魏" w:hAnsi="宋体" w:eastAsia="华文新魏"/>
          <w:b/>
          <w:spacing w:val="12"/>
          <w:sz w:val="44"/>
          <w:szCs w:val="44"/>
        </w:rPr>
      </w:pPr>
    </w:p>
    <w:p w14:paraId="2040C8EF">
      <w:pPr>
        <w:spacing w:before="120" w:beforeLines="50"/>
        <w:jc w:val="center"/>
        <w:rPr>
          <w:rFonts w:ascii="华文新魏" w:hAnsi="宋体" w:eastAsia="华文新魏"/>
          <w:b/>
          <w:sz w:val="52"/>
          <w:szCs w:val="52"/>
        </w:rPr>
      </w:pPr>
      <w:r>
        <w:rPr>
          <w:rFonts w:hint="eastAsia" w:ascii="华文新魏" w:hAnsi="宋体" w:eastAsia="华文新魏"/>
          <w:b/>
          <w:sz w:val="52"/>
          <w:szCs w:val="52"/>
        </w:rPr>
        <w:t>竞争性磋商文件</w:t>
      </w:r>
    </w:p>
    <w:p w14:paraId="3FE26EF7">
      <w:pPr>
        <w:pStyle w:val="12"/>
        <w:snapToGrid w:val="0"/>
        <w:spacing w:before="120" w:line="360" w:lineRule="auto"/>
        <w:rPr>
          <w:rFonts w:ascii="华文新魏" w:hAnsi="华文新魏" w:eastAsia="华文新魏"/>
          <w:b/>
          <w:sz w:val="32"/>
        </w:rPr>
      </w:pPr>
    </w:p>
    <w:p w14:paraId="5FE7F78D">
      <w:pPr>
        <w:pStyle w:val="12"/>
        <w:snapToGrid w:val="0"/>
        <w:spacing w:before="156"/>
        <w:ind w:left="1602" w:hanging="1602" w:hangingChars="500"/>
        <w:jc w:val="left"/>
        <w:rPr>
          <w:rFonts w:ascii="华文新魏" w:hAnsi="华文新魏" w:eastAsia="华文新魏"/>
          <w:b/>
          <w:sz w:val="32"/>
        </w:rPr>
      </w:pPr>
    </w:p>
    <w:p w14:paraId="544DE5BB">
      <w:pPr>
        <w:pStyle w:val="12"/>
        <w:snapToGrid w:val="0"/>
        <w:spacing w:before="156"/>
        <w:ind w:left="1602" w:hanging="1602" w:hangingChars="500"/>
        <w:jc w:val="left"/>
        <w:rPr>
          <w:rFonts w:ascii="华文新魏" w:hAnsi="华文新魏" w:eastAsia="华文新魏" w:cs="华文新魏"/>
          <w:b/>
          <w:sz w:val="32"/>
          <w:lang w:val="zh-CN"/>
        </w:rPr>
      </w:pPr>
      <w:r>
        <w:rPr>
          <w:rFonts w:hint="eastAsia" w:ascii="华文新魏" w:hAnsi="华文新魏" w:eastAsia="华文新魏"/>
          <w:b/>
          <w:sz w:val="32"/>
        </w:rPr>
        <w:t>项目名称</w:t>
      </w:r>
      <w:r>
        <w:rPr>
          <w:rFonts w:hint="eastAsia" w:ascii="华文新魏" w:hAnsi="华文新魏" w:eastAsia="华文新魏"/>
          <w:sz w:val="32"/>
        </w:rPr>
        <w:t>：</w:t>
      </w:r>
      <w:r>
        <w:rPr>
          <w:rFonts w:hint="eastAsia" w:ascii="华文新魏" w:hAnsi="华文新魏" w:eastAsia="华文新魏"/>
          <w:b/>
          <w:sz w:val="32"/>
          <w:lang w:val="zh-CN"/>
        </w:rPr>
        <w:t xml:space="preserve">普陀区图书馆沈家门渔港文旅驿站（城市书房）运营服务  </w:t>
      </w:r>
    </w:p>
    <w:p w14:paraId="40D0C2A8">
      <w:pPr>
        <w:pStyle w:val="12"/>
        <w:snapToGrid w:val="0"/>
        <w:spacing w:before="156"/>
        <w:ind w:left="1602" w:hanging="1602" w:hangingChars="500"/>
        <w:jc w:val="left"/>
        <w:rPr>
          <w:rFonts w:ascii="华文新魏" w:hAnsi="华文新魏" w:eastAsia="华文新魏" w:cs="华文新魏"/>
          <w:b/>
          <w:sz w:val="32"/>
          <w:lang w:val="zh-CN"/>
        </w:rPr>
      </w:pPr>
    </w:p>
    <w:p w14:paraId="0EEC7F9D">
      <w:pPr>
        <w:pStyle w:val="12"/>
        <w:snapToGrid w:val="0"/>
        <w:spacing w:before="156"/>
        <w:ind w:left="1602" w:hanging="1602" w:hangingChars="500"/>
        <w:jc w:val="left"/>
        <w:rPr>
          <w:rFonts w:ascii="华文新魏" w:hAnsi="华文新魏" w:eastAsia="华文新魏"/>
          <w:b/>
          <w:sz w:val="32"/>
        </w:rPr>
      </w:pPr>
      <w:r>
        <w:rPr>
          <w:rFonts w:hint="eastAsia" w:ascii="华文新魏" w:hAnsi="华文新魏" w:eastAsia="华文新魏" w:cs="华文新魏"/>
          <w:b/>
          <w:sz w:val="32"/>
          <w:lang w:val="zh-CN"/>
        </w:rPr>
        <w:t>项目编号：SZGXZS2026079</w:t>
      </w:r>
    </w:p>
    <w:p w14:paraId="07A73464">
      <w:pPr>
        <w:pStyle w:val="12"/>
        <w:snapToGrid w:val="0"/>
        <w:spacing w:before="156"/>
        <w:ind w:left="1602" w:hanging="1602" w:hangingChars="500"/>
        <w:jc w:val="left"/>
        <w:rPr>
          <w:rFonts w:ascii="华文新魏" w:hAnsi="华文新魏" w:eastAsia="华文新魏"/>
          <w:b/>
          <w:sz w:val="32"/>
          <w:lang w:val="zh-CN"/>
        </w:rPr>
      </w:pPr>
    </w:p>
    <w:p w14:paraId="241FA591">
      <w:pPr>
        <w:pStyle w:val="12"/>
        <w:snapToGrid w:val="0"/>
        <w:spacing w:before="156"/>
        <w:ind w:left="1602" w:hanging="1602" w:hangingChars="500"/>
        <w:jc w:val="left"/>
        <w:rPr>
          <w:rFonts w:ascii="华文新魏" w:hAnsi="华文新魏" w:eastAsia="华文新魏"/>
          <w:b/>
          <w:sz w:val="32"/>
          <w:lang w:val="zh-CN"/>
        </w:rPr>
      </w:pPr>
      <w:r>
        <w:rPr>
          <w:rFonts w:hint="eastAsia" w:ascii="华文新魏" w:hAnsi="华文新魏" w:eastAsia="华文新魏"/>
          <w:b/>
          <w:sz w:val="32"/>
          <w:lang w:val="zh-CN"/>
        </w:rPr>
        <w:t>采购单位：舟山市普陀区图书馆</w:t>
      </w:r>
    </w:p>
    <w:p w14:paraId="7DEF61CB">
      <w:pPr>
        <w:pStyle w:val="12"/>
        <w:snapToGrid w:val="0"/>
        <w:spacing w:before="156"/>
        <w:ind w:left="1596" w:leftChars="760"/>
        <w:jc w:val="left"/>
        <w:rPr>
          <w:rFonts w:ascii="华文新魏" w:hAnsi="华文新魏" w:eastAsia="华文新魏"/>
          <w:b/>
          <w:sz w:val="32"/>
        </w:rPr>
      </w:pPr>
    </w:p>
    <w:p w14:paraId="213B0728">
      <w:pPr>
        <w:pStyle w:val="12"/>
        <w:snapToGrid w:val="0"/>
        <w:spacing w:before="156"/>
        <w:rPr>
          <w:rFonts w:ascii="华文新魏" w:hAnsi="华文新魏" w:eastAsia="华文新魏"/>
          <w:b/>
          <w:w w:val="95"/>
          <w:sz w:val="32"/>
        </w:rPr>
      </w:pPr>
      <w:r>
        <w:rPr>
          <w:rFonts w:hint="eastAsia" w:ascii="华文新魏" w:hAnsi="华文新魏" w:eastAsia="华文新魏"/>
          <w:b/>
          <w:w w:val="95"/>
          <w:sz w:val="32"/>
        </w:rPr>
        <w:t>代理机构：深圳市国信招标有限公司</w:t>
      </w:r>
    </w:p>
    <w:p w14:paraId="41785788">
      <w:pPr>
        <w:pStyle w:val="12"/>
        <w:snapToGrid w:val="0"/>
        <w:spacing w:before="156" w:line="360" w:lineRule="auto"/>
        <w:ind w:right="608"/>
        <w:rPr>
          <w:rFonts w:ascii="华文新魏" w:hAnsi="华文新魏" w:eastAsia="华文新魏"/>
          <w:b/>
          <w:w w:val="95"/>
          <w:sz w:val="32"/>
        </w:rPr>
      </w:pPr>
    </w:p>
    <w:p w14:paraId="169992F1">
      <w:pPr>
        <w:pStyle w:val="12"/>
        <w:snapToGrid w:val="0"/>
        <w:spacing w:before="156" w:line="360" w:lineRule="auto"/>
        <w:ind w:right="608"/>
        <w:rPr>
          <w:rFonts w:ascii="华文新魏" w:hAnsi="华文新魏" w:eastAsia="华文新魏"/>
          <w:b/>
          <w:w w:val="95"/>
          <w:sz w:val="32"/>
        </w:rPr>
      </w:pPr>
    </w:p>
    <w:p w14:paraId="3CF212DD">
      <w:pPr>
        <w:pStyle w:val="12"/>
        <w:snapToGrid w:val="0"/>
        <w:spacing w:before="156" w:line="360" w:lineRule="auto"/>
        <w:ind w:left="5974" w:right="608" w:hanging="5968" w:hangingChars="1961"/>
        <w:rPr>
          <w:rFonts w:ascii="华文新魏" w:hAnsi="华文新魏" w:eastAsia="华文新魏"/>
          <w:b/>
          <w:w w:val="95"/>
          <w:sz w:val="32"/>
        </w:rPr>
      </w:pPr>
      <w:r>
        <w:rPr>
          <w:rFonts w:hint="eastAsia" w:ascii="华文新魏" w:hAnsi="华文新魏" w:eastAsia="华文新魏"/>
          <w:b/>
          <w:w w:val="95"/>
          <w:sz w:val="32"/>
        </w:rPr>
        <w:t xml:space="preserve">                               2026年0</w:t>
      </w:r>
      <w:r>
        <w:rPr>
          <w:rFonts w:hint="eastAsia" w:ascii="华文新魏" w:hAnsi="华文新魏" w:eastAsia="华文新魏"/>
          <w:b/>
          <w:w w:val="95"/>
          <w:sz w:val="32"/>
          <w:lang w:val="en-US" w:eastAsia="zh-CN"/>
        </w:rPr>
        <w:t>6</w:t>
      </w:r>
      <w:r>
        <w:rPr>
          <w:rFonts w:hint="eastAsia" w:ascii="华文新魏" w:hAnsi="华文新魏" w:eastAsia="华文新魏"/>
          <w:b/>
          <w:w w:val="95"/>
          <w:sz w:val="32"/>
        </w:rPr>
        <w:t>月</w:t>
      </w:r>
      <w:r>
        <w:rPr>
          <w:rFonts w:hint="eastAsia" w:ascii="华文新魏" w:hAnsi="华文新魏" w:eastAsia="华文新魏"/>
          <w:b/>
          <w:w w:val="95"/>
          <w:sz w:val="32"/>
          <w:lang w:val="en-US" w:eastAsia="zh-CN"/>
        </w:rPr>
        <w:t>03</w:t>
      </w:r>
      <w:r>
        <w:rPr>
          <w:rFonts w:hint="eastAsia" w:ascii="华文新魏" w:hAnsi="华文新魏" w:eastAsia="华文新魏"/>
          <w:b/>
          <w:w w:val="95"/>
          <w:sz w:val="32"/>
        </w:rPr>
        <w:t>日</w:t>
      </w:r>
    </w:p>
    <w:p w14:paraId="79947D8A">
      <w:pPr>
        <w:pStyle w:val="45"/>
        <w:spacing w:before="156" w:after="156" w:line="360" w:lineRule="auto"/>
        <w:rPr>
          <w:rFonts w:hAnsi="宋体"/>
          <w:sz w:val="32"/>
          <w:szCs w:val="32"/>
        </w:rPr>
      </w:pPr>
    </w:p>
    <w:p w14:paraId="4CD92501">
      <w:pPr>
        <w:pStyle w:val="45"/>
        <w:spacing w:before="156" w:after="156" w:line="360" w:lineRule="auto"/>
        <w:jc w:val="center"/>
        <w:rPr>
          <w:rFonts w:hAnsi="宋体"/>
          <w:b/>
          <w:snapToGrid w:val="0"/>
          <w:kern w:val="0"/>
          <w:sz w:val="48"/>
          <w:szCs w:val="48"/>
        </w:rPr>
      </w:pPr>
      <w:r>
        <w:rPr>
          <w:rFonts w:hAnsi="宋体"/>
          <w:b/>
          <w:snapToGrid w:val="0"/>
          <w:kern w:val="0"/>
          <w:sz w:val="48"/>
          <w:szCs w:val="48"/>
        </w:rPr>
        <w:t>目    录</w:t>
      </w:r>
    </w:p>
    <w:p w14:paraId="3C04F9C6">
      <w:pPr>
        <w:spacing w:line="360" w:lineRule="auto"/>
        <w:rPr>
          <w:rFonts w:ascii="宋体" w:hAnsi="宋体"/>
          <w:sz w:val="24"/>
        </w:rPr>
      </w:pPr>
    </w:p>
    <w:p w14:paraId="20F7981A">
      <w:pPr>
        <w:spacing w:line="360" w:lineRule="auto"/>
        <w:rPr>
          <w:rFonts w:ascii="宋体" w:hAnsi="宋体"/>
          <w:sz w:val="24"/>
        </w:rPr>
      </w:pPr>
      <w:r>
        <w:rPr>
          <w:rFonts w:ascii="宋体" w:hAnsi="宋体"/>
          <w:sz w:val="24"/>
        </w:rPr>
        <w:t xml:space="preserve">第一章  </w:t>
      </w:r>
      <w:r>
        <w:rPr>
          <w:rFonts w:hint="eastAsia" w:ascii="宋体" w:hAnsi="宋体"/>
          <w:sz w:val="24"/>
        </w:rPr>
        <w:t>竞争性磋商采购公告</w:t>
      </w:r>
    </w:p>
    <w:p w14:paraId="24AA550D">
      <w:pPr>
        <w:spacing w:line="360" w:lineRule="auto"/>
        <w:rPr>
          <w:rFonts w:ascii="宋体" w:hAnsi="宋体"/>
          <w:sz w:val="24"/>
        </w:rPr>
      </w:pPr>
      <w:r>
        <w:rPr>
          <w:rFonts w:ascii="宋体" w:hAnsi="宋体"/>
          <w:sz w:val="24"/>
        </w:rPr>
        <w:t>第二章  采购需求</w:t>
      </w:r>
    </w:p>
    <w:p w14:paraId="2AB02A64">
      <w:pPr>
        <w:spacing w:line="360" w:lineRule="auto"/>
        <w:rPr>
          <w:rFonts w:ascii="宋体" w:hAnsi="宋体"/>
          <w:sz w:val="24"/>
        </w:rPr>
      </w:pPr>
      <w:r>
        <w:rPr>
          <w:rFonts w:ascii="宋体" w:hAnsi="宋体"/>
          <w:sz w:val="24"/>
        </w:rPr>
        <w:t xml:space="preserve">第三章  </w:t>
      </w:r>
      <w:r>
        <w:rPr>
          <w:rFonts w:hint="eastAsia" w:ascii="宋体" w:hAnsi="宋体"/>
          <w:sz w:val="24"/>
        </w:rPr>
        <w:t>投标人</w:t>
      </w:r>
      <w:r>
        <w:rPr>
          <w:rFonts w:ascii="宋体" w:hAnsi="宋体"/>
          <w:sz w:val="24"/>
        </w:rPr>
        <w:t>须知</w:t>
      </w:r>
    </w:p>
    <w:p w14:paraId="39EDCF5B">
      <w:pPr>
        <w:spacing w:before="120" w:line="360" w:lineRule="auto"/>
        <w:ind w:firstLine="960" w:firstLineChars="400"/>
        <w:rPr>
          <w:rFonts w:ascii="宋体" w:hAnsi="宋体"/>
          <w:sz w:val="24"/>
        </w:rPr>
      </w:pPr>
      <w:r>
        <w:rPr>
          <w:rFonts w:ascii="宋体" w:hAnsi="宋体"/>
          <w:sz w:val="24"/>
        </w:rPr>
        <w:t>前附表</w:t>
      </w:r>
    </w:p>
    <w:p w14:paraId="27CBCA29">
      <w:pPr>
        <w:spacing w:before="120" w:line="360" w:lineRule="auto"/>
        <w:ind w:firstLine="480" w:firstLineChars="200"/>
        <w:rPr>
          <w:rFonts w:ascii="宋体" w:hAnsi="宋体"/>
          <w:sz w:val="24"/>
        </w:rPr>
      </w:pPr>
      <w:r>
        <w:rPr>
          <w:rFonts w:ascii="宋体" w:hAnsi="宋体"/>
          <w:sz w:val="24"/>
        </w:rPr>
        <w:t>一、总 则</w:t>
      </w:r>
    </w:p>
    <w:p w14:paraId="322143D4">
      <w:pPr>
        <w:spacing w:before="120" w:line="360" w:lineRule="auto"/>
        <w:ind w:firstLine="480" w:firstLineChars="200"/>
        <w:rPr>
          <w:rFonts w:ascii="宋体" w:hAnsi="宋体"/>
          <w:sz w:val="24"/>
        </w:rPr>
      </w:pPr>
      <w:r>
        <w:rPr>
          <w:rFonts w:ascii="宋体" w:hAnsi="宋体"/>
          <w:sz w:val="24"/>
        </w:rPr>
        <w:t>二、</w:t>
      </w:r>
      <w:r>
        <w:rPr>
          <w:rFonts w:hint="eastAsia" w:ascii="宋体" w:hAnsi="宋体"/>
          <w:sz w:val="24"/>
        </w:rPr>
        <w:t>投标</w:t>
      </w:r>
      <w:r>
        <w:rPr>
          <w:rFonts w:ascii="宋体" w:hAnsi="宋体"/>
          <w:sz w:val="24"/>
        </w:rPr>
        <w:t>文件</w:t>
      </w:r>
    </w:p>
    <w:p w14:paraId="67FD70CC">
      <w:pPr>
        <w:spacing w:before="120" w:line="360" w:lineRule="auto"/>
        <w:ind w:firstLine="480" w:firstLineChars="200"/>
        <w:rPr>
          <w:rFonts w:ascii="宋体" w:hAnsi="宋体"/>
          <w:sz w:val="24"/>
        </w:rPr>
      </w:pPr>
      <w:r>
        <w:rPr>
          <w:rFonts w:ascii="宋体" w:hAnsi="宋体"/>
          <w:sz w:val="24"/>
        </w:rPr>
        <w:t>三、</w:t>
      </w:r>
      <w:r>
        <w:rPr>
          <w:rFonts w:hint="eastAsia" w:ascii="宋体" w:hAnsi="宋体"/>
          <w:sz w:val="24"/>
        </w:rPr>
        <w:t>投标</w:t>
      </w:r>
      <w:r>
        <w:rPr>
          <w:rFonts w:ascii="宋体" w:hAnsi="宋体"/>
          <w:sz w:val="24"/>
        </w:rPr>
        <w:t>文件的编制</w:t>
      </w:r>
    </w:p>
    <w:p w14:paraId="3E3A6253">
      <w:pPr>
        <w:spacing w:before="120" w:line="360" w:lineRule="auto"/>
        <w:ind w:firstLine="480" w:firstLineChars="200"/>
        <w:rPr>
          <w:rFonts w:ascii="宋体" w:hAnsi="宋体"/>
          <w:sz w:val="24"/>
        </w:rPr>
      </w:pPr>
      <w:r>
        <w:rPr>
          <w:rFonts w:ascii="宋体" w:hAnsi="宋体"/>
          <w:sz w:val="24"/>
        </w:rPr>
        <w:t>四、</w:t>
      </w:r>
      <w:r>
        <w:rPr>
          <w:rFonts w:hint="eastAsia" w:ascii="宋体" w:hAnsi="宋体"/>
          <w:sz w:val="24"/>
        </w:rPr>
        <w:t>开标</w:t>
      </w:r>
    </w:p>
    <w:p w14:paraId="1EEED910">
      <w:pPr>
        <w:spacing w:before="120" w:line="360" w:lineRule="auto"/>
        <w:ind w:firstLine="480" w:firstLineChars="200"/>
        <w:rPr>
          <w:rFonts w:ascii="宋体" w:hAnsi="宋体"/>
          <w:sz w:val="24"/>
        </w:rPr>
      </w:pPr>
      <w:r>
        <w:rPr>
          <w:rFonts w:ascii="宋体" w:hAnsi="宋体"/>
          <w:sz w:val="24"/>
        </w:rPr>
        <w:t>五、评</w:t>
      </w:r>
      <w:r>
        <w:rPr>
          <w:rFonts w:hint="eastAsia" w:ascii="宋体" w:hAnsi="宋体"/>
          <w:sz w:val="24"/>
        </w:rPr>
        <w:t>标</w:t>
      </w:r>
    </w:p>
    <w:p w14:paraId="459ADD0C">
      <w:pPr>
        <w:spacing w:before="120" w:line="360" w:lineRule="auto"/>
        <w:ind w:firstLine="480" w:firstLineChars="200"/>
        <w:rPr>
          <w:rFonts w:ascii="宋体" w:hAnsi="宋体"/>
          <w:sz w:val="24"/>
        </w:rPr>
      </w:pPr>
      <w:r>
        <w:rPr>
          <w:rFonts w:ascii="宋体" w:hAnsi="宋体"/>
          <w:sz w:val="24"/>
        </w:rPr>
        <w:t>六、定标</w:t>
      </w:r>
    </w:p>
    <w:p w14:paraId="008A7C2A">
      <w:pPr>
        <w:spacing w:line="360" w:lineRule="auto"/>
        <w:rPr>
          <w:rFonts w:ascii="宋体" w:hAnsi="宋体"/>
          <w:sz w:val="24"/>
        </w:rPr>
      </w:pPr>
      <w:r>
        <w:rPr>
          <w:rFonts w:ascii="宋体" w:hAnsi="宋体"/>
          <w:sz w:val="24"/>
        </w:rPr>
        <w:t xml:space="preserve">第四章  </w:t>
      </w:r>
      <w:r>
        <w:rPr>
          <w:rFonts w:hint="eastAsia" w:ascii="宋体" w:hAnsi="宋体"/>
          <w:sz w:val="24"/>
        </w:rPr>
        <w:t>评标方法</w:t>
      </w:r>
      <w:r>
        <w:rPr>
          <w:rFonts w:ascii="宋体" w:hAnsi="宋体"/>
          <w:sz w:val="24"/>
        </w:rPr>
        <w:t>及</w:t>
      </w:r>
      <w:r>
        <w:rPr>
          <w:rFonts w:hint="eastAsia" w:ascii="宋体" w:hAnsi="宋体"/>
          <w:sz w:val="24"/>
        </w:rPr>
        <w:t>评分</w:t>
      </w:r>
      <w:r>
        <w:rPr>
          <w:rFonts w:ascii="宋体" w:hAnsi="宋体"/>
          <w:sz w:val="24"/>
        </w:rPr>
        <w:t>标准</w:t>
      </w:r>
    </w:p>
    <w:p w14:paraId="6E668976">
      <w:pPr>
        <w:spacing w:line="360" w:lineRule="auto"/>
        <w:rPr>
          <w:rFonts w:ascii="宋体" w:hAnsi="宋体"/>
          <w:sz w:val="24"/>
        </w:rPr>
      </w:pPr>
      <w:r>
        <w:rPr>
          <w:rFonts w:ascii="宋体" w:hAnsi="宋体"/>
          <w:sz w:val="24"/>
        </w:rPr>
        <w:t>第五章  合同主要条款</w:t>
      </w:r>
    </w:p>
    <w:p w14:paraId="09CA28F6">
      <w:pPr>
        <w:spacing w:line="360" w:lineRule="auto"/>
        <w:rPr>
          <w:rFonts w:ascii="宋体" w:hAnsi="宋体"/>
          <w:sz w:val="24"/>
        </w:rPr>
      </w:pPr>
      <w:r>
        <w:rPr>
          <w:rFonts w:ascii="宋体" w:hAnsi="宋体"/>
          <w:sz w:val="24"/>
        </w:rPr>
        <w:t xml:space="preserve">第六章  </w:t>
      </w:r>
      <w:r>
        <w:rPr>
          <w:rFonts w:hint="eastAsia" w:ascii="宋体" w:hAnsi="宋体"/>
          <w:sz w:val="24"/>
        </w:rPr>
        <w:t>投标</w:t>
      </w:r>
      <w:r>
        <w:rPr>
          <w:rFonts w:ascii="宋体" w:hAnsi="宋体"/>
          <w:sz w:val="24"/>
        </w:rPr>
        <w:t>文件</w:t>
      </w:r>
      <w:r>
        <w:rPr>
          <w:rFonts w:hint="eastAsia" w:ascii="宋体" w:hAnsi="宋体"/>
          <w:sz w:val="24"/>
        </w:rPr>
        <w:t>相关</w:t>
      </w:r>
      <w:r>
        <w:rPr>
          <w:rFonts w:ascii="宋体" w:hAnsi="宋体"/>
          <w:sz w:val="24"/>
        </w:rPr>
        <w:t>格式</w:t>
      </w:r>
    </w:p>
    <w:p w14:paraId="24B59424">
      <w:pPr>
        <w:rPr>
          <w:sz w:val="24"/>
        </w:rPr>
      </w:pPr>
    </w:p>
    <w:p w14:paraId="3EC29D59">
      <w:pPr>
        <w:pStyle w:val="2"/>
      </w:pPr>
    </w:p>
    <w:p w14:paraId="59894F4C">
      <w:pPr>
        <w:pStyle w:val="2"/>
      </w:pPr>
    </w:p>
    <w:p w14:paraId="257A32F4">
      <w:pPr>
        <w:pStyle w:val="2"/>
      </w:pPr>
    </w:p>
    <w:p w14:paraId="5EB460EF">
      <w:pPr>
        <w:pStyle w:val="2"/>
      </w:pPr>
    </w:p>
    <w:p w14:paraId="1C6CEC27">
      <w:pPr>
        <w:pStyle w:val="2"/>
      </w:pPr>
    </w:p>
    <w:p w14:paraId="6F71A62B">
      <w:pPr>
        <w:pStyle w:val="2"/>
      </w:pPr>
    </w:p>
    <w:p w14:paraId="19AEAE50">
      <w:pPr>
        <w:pStyle w:val="2"/>
      </w:pPr>
    </w:p>
    <w:p w14:paraId="115B4B44">
      <w:pPr>
        <w:pStyle w:val="2"/>
      </w:pPr>
    </w:p>
    <w:p w14:paraId="4B68202A">
      <w:pPr>
        <w:pStyle w:val="2"/>
      </w:pPr>
    </w:p>
    <w:p w14:paraId="340B5F4E">
      <w:pPr>
        <w:pStyle w:val="2"/>
      </w:pPr>
    </w:p>
    <w:p w14:paraId="27BA8619">
      <w:pPr>
        <w:pStyle w:val="2"/>
      </w:pPr>
    </w:p>
    <w:p w14:paraId="35DA6BC1">
      <w:pPr>
        <w:pStyle w:val="2"/>
      </w:pPr>
    </w:p>
    <w:p w14:paraId="55A14429">
      <w:pPr>
        <w:numPr>
          <w:ilvl w:val="0"/>
          <w:numId w:val="2"/>
        </w:numPr>
        <w:spacing w:line="360" w:lineRule="auto"/>
        <w:jc w:val="center"/>
        <w:rPr>
          <w:rFonts w:ascii="宋体" w:hAnsi="宋体"/>
          <w:b/>
          <w:sz w:val="30"/>
          <w:szCs w:val="30"/>
        </w:rPr>
      </w:pPr>
      <w:bookmarkStart w:id="0" w:name="OLE_LINK1"/>
      <w:r>
        <w:rPr>
          <w:rFonts w:hint="eastAsia" w:ascii="宋体" w:hAnsi="宋体"/>
          <w:b/>
          <w:sz w:val="30"/>
          <w:szCs w:val="30"/>
        </w:rPr>
        <w:t>竞争性磋商</w:t>
      </w:r>
      <w:r>
        <w:rPr>
          <w:rFonts w:ascii="宋体" w:hAnsi="宋体"/>
          <w:b/>
          <w:sz w:val="30"/>
          <w:szCs w:val="30"/>
        </w:rPr>
        <w:t>公告</w:t>
      </w:r>
      <w:bookmarkEnd w:id="0"/>
    </w:p>
    <w:p w14:paraId="34A0D657">
      <w:pPr>
        <w:pStyle w:val="68"/>
        <w:spacing w:beforeAutospacing="0" w:afterAutospacing="0" w:line="312" w:lineRule="auto"/>
        <w:ind w:firstLine="420" w:firstLineChars="200"/>
        <w:jc w:val="both"/>
        <w:rPr>
          <w:sz w:val="21"/>
          <w:szCs w:val="21"/>
          <w:shd w:val="clear" w:color="auto" w:fill="FFFFFF"/>
        </w:rPr>
      </w:pPr>
    </w:p>
    <w:p w14:paraId="3CC37146">
      <w:pPr>
        <w:pStyle w:val="68"/>
        <w:spacing w:beforeAutospacing="0" w:afterAutospacing="0" w:line="312" w:lineRule="auto"/>
        <w:ind w:firstLine="420" w:firstLineChars="200"/>
        <w:jc w:val="both"/>
        <w:rPr>
          <w:rFonts w:asciiTheme="minorEastAsia" w:hAnsiTheme="minorEastAsia" w:eastAsiaTheme="minorEastAsia"/>
          <w:sz w:val="21"/>
          <w:szCs w:val="21"/>
          <w:shd w:val="clear" w:color="auto" w:fill="FFFFFF"/>
        </w:rPr>
      </w:pPr>
      <w:r>
        <w:rPr>
          <w:sz w:val="21"/>
          <w:szCs w:val="21"/>
          <w:shd w:val="clear" w:color="auto" w:fill="FFFFFF"/>
        </w:rPr>
        <w:t>根据《中华人民共和国政府采购法》等规定，</w:t>
      </w:r>
      <w:r>
        <w:rPr>
          <w:rFonts w:hint="eastAsia"/>
          <w:sz w:val="21"/>
          <w:szCs w:val="21"/>
          <w:shd w:val="clear" w:color="auto" w:fill="FFFFFF"/>
        </w:rPr>
        <w:t>深圳市国信招标有限公司</w:t>
      </w:r>
      <w:r>
        <w:rPr>
          <w:sz w:val="21"/>
          <w:szCs w:val="21"/>
          <w:shd w:val="clear" w:color="auto" w:fill="FFFFFF"/>
        </w:rPr>
        <w:t>受</w:t>
      </w:r>
      <w:r>
        <w:rPr>
          <w:rFonts w:hint="eastAsia"/>
          <w:sz w:val="21"/>
          <w:szCs w:val="21"/>
          <w:shd w:val="clear" w:color="auto" w:fill="FFFFFF"/>
          <w:lang w:eastAsia="zh-CN"/>
        </w:rPr>
        <w:t>舟山市普陀区图书馆</w:t>
      </w:r>
      <w:r>
        <w:rPr>
          <w:sz w:val="21"/>
          <w:szCs w:val="21"/>
          <w:shd w:val="clear" w:color="auto" w:fill="FFFFFF"/>
        </w:rPr>
        <w:t>委托，就</w:t>
      </w:r>
      <w:r>
        <w:rPr>
          <w:rFonts w:hint="eastAsia"/>
          <w:sz w:val="21"/>
          <w:szCs w:val="21"/>
          <w:shd w:val="clear" w:color="auto" w:fill="FFFFFF"/>
          <w:lang w:eastAsia="zh-CN"/>
        </w:rPr>
        <w:t xml:space="preserve">普陀区图书馆沈家门渔港文旅驿站（城市书房）运营服务 </w:t>
      </w:r>
      <w:r>
        <w:rPr>
          <w:sz w:val="21"/>
          <w:szCs w:val="21"/>
          <w:shd w:val="clear" w:color="auto" w:fill="FFFFFF"/>
        </w:rPr>
        <w:t>进行</w:t>
      </w:r>
      <w:r>
        <w:rPr>
          <w:rFonts w:hint="eastAsia"/>
          <w:sz w:val="21"/>
          <w:szCs w:val="21"/>
          <w:shd w:val="clear" w:color="auto" w:fill="FFFFFF"/>
        </w:rPr>
        <w:t>竞争性磋商</w:t>
      </w:r>
      <w:r>
        <w:rPr>
          <w:sz w:val="21"/>
          <w:szCs w:val="21"/>
          <w:shd w:val="clear" w:color="auto" w:fill="FFFFFF"/>
        </w:rPr>
        <w:t>，欢迎国内合格的</w:t>
      </w:r>
      <w:r>
        <w:rPr>
          <w:rFonts w:hint="eastAsia"/>
          <w:sz w:val="21"/>
          <w:szCs w:val="21"/>
          <w:shd w:val="clear" w:color="auto" w:fill="FFFFFF"/>
        </w:rPr>
        <w:t>投标人</w:t>
      </w:r>
      <w:r>
        <w:rPr>
          <w:rFonts w:asciiTheme="minorEastAsia" w:hAnsiTheme="minorEastAsia" w:eastAsiaTheme="minorEastAsia"/>
          <w:sz w:val="21"/>
          <w:szCs w:val="21"/>
          <w:shd w:val="clear" w:color="auto" w:fill="FFFFFF"/>
        </w:rPr>
        <w:t>前来投标</w:t>
      </w:r>
      <w:r>
        <w:rPr>
          <w:rFonts w:hint="eastAsia" w:asciiTheme="minorEastAsia" w:hAnsiTheme="minorEastAsia" w:eastAsiaTheme="minorEastAsia"/>
          <w:sz w:val="21"/>
          <w:szCs w:val="21"/>
          <w:shd w:val="clear" w:color="auto" w:fill="FFFFFF"/>
        </w:rPr>
        <w:t>。</w:t>
      </w:r>
    </w:p>
    <w:p w14:paraId="14C736C5">
      <w:pPr>
        <w:widowControl/>
        <w:spacing w:line="360" w:lineRule="auto"/>
        <w:jc w:val="left"/>
        <w:rPr>
          <w:rStyle w:val="32"/>
          <w:rFonts w:asciiTheme="minorEastAsia" w:hAnsiTheme="minorEastAsia" w:eastAsiaTheme="minorEastAsia"/>
          <w:b/>
          <w:bCs/>
          <w:szCs w:val="21"/>
        </w:rPr>
      </w:pPr>
      <w:r>
        <w:rPr>
          <w:rStyle w:val="32"/>
          <w:rFonts w:asciiTheme="minorEastAsia" w:hAnsiTheme="minorEastAsia" w:eastAsiaTheme="minorEastAsia"/>
          <w:b/>
          <w:bCs/>
          <w:szCs w:val="21"/>
        </w:rPr>
        <w:t>一</w:t>
      </w:r>
      <w:r>
        <w:rPr>
          <w:rStyle w:val="32"/>
          <w:rFonts w:hint="eastAsia" w:asciiTheme="minorEastAsia" w:hAnsiTheme="minorEastAsia" w:eastAsiaTheme="minorEastAsia"/>
          <w:b/>
          <w:bCs/>
          <w:szCs w:val="21"/>
        </w:rPr>
        <w:t>、项目名称：</w:t>
      </w:r>
      <w:r>
        <w:rPr>
          <w:rStyle w:val="32"/>
          <w:rFonts w:hint="eastAsia" w:asciiTheme="minorEastAsia" w:hAnsiTheme="minorEastAsia" w:eastAsiaTheme="minorEastAsia"/>
          <w:szCs w:val="21"/>
          <w:lang w:eastAsia="zh-CN"/>
        </w:rPr>
        <w:t xml:space="preserve">普陀区图书馆沈家门渔港文旅驿站（城市书房）运营服务 </w:t>
      </w:r>
      <w:r>
        <w:rPr>
          <w:rStyle w:val="32"/>
          <w:rFonts w:hint="eastAsia" w:asciiTheme="minorEastAsia" w:hAnsiTheme="minorEastAsia" w:eastAsiaTheme="minorEastAsia"/>
          <w:szCs w:val="21"/>
        </w:rPr>
        <w:t xml:space="preserve"> </w:t>
      </w:r>
    </w:p>
    <w:p w14:paraId="69EECB8E">
      <w:pPr>
        <w:widowControl/>
        <w:spacing w:line="360" w:lineRule="auto"/>
        <w:jc w:val="left"/>
        <w:rPr>
          <w:rFonts w:hint="eastAsia" w:asciiTheme="minorEastAsia" w:hAnsiTheme="minorEastAsia" w:eastAsiaTheme="minorEastAsia"/>
          <w:b/>
          <w:bCs/>
          <w:szCs w:val="21"/>
          <w:lang w:eastAsia="zh-CN"/>
        </w:rPr>
      </w:pPr>
      <w:r>
        <w:rPr>
          <w:rStyle w:val="32"/>
          <w:rFonts w:hint="eastAsia" w:asciiTheme="minorEastAsia" w:hAnsiTheme="minorEastAsia" w:eastAsiaTheme="minorEastAsia"/>
          <w:b/>
          <w:bCs/>
          <w:szCs w:val="21"/>
        </w:rPr>
        <w:t>二、</w:t>
      </w:r>
      <w:r>
        <w:rPr>
          <w:rStyle w:val="32"/>
          <w:rFonts w:asciiTheme="minorEastAsia" w:hAnsiTheme="minorEastAsia" w:eastAsiaTheme="minorEastAsia"/>
          <w:b/>
          <w:bCs/>
          <w:szCs w:val="21"/>
        </w:rPr>
        <w:t>项目编号</w:t>
      </w:r>
      <w:r>
        <w:rPr>
          <w:rStyle w:val="32"/>
          <w:rFonts w:asciiTheme="minorEastAsia" w:hAnsiTheme="minorEastAsia" w:eastAsiaTheme="minorEastAsia"/>
          <w:szCs w:val="21"/>
        </w:rPr>
        <w:t>：</w:t>
      </w:r>
      <w:r>
        <w:rPr>
          <w:rStyle w:val="32"/>
          <w:rFonts w:hint="eastAsia" w:asciiTheme="minorEastAsia" w:hAnsiTheme="minorEastAsia" w:eastAsiaTheme="minorEastAsia"/>
          <w:szCs w:val="21"/>
          <w:lang w:eastAsia="zh-CN"/>
        </w:rPr>
        <w:t>SZGXZS2026079</w:t>
      </w:r>
    </w:p>
    <w:p w14:paraId="2FC73BA1">
      <w:pPr>
        <w:pStyle w:val="68"/>
        <w:spacing w:beforeAutospacing="0" w:afterAutospacing="0" w:line="360" w:lineRule="auto"/>
        <w:jc w:val="both"/>
        <w:rPr>
          <w:rFonts w:asciiTheme="minorEastAsia" w:hAnsiTheme="minorEastAsia" w:eastAsiaTheme="minorEastAsia"/>
          <w:color w:val="auto"/>
          <w:sz w:val="21"/>
          <w:szCs w:val="21"/>
          <w:highlight w:val="none"/>
          <w:shd w:val="clear" w:color="auto" w:fill="FFFFFF"/>
        </w:rPr>
      </w:pPr>
      <w:r>
        <w:rPr>
          <w:rStyle w:val="32"/>
          <w:rFonts w:hint="eastAsia" w:asciiTheme="minorEastAsia" w:hAnsiTheme="minorEastAsia" w:eastAsiaTheme="minorEastAsia"/>
          <w:b/>
          <w:bCs/>
          <w:sz w:val="21"/>
          <w:szCs w:val="21"/>
        </w:rPr>
        <w:t>三、</w:t>
      </w:r>
      <w:r>
        <w:rPr>
          <w:rStyle w:val="32"/>
          <w:rFonts w:asciiTheme="minorEastAsia" w:hAnsiTheme="minorEastAsia" w:eastAsiaTheme="minorEastAsia"/>
          <w:b/>
          <w:bCs/>
          <w:sz w:val="21"/>
          <w:szCs w:val="21"/>
        </w:rPr>
        <w:t>采购组织类型</w:t>
      </w:r>
      <w:r>
        <w:rPr>
          <w:rStyle w:val="32"/>
          <w:rFonts w:asciiTheme="minorEastAsia" w:hAnsiTheme="minorEastAsia" w:eastAsiaTheme="minorEastAsia"/>
          <w:sz w:val="21"/>
          <w:szCs w:val="21"/>
        </w:rPr>
        <w:t>：</w:t>
      </w:r>
      <w:r>
        <w:rPr>
          <w:rFonts w:asciiTheme="minorEastAsia" w:hAnsiTheme="minorEastAsia" w:eastAsiaTheme="minorEastAsia"/>
          <w:sz w:val="21"/>
          <w:szCs w:val="21"/>
          <w:shd w:val="clear" w:color="auto" w:fill="FFFFFF"/>
        </w:rPr>
        <w:t>分散采购委托代理</w:t>
      </w:r>
    </w:p>
    <w:p w14:paraId="4BBFCD19">
      <w:pPr>
        <w:pStyle w:val="68"/>
        <w:spacing w:beforeAutospacing="0" w:afterAutospacing="0" w:line="360" w:lineRule="auto"/>
        <w:jc w:val="both"/>
        <w:rPr>
          <w:rFonts w:asciiTheme="minorEastAsia" w:hAnsiTheme="minorEastAsia" w:eastAsiaTheme="minorEastAsia"/>
          <w:b/>
          <w:bCs/>
          <w:color w:val="auto"/>
          <w:sz w:val="21"/>
          <w:szCs w:val="21"/>
          <w:highlight w:val="none"/>
        </w:rPr>
      </w:pPr>
      <w:r>
        <w:rPr>
          <w:rStyle w:val="32"/>
          <w:rFonts w:hint="eastAsia" w:asciiTheme="minorEastAsia" w:hAnsiTheme="minorEastAsia" w:eastAsiaTheme="minorEastAsia"/>
          <w:color w:val="auto"/>
          <w:sz w:val="21"/>
          <w:szCs w:val="21"/>
          <w:highlight w:val="none"/>
        </w:rPr>
        <w:t>四、</w:t>
      </w:r>
      <w:r>
        <w:rPr>
          <w:rStyle w:val="32"/>
          <w:rFonts w:asciiTheme="minorEastAsia" w:hAnsiTheme="minorEastAsia" w:eastAsiaTheme="minorEastAsia"/>
          <w:b/>
          <w:bCs/>
          <w:color w:val="auto"/>
          <w:sz w:val="21"/>
          <w:szCs w:val="21"/>
          <w:highlight w:val="none"/>
        </w:rPr>
        <w:t>项目概况（内容、用途、数量、简要技术要求等）</w:t>
      </w:r>
      <w:r>
        <w:rPr>
          <w:rStyle w:val="32"/>
          <w:rFonts w:hint="eastAsia" w:asciiTheme="minorEastAsia" w:hAnsiTheme="minorEastAsia" w:eastAsiaTheme="minorEastAsia"/>
          <w:b/>
          <w:bCs/>
          <w:color w:val="auto"/>
          <w:sz w:val="21"/>
          <w:szCs w:val="21"/>
          <w:highlight w:val="none"/>
          <w:lang w:eastAsia="zh-CN"/>
        </w:rPr>
        <w:t>：</w:t>
      </w:r>
    </w:p>
    <w:tbl>
      <w:tblPr>
        <w:tblStyle w:val="30"/>
        <w:tblpPr w:leftFromText="180" w:rightFromText="180" w:vertAnchor="text" w:horzAnchor="page" w:tblpX="1712" w:tblpY="207"/>
        <w:tblOverlap w:val="never"/>
        <w:tblW w:w="894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
        <w:gridCol w:w="5542"/>
        <w:gridCol w:w="1793"/>
        <w:gridCol w:w="915"/>
      </w:tblGrid>
      <w:tr w14:paraId="7C85E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694" w:type="dxa"/>
            <w:tcBorders>
              <w:top w:val="single" w:color="000000" w:sz="4" w:space="0"/>
              <w:left w:val="single" w:color="000000" w:sz="4" w:space="0"/>
              <w:bottom w:val="single" w:color="000000" w:sz="4" w:space="0"/>
              <w:right w:val="single" w:color="000000" w:sz="4" w:space="0"/>
            </w:tcBorders>
            <w:vAlign w:val="center"/>
          </w:tcPr>
          <w:p w14:paraId="265DDB75">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5542" w:type="dxa"/>
            <w:tcBorders>
              <w:top w:val="single" w:color="000000" w:sz="4" w:space="0"/>
              <w:left w:val="single" w:color="000000" w:sz="4" w:space="0"/>
              <w:bottom w:val="single" w:color="000000" w:sz="4" w:space="0"/>
              <w:right w:val="single" w:color="000000" w:sz="4" w:space="0"/>
            </w:tcBorders>
            <w:vAlign w:val="center"/>
          </w:tcPr>
          <w:p w14:paraId="36C11090">
            <w:pPr>
              <w:widowControl/>
              <w:spacing w:line="360" w:lineRule="auto"/>
              <w:ind w:hanging="420"/>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项目名称及内容</w:t>
            </w:r>
          </w:p>
        </w:tc>
        <w:tc>
          <w:tcPr>
            <w:tcW w:w="1793" w:type="dxa"/>
            <w:tcBorders>
              <w:top w:val="single" w:color="000000" w:sz="4" w:space="0"/>
              <w:left w:val="single" w:color="auto" w:sz="4" w:space="0"/>
              <w:bottom w:val="single" w:color="000000" w:sz="4" w:space="0"/>
              <w:right w:val="single" w:color="000000" w:sz="4" w:space="0"/>
            </w:tcBorders>
            <w:vAlign w:val="center"/>
          </w:tcPr>
          <w:p w14:paraId="47D749E9">
            <w:pPr>
              <w:widowControl/>
              <w:spacing w:line="360" w:lineRule="auto"/>
              <w:jc w:val="center"/>
              <w:rPr>
                <w:rFonts w:ascii="宋体" w:hAnsi="宋体" w:cs="宋体"/>
                <w:color w:val="auto"/>
                <w:kern w:val="0"/>
                <w:szCs w:val="21"/>
                <w:highlight w:val="none"/>
              </w:rPr>
            </w:pPr>
            <w:r>
              <w:rPr>
                <w:rFonts w:hint="eastAsia" w:ascii="Times New Roman" w:hAnsi="Times New Roman" w:eastAsia="宋体" w:cs="Times New Roman"/>
                <w:color w:val="auto"/>
                <w:kern w:val="0"/>
                <w:szCs w:val="21"/>
                <w:highlight w:val="none"/>
                <w:shd w:val="clear" w:color="auto" w:fill="FFFFFF"/>
              </w:rPr>
              <w:t>预算金额</w:t>
            </w:r>
          </w:p>
        </w:tc>
        <w:tc>
          <w:tcPr>
            <w:tcW w:w="915" w:type="dxa"/>
            <w:tcBorders>
              <w:top w:val="single" w:color="000000" w:sz="4" w:space="0"/>
              <w:left w:val="single" w:color="000000" w:sz="4" w:space="0"/>
              <w:bottom w:val="single" w:color="000000" w:sz="4" w:space="0"/>
              <w:right w:val="single" w:color="000000" w:sz="4" w:space="0"/>
            </w:tcBorders>
            <w:vAlign w:val="center"/>
          </w:tcPr>
          <w:p w14:paraId="10342BCC">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备注</w:t>
            </w:r>
          </w:p>
        </w:tc>
      </w:tr>
      <w:tr w14:paraId="5E72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94" w:type="dxa"/>
            <w:tcBorders>
              <w:top w:val="single" w:color="000000" w:sz="4" w:space="0"/>
              <w:left w:val="single" w:color="000000" w:sz="4" w:space="0"/>
              <w:bottom w:val="single" w:color="000000" w:sz="4" w:space="0"/>
              <w:right w:val="single" w:color="000000" w:sz="4" w:space="0"/>
            </w:tcBorders>
            <w:vAlign w:val="center"/>
          </w:tcPr>
          <w:p w14:paraId="6761CFA0">
            <w:pPr>
              <w:widowControl/>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542" w:type="dxa"/>
            <w:tcBorders>
              <w:top w:val="single" w:color="000000" w:sz="4" w:space="0"/>
              <w:left w:val="single" w:color="000000" w:sz="4" w:space="0"/>
              <w:bottom w:val="single" w:color="000000" w:sz="4" w:space="0"/>
              <w:right w:val="single" w:color="000000" w:sz="4" w:space="0"/>
            </w:tcBorders>
            <w:vAlign w:val="center"/>
          </w:tcPr>
          <w:p w14:paraId="147634B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 xml:space="preserve">普陀区图书馆沈家门渔港文旅驿站（城市书房）运营服务 </w:t>
            </w:r>
            <w:r>
              <w:rPr>
                <w:rFonts w:hint="eastAsia" w:ascii="宋体" w:hAnsi="宋体" w:cs="宋体"/>
                <w:color w:val="auto"/>
                <w:kern w:val="0"/>
                <w:szCs w:val="21"/>
                <w:highlight w:val="none"/>
              </w:rPr>
              <w:t xml:space="preserve"> </w:t>
            </w:r>
          </w:p>
        </w:tc>
        <w:tc>
          <w:tcPr>
            <w:tcW w:w="1793" w:type="dxa"/>
            <w:tcBorders>
              <w:top w:val="single" w:color="000000" w:sz="4" w:space="0"/>
              <w:left w:val="single" w:color="auto" w:sz="4" w:space="0"/>
              <w:bottom w:val="single" w:color="000000" w:sz="4" w:space="0"/>
              <w:right w:val="single" w:color="000000" w:sz="4" w:space="0"/>
            </w:tcBorders>
            <w:vAlign w:val="center"/>
          </w:tcPr>
          <w:p w14:paraId="5058A530">
            <w:pPr>
              <w:widowControl/>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eastAsia="宋体" w:cs="宋体"/>
                <w:bCs/>
                <w:color w:val="auto"/>
                <w:szCs w:val="21"/>
                <w:highlight w:val="none"/>
                <w:lang w:val="en-US" w:eastAsia="zh-CN"/>
              </w:rPr>
              <w:t>36</w:t>
            </w:r>
            <w:r>
              <w:rPr>
                <w:rFonts w:hint="eastAsia" w:ascii="宋体" w:hAnsi="宋体" w:eastAsia="宋体" w:cs="宋体"/>
                <w:bCs/>
                <w:color w:val="auto"/>
                <w:szCs w:val="21"/>
                <w:highlight w:val="none"/>
              </w:rPr>
              <w:t>万元/</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p>
        </w:tc>
        <w:tc>
          <w:tcPr>
            <w:tcW w:w="915" w:type="dxa"/>
            <w:tcBorders>
              <w:top w:val="single" w:color="000000" w:sz="4" w:space="0"/>
              <w:left w:val="single" w:color="000000" w:sz="4" w:space="0"/>
              <w:bottom w:val="single" w:color="000000" w:sz="4" w:space="0"/>
              <w:right w:val="single" w:color="000000" w:sz="4" w:space="0"/>
            </w:tcBorders>
            <w:vAlign w:val="center"/>
          </w:tcPr>
          <w:p w14:paraId="673C8F4F">
            <w:pPr>
              <w:widowControl/>
              <w:rPr>
                <w:rFonts w:hint="default" w:ascii="宋体" w:hAnsi="宋体" w:eastAsia="宋体" w:cs="宋体"/>
                <w:color w:val="auto"/>
                <w:kern w:val="0"/>
                <w:szCs w:val="21"/>
                <w:highlight w:val="none"/>
                <w:lang w:val="en-US" w:eastAsia="zh-CN"/>
              </w:rPr>
            </w:pPr>
          </w:p>
        </w:tc>
      </w:tr>
    </w:tbl>
    <w:p w14:paraId="4A606611">
      <w:pPr>
        <w:pStyle w:val="68"/>
        <w:spacing w:beforeAutospacing="0" w:afterAutospacing="0" w:line="360" w:lineRule="auto"/>
        <w:jc w:val="both"/>
        <w:rPr>
          <w:rStyle w:val="32"/>
          <w:b/>
          <w:bCs/>
          <w:color w:val="auto"/>
          <w:sz w:val="21"/>
          <w:highlight w:val="none"/>
        </w:rPr>
      </w:pPr>
      <w:r>
        <w:rPr>
          <w:rStyle w:val="32"/>
          <w:rFonts w:hint="eastAsia"/>
          <w:b/>
          <w:bCs/>
          <w:color w:val="auto"/>
          <w:sz w:val="21"/>
          <w:highlight w:val="none"/>
        </w:rPr>
        <w:t>五、</w:t>
      </w:r>
      <w:r>
        <w:rPr>
          <w:rStyle w:val="32"/>
          <w:b/>
          <w:bCs/>
          <w:color w:val="auto"/>
          <w:sz w:val="21"/>
          <w:highlight w:val="none"/>
        </w:rPr>
        <w:t>投标供应商资格要求</w:t>
      </w:r>
      <w:r>
        <w:rPr>
          <w:rStyle w:val="32"/>
          <w:rFonts w:hint="eastAsia"/>
          <w:b/>
          <w:bCs/>
          <w:color w:val="auto"/>
          <w:sz w:val="21"/>
          <w:highlight w:val="none"/>
          <w:lang w:eastAsia="zh-CN"/>
        </w:rPr>
        <w:t>：</w:t>
      </w:r>
    </w:p>
    <w:p w14:paraId="40CFA997">
      <w:pPr>
        <w:pStyle w:val="68"/>
        <w:shd w:val="clear" w:color="auto" w:fill="FFFFFF"/>
        <w:spacing w:beforeAutospacing="0" w:afterAutospacing="0"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1.</w:t>
      </w:r>
      <w:r>
        <w:rPr>
          <w:rFonts w:hint="eastAsia" w:cs="宋体"/>
          <w:color w:val="auto"/>
          <w:sz w:val="21"/>
          <w:szCs w:val="21"/>
          <w:highlight w:val="none"/>
        </w:rPr>
        <w:t>①</w:t>
      </w:r>
      <w:r>
        <w:rPr>
          <w:rFonts w:ascii="Times New Roman" w:hAnsi="Times New Roman"/>
          <w:color w:val="auto"/>
          <w:sz w:val="21"/>
          <w:szCs w:val="21"/>
          <w:highlight w:val="none"/>
        </w:rPr>
        <w:t>具有独立承担民事责任的能力；</w:t>
      </w:r>
      <w:r>
        <w:rPr>
          <w:rFonts w:hint="eastAsia" w:cs="宋体"/>
          <w:color w:val="auto"/>
          <w:sz w:val="21"/>
          <w:szCs w:val="21"/>
          <w:highlight w:val="none"/>
        </w:rPr>
        <w:t>②</w:t>
      </w:r>
      <w:r>
        <w:rPr>
          <w:rFonts w:ascii="Times New Roman" w:hAnsi="Times New Roman"/>
          <w:color w:val="auto"/>
          <w:sz w:val="21"/>
          <w:szCs w:val="21"/>
          <w:highlight w:val="none"/>
        </w:rPr>
        <w:t>具有良好的商业信誉和健全的财务会计制度；</w:t>
      </w:r>
      <w:r>
        <w:rPr>
          <w:rFonts w:hint="eastAsia" w:cs="宋体"/>
          <w:color w:val="auto"/>
          <w:sz w:val="21"/>
          <w:szCs w:val="21"/>
          <w:highlight w:val="none"/>
        </w:rPr>
        <w:t>③</w:t>
      </w:r>
      <w:r>
        <w:rPr>
          <w:rFonts w:ascii="Times New Roman" w:hAnsi="Times New Roman"/>
          <w:color w:val="auto"/>
          <w:sz w:val="21"/>
          <w:szCs w:val="21"/>
          <w:highlight w:val="none"/>
        </w:rPr>
        <w:t>具有履行合同所必需的设备和专业技术能力；</w:t>
      </w:r>
      <w:r>
        <w:rPr>
          <w:rFonts w:hint="eastAsia" w:cs="宋体"/>
          <w:color w:val="auto"/>
          <w:sz w:val="21"/>
          <w:szCs w:val="21"/>
          <w:highlight w:val="none"/>
        </w:rPr>
        <w:t>④</w:t>
      </w:r>
      <w:r>
        <w:rPr>
          <w:rFonts w:ascii="Times New Roman" w:hAnsi="Times New Roman"/>
          <w:color w:val="auto"/>
          <w:sz w:val="21"/>
          <w:szCs w:val="21"/>
          <w:highlight w:val="none"/>
        </w:rPr>
        <w:t>参加政府采购活动前三年内，无依法缴纳税收和社会保障资金的不良记录；</w:t>
      </w:r>
      <w:r>
        <w:rPr>
          <w:rFonts w:hint="eastAsia" w:cs="宋体"/>
          <w:color w:val="auto"/>
          <w:sz w:val="21"/>
          <w:szCs w:val="21"/>
          <w:highlight w:val="none"/>
        </w:rPr>
        <w:t>⑤</w:t>
      </w:r>
      <w:r>
        <w:rPr>
          <w:rFonts w:ascii="Times New Roman" w:hAnsi="Times New Roman"/>
          <w:color w:val="auto"/>
          <w:sz w:val="21"/>
          <w:szCs w:val="21"/>
          <w:highlight w:val="none"/>
        </w:rPr>
        <w:t>参加政府采购活动前三年内，在经营活动中没有重大违法记录；</w:t>
      </w:r>
      <w:r>
        <w:rPr>
          <w:rFonts w:hint="eastAsia" w:cs="宋体"/>
          <w:color w:val="auto"/>
          <w:sz w:val="21"/>
          <w:szCs w:val="21"/>
          <w:highlight w:val="none"/>
        </w:rPr>
        <w:t>⑥</w:t>
      </w:r>
      <w:r>
        <w:rPr>
          <w:rFonts w:ascii="Times New Roman" w:hAnsi="Times New Roman"/>
          <w:color w:val="auto"/>
          <w:sz w:val="21"/>
          <w:szCs w:val="21"/>
          <w:highlight w:val="none"/>
        </w:rPr>
        <w:t>法律、行政法规规定的其他条件。</w:t>
      </w:r>
    </w:p>
    <w:p w14:paraId="1CA92C42">
      <w:pPr>
        <w:pStyle w:val="68"/>
        <w:shd w:val="clear" w:color="auto" w:fill="FFFFFF"/>
        <w:spacing w:beforeAutospacing="0" w:afterAutospacing="0"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2.</w:t>
      </w:r>
      <w:r>
        <w:rPr>
          <w:rFonts w:ascii="Times New Roman" w:hAnsi="Times New Roman"/>
          <w:color w:val="auto"/>
          <w:sz w:val="21"/>
          <w:szCs w:val="21"/>
          <w:highlight w:val="none"/>
        </w:rPr>
        <w:t>未被“信用中国”（www.creditchina.gov.cn）、中国政府采购网（www.ccgp.gov.cn）列入失信被执行人、重大税收违法案件当事人名单、政府采购严重违法失信行为记录名单。</w:t>
      </w:r>
    </w:p>
    <w:p w14:paraId="3FA69A6F">
      <w:pPr>
        <w:widowControl/>
        <w:shd w:val="clear" w:color="auto" w:fill="FFFFFF"/>
        <w:spacing w:line="360" w:lineRule="auto"/>
        <w:ind w:firstLine="422" w:firstLineChars="200"/>
        <w:jc w:val="left"/>
        <w:rPr>
          <w:rFonts w:ascii="Times New Roman" w:hAnsi="Times New Roman"/>
          <w:b/>
          <w:bCs/>
          <w:color w:val="auto"/>
          <w:kern w:val="0"/>
          <w:szCs w:val="21"/>
          <w:highlight w:val="none"/>
        </w:rPr>
      </w:pPr>
      <w:r>
        <w:rPr>
          <w:rFonts w:hint="eastAsia" w:ascii="Times New Roman" w:hAnsi="Times New Roman" w:eastAsia="宋体" w:cs="Times New Roman"/>
          <w:b/>
          <w:bCs/>
          <w:color w:val="auto"/>
          <w:kern w:val="0"/>
          <w:szCs w:val="21"/>
          <w:highlight w:val="none"/>
        </w:rPr>
        <w:t>3.本项目专门面向中小企业。本项目对应的中小企业</w:t>
      </w:r>
      <w:r>
        <w:rPr>
          <w:rFonts w:hint="eastAsia" w:ascii="Times New Roman" w:hAnsi="Times New Roman" w:eastAsia="宋体" w:cs="Times New Roman"/>
          <w:b/>
          <w:bCs/>
          <w:color w:val="auto"/>
          <w:kern w:val="0"/>
          <w:szCs w:val="21"/>
          <w:highlight w:val="none"/>
          <w:lang w:eastAsia="zh-CN"/>
        </w:rPr>
        <w:t>划型标准</w:t>
      </w:r>
      <w:r>
        <w:rPr>
          <w:rFonts w:hint="eastAsia" w:ascii="Times New Roman" w:hAnsi="Times New Roman" w:eastAsia="宋体" w:cs="Times New Roman"/>
          <w:b/>
          <w:bCs/>
          <w:color w:val="auto"/>
          <w:kern w:val="0"/>
          <w:szCs w:val="21"/>
          <w:highlight w:val="none"/>
        </w:rPr>
        <w:t>所属行业：</w:t>
      </w:r>
      <w:r>
        <w:rPr>
          <w:rFonts w:hint="eastAsia" w:ascii="Times New Roman" w:hAnsi="Times New Roman" w:eastAsia="宋体" w:cs="Times New Roman"/>
          <w:b/>
          <w:bCs/>
          <w:color w:val="auto"/>
          <w:kern w:val="0"/>
          <w:szCs w:val="21"/>
          <w:highlight w:val="none"/>
          <w:lang w:eastAsia="zh-CN"/>
        </w:rPr>
        <w:t>其他未列明行业</w:t>
      </w:r>
      <w:r>
        <w:rPr>
          <w:rFonts w:hint="eastAsia" w:ascii="Times New Roman" w:hAnsi="Times New Roman" w:eastAsia="宋体" w:cs="Times New Roman"/>
          <w:b/>
          <w:bCs/>
          <w:color w:val="auto"/>
          <w:kern w:val="0"/>
          <w:szCs w:val="21"/>
          <w:highlight w:val="none"/>
        </w:rPr>
        <w:t>。（中小企业</w:t>
      </w:r>
      <w:r>
        <w:rPr>
          <w:rFonts w:hint="eastAsia" w:ascii="Times New Roman" w:hAnsi="Times New Roman" w:eastAsia="宋体" w:cs="Times New Roman"/>
          <w:b/>
          <w:bCs/>
          <w:color w:val="auto"/>
          <w:kern w:val="0"/>
          <w:szCs w:val="21"/>
          <w:highlight w:val="none"/>
          <w:lang w:eastAsia="zh-CN"/>
        </w:rPr>
        <w:t>划型标准</w:t>
      </w:r>
      <w:r>
        <w:rPr>
          <w:rFonts w:hint="eastAsia" w:ascii="Times New Roman" w:hAnsi="Times New Roman" w:eastAsia="宋体" w:cs="Times New Roman"/>
          <w:b/>
          <w:bCs/>
          <w:color w:val="auto"/>
          <w:kern w:val="0"/>
          <w:szCs w:val="21"/>
          <w:highlight w:val="none"/>
        </w:rPr>
        <w:t>详见《工信部联企业</w:t>
      </w:r>
      <w:r>
        <w:rPr>
          <w:rFonts w:hint="eastAsia" w:ascii="Times New Roman" w:hAnsi="Times New Roman" w:cs="Times New Roman"/>
          <w:b/>
          <w:bCs/>
          <w:color w:val="auto"/>
          <w:kern w:val="0"/>
          <w:szCs w:val="21"/>
          <w:highlight w:val="none"/>
          <w:lang w:eastAsia="zh-CN"/>
        </w:rPr>
        <w:t>〔2011〕300号</w:t>
      </w:r>
      <w:r>
        <w:rPr>
          <w:rFonts w:hint="eastAsia" w:ascii="Times New Roman" w:hAnsi="Times New Roman" w:eastAsia="宋体" w:cs="Times New Roman"/>
          <w:b/>
          <w:bCs/>
          <w:color w:val="auto"/>
          <w:kern w:val="0"/>
          <w:szCs w:val="21"/>
          <w:highlight w:val="none"/>
        </w:rPr>
        <w:t>》）</w:t>
      </w:r>
    </w:p>
    <w:p w14:paraId="1710B796">
      <w:pPr>
        <w:pStyle w:val="68"/>
        <w:shd w:val="clear" w:color="auto" w:fill="FFFFFF"/>
        <w:spacing w:beforeAutospacing="0" w:afterAutospacing="0" w:line="360" w:lineRule="auto"/>
        <w:rPr>
          <w:rStyle w:val="32"/>
          <w:b/>
          <w:bCs/>
          <w:color w:val="auto"/>
          <w:sz w:val="21"/>
          <w:highlight w:val="none"/>
        </w:rPr>
      </w:pPr>
      <w:r>
        <w:rPr>
          <w:rStyle w:val="32"/>
          <w:rFonts w:hint="eastAsia"/>
          <w:b/>
          <w:bCs/>
          <w:color w:val="auto"/>
          <w:sz w:val="21"/>
          <w:highlight w:val="none"/>
        </w:rPr>
        <w:t>六、</w:t>
      </w:r>
      <w:r>
        <w:rPr>
          <w:rFonts w:hint="eastAsia" w:cs="宋体"/>
          <w:b/>
          <w:color w:val="auto"/>
          <w:sz w:val="21"/>
          <w:szCs w:val="21"/>
          <w:highlight w:val="none"/>
        </w:rPr>
        <w:t xml:space="preserve">公告期限：自公告发布之日起5个工作日 </w:t>
      </w:r>
    </w:p>
    <w:p w14:paraId="671922F3">
      <w:pPr>
        <w:snapToGrid w:val="0"/>
        <w:spacing w:line="360" w:lineRule="auto"/>
        <w:rPr>
          <w:rFonts w:ascii="宋体" w:hAnsi="宋体" w:cs="宋体"/>
          <w:color w:val="auto"/>
          <w:szCs w:val="21"/>
          <w:highlight w:val="none"/>
        </w:rPr>
      </w:pPr>
      <w:r>
        <w:rPr>
          <w:rFonts w:hint="eastAsia" w:ascii="宋体" w:hAnsi="宋体" w:cs="宋体"/>
          <w:b/>
          <w:bCs/>
          <w:color w:val="auto"/>
          <w:szCs w:val="21"/>
          <w:highlight w:val="none"/>
        </w:rPr>
        <w:t>七、注册及磋商文件的获取</w:t>
      </w:r>
      <w:r>
        <w:rPr>
          <w:rFonts w:hint="eastAsia" w:ascii="宋体" w:hAnsi="宋体" w:cs="宋体"/>
          <w:color w:val="auto"/>
          <w:szCs w:val="21"/>
          <w:highlight w:val="none"/>
        </w:rPr>
        <w:t>：</w:t>
      </w:r>
    </w:p>
    <w:p w14:paraId="5AB3D9DA">
      <w:pPr>
        <w:pStyle w:val="68"/>
        <w:shd w:val="clear" w:color="auto" w:fill="FFFFFF"/>
        <w:spacing w:beforeAutospacing="0" w:afterAutospacing="0" w:line="360" w:lineRule="auto"/>
        <w:ind w:firstLine="417" w:firstLineChars="198"/>
        <w:rPr>
          <w:rFonts w:cs="宋体"/>
          <w:b/>
          <w:bCs/>
          <w:color w:val="auto"/>
          <w:sz w:val="21"/>
          <w:szCs w:val="21"/>
          <w:highlight w:val="none"/>
          <w:shd w:val="clear" w:color="auto" w:fill="FFFFFF"/>
        </w:rPr>
      </w:pPr>
      <w:r>
        <w:rPr>
          <w:rFonts w:hint="eastAsia" w:cs="宋体"/>
          <w:b/>
          <w:bCs/>
          <w:color w:val="auto"/>
          <w:sz w:val="21"/>
          <w:szCs w:val="21"/>
          <w:highlight w:val="none"/>
          <w:shd w:val="clear" w:color="auto" w:fill="FFFFFF"/>
        </w:rPr>
        <w:t>1.本项目只实行网上获取磋商文件。</w:t>
      </w:r>
    </w:p>
    <w:p w14:paraId="68349E44">
      <w:pPr>
        <w:pStyle w:val="68"/>
        <w:shd w:val="clear" w:color="auto" w:fill="FFFFFF"/>
        <w:spacing w:beforeAutospacing="0" w:afterAutospacing="0" w:line="360" w:lineRule="auto"/>
        <w:ind w:firstLine="417" w:firstLineChars="198"/>
        <w:rPr>
          <w:rFonts w:cs="宋体"/>
          <w:b/>
          <w:bCs/>
          <w:color w:val="auto"/>
          <w:sz w:val="21"/>
          <w:szCs w:val="21"/>
          <w:highlight w:val="none"/>
          <w:shd w:val="clear" w:color="auto" w:fill="FFFFFF"/>
        </w:rPr>
      </w:pPr>
      <w:r>
        <w:rPr>
          <w:rFonts w:hint="eastAsia" w:cs="宋体"/>
          <w:b/>
          <w:bCs/>
          <w:color w:val="auto"/>
          <w:sz w:val="21"/>
          <w:szCs w:val="21"/>
          <w:highlight w:val="none"/>
          <w:shd w:val="clear" w:color="auto" w:fill="FFFFFF"/>
        </w:rPr>
        <w:t>2.获取磋商文件网址</w:t>
      </w:r>
      <w:r>
        <w:rPr>
          <w:rFonts w:hint="eastAsia" w:cs="宋体"/>
          <w:color w:val="auto"/>
          <w:sz w:val="21"/>
          <w:szCs w:val="21"/>
          <w:highlight w:val="none"/>
          <w:shd w:val="clear" w:color="auto" w:fill="FFFFFF"/>
        </w:rPr>
        <w:t>：浙江省政府采购网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cs="宋体"/>
          <w:color w:val="auto"/>
          <w:sz w:val="21"/>
          <w:szCs w:val="21"/>
          <w:highlight w:val="none"/>
          <w:shd w:val="clear" w:color="auto" w:fill="FFFFFF"/>
        </w:rPr>
        <w:t>www.zjzfcg.gov.cn</w:t>
      </w:r>
      <w:r>
        <w:rPr>
          <w:rFonts w:hint="eastAsia" w:cs="宋体"/>
          <w:color w:val="auto"/>
          <w:sz w:val="21"/>
          <w:szCs w:val="21"/>
          <w:highlight w:val="none"/>
          <w:shd w:val="clear" w:color="auto" w:fill="FFFFFF"/>
        </w:rPr>
        <w:fldChar w:fldCharType="end"/>
      </w:r>
      <w:r>
        <w:rPr>
          <w:rFonts w:hint="eastAsia" w:cs="宋体"/>
          <w:color w:val="auto"/>
          <w:sz w:val="21"/>
          <w:szCs w:val="21"/>
          <w:highlight w:val="none"/>
          <w:shd w:val="clear" w:color="auto" w:fill="FFFFFF"/>
        </w:rPr>
        <w:t>（用“政采云”注册账号、密码登录系统后获取磋商文件）</w:t>
      </w:r>
    </w:p>
    <w:p w14:paraId="3CB3B17D">
      <w:pPr>
        <w:pStyle w:val="68"/>
        <w:shd w:val="clear" w:color="auto" w:fill="FFFFFF"/>
        <w:spacing w:beforeAutospacing="0" w:afterAutospacing="0" w:line="360" w:lineRule="auto"/>
        <w:ind w:firstLine="413" w:firstLineChars="196"/>
        <w:rPr>
          <w:rFonts w:cs="宋体"/>
          <w:color w:val="auto"/>
          <w:sz w:val="21"/>
          <w:szCs w:val="21"/>
          <w:highlight w:val="none"/>
          <w:shd w:val="clear" w:color="auto" w:fill="FFFFFF"/>
        </w:rPr>
      </w:pPr>
      <w:r>
        <w:rPr>
          <w:rFonts w:hint="eastAsia" w:cs="宋体"/>
          <w:b/>
          <w:bCs/>
          <w:color w:val="auto"/>
          <w:sz w:val="21"/>
          <w:szCs w:val="21"/>
          <w:highlight w:val="none"/>
          <w:shd w:val="clear" w:color="auto" w:fill="FFFFFF"/>
        </w:rPr>
        <w:t>3.免费注册网址：浙江政府采购网（供应商注册页面）：</w:t>
      </w:r>
      <w:r>
        <w:rPr>
          <w:rFonts w:hint="eastAsia" w:cs="宋体"/>
          <w:color w:val="auto"/>
          <w:sz w:val="21"/>
          <w:szCs w:val="21"/>
          <w:highlight w:val="none"/>
          <w:shd w:val="clear" w:color="auto" w:fill="FFFFFF"/>
        </w:rPr>
        <w:t>https://middle.zcygov.cn/settle-front/#/registry“政采云”，咨询电话：95763。</w:t>
      </w:r>
    </w:p>
    <w:p w14:paraId="1A69D13A">
      <w:pPr>
        <w:pStyle w:val="68"/>
        <w:shd w:val="clear" w:color="auto" w:fill="FFFFFF"/>
        <w:spacing w:beforeAutospacing="0" w:afterAutospacing="0" w:line="360" w:lineRule="auto"/>
        <w:rPr>
          <w:rFonts w:cs="宋体"/>
          <w:color w:val="auto"/>
          <w:sz w:val="21"/>
          <w:szCs w:val="21"/>
          <w:highlight w:val="none"/>
          <w:shd w:val="clear" w:color="auto" w:fill="FFFFFF"/>
        </w:rPr>
      </w:pPr>
      <w:r>
        <w:rPr>
          <w:rFonts w:hint="eastAsia" w:cs="宋体"/>
          <w:color w:val="auto"/>
          <w:sz w:val="21"/>
          <w:szCs w:val="21"/>
          <w:highlight w:val="none"/>
          <w:shd w:val="clear" w:color="auto" w:fill="FFFFFF"/>
        </w:rPr>
        <w:t>已经注册成功的供应商无需重复注册。</w:t>
      </w:r>
    </w:p>
    <w:p w14:paraId="04DB5265">
      <w:pPr>
        <w:pStyle w:val="68"/>
        <w:shd w:val="clear" w:color="auto" w:fill="FFFFFF"/>
        <w:spacing w:beforeAutospacing="0" w:afterAutospacing="0" w:line="360" w:lineRule="auto"/>
        <w:rPr>
          <w:rFonts w:cs="宋体"/>
          <w:color w:val="auto"/>
          <w:sz w:val="21"/>
          <w:szCs w:val="21"/>
          <w:highlight w:val="none"/>
          <w:shd w:val="clear" w:color="auto" w:fill="FFFFFF"/>
        </w:rPr>
      </w:pPr>
      <w:r>
        <w:rPr>
          <w:rFonts w:hint="eastAsia" w:cs="宋体"/>
          <w:b/>
          <w:bCs/>
          <w:color w:val="auto"/>
          <w:sz w:val="21"/>
          <w:szCs w:val="21"/>
          <w:highlight w:val="none"/>
          <w:shd w:val="clear" w:color="auto" w:fill="FFFFFF"/>
        </w:rPr>
        <w:t xml:space="preserve">   4.获取磋商文件时间：</w:t>
      </w:r>
      <w:r>
        <w:rPr>
          <w:rFonts w:hint="eastAsia" w:cs="宋体"/>
          <w:color w:val="auto"/>
          <w:sz w:val="21"/>
          <w:szCs w:val="21"/>
          <w:highlight w:val="none"/>
          <w:shd w:val="clear" w:color="auto" w:fill="FFFFFF"/>
        </w:rPr>
        <w:t>公告发布之日至投标截止时间。</w:t>
      </w:r>
    </w:p>
    <w:p w14:paraId="1A822F5D">
      <w:pPr>
        <w:pStyle w:val="68"/>
        <w:shd w:val="clear" w:color="auto" w:fill="FFFFFF"/>
        <w:spacing w:beforeAutospacing="0" w:afterAutospacing="0" w:line="360" w:lineRule="auto"/>
        <w:rPr>
          <w:rFonts w:cs="宋体"/>
          <w:b/>
          <w:bCs/>
          <w:color w:val="auto"/>
          <w:kern w:val="2"/>
          <w:sz w:val="21"/>
          <w:szCs w:val="21"/>
          <w:highlight w:val="none"/>
        </w:rPr>
      </w:pPr>
      <w:r>
        <w:rPr>
          <w:rFonts w:hint="eastAsia" w:cs="宋体"/>
          <w:b/>
          <w:bCs/>
          <w:color w:val="auto"/>
          <w:kern w:val="2"/>
          <w:sz w:val="21"/>
          <w:szCs w:val="21"/>
          <w:highlight w:val="none"/>
        </w:rPr>
        <w:t>八、投标文件的制作及递交：</w:t>
      </w:r>
    </w:p>
    <w:p w14:paraId="0D0C1AAB">
      <w:pPr>
        <w:pStyle w:val="68"/>
        <w:shd w:val="clear" w:color="auto" w:fill="FFFFFF"/>
        <w:spacing w:beforeAutospacing="0" w:afterAutospacing="0" w:line="360" w:lineRule="auto"/>
        <w:ind w:firstLine="420" w:firstLineChars="200"/>
        <w:rPr>
          <w:rFonts w:cs="宋体"/>
          <w:color w:val="auto"/>
          <w:sz w:val="21"/>
          <w:szCs w:val="21"/>
          <w:highlight w:val="none"/>
          <w:shd w:val="clear" w:color="auto" w:fill="FFFFFF"/>
        </w:rPr>
      </w:pPr>
      <w:r>
        <w:rPr>
          <w:rFonts w:hint="eastAsia" w:cs="宋体"/>
          <w:color w:val="auto"/>
          <w:sz w:val="21"/>
          <w:szCs w:val="21"/>
          <w:highlight w:val="none"/>
          <w:shd w:val="clear" w:color="auto" w:fill="FFFFFF"/>
        </w:rPr>
        <w:t>1.供应商须</w:t>
      </w:r>
      <w:r>
        <w:rPr>
          <w:rFonts w:hint="eastAsia" w:cs="宋体"/>
          <w:b/>
          <w:bCs/>
          <w:color w:val="auto"/>
          <w:sz w:val="21"/>
          <w:szCs w:val="21"/>
          <w:highlight w:val="none"/>
          <w:shd w:val="clear" w:color="auto" w:fill="FFFFFF"/>
        </w:rPr>
        <w:t>在线获取CA数字证书</w:t>
      </w:r>
      <w:r>
        <w:rPr>
          <w:rFonts w:hint="eastAsia" w:cs="宋体"/>
          <w:color w:val="auto"/>
          <w:sz w:val="21"/>
          <w:szCs w:val="21"/>
          <w:highlight w:val="none"/>
          <w:shd w:val="clear" w:color="auto" w:fill="FFFFFF"/>
        </w:rPr>
        <w:t>（完成CA数字证书办理预计一周左右，建议各投标人自行把握时间）</w:t>
      </w:r>
      <w:r>
        <w:rPr>
          <w:rFonts w:hint="eastAsia" w:cs="宋体"/>
          <w:b/>
          <w:bCs/>
          <w:color w:val="auto"/>
          <w:sz w:val="21"/>
          <w:szCs w:val="21"/>
          <w:highlight w:val="none"/>
          <w:shd w:val="clear" w:color="auto" w:fill="FFFFFF"/>
        </w:rPr>
        <w:t>，</w:t>
      </w:r>
      <w:r>
        <w:rPr>
          <w:rFonts w:hint="eastAsia" w:cs="宋体"/>
          <w:color w:val="auto"/>
          <w:sz w:val="21"/>
          <w:szCs w:val="21"/>
          <w:highlight w:val="none"/>
          <w:shd w:val="clear" w:color="auto" w:fill="FFFFFF"/>
        </w:rPr>
        <w:t>并登录“浙江省政府采购网”（</w:t>
      </w:r>
      <w:r>
        <w:rPr>
          <w:color w:val="auto"/>
          <w:highlight w:val="none"/>
        </w:rPr>
        <w:fldChar w:fldCharType="begin"/>
      </w:r>
      <w:r>
        <w:rPr>
          <w:color w:val="auto"/>
          <w:highlight w:val="none"/>
        </w:rPr>
        <w:instrText xml:space="preserve"> HYPERLINK "http://www.zjzfcg.gov.cn" </w:instrText>
      </w:r>
      <w:r>
        <w:rPr>
          <w:color w:val="auto"/>
          <w:highlight w:val="none"/>
        </w:rPr>
        <w:fldChar w:fldCharType="separate"/>
      </w:r>
      <w:r>
        <w:rPr>
          <w:rFonts w:hint="eastAsia" w:cs="宋体"/>
          <w:color w:val="auto"/>
          <w:sz w:val="21"/>
          <w:szCs w:val="21"/>
          <w:highlight w:val="none"/>
          <w:shd w:val="clear" w:color="auto" w:fill="FFFFFF"/>
        </w:rPr>
        <w:t>www.zjzfcg.gov.cn</w:t>
      </w:r>
      <w:r>
        <w:rPr>
          <w:rFonts w:hint="eastAsia" w:cs="宋体"/>
          <w:color w:val="auto"/>
          <w:sz w:val="21"/>
          <w:szCs w:val="21"/>
          <w:highlight w:val="none"/>
          <w:shd w:val="clear" w:color="auto" w:fill="FFFFFF"/>
        </w:rPr>
        <w:fldChar w:fldCharType="end"/>
      </w:r>
      <w:r>
        <w:rPr>
          <w:rFonts w:hint="eastAsia" w:cs="宋体"/>
          <w:color w:val="auto"/>
          <w:sz w:val="21"/>
          <w:szCs w:val="21"/>
          <w:highlight w:val="none"/>
          <w:shd w:val="clear" w:color="auto" w:fill="FFFFFF"/>
        </w:rPr>
        <w:t xml:space="preserve"> ），进入“下载专区”下载“电子交易客户端”，制作投标文件。</w:t>
      </w:r>
    </w:p>
    <w:p w14:paraId="3E3AC0C5">
      <w:pPr>
        <w:pStyle w:val="68"/>
        <w:spacing w:beforeAutospacing="0" w:afterAutospacing="0" w:line="360" w:lineRule="auto"/>
        <w:ind w:firstLine="525" w:firstLineChars="250"/>
        <w:jc w:val="both"/>
        <w:rPr>
          <w:rFonts w:cs="宋体"/>
          <w:color w:val="auto"/>
          <w:sz w:val="21"/>
          <w:szCs w:val="21"/>
          <w:highlight w:val="none"/>
          <w:shd w:val="clear" w:color="auto" w:fill="FFFFFF"/>
        </w:rPr>
      </w:pPr>
      <w:r>
        <w:rPr>
          <w:rFonts w:hint="eastAsia" w:cs="宋体"/>
          <w:color w:val="auto"/>
          <w:sz w:val="21"/>
          <w:szCs w:val="21"/>
          <w:highlight w:val="none"/>
          <w:shd w:val="clear" w:color="auto" w:fill="FFFFFF"/>
        </w:rPr>
        <w:t>2.投标人将加密的电子版投标文件于投标截止时间前上传到政采云系统中。</w:t>
      </w:r>
    </w:p>
    <w:p w14:paraId="24741E6D">
      <w:pPr>
        <w:pStyle w:val="68"/>
        <w:shd w:val="clear" w:color="auto" w:fill="FFFFFF"/>
        <w:spacing w:beforeAutospacing="0" w:afterAutospacing="0" w:line="360" w:lineRule="auto"/>
        <w:ind w:firstLine="420" w:firstLineChars="200"/>
        <w:rPr>
          <w:rFonts w:cs="宋体"/>
          <w:color w:val="auto"/>
          <w:sz w:val="21"/>
          <w:szCs w:val="21"/>
          <w:highlight w:val="none"/>
          <w:shd w:val="clear" w:color="auto" w:fill="FFFFFF"/>
        </w:rPr>
      </w:pPr>
      <w:r>
        <w:rPr>
          <w:rFonts w:hint="eastAsia" w:cs="宋体"/>
          <w:color w:val="auto"/>
          <w:sz w:val="21"/>
          <w:szCs w:val="21"/>
          <w:highlight w:val="none"/>
          <w:shd w:val="clear" w:color="auto" w:fill="FFFFFF"/>
        </w:rPr>
        <w:t>3.具体的投标文件加密上传等操作详见政采云平台操作指南。</w:t>
      </w:r>
      <w:r>
        <w:rPr>
          <w:color w:val="auto"/>
          <w:highlight w:val="none"/>
        </w:rPr>
        <w:fldChar w:fldCharType="begin"/>
      </w:r>
      <w:r>
        <w:rPr>
          <w:color w:val="auto"/>
          <w:highlight w:val="none"/>
        </w:rPr>
        <w:instrText xml:space="preserve"> HYPERLINK "https://edu.zcygov.cn/luban/e-biding?utm=a0004.2ef5001f.0001.0109.da8b35e0da8611e98d8937b7ef8a3544" </w:instrText>
      </w:r>
      <w:r>
        <w:rPr>
          <w:color w:val="auto"/>
          <w:highlight w:val="none"/>
        </w:rPr>
        <w:fldChar w:fldCharType="separate"/>
      </w:r>
      <w:r>
        <w:rPr>
          <w:rFonts w:hint="eastAsia" w:cs="宋体"/>
          <w:color w:val="auto"/>
          <w:sz w:val="21"/>
          <w:szCs w:val="21"/>
          <w:highlight w:val="none"/>
          <w:u w:val="single"/>
          <w:shd w:val="clear" w:color="auto" w:fill="FFFFFF"/>
        </w:rPr>
        <w:t>https://edu.zcygov.cn/luban/e-biding?utm=a0004.2ef5001f.0001.0109.da8b35e0da8611e98d8937b7ef8a3544</w:t>
      </w:r>
      <w:r>
        <w:rPr>
          <w:rFonts w:hint="eastAsia" w:cs="宋体"/>
          <w:color w:val="auto"/>
          <w:sz w:val="21"/>
          <w:szCs w:val="21"/>
          <w:highlight w:val="none"/>
          <w:u w:val="single"/>
          <w:shd w:val="clear" w:color="auto" w:fill="FFFFFF"/>
        </w:rPr>
        <w:fldChar w:fldCharType="end"/>
      </w:r>
    </w:p>
    <w:p w14:paraId="0894507F">
      <w:pPr>
        <w:pStyle w:val="68"/>
        <w:spacing w:beforeAutospacing="0" w:afterAutospacing="0" w:line="360" w:lineRule="auto"/>
        <w:jc w:val="both"/>
        <w:rPr>
          <w:rStyle w:val="32"/>
          <w:color w:val="auto"/>
          <w:sz w:val="21"/>
          <w:highlight w:val="none"/>
        </w:rPr>
      </w:pPr>
      <w:r>
        <w:rPr>
          <w:rStyle w:val="32"/>
          <w:rFonts w:hint="eastAsia"/>
          <w:b/>
          <w:bCs/>
          <w:color w:val="auto"/>
          <w:sz w:val="21"/>
          <w:highlight w:val="none"/>
        </w:rPr>
        <w:t>九、</w:t>
      </w:r>
      <w:r>
        <w:rPr>
          <w:rStyle w:val="32"/>
          <w:b/>
          <w:bCs/>
          <w:color w:val="auto"/>
          <w:sz w:val="21"/>
          <w:highlight w:val="none"/>
        </w:rPr>
        <w:t>投标截止时间</w:t>
      </w:r>
      <w:r>
        <w:rPr>
          <w:rStyle w:val="32"/>
          <w:rFonts w:hint="eastAsia"/>
          <w:b/>
          <w:bCs/>
          <w:color w:val="auto"/>
          <w:sz w:val="21"/>
          <w:highlight w:val="none"/>
        </w:rPr>
        <w:t>和地址</w:t>
      </w:r>
      <w:r>
        <w:rPr>
          <w:rStyle w:val="32"/>
          <w:color w:val="auto"/>
          <w:sz w:val="21"/>
          <w:highlight w:val="none"/>
        </w:rPr>
        <w:t>：</w:t>
      </w:r>
    </w:p>
    <w:p w14:paraId="4F00105F">
      <w:pPr>
        <w:spacing w:line="312"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1.本项目实行电子投标。</w:t>
      </w:r>
    </w:p>
    <w:p w14:paraId="7AC73B2F">
      <w:pPr>
        <w:spacing w:line="312" w:lineRule="auto"/>
        <w:ind w:firstLine="420" w:firstLineChars="200"/>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投标人应准备电子投标文件、以介质存储的数据电文形式的备份投标文件：</w:t>
      </w:r>
    </w:p>
    <w:p w14:paraId="19EE53ED">
      <w:pPr>
        <w:spacing w:line="312"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（1）电子投标文件，按政采云平台项目采购-电子交易操作指南及本磋商文件要求递交。</w:t>
      </w:r>
      <w:r>
        <w:rPr>
          <w:rFonts w:hint="eastAsia" w:cs="宋体" w:asciiTheme="minorEastAsia" w:hAnsiTheme="minorEastAsia" w:eastAsiaTheme="minorEastAsia"/>
          <w:color w:val="auto"/>
          <w:szCs w:val="21"/>
          <w:highlight w:val="none"/>
          <w:shd w:val="clear" w:color="auto" w:fill="FFFFFF"/>
        </w:rPr>
        <w:t>投标人应于2026年</w:t>
      </w:r>
      <w:r>
        <w:rPr>
          <w:rFonts w:hint="eastAsia" w:cs="宋体" w:asciiTheme="minorEastAsia" w:hAnsiTheme="minorEastAsia" w:eastAsiaTheme="minorEastAsia"/>
          <w:color w:val="auto"/>
          <w:szCs w:val="21"/>
          <w:highlight w:val="none"/>
          <w:shd w:val="clear" w:color="auto" w:fill="FFFFFF"/>
          <w:lang w:val="en-US" w:eastAsia="zh-CN"/>
        </w:rPr>
        <w:t>06</w:t>
      </w:r>
      <w:r>
        <w:rPr>
          <w:rFonts w:hint="eastAsia" w:cs="宋体" w:asciiTheme="minorEastAsia" w:hAnsiTheme="minorEastAsia" w:eastAsiaTheme="minorEastAsia"/>
          <w:color w:val="auto"/>
          <w:szCs w:val="21"/>
          <w:highlight w:val="none"/>
          <w:shd w:val="clear" w:color="auto" w:fill="FFFFFF"/>
        </w:rPr>
        <w:t>月</w:t>
      </w:r>
      <w:r>
        <w:rPr>
          <w:rFonts w:hint="eastAsia" w:cs="宋体" w:asciiTheme="minorEastAsia" w:hAnsiTheme="minorEastAsia" w:eastAsiaTheme="minorEastAsia"/>
          <w:color w:val="auto"/>
          <w:szCs w:val="21"/>
          <w:highlight w:val="none"/>
          <w:shd w:val="clear" w:color="auto" w:fill="FFFFFF"/>
          <w:lang w:val="en-US" w:eastAsia="zh-CN"/>
        </w:rPr>
        <w:t>15</w:t>
      </w:r>
      <w:r>
        <w:rPr>
          <w:rFonts w:hint="eastAsia" w:cs="宋体" w:asciiTheme="minorEastAsia" w:hAnsiTheme="minorEastAsia" w:eastAsiaTheme="minorEastAsia"/>
          <w:color w:val="auto"/>
          <w:szCs w:val="21"/>
          <w:highlight w:val="none"/>
          <w:shd w:val="clear" w:color="auto" w:fill="FFFFFF"/>
        </w:rPr>
        <w:t>日09</w:t>
      </w:r>
      <w:r>
        <w:rPr>
          <w:rFonts w:hint="eastAsia" w:cs="宋体" w:asciiTheme="minorEastAsia" w:hAnsiTheme="minorEastAsia" w:eastAsiaTheme="minorEastAsia"/>
          <w:color w:val="auto"/>
          <w:szCs w:val="21"/>
          <w:highlight w:val="none"/>
          <w:shd w:val="clear" w:color="auto" w:fill="FFFFFF"/>
          <w:lang w:eastAsia="zh-CN"/>
        </w:rPr>
        <w:t>:</w:t>
      </w:r>
      <w:r>
        <w:rPr>
          <w:rFonts w:hint="eastAsia" w:cs="宋体" w:asciiTheme="minorEastAsia" w:hAnsiTheme="minorEastAsia" w:eastAsiaTheme="minorEastAsia"/>
          <w:color w:val="auto"/>
          <w:szCs w:val="21"/>
          <w:highlight w:val="none"/>
          <w:shd w:val="clear" w:color="auto" w:fill="FFFFFF"/>
          <w:lang w:val="en-US" w:eastAsia="zh-CN"/>
        </w:rPr>
        <w:t>15</w:t>
      </w:r>
      <w:r>
        <w:rPr>
          <w:rFonts w:hint="eastAsia" w:cs="宋体" w:asciiTheme="minorEastAsia" w:hAnsiTheme="minorEastAsia" w:eastAsiaTheme="minorEastAsia"/>
          <w:color w:val="auto"/>
          <w:szCs w:val="21"/>
          <w:highlight w:val="none"/>
          <w:shd w:val="clear" w:color="auto" w:fill="FFFFFF"/>
        </w:rPr>
        <w:t>（北京时间）前将加密的电子版投标文件上传到政采云系统中（不准时上传视为无效标）。</w:t>
      </w:r>
      <w:r>
        <w:rPr>
          <w:rFonts w:hint="eastAsia" w:cs="宋体" w:asciiTheme="minorEastAsia" w:hAnsiTheme="minorEastAsia" w:eastAsiaTheme="minorEastAsia"/>
          <w:b/>
          <w:color w:val="auto"/>
          <w:szCs w:val="21"/>
          <w:highlight w:val="none"/>
          <w:shd w:val="clear" w:color="auto" w:fill="FFFFFF"/>
        </w:rPr>
        <w:t>CA数字证书随身携带或准时解码。</w:t>
      </w:r>
    </w:p>
    <w:p w14:paraId="70ABC690">
      <w:pPr>
        <w:spacing w:line="312" w:lineRule="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 xml:space="preserve">    （2）以介质存储的数据电文形式的备份投标文件，按政采云平台项目采购-电子交易操作指南中上传的电子投标文件格式，以U盘形式存储提供。数量为1份。</w:t>
      </w:r>
    </w:p>
    <w:p w14:paraId="5B6434F4">
      <w:pPr>
        <w:spacing w:line="360" w:lineRule="auto"/>
        <w:ind w:firstLine="422" w:firstLineChars="200"/>
        <w:rPr>
          <w:color w:val="auto"/>
          <w:highlight w:val="none"/>
        </w:rPr>
      </w:pPr>
      <w:r>
        <w:rPr>
          <w:rFonts w:hint="eastAsia" w:ascii="Times New Roman" w:hAnsi="Times New Roman"/>
          <w:b/>
          <w:bCs/>
          <w:color w:val="auto"/>
          <w:kern w:val="0"/>
          <w:szCs w:val="21"/>
          <w:highlight w:val="none"/>
        </w:rPr>
        <w:t>投标人可于2026年</w:t>
      </w:r>
      <w:r>
        <w:rPr>
          <w:rFonts w:hint="eastAsia" w:ascii="Times New Roman" w:hAnsi="Times New Roman"/>
          <w:b/>
          <w:bCs/>
          <w:color w:val="auto"/>
          <w:kern w:val="0"/>
          <w:szCs w:val="21"/>
          <w:highlight w:val="none"/>
          <w:lang w:val="en-US" w:eastAsia="zh-CN"/>
        </w:rPr>
        <w:t>06</w:t>
      </w:r>
      <w:r>
        <w:rPr>
          <w:rFonts w:hint="eastAsia" w:ascii="Times New Roman" w:hAnsi="Times New Roman"/>
          <w:b/>
          <w:bCs/>
          <w:color w:val="auto"/>
          <w:kern w:val="0"/>
          <w:szCs w:val="21"/>
          <w:highlight w:val="none"/>
        </w:rPr>
        <w:t>月</w:t>
      </w:r>
      <w:r>
        <w:rPr>
          <w:rFonts w:hint="eastAsia" w:ascii="Times New Roman" w:hAnsi="Times New Roman"/>
          <w:b/>
          <w:bCs/>
          <w:color w:val="auto"/>
          <w:kern w:val="0"/>
          <w:szCs w:val="21"/>
          <w:highlight w:val="none"/>
          <w:lang w:val="en-US" w:eastAsia="zh-CN"/>
        </w:rPr>
        <w:t>14</w:t>
      </w:r>
      <w:r>
        <w:rPr>
          <w:rFonts w:hint="eastAsia" w:ascii="Times New Roman" w:hAnsi="Times New Roman"/>
          <w:b/>
          <w:bCs/>
          <w:color w:val="auto"/>
          <w:kern w:val="0"/>
          <w:szCs w:val="21"/>
          <w:highlight w:val="none"/>
        </w:rPr>
        <w:t>日11：30（北京时间）前将密封的投标文件寄到或送达采购代理公司。地址：舟山市定海区昌国路232号中楼202  深圳市国信招标有限公司舟山分公司</w:t>
      </w:r>
      <w:r>
        <w:rPr>
          <w:rFonts w:hint="eastAsia" w:ascii="Times New Roman" w:hAnsi="Times New Roman"/>
          <w:b/>
          <w:bCs/>
          <w:color w:val="auto"/>
          <w:kern w:val="0"/>
          <w:szCs w:val="21"/>
          <w:highlight w:val="none"/>
          <w:lang w:eastAsia="zh-CN"/>
        </w:rPr>
        <w:t>（</w:t>
      </w:r>
      <w:r>
        <w:rPr>
          <w:rFonts w:hint="eastAsia" w:ascii="Times New Roman" w:hAnsi="Times New Roman"/>
          <w:b/>
          <w:bCs/>
          <w:color w:val="auto"/>
          <w:kern w:val="0"/>
          <w:szCs w:val="21"/>
          <w:highlight w:val="none"/>
        </w:rPr>
        <w:t>收件人：任女士，联系电话：13567673203）。寄错地址或未按时寄到的自行承担风险。也可</w:t>
      </w:r>
      <w:r>
        <w:rPr>
          <w:rFonts w:hint="eastAsia" w:ascii="Times New Roman" w:hAnsi="Times New Roman"/>
          <w:b/>
          <w:bCs/>
          <w:color w:val="auto"/>
          <w:kern w:val="0"/>
          <w:szCs w:val="21"/>
          <w:highlight w:val="none"/>
          <w:lang w:eastAsia="zh-CN"/>
        </w:rPr>
        <w:t>在开标</w:t>
      </w:r>
      <w:r>
        <w:rPr>
          <w:rFonts w:hint="eastAsia" w:ascii="Times New Roman" w:hAnsi="Times New Roman"/>
          <w:b/>
          <w:bCs/>
          <w:color w:val="auto"/>
          <w:kern w:val="0"/>
          <w:szCs w:val="21"/>
          <w:highlight w:val="none"/>
        </w:rPr>
        <w:t>会现场递交，递交截止时间</w:t>
      </w:r>
      <w:r>
        <w:rPr>
          <w:rFonts w:hint="eastAsia" w:ascii="Times New Roman" w:hAnsi="Times New Roman"/>
          <w:b/>
          <w:bCs/>
          <w:color w:val="auto"/>
          <w:kern w:val="0"/>
          <w:szCs w:val="21"/>
          <w:highlight w:val="none"/>
          <w:lang w:eastAsia="zh-CN"/>
        </w:rPr>
        <w:t>：2026年06月15日09:15。</w:t>
      </w:r>
    </w:p>
    <w:p w14:paraId="7AD18C4D">
      <w:pPr>
        <w:pStyle w:val="68"/>
        <w:shd w:val="clear" w:color="auto" w:fill="FFFFFF"/>
        <w:spacing w:beforeAutospacing="0" w:afterAutospacing="0" w:line="360" w:lineRule="auto"/>
        <w:ind w:firstLine="519" w:firstLineChars="246"/>
        <w:rPr>
          <w:rFonts w:cs="(使用中文字体)"/>
          <w:b/>
          <w:color w:val="auto"/>
          <w:sz w:val="21"/>
          <w:szCs w:val="21"/>
          <w:highlight w:val="none"/>
        </w:rPr>
      </w:pPr>
      <w:r>
        <w:rPr>
          <w:rFonts w:hint="eastAsia" w:cs="(使用中文字体)"/>
          <w:b/>
          <w:color w:val="auto"/>
          <w:sz w:val="21"/>
          <w:szCs w:val="21"/>
          <w:highlight w:val="none"/>
        </w:rPr>
        <w:t>投标人可以不提供备份投标文件，造成项目开评标活动无法进行下去的，投标无效，相关风险由投标人自行承担。</w:t>
      </w:r>
    </w:p>
    <w:p w14:paraId="17FFB69A">
      <w:pPr>
        <w:pStyle w:val="68"/>
        <w:shd w:val="clear" w:color="auto" w:fill="FFFFFF"/>
        <w:spacing w:beforeAutospacing="0" w:afterAutospacing="0" w:line="336" w:lineRule="auto"/>
        <w:ind w:firstLine="422" w:firstLineChars="200"/>
        <w:rPr>
          <w:rFonts w:cs="宋体" w:asciiTheme="minorEastAsia" w:hAnsiTheme="minorEastAsia" w:eastAsiaTheme="minorEastAsia"/>
          <w:bCs/>
          <w:color w:val="auto"/>
          <w:kern w:val="2"/>
          <w:sz w:val="21"/>
          <w:szCs w:val="21"/>
          <w:highlight w:val="none"/>
        </w:rPr>
      </w:pPr>
      <w:r>
        <w:rPr>
          <w:rFonts w:hint="eastAsia" w:cs="宋体" w:asciiTheme="minorEastAsia" w:hAnsiTheme="minorEastAsia" w:eastAsiaTheme="minorEastAsia"/>
          <w:b/>
          <w:bCs/>
          <w:color w:val="auto"/>
          <w:kern w:val="2"/>
          <w:sz w:val="21"/>
          <w:szCs w:val="21"/>
          <w:highlight w:val="none"/>
        </w:rPr>
        <w:t>2.开标时间：2026年06月15日09:15</w:t>
      </w:r>
      <w:r>
        <w:rPr>
          <w:rFonts w:hint="eastAsia" w:cs="宋体" w:asciiTheme="minorEastAsia" w:hAnsiTheme="minorEastAsia" w:eastAsiaTheme="minorEastAsia"/>
          <w:b/>
          <w:bCs w:val="0"/>
          <w:color w:val="auto"/>
          <w:kern w:val="2"/>
          <w:sz w:val="21"/>
          <w:szCs w:val="21"/>
          <w:highlight w:val="none"/>
        </w:rPr>
        <w:t>（北京时间）</w:t>
      </w:r>
    </w:p>
    <w:p w14:paraId="519BB635">
      <w:pPr>
        <w:pStyle w:val="68"/>
        <w:shd w:val="clear" w:color="auto" w:fill="FFFFFF"/>
        <w:spacing w:beforeAutospacing="0" w:afterAutospacing="0" w:line="360" w:lineRule="auto"/>
        <w:ind w:firstLine="422" w:firstLineChars="200"/>
        <w:rPr>
          <w:rFonts w:hint="default" w:cs="宋体" w:asciiTheme="minorEastAsia" w:hAnsiTheme="minorEastAsia" w:eastAsiaTheme="minorEastAsia"/>
          <w:b/>
          <w:bCs/>
          <w:color w:val="auto"/>
          <w:szCs w:val="21"/>
          <w:highlight w:val="none"/>
          <w:lang w:val="en-US"/>
        </w:rPr>
      </w:pPr>
      <w:r>
        <w:rPr>
          <w:rFonts w:hint="eastAsia" w:cs="宋体" w:asciiTheme="minorEastAsia" w:hAnsiTheme="minorEastAsia" w:eastAsiaTheme="minorEastAsia"/>
          <w:b/>
          <w:bCs/>
          <w:color w:val="auto"/>
          <w:kern w:val="2"/>
          <w:sz w:val="21"/>
          <w:szCs w:val="21"/>
          <w:highlight w:val="none"/>
          <w:lang w:val="en-US" w:eastAsia="zh-CN"/>
        </w:rPr>
        <w:t>3.开标地点：舟山市定海区颜家峧路7号一楼</w:t>
      </w:r>
    </w:p>
    <w:p w14:paraId="42DB23D7">
      <w:pPr>
        <w:pStyle w:val="68"/>
        <w:shd w:val="clear" w:color="auto" w:fill="FFFFFF"/>
        <w:spacing w:beforeAutospacing="0" w:afterAutospacing="0" w:line="360" w:lineRule="auto"/>
        <w:rPr>
          <w:rStyle w:val="32"/>
          <w:b/>
          <w:bCs/>
          <w:color w:val="auto"/>
          <w:sz w:val="21"/>
          <w:highlight w:val="none"/>
        </w:rPr>
      </w:pPr>
      <w:r>
        <w:rPr>
          <w:rStyle w:val="32"/>
          <w:rFonts w:hint="eastAsia"/>
          <w:b/>
          <w:bCs/>
          <w:color w:val="auto"/>
          <w:sz w:val="21"/>
          <w:highlight w:val="none"/>
        </w:rPr>
        <w:t>十、</w:t>
      </w:r>
      <w:r>
        <w:rPr>
          <w:rStyle w:val="32"/>
          <w:b/>
          <w:bCs/>
          <w:color w:val="auto"/>
          <w:sz w:val="21"/>
          <w:highlight w:val="none"/>
        </w:rPr>
        <w:t>其他事项：</w:t>
      </w:r>
    </w:p>
    <w:p w14:paraId="7326ADF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1.投标人</w:t>
      </w:r>
      <w:r>
        <w:rPr>
          <w:rFonts w:ascii="宋体" w:hAnsi="宋体" w:cs="宋体"/>
          <w:color w:val="auto"/>
          <w:szCs w:val="21"/>
          <w:highlight w:val="none"/>
        </w:rPr>
        <w:t>认为</w:t>
      </w:r>
      <w:r>
        <w:rPr>
          <w:rFonts w:hint="eastAsia" w:ascii="宋体" w:hAnsi="宋体" w:cs="宋体"/>
          <w:color w:val="auto"/>
          <w:szCs w:val="21"/>
          <w:highlight w:val="none"/>
        </w:rPr>
        <w:t>磋商</w:t>
      </w:r>
      <w:r>
        <w:rPr>
          <w:rFonts w:ascii="宋体" w:hAnsi="宋体" w:cs="宋体"/>
          <w:color w:val="auto"/>
          <w:szCs w:val="21"/>
          <w:highlight w:val="none"/>
        </w:rPr>
        <w:t>文件使自己的权益受到损害的，可以自收到</w:t>
      </w:r>
      <w:r>
        <w:rPr>
          <w:rFonts w:hint="eastAsia" w:ascii="宋体" w:hAnsi="宋体" w:cs="宋体"/>
          <w:color w:val="auto"/>
          <w:szCs w:val="21"/>
          <w:highlight w:val="none"/>
        </w:rPr>
        <w:t>采购</w:t>
      </w:r>
      <w:r>
        <w:rPr>
          <w:rFonts w:ascii="宋体" w:hAnsi="宋体" w:cs="宋体"/>
          <w:color w:val="auto"/>
          <w:szCs w:val="21"/>
          <w:highlight w:val="none"/>
        </w:rPr>
        <w:t>文件之日（发售截止日之后收到</w:t>
      </w:r>
      <w:r>
        <w:rPr>
          <w:rFonts w:hint="eastAsia" w:ascii="宋体" w:hAnsi="宋体" w:cs="宋体"/>
          <w:color w:val="auto"/>
          <w:szCs w:val="21"/>
          <w:highlight w:val="none"/>
        </w:rPr>
        <w:t>磋商</w:t>
      </w:r>
      <w:r>
        <w:rPr>
          <w:rFonts w:ascii="宋体" w:hAnsi="宋体" w:cs="宋体"/>
          <w:color w:val="auto"/>
          <w:szCs w:val="21"/>
          <w:highlight w:val="none"/>
        </w:rPr>
        <w:t>文件的，以发售截止日为准）或者</w:t>
      </w:r>
      <w:r>
        <w:rPr>
          <w:rFonts w:hint="eastAsia" w:ascii="宋体" w:hAnsi="宋体" w:cs="宋体"/>
          <w:color w:val="auto"/>
          <w:szCs w:val="21"/>
          <w:highlight w:val="none"/>
        </w:rPr>
        <w:t>磋商</w:t>
      </w:r>
      <w:r>
        <w:rPr>
          <w:rFonts w:ascii="宋体" w:hAnsi="宋体" w:cs="宋体"/>
          <w:color w:val="auto"/>
          <w:szCs w:val="21"/>
          <w:highlight w:val="none"/>
        </w:rPr>
        <w:t>文件公告期限届满之日</w:t>
      </w:r>
      <w:r>
        <w:rPr>
          <w:rFonts w:ascii="宋体" w:hAnsi="宋体" w:cs="宋体"/>
          <w:color w:val="auto"/>
          <w:szCs w:val="21"/>
          <w:highlight w:val="none"/>
          <w:u w:val="none" w:color="auto"/>
        </w:rPr>
        <w:t>（招标公告为公告发布后的第6个工作日）起7个工作日内，以书面形式一次性向采购人和采购代理机构提出质疑。</w:t>
      </w:r>
      <w:r>
        <w:rPr>
          <w:rFonts w:ascii="宋体" w:hAnsi="宋体" w:cs="宋体"/>
          <w:color w:val="auto"/>
          <w:szCs w:val="21"/>
          <w:highlight w:val="none"/>
        </w:rPr>
        <w:t>质疑</w:t>
      </w:r>
      <w:r>
        <w:rPr>
          <w:rFonts w:hint="eastAsia" w:ascii="宋体" w:hAnsi="宋体" w:cs="宋体"/>
          <w:color w:val="auto"/>
          <w:szCs w:val="21"/>
          <w:highlight w:val="none"/>
        </w:rPr>
        <w:t>投标人</w:t>
      </w:r>
      <w:r>
        <w:rPr>
          <w:rFonts w:ascii="宋体" w:hAnsi="宋体" w:cs="宋体"/>
          <w:color w:val="auto"/>
          <w:szCs w:val="21"/>
          <w:highlight w:val="none"/>
        </w:rPr>
        <w:t>对采购人、采购代理机构的答复不满意或者采购人、采购代理机构未在规定的时间内作</w:t>
      </w:r>
      <w:r>
        <w:rPr>
          <w:rFonts w:hint="eastAsia" w:ascii="宋体" w:hAnsi="宋体" w:cs="宋体"/>
          <w:color w:val="auto"/>
          <w:szCs w:val="21"/>
          <w:highlight w:val="none"/>
        </w:rPr>
        <w:t>出答复的，可以在答复期满后十五个工作日内向监督管理部门投诉。质疑函范本、投诉书范本请到浙江政府采购网下载专区下载。</w:t>
      </w:r>
    </w:p>
    <w:p w14:paraId="3C42A6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2.投标人应在合同签订前成为浙江政府采购网正式注册供应商。</w:t>
      </w:r>
    </w:p>
    <w:p w14:paraId="1EE86DCC">
      <w:pPr>
        <w:pStyle w:val="68"/>
        <w:spacing w:beforeAutospacing="0" w:afterAutospacing="0" w:line="360" w:lineRule="auto"/>
        <w:jc w:val="both"/>
        <w:rPr>
          <w:rStyle w:val="32"/>
          <w:rFonts w:asciiTheme="minorEastAsia" w:hAnsiTheme="minorEastAsia" w:eastAsiaTheme="minorEastAsia"/>
          <w:b/>
          <w:bCs/>
          <w:color w:val="auto"/>
          <w:sz w:val="21"/>
          <w:highlight w:val="none"/>
        </w:rPr>
      </w:pPr>
      <w:r>
        <w:rPr>
          <w:rStyle w:val="32"/>
          <w:rFonts w:asciiTheme="minorEastAsia" w:hAnsiTheme="minorEastAsia" w:eastAsiaTheme="minorEastAsia"/>
          <w:b/>
          <w:bCs/>
          <w:color w:val="auto"/>
          <w:sz w:val="21"/>
          <w:highlight w:val="none"/>
        </w:rPr>
        <w:t>十</w:t>
      </w:r>
      <w:r>
        <w:rPr>
          <w:rStyle w:val="32"/>
          <w:rFonts w:hint="eastAsia" w:asciiTheme="minorEastAsia" w:hAnsiTheme="minorEastAsia" w:eastAsiaTheme="minorEastAsia"/>
          <w:b/>
          <w:bCs/>
          <w:color w:val="auto"/>
          <w:sz w:val="21"/>
          <w:highlight w:val="none"/>
        </w:rPr>
        <w:t>一、</w:t>
      </w:r>
      <w:r>
        <w:rPr>
          <w:rStyle w:val="32"/>
          <w:rFonts w:asciiTheme="minorEastAsia" w:hAnsiTheme="minorEastAsia" w:eastAsiaTheme="minorEastAsia"/>
          <w:b/>
          <w:bCs/>
          <w:color w:val="auto"/>
          <w:sz w:val="21"/>
          <w:highlight w:val="none"/>
        </w:rPr>
        <w:t>联系方式：</w:t>
      </w:r>
    </w:p>
    <w:p w14:paraId="0DFEB70B">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1.代理机构：深圳市国信招标有限公司舟山分公司</w:t>
      </w:r>
    </w:p>
    <w:p w14:paraId="02F76F1A">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联系人：朱女士、任女士</w:t>
      </w:r>
    </w:p>
    <w:p w14:paraId="1E27231B">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 xml:space="preserve">联系电话：0580-2054476，13857236444，13567673203 </w:t>
      </w:r>
    </w:p>
    <w:p w14:paraId="1468B571">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质疑答复联系人：王女士</w:t>
      </w:r>
    </w:p>
    <w:p w14:paraId="5DC21C06">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联系电话：0580-2054476，13587045176</w:t>
      </w:r>
    </w:p>
    <w:p w14:paraId="6BB1AD83">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传真：0580-2054476</w:t>
      </w:r>
    </w:p>
    <w:p w14:paraId="1035308D">
      <w:pPr>
        <w:pStyle w:val="25"/>
        <w:widowControl/>
        <w:spacing w:before="0" w:beforeAutospacing="0" w:after="0" w:afterAutospacing="0" w:line="360" w:lineRule="auto"/>
        <w:ind w:firstLine="420"/>
        <w:jc w:val="both"/>
        <w:rPr>
          <w:rFonts w:asciiTheme="minorEastAsia" w:hAnsiTheme="minorEastAsia" w:eastAsiaTheme="minorEastAsia"/>
          <w:color w:val="auto"/>
          <w:sz w:val="21"/>
          <w:szCs w:val="21"/>
          <w:highlight w:val="none"/>
          <w:shd w:val="clear" w:color="auto" w:fill="FFFFFF"/>
        </w:rPr>
      </w:pPr>
      <w:r>
        <w:rPr>
          <w:rFonts w:hint="eastAsia" w:asciiTheme="minorEastAsia" w:hAnsiTheme="minorEastAsia" w:eastAsiaTheme="minorEastAsia"/>
          <w:color w:val="auto"/>
          <w:sz w:val="21"/>
          <w:szCs w:val="21"/>
          <w:highlight w:val="none"/>
          <w:shd w:val="clear" w:color="auto" w:fill="FFFFFF"/>
        </w:rPr>
        <w:t>地点：舟山市定海区昌国路232号中楼202</w:t>
      </w:r>
    </w:p>
    <w:p w14:paraId="4852F84D">
      <w:pPr>
        <w:spacing w:line="360" w:lineRule="auto"/>
        <w:ind w:firstLine="472" w:firstLineChars="225"/>
        <w:rPr>
          <w:rFonts w:ascii="宋体" w:hAnsi="宋体"/>
          <w:szCs w:val="21"/>
        </w:rPr>
      </w:pPr>
      <w:r>
        <w:rPr>
          <w:rFonts w:hint="eastAsia" w:ascii="宋体" w:hAnsi="宋体"/>
          <w:szCs w:val="21"/>
          <w:shd w:val="clear" w:color="auto" w:fill="FFFFFF"/>
        </w:rPr>
        <w:t>2.采购人：</w:t>
      </w:r>
      <w:r>
        <w:rPr>
          <w:rFonts w:hint="eastAsia" w:ascii="宋体" w:hAnsi="宋体"/>
          <w:szCs w:val="21"/>
        </w:rPr>
        <w:t>舟山市普陀区图书馆</w:t>
      </w:r>
    </w:p>
    <w:p w14:paraId="66C085AF">
      <w:pPr>
        <w:spacing w:line="360" w:lineRule="auto"/>
        <w:ind w:firstLine="472" w:firstLineChars="225"/>
        <w:rPr>
          <w:rFonts w:ascii="宋体" w:hAnsi="宋体"/>
          <w:szCs w:val="21"/>
        </w:rPr>
      </w:pPr>
      <w:r>
        <w:rPr>
          <w:rFonts w:hint="eastAsia" w:ascii="宋体" w:hAnsi="宋体"/>
          <w:szCs w:val="21"/>
        </w:rPr>
        <w:t>联系人：</w:t>
      </w:r>
      <w:r>
        <w:rPr>
          <w:rFonts w:hint="eastAsia" w:ascii="宋体" w:hAnsi="宋体"/>
          <w:szCs w:val="21"/>
          <w:lang w:val="en-US" w:eastAsia="zh-CN"/>
        </w:rPr>
        <w:t>沈老师</w:t>
      </w:r>
      <w:r>
        <w:rPr>
          <w:rFonts w:hint="eastAsia" w:ascii="宋体" w:hAnsi="宋体"/>
          <w:szCs w:val="21"/>
        </w:rPr>
        <w:t xml:space="preserve"> </w:t>
      </w:r>
    </w:p>
    <w:p w14:paraId="570B8C4D">
      <w:pPr>
        <w:spacing w:line="360" w:lineRule="auto"/>
        <w:ind w:firstLine="472" w:firstLineChars="225"/>
        <w:rPr>
          <w:rFonts w:ascii="宋体" w:hAnsi="宋体"/>
          <w:szCs w:val="21"/>
        </w:rPr>
      </w:pPr>
      <w:r>
        <w:rPr>
          <w:rFonts w:hint="eastAsia" w:ascii="宋体" w:hAnsi="宋体"/>
          <w:szCs w:val="21"/>
        </w:rPr>
        <w:t>联系电话：0580-3806576</w:t>
      </w:r>
    </w:p>
    <w:p w14:paraId="05D77645">
      <w:pPr>
        <w:spacing w:line="360" w:lineRule="auto"/>
        <w:ind w:firstLine="472" w:firstLineChars="225"/>
        <w:rPr>
          <w:rFonts w:hint="eastAsia" w:ascii="宋体" w:hAnsi="宋体" w:eastAsia="宋体"/>
          <w:szCs w:val="21"/>
          <w:lang w:val="en-US" w:eastAsia="zh-CN"/>
        </w:rPr>
      </w:pPr>
      <w:r>
        <w:rPr>
          <w:rFonts w:hint="eastAsia" w:ascii="宋体" w:hAnsi="宋体"/>
          <w:szCs w:val="21"/>
        </w:rPr>
        <w:t>质疑答复联系人：</w:t>
      </w:r>
      <w:r>
        <w:rPr>
          <w:rFonts w:hint="eastAsia" w:ascii="宋体" w:hAnsi="宋体"/>
          <w:szCs w:val="21"/>
          <w:lang w:val="en-US" w:eastAsia="zh-CN"/>
        </w:rPr>
        <w:t>乐老师</w:t>
      </w:r>
    </w:p>
    <w:p w14:paraId="2BEDE057">
      <w:pPr>
        <w:spacing w:line="360" w:lineRule="auto"/>
        <w:ind w:firstLine="472" w:firstLineChars="225"/>
        <w:rPr>
          <w:rFonts w:ascii="宋体" w:hAnsi="宋体"/>
          <w:szCs w:val="21"/>
        </w:rPr>
      </w:pPr>
      <w:r>
        <w:rPr>
          <w:rFonts w:hint="eastAsia" w:ascii="宋体" w:hAnsi="宋体"/>
          <w:szCs w:val="21"/>
        </w:rPr>
        <w:t>联系电话：0580-3806697</w:t>
      </w:r>
    </w:p>
    <w:p w14:paraId="7DED27BE">
      <w:pPr>
        <w:spacing w:line="360" w:lineRule="auto"/>
        <w:ind w:firstLine="472" w:firstLineChars="225"/>
        <w:rPr>
          <w:rFonts w:hint="eastAsia" w:ascii="宋体" w:hAnsi="宋体"/>
          <w:szCs w:val="21"/>
        </w:rPr>
      </w:pPr>
      <w:r>
        <w:rPr>
          <w:rFonts w:hint="eastAsia" w:ascii="宋体" w:hAnsi="宋体"/>
          <w:szCs w:val="21"/>
        </w:rPr>
        <w:t>地址：浙江省舟山市普陀区海华路589号</w:t>
      </w:r>
    </w:p>
    <w:p w14:paraId="7940CB6B">
      <w:pPr>
        <w:spacing w:line="360" w:lineRule="auto"/>
        <w:ind w:firstLine="472" w:firstLineChars="225"/>
        <w:rPr>
          <w:rFonts w:ascii="宋体" w:hAnsi="宋体" w:eastAsia="宋体"/>
          <w:color w:val="auto"/>
          <w:szCs w:val="21"/>
          <w:highlight w:val="none"/>
        </w:rPr>
      </w:pPr>
      <w:r>
        <w:rPr>
          <w:rFonts w:ascii="宋体" w:hAnsi="宋体" w:eastAsia="宋体"/>
          <w:color w:val="auto"/>
          <w:szCs w:val="21"/>
          <w:highlight w:val="none"/>
        </w:rPr>
        <w:t>3.同级政府采购监督管理部门名称：普陀区财政局</w:t>
      </w:r>
    </w:p>
    <w:p w14:paraId="1B2D09A0">
      <w:pPr>
        <w:spacing w:line="360" w:lineRule="auto"/>
        <w:ind w:firstLine="472" w:firstLineChars="225"/>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联系人：</w:t>
      </w:r>
      <w:r>
        <w:rPr>
          <w:rFonts w:hint="eastAsia" w:ascii="宋体" w:hAnsi="宋体" w:eastAsia="宋体"/>
          <w:color w:val="auto"/>
          <w:szCs w:val="21"/>
          <w:highlight w:val="none"/>
        </w:rPr>
        <w:t>徐女士</w:t>
      </w:r>
    </w:p>
    <w:p w14:paraId="0499D296">
      <w:pPr>
        <w:spacing w:line="360" w:lineRule="auto"/>
        <w:ind w:firstLine="472" w:firstLineChars="225"/>
        <w:rPr>
          <w:rFonts w:hint="eastAsia" w:ascii="宋体" w:hAnsi="宋体" w:eastAsia="宋体"/>
          <w:color w:val="auto"/>
          <w:szCs w:val="21"/>
          <w:highlight w:val="none"/>
          <w:lang w:val="en-US" w:eastAsia="zh-CN"/>
        </w:rPr>
      </w:pPr>
      <w:r>
        <w:rPr>
          <w:rFonts w:hint="eastAsia" w:ascii="宋体" w:hAnsi="宋体" w:eastAsia="宋体"/>
          <w:color w:val="auto"/>
          <w:szCs w:val="21"/>
          <w:highlight w:val="none"/>
        </w:rPr>
        <w:t>监督投诉电话：</w:t>
      </w:r>
      <w:r>
        <w:rPr>
          <w:rFonts w:ascii="宋体" w:hAnsi="宋体" w:eastAsia="宋体"/>
          <w:color w:val="auto"/>
          <w:szCs w:val="21"/>
          <w:highlight w:val="none"/>
        </w:rPr>
        <w:t>0580-3062899</w:t>
      </w:r>
      <w:r>
        <w:rPr>
          <w:rFonts w:hint="eastAsia" w:ascii="宋体" w:hAnsi="宋体"/>
          <w:color w:val="auto"/>
          <w:szCs w:val="21"/>
          <w:highlight w:val="none"/>
          <w:lang w:val="en-US" w:eastAsia="zh-CN"/>
        </w:rPr>
        <w:t xml:space="preserve"> </w:t>
      </w:r>
    </w:p>
    <w:p w14:paraId="66A0999A">
      <w:pPr>
        <w:spacing w:line="360" w:lineRule="auto"/>
        <w:ind w:firstLine="472" w:firstLineChars="225"/>
        <w:rPr>
          <w:rFonts w:ascii="宋体" w:hAnsi="宋体" w:eastAsia="宋体"/>
          <w:b/>
          <w:color w:val="auto"/>
          <w:sz w:val="30"/>
          <w:highlight w:val="none"/>
        </w:rPr>
      </w:pPr>
      <w:r>
        <w:rPr>
          <w:rFonts w:hint="eastAsia" w:ascii="宋体" w:hAnsi="宋体" w:eastAsia="宋体"/>
          <w:color w:val="auto"/>
          <w:szCs w:val="21"/>
          <w:highlight w:val="none"/>
        </w:rPr>
        <w:t>舟山市普陀区东港街道昌正街169号东港商务中心3号楼东314室</w:t>
      </w:r>
    </w:p>
    <w:p w14:paraId="312812BC">
      <w:pPr>
        <w:spacing w:line="312" w:lineRule="auto"/>
        <w:ind w:firstLine="472" w:firstLineChars="225"/>
        <w:rPr>
          <w:rFonts w:ascii="宋体" w:hAnsi="宋体"/>
          <w:color w:val="auto"/>
          <w:szCs w:val="21"/>
          <w:highlight w:val="none"/>
        </w:rPr>
      </w:pPr>
    </w:p>
    <w:p w14:paraId="5352561D">
      <w:pPr>
        <w:spacing w:line="312" w:lineRule="auto"/>
        <w:ind w:firstLine="472" w:firstLineChars="225"/>
        <w:rPr>
          <w:rFonts w:ascii="宋体" w:hAnsi="宋体"/>
          <w:color w:val="auto"/>
          <w:szCs w:val="21"/>
          <w:highlight w:val="none"/>
        </w:rPr>
      </w:pPr>
    </w:p>
    <w:p w14:paraId="5691F98A">
      <w:pPr>
        <w:spacing w:line="312" w:lineRule="auto"/>
        <w:ind w:firstLine="472" w:firstLineChars="225"/>
        <w:rPr>
          <w:rFonts w:ascii="宋体" w:hAnsi="宋体"/>
          <w:color w:val="auto"/>
          <w:szCs w:val="21"/>
          <w:highlight w:val="none"/>
        </w:rPr>
      </w:pPr>
    </w:p>
    <w:p w14:paraId="02F350A2">
      <w:pPr>
        <w:spacing w:line="312" w:lineRule="auto"/>
        <w:ind w:firstLine="472" w:firstLineChars="225"/>
        <w:rPr>
          <w:rFonts w:ascii="宋体" w:hAnsi="宋体"/>
          <w:color w:val="auto"/>
          <w:szCs w:val="21"/>
          <w:highlight w:val="none"/>
        </w:rPr>
      </w:pPr>
    </w:p>
    <w:p w14:paraId="6B1AF628">
      <w:pPr>
        <w:spacing w:line="312" w:lineRule="auto"/>
        <w:ind w:firstLine="472" w:firstLineChars="225"/>
        <w:rPr>
          <w:rFonts w:ascii="宋体" w:hAnsi="宋体"/>
          <w:color w:val="auto"/>
          <w:szCs w:val="21"/>
          <w:highlight w:val="none"/>
        </w:rPr>
      </w:pPr>
    </w:p>
    <w:p w14:paraId="4703FD7A">
      <w:pPr>
        <w:spacing w:line="312" w:lineRule="auto"/>
        <w:ind w:firstLine="472" w:firstLineChars="225"/>
        <w:rPr>
          <w:rFonts w:ascii="宋体" w:hAnsi="宋体"/>
          <w:color w:val="auto"/>
          <w:szCs w:val="21"/>
          <w:highlight w:val="none"/>
        </w:rPr>
      </w:pPr>
    </w:p>
    <w:p w14:paraId="61793054">
      <w:pPr>
        <w:spacing w:line="312" w:lineRule="auto"/>
        <w:ind w:firstLine="472" w:firstLineChars="225"/>
        <w:rPr>
          <w:rFonts w:ascii="宋体" w:hAnsi="宋体"/>
          <w:color w:val="auto"/>
          <w:szCs w:val="21"/>
          <w:highlight w:val="none"/>
        </w:rPr>
      </w:pPr>
    </w:p>
    <w:p w14:paraId="3EA66C47">
      <w:pPr>
        <w:spacing w:line="312" w:lineRule="auto"/>
        <w:ind w:firstLine="472" w:firstLineChars="225"/>
        <w:rPr>
          <w:rFonts w:ascii="宋体" w:hAnsi="宋体"/>
          <w:color w:val="auto"/>
          <w:szCs w:val="21"/>
          <w:highlight w:val="none"/>
        </w:rPr>
      </w:pPr>
    </w:p>
    <w:p w14:paraId="2C210E1B">
      <w:pPr>
        <w:spacing w:line="312" w:lineRule="auto"/>
        <w:ind w:firstLine="472" w:firstLineChars="225"/>
        <w:rPr>
          <w:rFonts w:ascii="宋体" w:hAnsi="宋体"/>
          <w:color w:val="auto"/>
          <w:szCs w:val="21"/>
          <w:highlight w:val="none"/>
        </w:rPr>
      </w:pPr>
    </w:p>
    <w:p w14:paraId="0F32100D">
      <w:pPr>
        <w:spacing w:line="312" w:lineRule="auto"/>
        <w:ind w:firstLine="472" w:firstLineChars="225"/>
        <w:rPr>
          <w:rFonts w:ascii="宋体" w:hAnsi="宋体"/>
          <w:color w:val="auto"/>
          <w:szCs w:val="21"/>
          <w:highlight w:val="none"/>
        </w:rPr>
      </w:pPr>
    </w:p>
    <w:p w14:paraId="006EE67C">
      <w:pPr>
        <w:rPr>
          <w:color w:val="auto"/>
          <w:highlight w:val="none"/>
        </w:rPr>
      </w:pPr>
    </w:p>
    <w:p w14:paraId="5AC574E6">
      <w:pPr>
        <w:spacing w:line="312" w:lineRule="auto"/>
        <w:jc w:val="both"/>
        <w:rPr>
          <w:rFonts w:hint="eastAsia" w:ascii="宋体" w:hAnsi="宋体"/>
          <w:b/>
          <w:color w:val="auto"/>
          <w:sz w:val="28"/>
          <w:szCs w:val="28"/>
          <w:highlight w:val="none"/>
        </w:rPr>
      </w:pPr>
    </w:p>
    <w:p w14:paraId="74B44339">
      <w:pPr>
        <w:spacing w:line="312" w:lineRule="auto"/>
        <w:jc w:val="center"/>
        <w:rPr>
          <w:b/>
          <w:color w:val="auto"/>
          <w:sz w:val="28"/>
          <w:szCs w:val="28"/>
          <w:highlight w:val="none"/>
        </w:rPr>
      </w:pPr>
      <w:r>
        <w:rPr>
          <w:rFonts w:hint="eastAsia" w:ascii="宋体" w:hAnsi="宋体"/>
          <w:b/>
          <w:color w:val="auto"/>
          <w:sz w:val="28"/>
          <w:szCs w:val="28"/>
          <w:highlight w:val="none"/>
        </w:rPr>
        <w:t xml:space="preserve">第二章   </w:t>
      </w:r>
      <w:r>
        <w:rPr>
          <w:rFonts w:hint="eastAsia"/>
          <w:b/>
          <w:color w:val="auto"/>
          <w:sz w:val="28"/>
          <w:szCs w:val="28"/>
          <w:highlight w:val="none"/>
        </w:rPr>
        <w:t>采购需求</w:t>
      </w:r>
    </w:p>
    <w:p w14:paraId="4BE2FADE">
      <w:pPr>
        <w:widowControl/>
        <w:spacing w:line="312" w:lineRule="auto"/>
        <w:rPr>
          <w:rFonts w:hint="eastAsia" w:ascii="宋体" w:hAnsi="宋体" w:cs="宋体"/>
          <w:b/>
          <w:bCs/>
          <w:color w:val="auto"/>
          <w:sz w:val="24"/>
          <w:highlight w:val="none"/>
        </w:rPr>
      </w:pPr>
    </w:p>
    <w:p w14:paraId="5900432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一、项目概况</w:t>
      </w:r>
    </w:p>
    <w:p w14:paraId="39973972">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宋体"/>
          <w:bCs/>
          <w:color w:val="auto"/>
          <w:szCs w:val="21"/>
          <w:highlight w:val="none"/>
        </w:rPr>
      </w:pPr>
      <w:r>
        <w:rPr>
          <w:rFonts w:hint="eastAsia" w:ascii="宋体" w:hAnsi="宋体" w:eastAsia="宋体" w:cs="宋体"/>
          <w:bCs/>
          <w:color w:val="auto"/>
          <w:szCs w:val="21"/>
          <w:highlight w:val="none"/>
        </w:rPr>
        <w:t>（一）项目名称</w:t>
      </w:r>
    </w:p>
    <w:p w14:paraId="4B867024">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宋体"/>
          <w:bCs/>
          <w:color w:val="auto"/>
          <w:szCs w:val="21"/>
          <w:highlight w:val="none"/>
        </w:rPr>
      </w:pPr>
      <w:r>
        <w:rPr>
          <w:rFonts w:hint="eastAsia" w:ascii="宋体" w:hAnsi="宋体" w:eastAsia="宋体" w:cs="宋体"/>
          <w:bCs/>
          <w:color w:val="auto"/>
          <w:szCs w:val="21"/>
          <w:highlight w:val="none"/>
        </w:rPr>
        <w:t>普陀区图书馆沈家门文旅驿站（城市书房）运营项目</w:t>
      </w:r>
    </w:p>
    <w:p w14:paraId="7D92CF5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宋体"/>
          <w:bCs/>
          <w:color w:val="auto"/>
          <w:szCs w:val="21"/>
          <w:highlight w:val="none"/>
        </w:rPr>
      </w:pPr>
      <w:r>
        <w:rPr>
          <w:rFonts w:hint="eastAsia" w:ascii="宋体" w:hAnsi="宋体" w:eastAsia="宋体" w:cs="宋体"/>
          <w:bCs/>
          <w:color w:val="auto"/>
          <w:szCs w:val="21"/>
          <w:highlight w:val="none"/>
        </w:rPr>
        <w:t>（二）项目概算</w:t>
      </w:r>
    </w:p>
    <w:p w14:paraId="6C54EB1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宋体"/>
          <w:bCs/>
          <w:color w:val="auto"/>
          <w:szCs w:val="21"/>
          <w:highlight w:val="none"/>
        </w:rPr>
      </w:pPr>
      <w:r>
        <w:rPr>
          <w:rFonts w:hint="eastAsia" w:ascii="宋体" w:hAnsi="宋体" w:eastAsia="宋体" w:cs="宋体"/>
          <w:bCs/>
          <w:color w:val="auto"/>
          <w:szCs w:val="21"/>
          <w:highlight w:val="none"/>
        </w:rPr>
        <w:t>普陀区图书馆沈家门文旅驿站（城市书房）运营项目预算金额为最高</w:t>
      </w:r>
      <w:r>
        <w:rPr>
          <w:rFonts w:hint="eastAsia" w:ascii="宋体" w:hAnsi="宋体" w:eastAsia="宋体" w:cs="宋体"/>
          <w:bCs/>
          <w:color w:val="auto"/>
          <w:szCs w:val="21"/>
          <w:highlight w:val="none"/>
          <w:lang w:val="en-US" w:eastAsia="zh-CN"/>
        </w:rPr>
        <w:t>36</w:t>
      </w:r>
      <w:r>
        <w:rPr>
          <w:rFonts w:hint="eastAsia" w:ascii="宋体" w:hAnsi="宋体" w:eastAsia="宋体" w:cs="宋体"/>
          <w:bCs/>
          <w:color w:val="auto"/>
          <w:szCs w:val="21"/>
          <w:highlight w:val="none"/>
        </w:rPr>
        <w:t>万元/</w:t>
      </w:r>
      <w:r>
        <w:rPr>
          <w:rFonts w:hint="eastAsia" w:ascii="宋体" w:hAnsi="宋体" w:cs="宋体"/>
          <w:bCs/>
          <w:color w:val="auto"/>
          <w:szCs w:val="21"/>
          <w:highlight w:val="none"/>
          <w:lang w:val="en-US" w:eastAsia="zh-CN"/>
        </w:rPr>
        <w:t>3</w:t>
      </w:r>
      <w:r>
        <w:rPr>
          <w:rFonts w:hint="eastAsia" w:ascii="宋体" w:hAnsi="宋体" w:eastAsia="宋体" w:cs="宋体"/>
          <w:bCs/>
          <w:color w:val="auto"/>
          <w:szCs w:val="21"/>
          <w:highlight w:val="none"/>
        </w:rPr>
        <w:t>年。</w:t>
      </w:r>
    </w:p>
    <w:p w14:paraId="7345519B">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宋体"/>
          <w:b/>
          <w:color w:val="auto"/>
          <w:sz w:val="24"/>
          <w:szCs w:val="24"/>
          <w:highlight w:val="none"/>
        </w:rPr>
      </w:pPr>
    </w:p>
    <w:p w14:paraId="43558068">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二、采购内容及要求</w:t>
      </w:r>
    </w:p>
    <w:p w14:paraId="4456D790">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投标人需派专业的团队配合采购人开展日常工作，目前普陀区图书馆开放时间为春秋季每周二至周日，8:30-20:30，夏季每周二至周日，8:30-21:00。城市书房开设需达到每周开放时间不少于 56 小时、 双休日节假日对外开放。</w:t>
      </w:r>
    </w:p>
    <w:p w14:paraId="4EF249AE">
      <w:pPr>
        <w:keepNext w:val="0"/>
        <w:keepLines w:val="0"/>
        <w:pageBreakBefore w:val="0"/>
        <w:widowControl w:val="0"/>
        <w:kinsoku/>
        <w:wordWrap/>
        <w:overflowPunct/>
        <w:topLinePunct w:val="0"/>
        <w:autoSpaceDE/>
        <w:autoSpaceDN/>
        <w:bidi w:val="0"/>
        <w:adjustRightInd/>
        <w:snapToGrid/>
        <w:spacing w:line="360" w:lineRule="auto"/>
        <w:textAlignment w:val="auto"/>
        <w:outlineLvl w:val="0"/>
        <w:rPr>
          <w:rFonts w:hint="eastAsia" w:ascii="宋体" w:hAnsi="宋体" w:eastAsia="宋体" w:cs="宋体"/>
          <w:b/>
          <w:bCs w:val="0"/>
          <w:color w:val="auto"/>
          <w:szCs w:val="21"/>
          <w:highlight w:val="none"/>
          <w:lang w:val="en-US" w:eastAsia="zh-CN"/>
        </w:rPr>
      </w:pPr>
    </w:p>
    <w:p w14:paraId="385DD604">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主要工作内容</w:t>
      </w:r>
    </w:p>
    <w:p w14:paraId="01F3E939">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1.城市书房应坚守“以人为本 服务发展”理念，配备两位及以上专兼职工作人员，要求身体健康，年龄18-45周岁，具备高中及以上学历，受过基本的图书馆专业技能培训，能够熟练操作和使用自助图书借还机及相关设备，并具备良好的职业道德。</w:t>
      </w:r>
    </w:p>
    <w:p w14:paraId="39A15247">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2.城市书房应明确团队管理责任人，全面负责城市书房管理及运行。明确团队工作人员具体工作职责，规范书房服务，助力文明城市创建。</w:t>
      </w:r>
    </w:p>
    <w:p w14:paraId="497B7EBC">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3.城市书房应该为读者免费提供学习、文化交流的空间，提供 15 个以上免费阅读座席；免费为读者提供阅览、借书、还书等流通服务；免费为读者提供便民药箱、共享雨伞、充电宝借还设备及充电设备等便捷性服务等，为读者提供温馨借阅环境。</w:t>
      </w:r>
    </w:p>
    <w:p w14:paraId="0C332C35">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4.城市书房应加强品牌服务建设，打造良好服务形象，将城市书房打造成集生态旅游、文化休闲为一体的阅读服务空间和文化旅游驿站。有效提升岛城文化品位。</w:t>
      </w:r>
    </w:p>
    <w:p w14:paraId="010A2A9A">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5.应在显著位置设立读者意见箱，收集读者意见建议、图书荐购信息，公开读者咨询电话，畅通投诉渠道，明确回复及整改时限，保障读者权益。</w:t>
      </w:r>
    </w:p>
    <w:p w14:paraId="0F6A6A41">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6.城市书房应建立健全安全管理制度，制定完善安全应急预案，做好每日书房安全巡查登记和清洁整理工作，定期不定期开展各项安全检查工作，确保书房文献资源、设施设备及读者人身和财产安全。</w:t>
      </w:r>
    </w:p>
    <w:p w14:paraId="2BFDA510">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7.城市书房应在全民阅读推广中充分发挥作用，每月至少一次自主或配合图书馆开展讲座、沙龙、培训、展览、亲子交流等多种阅读推广活动，丰富读者业余文化生活。</w:t>
      </w:r>
    </w:p>
    <w:p w14:paraId="3DBB500E">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城市书房应每月上报书房大事记，做好业务数据统计，包括本月进馆人数、借阅册次，活动开展、领导和媒体到访情况等。应建立健全书房安全工作和业务工作台账，台账资料要求真实、完整、齐全，书屋每次活动以及开展计划必须提前七个工作日上报采购人，活动材料要按时存档（包括活动方案、活动推文、现场照片、活动总结等），电子及纸质台账各一份并于每月25日前上报至招标方。</w:t>
      </w:r>
    </w:p>
    <w:p w14:paraId="478605AB">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420" w:firstLineChars="200"/>
        <w:jc w:val="both"/>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9.如遇到重大公共卫生事件，需城市书房配合防控时，书房要坚持防控优先，充实物资，落实专人做好场馆防控，加强读者进出场馆管理和服务，扎实开展防控工作。</w:t>
      </w:r>
    </w:p>
    <w:p w14:paraId="152B4900">
      <w:pPr>
        <w:keepNext w:val="0"/>
        <w:keepLines w:val="0"/>
        <w:pageBreakBefore w:val="0"/>
        <w:widowControl w:val="0"/>
        <w:kinsoku/>
        <w:wordWrap/>
        <w:overflowPunct/>
        <w:topLinePunct w:val="0"/>
        <w:autoSpaceDE/>
        <w:autoSpaceDN/>
        <w:bidi w:val="0"/>
        <w:adjustRightInd/>
        <w:snapToGrid/>
        <w:spacing w:before="0" w:beforeLines="0" w:after="0" w:line="360" w:lineRule="auto"/>
        <w:ind w:left="0" w:firstLine="210" w:firstLineChars="100"/>
        <w:jc w:val="both"/>
        <w:textAlignment w:val="auto"/>
        <w:rPr>
          <w:rFonts w:ascii="Calibri" w:hAnsi="Calibri" w:eastAsia="宋体" w:cs="Times New Roman"/>
          <w:color w:val="auto"/>
          <w:kern w:val="2"/>
          <w:sz w:val="21"/>
          <w:szCs w:val="22"/>
          <w:highlight w:val="none"/>
          <w:lang w:val="en-US" w:eastAsia="zh-CN" w:bidi="ar-SA"/>
        </w:rPr>
      </w:pPr>
      <w:r>
        <w:rPr>
          <w:rFonts w:hint="eastAsia" w:ascii="宋体" w:hAnsi="宋体" w:eastAsia="宋体" w:cs="宋体"/>
          <w:bCs/>
          <w:color w:val="auto"/>
          <w:kern w:val="2"/>
          <w:sz w:val="21"/>
          <w:szCs w:val="21"/>
          <w:highlight w:val="none"/>
          <w:lang w:val="en-US" w:eastAsia="zh-CN" w:bidi="ar-SA"/>
        </w:rPr>
        <w:t xml:space="preserve"> 10.配合做好采购人及相应主管部门等要求的各项任务。</w:t>
      </w:r>
    </w:p>
    <w:p w14:paraId="540A75B0">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Times New Roman"/>
          <w:b/>
          <w:color w:val="auto"/>
          <w:szCs w:val="21"/>
          <w:highlight w:val="none"/>
        </w:rPr>
      </w:pPr>
    </w:p>
    <w:p w14:paraId="73BF72E5">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四、服务期限</w:t>
      </w:r>
    </w:p>
    <w:p w14:paraId="6E78F326">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自合同签订之日起三年。</w:t>
      </w:r>
    </w:p>
    <w:p w14:paraId="56C9AB9E">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color w:val="auto"/>
          <w:szCs w:val="21"/>
          <w:highlight w:val="none"/>
          <w:u w:val="single"/>
        </w:rPr>
      </w:pPr>
    </w:p>
    <w:p w14:paraId="1C7D2BCA">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五、付款方式</w:t>
      </w:r>
    </w:p>
    <w:p w14:paraId="5142A8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1.采购人采用分期方式支付，将中标价平分为三年的额度（如不能平分，可双方协商三年的分配额 ）。</w:t>
      </w:r>
      <w:r>
        <w:rPr>
          <w:rFonts w:hint="eastAsia" w:ascii="宋体" w:hAnsi="宋体" w:eastAsia="宋体" w:cs="Times New Roman"/>
          <w:b/>
          <w:bCs/>
          <w:color w:val="auto"/>
          <w:szCs w:val="21"/>
          <w:highlight w:val="none"/>
        </w:rPr>
        <w:t>合同签订后第一年，合同生效以及具备实施条件</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自收到发票后7个工作日内，先支付每年额度的60%作为</w:t>
      </w:r>
      <w:r>
        <w:rPr>
          <w:rFonts w:hint="eastAsia" w:ascii="宋体" w:hAnsi="宋体" w:eastAsia="宋体" w:cs="Times New Roman"/>
          <w:b/>
          <w:bCs/>
          <w:color w:val="auto"/>
          <w:szCs w:val="21"/>
          <w:highlight w:val="none"/>
          <w:lang w:val="en-US" w:eastAsia="zh-CN"/>
        </w:rPr>
        <w:t>预付</w:t>
      </w:r>
      <w:r>
        <w:rPr>
          <w:rFonts w:hint="eastAsia" w:ascii="宋体" w:hAnsi="宋体" w:eastAsia="宋体" w:cs="Times New Roman"/>
          <w:b/>
          <w:bCs/>
          <w:color w:val="auto"/>
          <w:szCs w:val="21"/>
          <w:highlight w:val="none"/>
        </w:rPr>
        <w:t>款。</w:t>
      </w:r>
      <w:r>
        <w:rPr>
          <w:rFonts w:hint="eastAsia" w:ascii="宋体" w:hAnsi="宋体" w:eastAsia="宋体" w:cs="Times New Roman"/>
          <w:color w:val="auto"/>
          <w:szCs w:val="21"/>
          <w:highlight w:val="none"/>
        </w:rPr>
        <w:t>中标人根据合同规定提供服务，采购人于合同第一年的最后一个月根据《舟山市城市书房绩效考核指标》进行评定，如为良好以上，则再支付年额度的40%，第二、第三年依次进行。</w:t>
      </w:r>
    </w:p>
    <w:p w14:paraId="25AA5224">
      <w:pPr>
        <w:keepNext w:val="0"/>
        <w:keepLines w:val="0"/>
        <w:pageBreakBefore w:val="0"/>
        <w:widowControl w:val="0"/>
        <w:kinsoku/>
        <w:wordWrap/>
        <w:overflowPunct/>
        <w:topLinePunct w:val="0"/>
        <w:autoSpaceDE/>
        <w:autoSpaceDN/>
        <w:bidi w:val="0"/>
        <w:adjustRightInd/>
        <w:snapToGrid/>
        <w:spacing w:before="0" w:beforeLines="0" w:after="0" w:line="360" w:lineRule="auto"/>
        <w:ind w:firstLine="420" w:firstLineChars="200"/>
        <w:jc w:val="both"/>
        <w:textAlignment w:val="auto"/>
        <w:rPr>
          <w:rFonts w:ascii="Calibri" w:hAnsi="Calibri" w:eastAsia="宋体" w:cs="Times New Roman"/>
          <w:color w:val="auto"/>
          <w:kern w:val="2"/>
          <w:sz w:val="21"/>
          <w:szCs w:val="22"/>
          <w:highlight w:val="none"/>
          <w:u w:val="single"/>
          <w:lang w:val="en-US" w:eastAsia="zh-CN" w:bidi="ar-SA"/>
        </w:rPr>
      </w:pPr>
      <w:r>
        <w:rPr>
          <w:rFonts w:hint="eastAsia" w:ascii="宋体" w:hAnsi="宋体" w:eastAsia="宋体" w:cs="Times New Roman"/>
          <w:color w:val="auto"/>
          <w:kern w:val="2"/>
          <w:sz w:val="21"/>
          <w:szCs w:val="21"/>
          <w:highlight w:val="none"/>
          <w:lang w:val="en-US" w:eastAsia="zh-CN" w:bidi="ar-SA"/>
        </w:rPr>
        <w:t>2.采购人将不定期组织对中标人经营管理指标事项进行考察，包括实地走访、查看各种</w:t>
      </w:r>
      <w:r>
        <w:rPr>
          <w:rFonts w:hint="eastAsia" w:ascii="宋体" w:hAnsi="宋体" w:cs="Times New Roman"/>
          <w:color w:val="auto"/>
          <w:kern w:val="2"/>
          <w:sz w:val="21"/>
          <w:szCs w:val="21"/>
          <w:highlight w:val="none"/>
          <w:lang w:val="en-US" w:eastAsia="zh-CN" w:bidi="ar-SA"/>
        </w:rPr>
        <w:t>资料台账</w:t>
      </w:r>
      <w:r>
        <w:rPr>
          <w:rFonts w:hint="eastAsia" w:ascii="宋体" w:hAnsi="宋体" w:eastAsia="宋体" w:cs="Times New Roman"/>
          <w:color w:val="auto"/>
          <w:kern w:val="2"/>
          <w:sz w:val="21"/>
          <w:szCs w:val="21"/>
          <w:highlight w:val="none"/>
          <w:lang w:val="en-US" w:eastAsia="zh-CN" w:bidi="ar-SA"/>
        </w:rPr>
        <w:t>等，以保证采购项目的顺利实施。</w:t>
      </w:r>
    </w:p>
    <w:p w14:paraId="0EA76A4F">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hint="eastAsia" w:ascii="宋体" w:hAnsi="宋体" w:eastAsia="宋体" w:cs="Times New Roman"/>
          <w:b/>
          <w:bCs/>
          <w:color w:val="auto"/>
          <w:kern w:val="0"/>
          <w:sz w:val="24"/>
          <w:szCs w:val="24"/>
          <w:highlight w:val="none"/>
        </w:rPr>
      </w:pPr>
    </w:p>
    <w:p w14:paraId="633E3CCE">
      <w:pPr>
        <w:keepNext w:val="0"/>
        <w:keepLines w:val="0"/>
        <w:pageBreakBefore w:val="0"/>
        <w:widowControl w:val="0"/>
        <w:kinsoku/>
        <w:wordWrap/>
        <w:overflowPunct/>
        <w:topLinePunct w:val="0"/>
        <w:autoSpaceDE/>
        <w:autoSpaceDN/>
        <w:bidi w:val="0"/>
        <w:adjustRightInd/>
        <w:snapToGrid/>
        <w:spacing w:line="360" w:lineRule="auto"/>
        <w:ind w:left="0"/>
        <w:textAlignment w:val="auto"/>
        <w:outlineLvl w:val="0"/>
        <w:rPr>
          <w:rFonts w:ascii="宋体" w:hAnsi="宋体" w:eastAsia="宋体" w:cs="宋体"/>
          <w:b/>
          <w:color w:val="auto"/>
          <w:sz w:val="24"/>
          <w:szCs w:val="24"/>
          <w:highlight w:val="none"/>
        </w:rPr>
      </w:pPr>
      <w:r>
        <w:rPr>
          <w:rFonts w:hint="eastAsia" w:ascii="宋体" w:hAnsi="宋体" w:eastAsia="宋体" w:cs="Times New Roman"/>
          <w:b/>
          <w:bCs/>
          <w:color w:val="auto"/>
          <w:kern w:val="0"/>
          <w:sz w:val="24"/>
          <w:szCs w:val="24"/>
          <w:highlight w:val="none"/>
        </w:rPr>
        <w:t>六、设备设施检修保养</w:t>
      </w:r>
    </w:p>
    <w:p w14:paraId="61B1B47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1.日常维护。</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人负责对书房的书籍、书架、各类电器等设备的日常检修及维护和保养，发现问题及时解决，保持设备设施的完好使用，承担相关费用，落实维护登记制度。</w:t>
      </w:r>
    </w:p>
    <w:p w14:paraId="3C94F7AA">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2.维修保养。</w:t>
      </w:r>
      <w:r>
        <w:rPr>
          <w:rFonts w:hint="eastAsia" w:ascii="宋体" w:hAnsi="宋体" w:eastAsia="宋体" w:cs="Times New Roman"/>
          <w:color w:val="auto"/>
          <w:szCs w:val="21"/>
          <w:highlight w:val="none"/>
          <w:lang w:val="en-US" w:eastAsia="zh-CN"/>
        </w:rPr>
        <w:t>投标</w:t>
      </w:r>
      <w:r>
        <w:rPr>
          <w:rFonts w:hint="eastAsia" w:ascii="宋体" w:hAnsi="宋体" w:eastAsia="宋体" w:cs="Times New Roman"/>
          <w:color w:val="auto"/>
          <w:szCs w:val="21"/>
          <w:highlight w:val="none"/>
        </w:rPr>
        <w:t>人每年对书房的建筑墙体、强弱电设施等进行综合保养，保证安全用电，如有建筑墙体出现渗漏、起胶等现象，需要进行专项大修，招标方负责大修工作，中标方协助监督维修工作。</w:t>
      </w:r>
    </w:p>
    <w:p w14:paraId="12A4C95D">
      <w:pPr>
        <w:keepNext w:val="0"/>
        <w:keepLines w:val="0"/>
        <w:pageBreakBefore w:val="0"/>
        <w:widowControl w:val="0"/>
        <w:kinsoku/>
        <w:wordWrap/>
        <w:overflowPunct/>
        <w:topLinePunct w:val="0"/>
        <w:autoSpaceDE/>
        <w:autoSpaceDN/>
        <w:bidi w:val="0"/>
        <w:adjustRightInd/>
        <w:snapToGrid/>
        <w:spacing w:line="360" w:lineRule="auto"/>
        <w:ind w:left="0"/>
        <w:textAlignment w:val="auto"/>
        <w:rPr>
          <w:rFonts w:ascii="宋体" w:hAnsi="宋体" w:eastAsia="宋体" w:cs="Times New Roman"/>
          <w:b/>
          <w:bCs/>
          <w:color w:val="auto"/>
          <w:kern w:val="0"/>
          <w:sz w:val="24"/>
          <w:szCs w:val="24"/>
          <w:highlight w:val="none"/>
        </w:rPr>
      </w:pPr>
      <w:r>
        <w:rPr>
          <w:rFonts w:hint="eastAsia" w:ascii="宋体" w:hAnsi="宋体" w:eastAsia="宋体" w:cs="Times New Roman"/>
          <w:b/>
          <w:bCs/>
          <w:color w:val="auto"/>
          <w:kern w:val="0"/>
          <w:sz w:val="24"/>
          <w:szCs w:val="24"/>
          <w:highlight w:val="none"/>
        </w:rPr>
        <w:t>七、其他</w:t>
      </w:r>
    </w:p>
    <w:p w14:paraId="5E36755D">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1.投标人应对招标、实施、操作等过程中采取保密和安全措施，因投标人造成的不良影响和损失，投标人应承担相应责任。</w:t>
      </w:r>
    </w:p>
    <w:p w14:paraId="1D519F37">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2.采购人认为投标人提供的产品和服务不能满足需求，可否决、终止本次采购。</w:t>
      </w:r>
    </w:p>
    <w:p w14:paraId="164D81D8">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outlineLvl w:val="0"/>
        <w:rPr>
          <w:rFonts w:hint="eastAsia" w:eastAsia="宋体"/>
          <w:b/>
          <w:bCs/>
          <w:color w:val="auto"/>
          <w:sz w:val="24"/>
          <w:highlight w:val="none"/>
          <w:lang w:val="en-US" w:eastAsia="zh-CN"/>
        </w:rPr>
      </w:pPr>
      <w:r>
        <w:rPr>
          <w:rFonts w:hint="eastAsia" w:ascii="宋体" w:hAnsi="宋体" w:eastAsia="宋体" w:cs="Times New Roman"/>
          <w:color w:val="auto"/>
          <w:szCs w:val="21"/>
          <w:highlight w:val="none"/>
        </w:rPr>
        <w:t>3.中标人在合同签订后，经营必须满三年以上，如企业</w:t>
      </w:r>
      <w:r>
        <w:rPr>
          <w:rFonts w:hint="eastAsia" w:ascii="宋体" w:hAnsi="宋体" w:cs="Times New Roman"/>
          <w:color w:val="auto"/>
          <w:szCs w:val="21"/>
          <w:highlight w:val="none"/>
          <w:lang w:eastAsia="zh-CN"/>
        </w:rPr>
        <w:t>经营不善</w:t>
      </w:r>
      <w:r>
        <w:rPr>
          <w:rFonts w:hint="eastAsia" w:ascii="宋体" w:hAnsi="宋体" w:eastAsia="宋体" w:cs="Times New Roman"/>
          <w:color w:val="auto"/>
          <w:szCs w:val="21"/>
          <w:highlight w:val="none"/>
        </w:rPr>
        <w:t>或因个人违法等行为对运营造成影响，采购人有权提前</w:t>
      </w:r>
      <w:r>
        <w:rPr>
          <w:rFonts w:hint="eastAsia" w:ascii="宋体" w:hAnsi="宋体" w:cs="Times New Roman"/>
          <w:color w:val="auto"/>
          <w:szCs w:val="21"/>
          <w:highlight w:val="none"/>
          <w:lang w:eastAsia="zh-CN"/>
        </w:rPr>
        <w:t>终止</w:t>
      </w:r>
      <w:r>
        <w:rPr>
          <w:rFonts w:hint="eastAsia" w:ascii="宋体" w:hAnsi="宋体" w:eastAsia="宋体" w:cs="Times New Roman"/>
          <w:color w:val="auto"/>
          <w:szCs w:val="21"/>
          <w:highlight w:val="none"/>
        </w:rPr>
        <w:t>该项目。</w:t>
      </w:r>
    </w:p>
    <w:p w14:paraId="4DF4F4C0">
      <w:pPr>
        <w:spacing w:line="360" w:lineRule="auto"/>
        <w:outlineLvl w:val="0"/>
        <w:rPr>
          <w:rFonts w:hint="eastAsia" w:eastAsia="宋体"/>
          <w:b/>
          <w:color w:val="auto"/>
          <w:sz w:val="24"/>
          <w:highlight w:val="none"/>
          <w:lang w:val="en-US" w:eastAsia="zh-CN"/>
        </w:rPr>
      </w:pPr>
    </w:p>
    <w:p w14:paraId="3698C67F">
      <w:pPr>
        <w:spacing w:line="360" w:lineRule="auto"/>
        <w:outlineLvl w:val="0"/>
        <w:rPr>
          <w:rFonts w:eastAsia="宋体" w:cs="Times New Roman"/>
          <w:b/>
          <w:color w:val="auto"/>
          <w:sz w:val="24"/>
          <w:szCs w:val="22"/>
          <w:highlight w:val="none"/>
        </w:rPr>
      </w:pPr>
      <w:r>
        <w:rPr>
          <w:rFonts w:hint="eastAsia"/>
          <w:b/>
          <w:color w:val="auto"/>
          <w:sz w:val="24"/>
          <w:highlight w:val="none"/>
          <w:lang w:val="en-US" w:eastAsia="zh-CN"/>
        </w:rPr>
        <w:t>八</w:t>
      </w:r>
      <w:r>
        <w:rPr>
          <w:rFonts w:hint="eastAsia" w:eastAsia="宋体"/>
          <w:b/>
          <w:color w:val="auto"/>
          <w:sz w:val="24"/>
          <w:highlight w:val="none"/>
        </w:rPr>
        <w:t>、报价要求</w:t>
      </w:r>
    </w:p>
    <w:p w14:paraId="0E78A952">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1.投标人应根据招标文件报出合同总价。合同总价一旦核实确认，不得再做更改。对投标人漏报致使项目未能达到需求的功能和效果，其费用和后果由投标人自行负责。</w:t>
      </w:r>
    </w:p>
    <w:p w14:paraId="5BB03C42">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2.所有报价均</w:t>
      </w:r>
      <w:r>
        <w:rPr>
          <w:rFonts w:hint="eastAsia" w:ascii="宋体" w:hAnsi="宋体" w:eastAsia="宋体" w:cs="Times New Roman"/>
          <w:color w:val="auto"/>
          <w:szCs w:val="22"/>
          <w:highlight w:val="none"/>
          <w:lang w:eastAsia="zh-CN"/>
        </w:rPr>
        <w:t>应</w:t>
      </w:r>
      <w:r>
        <w:rPr>
          <w:rFonts w:hint="eastAsia" w:ascii="宋体" w:hAnsi="宋体" w:eastAsia="宋体" w:cs="Times New Roman"/>
          <w:color w:val="auto"/>
          <w:szCs w:val="22"/>
          <w:highlight w:val="none"/>
        </w:rPr>
        <w:t>包含国家规定的所有税费。</w:t>
      </w:r>
    </w:p>
    <w:p w14:paraId="12148FDC">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3.投标人报价应包含项目过程中发生的所有费用。</w:t>
      </w:r>
    </w:p>
    <w:p w14:paraId="40D27A28">
      <w:pPr>
        <w:tabs>
          <w:tab w:val="left" w:pos="0"/>
        </w:tabs>
        <w:adjustRightInd w:val="0"/>
        <w:snapToGrid w:val="0"/>
        <w:spacing w:line="312" w:lineRule="auto"/>
        <w:ind w:firstLine="420" w:firstLineChars="200"/>
        <w:jc w:val="left"/>
        <w:rPr>
          <w:rFonts w:ascii="宋体" w:hAnsi="宋体" w:eastAsia="宋体" w:cs="Times New Roman"/>
          <w:bCs/>
          <w:color w:val="auto"/>
          <w:szCs w:val="21"/>
          <w:highlight w:val="none"/>
        </w:rPr>
      </w:pPr>
      <w:r>
        <w:rPr>
          <w:rFonts w:hint="eastAsia" w:ascii="宋体" w:hAnsi="宋体" w:eastAsia="宋体" w:cs="Times New Roman"/>
          <w:color w:val="auto"/>
          <w:szCs w:val="22"/>
          <w:highlight w:val="none"/>
        </w:rPr>
        <w:t>4.</w:t>
      </w:r>
      <w:r>
        <w:rPr>
          <w:rFonts w:hint="eastAsia" w:ascii="宋体" w:hAnsi="宋体" w:eastAsia="宋体" w:cs="Times New Roman"/>
          <w:bCs/>
          <w:color w:val="auto"/>
          <w:szCs w:val="21"/>
          <w:highlight w:val="none"/>
        </w:rPr>
        <w:t>扶持政策说明：</w:t>
      </w:r>
    </w:p>
    <w:p w14:paraId="6307A5FA">
      <w:pPr>
        <w:spacing w:line="312" w:lineRule="auto"/>
        <w:ind w:firstLine="422" w:firstLineChars="200"/>
        <w:rPr>
          <w:rFonts w:hint="eastAsia" w:ascii="宋体" w:hAnsi="宋体" w:eastAsia="宋体" w:cs="Times New Roman"/>
          <w:color w:val="auto"/>
          <w:szCs w:val="22"/>
          <w:highlight w:val="none"/>
        </w:rPr>
      </w:pPr>
      <w:r>
        <w:rPr>
          <w:rFonts w:hint="eastAsia" w:ascii="宋体" w:hAnsi="宋体" w:eastAsia="宋体" w:cs="Times New Roman"/>
          <w:b/>
          <w:bCs/>
          <w:color w:val="auto"/>
          <w:szCs w:val="22"/>
          <w:highlight w:val="none"/>
          <w:lang w:val="en-US" w:eastAsia="zh-CN"/>
        </w:rPr>
        <w:t>中小企业有关政策：</w:t>
      </w:r>
    </w:p>
    <w:p w14:paraId="1B87B9A9">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（1）中小企业预留份额情况：根据《政府采购促进中小企业发展管理办法》（财库〔2020〕46号），本项目专门面向中小企业。</w:t>
      </w:r>
      <w:r>
        <w:rPr>
          <w:rFonts w:hint="eastAsia" w:ascii="宋体" w:hAnsi="宋体" w:eastAsia="宋体" w:cs="Times New Roman"/>
          <w:b/>
          <w:bCs/>
          <w:color w:val="auto"/>
          <w:szCs w:val="22"/>
          <w:highlight w:val="none"/>
        </w:rPr>
        <w:t>本项目对应的中小企业</w:t>
      </w:r>
      <w:r>
        <w:rPr>
          <w:rFonts w:hint="eastAsia" w:ascii="宋体" w:hAnsi="宋体" w:eastAsia="宋体" w:cs="Times New Roman"/>
          <w:b/>
          <w:bCs/>
          <w:color w:val="auto"/>
          <w:szCs w:val="22"/>
          <w:highlight w:val="none"/>
          <w:lang w:eastAsia="zh-CN"/>
        </w:rPr>
        <w:t>划型标准</w:t>
      </w:r>
      <w:r>
        <w:rPr>
          <w:rFonts w:hint="eastAsia" w:ascii="宋体" w:hAnsi="宋体" w:eastAsia="宋体" w:cs="Times New Roman"/>
          <w:b/>
          <w:bCs/>
          <w:color w:val="auto"/>
          <w:szCs w:val="22"/>
          <w:highlight w:val="none"/>
        </w:rPr>
        <w:t>所属行业：</w:t>
      </w:r>
      <w:r>
        <w:rPr>
          <w:rFonts w:hint="eastAsia" w:ascii="宋体" w:hAnsi="宋体" w:eastAsia="宋体" w:cs="Times New Roman"/>
          <w:b/>
          <w:bCs/>
          <w:color w:val="auto"/>
          <w:szCs w:val="22"/>
          <w:highlight w:val="none"/>
          <w:lang w:eastAsia="zh-CN"/>
        </w:rPr>
        <w:t>其他未列明行业</w:t>
      </w:r>
      <w:r>
        <w:rPr>
          <w:rFonts w:hint="eastAsia" w:ascii="宋体" w:hAnsi="宋体" w:eastAsia="宋体" w:cs="Times New Roman"/>
          <w:b/>
          <w:bCs/>
          <w:color w:val="auto"/>
          <w:szCs w:val="22"/>
          <w:highlight w:val="none"/>
        </w:rPr>
        <w:t>。（中小企业</w:t>
      </w:r>
      <w:r>
        <w:rPr>
          <w:rFonts w:hint="eastAsia" w:ascii="宋体" w:hAnsi="宋体" w:eastAsia="宋体" w:cs="Times New Roman"/>
          <w:b/>
          <w:bCs/>
          <w:color w:val="auto"/>
          <w:szCs w:val="22"/>
          <w:highlight w:val="none"/>
          <w:lang w:eastAsia="zh-CN"/>
        </w:rPr>
        <w:t>划型标准</w:t>
      </w:r>
      <w:r>
        <w:rPr>
          <w:rFonts w:hint="eastAsia" w:ascii="宋体" w:hAnsi="宋体" w:eastAsia="宋体" w:cs="Times New Roman"/>
          <w:b/>
          <w:bCs/>
          <w:color w:val="auto"/>
          <w:szCs w:val="22"/>
          <w:highlight w:val="none"/>
        </w:rPr>
        <w:t>详见《工信部联企业</w:t>
      </w:r>
      <w:r>
        <w:rPr>
          <w:rFonts w:hint="eastAsia" w:ascii="宋体" w:hAnsi="宋体" w:cs="Times New Roman"/>
          <w:b/>
          <w:bCs/>
          <w:color w:val="auto"/>
          <w:szCs w:val="22"/>
          <w:highlight w:val="none"/>
          <w:lang w:eastAsia="zh-CN"/>
        </w:rPr>
        <w:t>〔2011〕300号</w:t>
      </w:r>
      <w:r>
        <w:rPr>
          <w:rFonts w:hint="eastAsia" w:ascii="宋体" w:hAnsi="宋体" w:eastAsia="宋体" w:cs="Times New Roman"/>
          <w:b/>
          <w:bCs/>
          <w:color w:val="auto"/>
          <w:szCs w:val="22"/>
          <w:highlight w:val="none"/>
        </w:rPr>
        <w:t>》）</w:t>
      </w:r>
    </w:p>
    <w:p w14:paraId="0ACF8EEA">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（2）在政府采购活动中，供应商提供的货物、工程或者服务符合下列情形的，享受本办法规定的中小企业扶持政策：</w:t>
      </w:r>
    </w:p>
    <w:p w14:paraId="0A11EE3C">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①在货物采购项目中，货物由中小企业制造，即货物由中小企业生产且使用该中小企业商号或者注册商标；</w:t>
      </w:r>
    </w:p>
    <w:p w14:paraId="41540EE1">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②在工程采购项目中，工程由中小企业承建，即工程施工单位为中小企业；</w:t>
      </w:r>
    </w:p>
    <w:p w14:paraId="2E156A0C">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③在服务采购项目中，服务由中小企业承接，即提供服务的人员为中小企业依照《中华人民共和国劳动合同法》订立劳动合同的从业人员。</w:t>
      </w:r>
    </w:p>
    <w:p w14:paraId="658EA619">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在货物采购项目中，供应商提供的货物既有中小企业制造货物，也有大型企业制造货物的，不享受本办法规定的中小企业扶持政策。</w:t>
      </w:r>
    </w:p>
    <w:p w14:paraId="18CAE4AE">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以联合体形式参加政府采购活动，联合体各方均为中小企业的，联合体视同中小企业。其中，联合体各方均为小微企业的，联合体视同小微企业。</w:t>
      </w:r>
    </w:p>
    <w:p w14:paraId="42D2A17C">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3）投标人符合《财政部、司法部关于政府采购支持监狱企业发展有关问题的通知》（财库〔2014〕68号）文件要求，并提供省级以上监狱管理局、戒毒管理局（含新疆生产建设兵团）出具的属于监狱企业的证明文件，则视同小型、微型企业。</w:t>
      </w:r>
    </w:p>
    <w:p w14:paraId="3FB8A641">
      <w:pPr>
        <w:spacing w:line="312" w:lineRule="auto"/>
        <w:ind w:firstLine="420" w:firstLineChars="200"/>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（4）投标人符合《三部门联合发布关于促进残疾人就业政府采购政策的通知》（财库〔2017〕141号）文件要求，并提供《残疾人福利性单位声明函》的，则视同小型、微型企业。</w:t>
      </w:r>
    </w:p>
    <w:p w14:paraId="119C4ED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color w:val="auto"/>
          <w:szCs w:val="22"/>
          <w:highlight w:val="none"/>
        </w:rPr>
      </w:pPr>
      <w:r>
        <w:rPr>
          <w:rFonts w:hint="eastAsia" w:ascii="宋体" w:hAnsi="宋体" w:eastAsia="宋体" w:cs="Times New Roman"/>
          <w:color w:val="auto"/>
          <w:szCs w:val="22"/>
          <w:highlight w:val="none"/>
        </w:rPr>
        <w:t>本项目专门面向中小企业采购（参加投标供应商须出具《中小企业声明函》，未提供不认定为中小企业，此次投标无效）。</w:t>
      </w:r>
    </w:p>
    <w:p w14:paraId="519E4FDD">
      <w:pPr>
        <w:numPr>
          <w:ilvl w:val="0"/>
          <w:numId w:val="0"/>
        </w:numPr>
        <w:tabs>
          <w:tab w:val="left" w:pos="812"/>
        </w:tabs>
        <w:adjustRightInd w:val="0"/>
        <w:spacing w:line="360" w:lineRule="auto"/>
        <w:ind w:firstLine="422" w:firstLineChars="200"/>
        <w:rPr>
          <w:rFonts w:hint="default" w:ascii="宋体" w:hAnsi="宋体" w:eastAsia="宋体" w:cs="Times New Roman"/>
          <w:b/>
          <w:bCs/>
          <w:color w:val="auto"/>
          <w:szCs w:val="22"/>
          <w:highlight w:val="none"/>
          <w:lang w:val="en-US" w:eastAsia="zh-CN"/>
        </w:rPr>
      </w:pPr>
      <w:r>
        <w:rPr>
          <w:rFonts w:hint="eastAsia" w:ascii="宋体" w:hAnsi="宋体" w:eastAsia="宋体" w:cs="Times New Roman"/>
          <w:b/>
          <w:bCs/>
          <w:color w:val="auto"/>
          <w:kern w:val="2"/>
          <w:sz w:val="21"/>
          <w:szCs w:val="22"/>
          <w:highlight w:val="none"/>
          <w:lang w:val="en-US" w:eastAsia="zh-CN" w:bidi="ar-SA"/>
        </w:rPr>
        <w:t>对本国产品的支持政策</w:t>
      </w:r>
      <w:r>
        <w:rPr>
          <w:rFonts w:hint="eastAsia" w:ascii="宋体" w:hAnsi="宋体" w:eastAsia="宋体" w:cs="Times New Roman"/>
          <w:b/>
          <w:bCs/>
          <w:color w:val="auto"/>
          <w:szCs w:val="22"/>
          <w:highlight w:val="none"/>
          <w:lang w:val="en-US" w:eastAsia="zh-CN"/>
        </w:rPr>
        <w:t>：</w:t>
      </w:r>
    </w:p>
    <w:p w14:paraId="647D1796">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根据《国务院办公厅关于在政府采购中实施本国产品标准及相关政策的通知》国办发〔2025〕34号）、浙江省财政厅《关于落实在政府采购中实施本国产品标准及相关政策的通知》的规定：</w:t>
      </w:r>
    </w:p>
    <w:p w14:paraId="4455A868">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（1）政府采购活动中既有本国产品又有非本国产品参与竞争的，依法对本国产品给予价格评审优惠，对本国产品的报价给予 20%的价格扣除，用扣除后的价格参与评审。</w:t>
      </w:r>
    </w:p>
    <w:p w14:paraId="090F2AB7">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val="en-US" w:eastAsia="zh-CN"/>
        </w:rPr>
      </w:pPr>
      <w:r>
        <w:rPr>
          <w:rFonts w:hint="eastAsia" w:ascii="宋体" w:hAnsi="宋体" w:eastAsia="宋体" w:cs="Times New Roman"/>
          <w:color w:val="auto"/>
          <w:szCs w:val="22"/>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27DB1030">
      <w:pPr>
        <w:numPr>
          <w:ilvl w:val="0"/>
          <w:numId w:val="0"/>
        </w:numPr>
        <w:tabs>
          <w:tab w:val="left" w:pos="812"/>
        </w:tabs>
        <w:adjustRightInd w:val="0"/>
        <w:spacing w:line="360" w:lineRule="auto"/>
        <w:ind w:firstLine="420" w:firstLineChars="200"/>
        <w:rPr>
          <w:rFonts w:hint="eastAsia" w:ascii="宋体" w:hAnsi="宋体" w:eastAsia="宋体" w:cs="Times New Roman"/>
          <w:b/>
          <w:bCs/>
          <w:color w:val="auto"/>
          <w:szCs w:val="22"/>
          <w:highlight w:val="none"/>
          <w:lang w:eastAsia="zh-CN"/>
        </w:rPr>
      </w:pPr>
      <w:r>
        <w:rPr>
          <w:rFonts w:hint="eastAsia" w:ascii="宋体" w:hAnsi="宋体" w:eastAsia="宋体" w:cs="Times New Roman"/>
          <w:color w:val="auto"/>
          <w:szCs w:val="22"/>
          <w:highlight w:val="none"/>
          <w:lang w:val="en-US" w:eastAsia="zh-CN"/>
        </w:rPr>
        <w:t>要求供应商对其提供的产品出具《关于符合本国产品标准的声明函》（样式见附件，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其余未明确要求按照国办发〔2025〕34号，国务院办公厅关于在政府采购中实施本国产品标准及相关政策的通知执行。当采购项目或者采购包中含有多种产品的，供应商还应当提供《关于本国产品成本比例的声明函》</w:t>
      </w:r>
      <w:r>
        <w:rPr>
          <w:rFonts w:hint="eastAsia" w:ascii="宋体" w:hAnsi="宋体" w:eastAsia="宋体" w:cs="Times New Roman"/>
          <w:color w:val="auto"/>
          <w:szCs w:val="22"/>
          <w:highlight w:val="none"/>
          <w:lang w:eastAsia="zh-CN"/>
        </w:rPr>
        <w:t>。</w:t>
      </w:r>
    </w:p>
    <w:p w14:paraId="1C234750">
      <w:pPr>
        <w:numPr>
          <w:ilvl w:val="0"/>
          <w:numId w:val="0"/>
        </w:numPr>
        <w:tabs>
          <w:tab w:val="left" w:pos="812"/>
        </w:tabs>
        <w:adjustRightInd w:val="0"/>
        <w:spacing w:line="360" w:lineRule="auto"/>
        <w:ind w:firstLine="422" w:firstLineChars="200"/>
        <w:rPr>
          <w:rFonts w:hint="eastAsia" w:ascii="宋体" w:hAnsi="宋体" w:eastAsia="宋体" w:cs="Times New Roman"/>
          <w:b/>
          <w:bCs/>
          <w:color w:val="auto"/>
          <w:szCs w:val="22"/>
          <w:highlight w:val="none"/>
          <w:lang w:eastAsia="zh-CN"/>
        </w:rPr>
      </w:pPr>
      <w:r>
        <w:rPr>
          <w:rFonts w:hint="eastAsia" w:ascii="宋体" w:hAnsi="宋体" w:eastAsia="宋体" w:cs="Times New Roman"/>
          <w:b/>
          <w:bCs/>
          <w:color w:val="auto"/>
          <w:szCs w:val="22"/>
          <w:highlight w:val="none"/>
          <w:lang w:eastAsia="zh-CN"/>
        </w:rPr>
        <w:t>本国产品标准：</w:t>
      </w:r>
    </w:p>
    <w:p w14:paraId="65D4B233">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本国产品应当符合以下条件：</w:t>
      </w:r>
    </w:p>
    <w:p w14:paraId="62216A7E">
      <w:pPr>
        <w:numPr>
          <w:ilvl w:val="0"/>
          <w:numId w:val="0"/>
        </w:numPr>
        <w:tabs>
          <w:tab w:val="left" w:pos="812"/>
          <w:tab w:val="left" w:pos="8086"/>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一</w:t>
      </w:r>
      <w:r>
        <w:rPr>
          <w:rFonts w:hint="eastAsia" w:ascii="宋体" w:hAnsi="宋体" w:eastAsia="宋体" w:cs="Times New Roman"/>
          <w:color w:val="auto"/>
          <w:szCs w:val="22"/>
          <w:highlight w:val="none"/>
          <w:lang w:eastAsia="zh-CN"/>
        </w:rPr>
        <w:t>）在中国境内生产</w:t>
      </w:r>
      <w:r>
        <w:rPr>
          <w:rFonts w:hint="eastAsia" w:ascii="宋体" w:hAnsi="宋体" w:eastAsia="宋体" w:cs="Times New Roman"/>
          <w:color w:val="auto"/>
          <w:szCs w:val="22"/>
          <w:highlight w:val="none"/>
          <w:lang w:eastAsia="zh-CN"/>
        </w:rPr>
        <w:tab/>
      </w:r>
    </w:p>
    <w:p w14:paraId="5CA36CD6">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1.产品应当在中国境内生产，即在中华人民共和国关境内实现从原材料、组件到产品的属性改变。</w:t>
      </w:r>
    </w:p>
    <w:p w14:paraId="14894B2D">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2.属性改变是指经过制造、加工或者组装等工序，产生完全不同于原材料、组件的新产品并具有新的名称和特征（用途）。属性改变不包括以下细微操作：</w:t>
      </w:r>
    </w:p>
    <w:p w14:paraId="74F14AB9">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1.为确保产品在运输或者储存期间保持某种状态而进行的操作；</w:t>
      </w:r>
    </w:p>
    <w:p w14:paraId="6964DAE5">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2.为产品运输或者销售进行的包装或者展示；</w:t>
      </w:r>
    </w:p>
    <w:p w14:paraId="6E0439ED">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3.在产品或者其包装上粘贴或者印刷品牌、标志、标识以及其他用于区别的标记；</w:t>
      </w:r>
    </w:p>
    <w:p w14:paraId="2742040A">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4.简单的上漆、磨光和分装；</w:t>
      </w:r>
    </w:p>
    <w:p w14:paraId="27D4D4B8">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5.其他不属于属性改变的情形。</w:t>
      </w:r>
    </w:p>
    <w:p w14:paraId="14C64810">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w:t>
      </w:r>
      <w:r>
        <w:rPr>
          <w:rFonts w:hint="eastAsia" w:ascii="宋体" w:hAnsi="宋体" w:eastAsia="宋体" w:cs="Times New Roman"/>
          <w:color w:val="auto"/>
          <w:szCs w:val="22"/>
          <w:highlight w:val="none"/>
          <w:lang w:val="en-US" w:eastAsia="zh-CN"/>
        </w:rPr>
        <w:t>二</w:t>
      </w:r>
      <w:r>
        <w:rPr>
          <w:rFonts w:hint="eastAsia" w:ascii="宋体" w:hAnsi="宋体" w:eastAsia="宋体" w:cs="Times New Roman"/>
          <w:color w:val="auto"/>
          <w:szCs w:val="22"/>
          <w:highlight w:val="none"/>
          <w:lang w:eastAsia="zh-CN"/>
        </w:rPr>
        <w:t>）在中国境内生产的组件成本占比达到规定比例</w:t>
      </w:r>
    </w:p>
    <w:p w14:paraId="7286B0EE">
      <w:pPr>
        <w:numPr>
          <w:ilvl w:val="0"/>
          <w:numId w:val="0"/>
        </w:numPr>
        <w:tabs>
          <w:tab w:val="left" w:pos="812"/>
        </w:tabs>
        <w:adjustRightInd w:val="0"/>
        <w:spacing w:line="360" w:lineRule="auto"/>
        <w:ind w:firstLine="420" w:firstLineChars="200"/>
        <w:rPr>
          <w:rFonts w:hint="eastAsia" w:ascii="宋体" w:hAnsi="宋体" w:eastAsia="宋体" w:cs="Times New Roman"/>
          <w:color w:val="auto"/>
          <w:szCs w:val="22"/>
          <w:highlight w:val="none"/>
          <w:lang w:eastAsia="zh-CN"/>
        </w:rPr>
      </w:pPr>
      <w:r>
        <w:rPr>
          <w:rFonts w:hint="eastAsia" w:ascii="宋体" w:hAnsi="宋体" w:eastAsia="宋体" w:cs="Times New Roman"/>
          <w:color w:val="auto"/>
          <w:szCs w:val="22"/>
          <w:highlight w:val="none"/>
          <w:lang w:eastAsia="zh-CN"/>
        </w:rPr>
        <w:t>产品在中国境内生产的组件成本占比应当达到规定比例，计算公式为：</w:t>
      </w:r>
    </w:p>
    <w:p w14:paraId="2674022D">
      <w:pPr>
        <w:numPr>
          <w:ilvl w:val="0"/>
          <w:numId w:val="0"/>
        </w:numPr>
        <w:tabs>
          <w:tab w:val="left" w:pos="812"/>
        </w:tabs>
        <w:adjustRightInd w:val="0"/>
        <w:spacing w:line="240" w:lineRule="auto"/>
        <w:ind w:firstLine="630" w:firstLineChars="300"/>
        <w:rPr>
          <w:rFonts w:hint="eastAsia" w:ascii="宋体" w:hAnsi="宋体" w:eastAsia="宋体" w:cs="Times New Roman"/>
          <w:b w:val="0"/>
          <w:bCs/>
          <w:color w:val="auto"/>
          <w:sz w:val="21"/>
          <w:szCs w:val="21"/>
          <w:highlight w:val="none"/>
          <w:lang w:eastAsia="zh-CN"/>
        </w:rPr>
      </w:pPr>
      <w:r>
        <w:rPr>
          <w:rFonts w:hint="eastAsia" w:ascii="宋体" w:hAnsi="宋体" w:eastAsia="宋体" w:cs="Times New Roman"/>
          <w:b w:val="0"/>
          <w:bCs/>
          <w:color w:val="auto"/>
          <w:position w:val="-14"/>
          <w:sz w:val="21"/>
          <w:szCs w:val="21"/>
          <w:highlight w:val="none"/>
          <w:lang w:eastAsia="zh-CN"/>
        </w:rPr>
        <w:object>
          <v:shape id="_x0000_i1025" o:spt="75" type="#_x0000_t75" style="height:31.45pt;width:162.4pt;" o:ole="t" filled="f" o:preferrelative="t" stroked="f" coordsize="21600,21600">
            <v:path/>
            <v:fill on="f" focussize="0,0"/>
            <v:stroke on="f"/>
            <v:imagedata r:id="rId8" o:title=""/>
            <o:lock v:ext="edit" aspectratio="t"/>
            <w10:wrap type="none"/>
            <w10:anchorlock/>
          </v:shape>
          <o:OLEObject Type="Embed" ProgID="Equation.KSEE3" ShapeID="_x0000_i1025" DrawAspect="Content" ObjectID="_1468075725" r:id="rId7">
            <o:LockedField>false</o:LockedField>
          </o:OLEObject>
        </w:objec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规定比例</w:t>
      </w:r>
    </w:p>
    <w:p w14:paraId="0AF99474">
      <w:pPr>
        <w:numPr>
          <w:ilvl w:val="0"/>
          <w:numId w:val="0"/>
        </w:numPr>
        <w:tabs>
          <w:tab w:val="left" w:pos="812"/>
        </w:tabs>
        <w:adjustRightInd w:val="0"/>
        <w:spacing w:line="360" w:lineRule="auto"/>
        <w:ind w:firstLine="420" w:firstLineChars="200"/>
        <w:rPr>
          <w:rFonts w:hint="eastAsia" w:ascii="宋体" w:hAnsi="宋体" w:eastAsia="宋体" w:cs="Times New Roman"/>
          <w:b/>
          <w:bCs/>
          <w:color w:val="auto"/>
          <w:szCs w:val="21"/>
          <w:highlight w:val="none"/>
          <w:lang w:val="en-US" w:eastAsia="zh-CN"/>
        </w:rPr>
      </w:pPr>
      <w:r>
        <w:rPr>
          <w:rFonts w:hint="eastAsia" w:ascii="宋体" w:hAnsi="宋体" w:eastAsia="宋体" w:cs="Times New Roman"/>
          <w:color w:val="auto"/>
          <w:szCs w:val="22"/>
          <w:highlight w:val="none"/>
          <w:lang w:eastAsia="zh-CN"/>
        </w:rPr>
        <w:t>财政部会同有关行业主管部门，分产品确定在中国境内生产的组件成本占比应当达到的规定比例。在分产品的中国境内生产的组件成本占比相关要求实施前，符合本通知第一条第（</w:t>
      </w:r>
      <w:r>
        <w:rPr>
          <w:rFonts w:hint="eastAsia" w:ascii="宋体" w:hAnsi="宋体" w:eastAsia="宋体" w:cs="Times New Roman"/>
          <w:color w:val="auto"/>
          <w:szCs w:val="22"/>
          <w:highlight w:val="none"/>
          <w:lang w:val="en-US" w:eastAsia="zh-CN"/>
        </w:rPr>
        <w:t>一</w:t>
      </w:r>
      <w:r>
        <w:rPr>
          <w:rFonts w:hint="eastAsia" w:ascii="宋体" w:hAnsi="宋体" w:eastAsia="宋体" w:cs="Times New Roman"/>
          <w:color w:val="auto"/>
          <w:szCs w:val="22"/>
          <w:highlight w:val="none"/>
          <w:lang w:eastAsia="zh-CN"/>
        </w:rPr>
        <w:t>）项条件的产品在政府采购活动中视同本国产品。</w:t>
      </w:r>
    </w:p>
    <w:p w14:paraId="0543EE3E">
      <w:pPr>
        <w:numPr>
          <w:ilvl w:val="0"/>
          <w:numId w:val="0"/>
        </w:numPr>
        <w:tabs>
          <w:tab w:val="left" w:pos="812"/>
        </w:tabs>
        <w:adjustRightInd w:val="0"/>
        <w:spacing w:line="360" w:lineRule="auto"/>
        <w:ind w:firstLine="422" w:firstLineChars="200"/>
        <w:rPr>
          <w:rFonts w:ascii="Times New Roman" w:hAnsi="Times New Roman"/>
          <w:color w:val="auto"/>
          <w:sz w:val="28"/>
          <w:highlight w:val="none"/>
        </w:rPr>
      </w:pPr>
      <w:r>
        <w:rPr>
          <w:rFonts w:hint="eastAsia" w:ascii="宋体" w:hAnsi="宋体" w:eastAsia="宋体" w:cs="Times New Roman"/>
          <w:b/>
          <w:bCs/>
          <w:color w:val="auto"/>
          <w:szCs w:val="21"/>
          <w:highlight w:val="none"/>
          <w:lang w:val="en-US" w:eastAsia="zh-CN"/>
        </w:rPr>
        <w:t>5.</w:t>
      </w:r>
      <w:r>
        <w:rPr>
          <w:rFonts w:hint="eastAsia" w:ascii="宋体" w:hAnsi="宋体" w:eastAsia="宋体" w:cs="Times New Roman"/>
          <w:b/>
          <w:bCs/>
          <w:color w:val="auto"/>
          <w:szCs w:val="21"/>
          <w:highlight w:val="none"/>
        </w:rPr>
        <w:t>本次项</w:t>
      </w:r>
      <w:r>
        <w:rPr>
          <w:rFonts w:hint="eastAsia" w:ascii="宋体" w:hAnsi="宋体" w:eastAsia="宋体" w:cs="Times New Roman"/>
          <w:b/>
          <w:color w:val="auto"/>
          <w:szCs w:val="21"/>
          <w:highlight w:val="none"/>
        </w:rPr>
        <w:t>目的预算金额为</w:t>
      </w:r>
      <w:r>
        <w:rPr>
          <w:rFonts w:hint="eastAsia" w:ascii="宋体" w:hAnsi="宋体" w:eastAsia="宋体" w:cs="Times New Roman"/>
          <w:b/>
          <w:bCs/>
          <w:color w:val="auto"/>
          <w:szCs w:val="22"/>
          <w:highlight w:val="none"/>
        </w:rPr>
        <w:t>：</w:t>
      </w:r>
      <w:r>
        <w:rPr>
          <w:rFonts w:hint="eastAsia" w:ascii="宋体" w:hAnsi="宋体" w:eastAsia="宋体" w:cs="Times New Roman"/>
          <w:b/>
          <w:color w:val="auto"/>
          <w:szCs w:val="21"/>
          <w:highlight w:val="none"/>
        </w:rPr>
        <w:t>人民币</w:t>
      </w:r>
      <w:r>
        <w:rPr>
          <w:rFonts w:hint="eastAsia" w:ascii="宋体" w:hAnsi="宋体" w:eastAsia="宋体" w:cs="Times New Roman"/>
          <w:b/>
          <w:color w:val="auto"/>
          <w:szCs w:val="21"/>
          <w:highlight w:val="none"/>
          <w:lang w:val="en-US" w:eastAsia="zh-CN"/>
        </w:rPr>
        <w:t>叁拾陆</w:t>
      </w:r>
      <w:r>
        <w:rPr>
          <w:rFonts w:hint="eastAsia" w:ascii="宋体" w:hAnsi="宋体" w:eastAsia="宋体" w:cs="Times New Roman"/>
          <w:b/>
          <w:color w:val="auto"/>
          <w:szCs w:val="21"/>
          <w:highlight w:val="none"/>
        </w:rPr>
        <w:t>万元整/</w:t>
      </w:r>
      <w:r>
        <w:rPr>
          <w:rFonts w:hint="eastAsia" w:ascii="宋体" w:hAnsi="宋体" w:cs="Times New Roman"/>
          <w:b/>
          <w:color w:val="auto"/>
          <w:szCs w:val="21"/>
          <w:highlight w:val="none"/>
          <w:lang w:val="en-US" w:eastAsia="zh-CN"/>
        </w:rPr>
        <w:t>叁</w:t>
      </w:r>
      <w:r>
        <w:rPr>
          <w:rFonts w:hint="eastAsia" w:ascii="宋体" w:hAnsi="宋体" w:eastAsia="宋体" w:cs="Times New Roman"/>
          <w:b/>
          <w:color w:val="auto"/>
          <w:szCs w:val="21"/>
          <w:highlight w:val="none"/>
        </w:rPr>
        <w:t>年（</w:t>
      </w:r>
      <w:r>
        <w:rPr>
          <w:rFonts w:hint="eastAsia" w:ascii="宋体" w:hAnsi="宋体" w:eastAsia="宋体" w:cs="Times New Roman"/>
          <w:b/>
          <w:color w:val="auto"/>
          <w:szCs w:val="21"/>
          <w:highlight w:val="none"/>
          <w:lang w:val="en-US" w:eastAsia="zh-CN"/>
        </w:rPr>
        <w:t>36</w:t>
      </w:r>
      <w:r>
        <w:rPr>
          <w:rFonts w:hint="eastAsia" w:ascii="宋体" w:hAnsi="宋体" w:eastAsia="宋体" w:cs="Times New Roman"/>
          <w:b/>
          <w:color w:val="auto"/>
          <w:szCs w:val="21"/>
          <w:highlight w:val="none"/>
        </w:rPr>
        <w:t>0,000.00元/</w:t>
      </w:r>
      <w:r>
        <w:rPr>
          <w:rFonts w:hint="eastAsia" w:ascii="宋体" w:hAnsi="宋体" w:cs="Times New Roman"/>
          <w:b/>
          <w:color w:val="auto"/>
          <w:szCs w:val="21"/>
          <w:highlight w:val="none"/>
          <w:lang w:val="en-US" w:eastAsia="zh-CN"/>
        </w:rPr>
        <w:t>3</w:t>
      </w:r>
      <w:r>
        <w:rPr>
          <w:rFonts w:hint="eastAsia" w:ascii="宋体" w:hAnsi="宋体" w:eastAsia="宋体" w:cs="Times New Roman"/>
          <w:b/>
          <w:color w:val="auto"/>
          <w:szCs w:val="21"/>
          <w:highlight w:val="none"/>
        </w:rPr>
        <w:t>年）</w:t>
      </w:r>
      <w:r>
        <w:rPr>
          <w:rFonts w:hint="eastAsia" w:ascii="宋体" w:hAnsi="宋体" w:eastAsia="宋体" w:cs="Times New Roman"/>
          <w:b/>
          <w:bCs/>
          <w:color w:val="auto"/>
          <w:szCs w:val="22"/>
          <w:highlight w:val="none"/>
        </w:rPr>
        <w:t>。</w:t>
      </w:r>
    </w:p>
    <w:p w14:paraId="3BFD00CE">
      <w:pPr>
        <w:numPr>
          <w:ilvl w:val="0"/>
          <w:numId w:val="0"/>
        </w:numPr>
        <w:tabs>
          <w:tab w:val="left" w:pos="812"/>
        </w:tabs>
        <w:adjustRightInd w:val="0"/>
        <w:spacing w:line="360" w:lineRule="auto"/>
        <w:jc w:val="both"/>
        <w:rPr>
          <w:rFonts w:hint="eastAsia" w:ascii="Times New Roman" w:hAnsi="Times New Roman"/>
          <w:b/>
          <w:color w:val="auto"/>
          <w:sz w:val="32"/>
          <w:highlight w:val="none"/>
        </w:rPr>
      </w:pPr>
    </w:p>
    <w:p w14:paraId="241D22B5">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2DF6DF54">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67DB2984">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0F4C31D4">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61C5B233">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388D0395">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3A08C333">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1189B413">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7819B0C2">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31EFEF6E">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10A651EB">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434EE17B">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588F0928">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4035FE95">
      <w:pPr>
        <w:numPr>
          <w:ilvl w:val="0"/>
          <w:numId w:val="0"/>
        </w:numPr>
        <w:tabs>
          <w:tab w:val="left" w:pos="812"/>
        </w:tabs>
        <w:adjustRightInd w:val="0"/>
        <w:spacing w:line="360" w:lineRule="auto"/>
        <w:ind w:firstLine="321" w:firstLineChars="100"/>
        <w:jc w:val="center"/>
        <w:rPr>
          <w:rFonts w:hint="eastAsia" w:ascii="Times New Roman" w:hAnsi="Times New Roman"/>
          <w:b/>
          <w:color w:val="auto"/>
          <w:sz w:val="32"/>
          <w:highlight w:val="none"/>
        </w:rPr>
      </w:pPr>
    </w:p>
    <w:p w14:paraId="21849EEF">
      <w:pPr>
        <w:numPr>
          <w:ilvl w:val="0"/>
          <w:numId w:val="0"/>
        </w:numPr>
        <w:tabs>
          <w:tab w:val="left" w:pos="812"/>
        </w:tabs>
        <w:adjustRightInd w:val="0"/>
        <w:spacing w:line="360" w:lineRule="auto"/>
        <w:ind w:firstLine="321" w:firstLineChars="100"/>
        <w:jc w:val="center"/>
        <w:rPr>
          <w:rFonts w:ascii="Times New Roman" w:hAnsi="Times New Roman"/>
          <w:color w:val="auto"/>
          <w:sz w:val="28"/>
          <w:highlight w:val="none"/>
        </w:rPr>
      </w:pPr>
      <w:r>
        <w:rPr>
          <w:rFonts w:hint="eastAsia" w:ascii="Times New Roman" w:hAnsi="Times New Roman"/>
          <w:b/>
          <w:color w:val="auto"/>
          <w:sz w:val="32"/>
          <w:highlight w:val="none"/>
        </w:rPr>
        <w:t>第三章  投标人须知</w:t>
      </w:r>
    </w:p>
    <w:p w14:paraId="3B3E0540">
      <w:pPr>
        <w:snapToGrid w:val="0"/>
        <w:ind w:firstLine="4340" w:firstLineChars="1550"/>
        <w:rPr>
          <w:rFonts w:ascii="Times New Roman" w:hAnsi="Times New Roman"/>
          <w:color w:val="auto"/>
          <w:sz w:val="28"/>
          <w:highlight w:val="none"/>
        </w:rPr>
      </w:pPr>
    </w:p>
    <w:p w14:paraId="37879137">
      <w:pPr>
        <w:snapToGrid w:val="0"/>
        <w:ind w:firstLine="4340" w:firstLineChars="1550"/>
        <w:rPr>
          <w:rFonts w:ascii="Times New Roman" w:hAnsi="Times New Roman"/>
          <w:color w:val="auto"/>
          <w:sz w:val="28"/>
          <w:highlight w:val="none"/>
        </w:rPr>
      </w:pPr>
      <w:r>
        <w:rPr>
          <w:rFonts w:hint="eastAsia" w:ascii="Times New Roman" w:hAnsi="Times New Roman"/>
          <w:color w:val="auto"/>
          <w:sz w:val="28"/>
          <w:highlight w:val="none"/>
        </w:rPr>
        <w:t>前附表</w:t>
      </w:r>
    </w:p>
    <w:tbl>
      <w:tblPr>
        <w:tblStyle w:val="29"/>
        <w:tblW w:w="11192" w:type="dxa"/>
        <w:jc w:val="center"/>
        <w:tblCellSpacing w:w="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81"/>
        <w:gridCol w:w="5339"/>
        <w:gridCol w:w="1128"/>
        <w:gridCol w:w="2690"/>
      </w:tblGrid>
      <w:tr w14:paraId="34904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C851C98">
            <w:pPr>
              <w:snapToGrid w:val="0"/>
              <w:spacing w:line="240" w:lineRule="exact"/>
              <w:jc w:val="center"/>
              <w:rPr>
                <w:rFonts w:ascii="Times New Roman" w:hAnsi="Times New Roman"/>
                <w:b/>
                <w:color w:val="auto"/>
                <w:highlight w:val="none"/>
              </w:rPr>
            </w:pPr>
            <w:r>
              <w:rPr>
                <w:rFonts w:hint="eastAsia" w:ascii="Times New Roman" w:hAnsi="Times New Roman"/>
                <w:b/>
                <w:color w:val="auto"/>
                <w:highlight w:val="none"/>
              </w:rPr>
              <w:t>序号</w:t>
            </w:r>
          </w:p>
        </w:tc>
        <w:tc>
          <w:tcPr>
            <w:tcW w:w="10517" w:type="dxa"/>
            <w:gridSpan w:val="4"/>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5B6B27">
            <w:pPr>
              <w:snapToGrid w:val="0"/>
              <w:spacing w:line="240" w:lineRule="exact"/>
              <w:jc w:val="center"/>
              <w:rPr>
                <w:rFonts w:ascii="Times New Roman" w:hAnsi="Times New Roman"/>
                <w:b/>
                <w:color w:val="auto"/>
                <w:highlight w:val="none"/>
              </w:rPr>
            </w:pPr>
            <w:r>
              <w:rPr>
                <w:rFonts w:hint="eastAsia" w:ascii="Times New Roman" w:hAnsi="Times New Roman"/>
                <w:b/>
                <w:color w:val="auto"/>
                <w:highlight w:val="none"/>
              </w:rPr>
              <w:t>内容说明及要求</w:t>
            </w:r>
          </w:p>
        </w:tc>
      </w:tr>
      <w:tr w14:paraId="3772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0827524">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1</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FDBA08B">
            <w:pPr>
              <w:spacing w:line="240" w:lineRule="exact"/>
              <w:jc w:val="center"/>
              <w:rPr>
                <w:rFonts w:ascii="Times New Roman" w:hAnsi="Times New Roman"/>
                <w:b/>
                <w:color w:val="auto"/>
                <w:highlight w:val="none"/>
              </w:rPr>
            </w:pPr>
            <w:r>
              <w:rPr>
                <w:rFonts w:hint="eastAsia" w:ascii="Times New Roman" w:hAnsi="Times New Roman"/>
                <w:b/>
                <w:color w:val="auto"/>
                <w:highlight w:val="none"/>
              </w:rPr>
              <w:t>项目名称</w:t>
            </w:r>
          </w:p>
        </w:tc>
        <w:tc>
          <w:tcPr>
            <w:tcW w:w="5325"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9A48344">
            <w:pPr>
              <w:spacing w:line="240" w:lineRule="exact"/>
              <w:rPr>
                <w:rFonts w:ascii="Times New Roman" w:hAnsi="Times New Roman"/>
                <w:bCs/>
                <w:color w:val="auto"/>
                <w:highlight w:val="none"/>
                <w:lang w:val="zh-CN"/>
              </w:rPr>
            </w:pPr>
            <w:r>
              <w:rPr>
                <w:rFonts w:hint="eastAsia" w:ascii="Times New Roman" w:hAnsi="Times New Roman"/>
                <w:color w:val="auto"/>
                <w:highlight w:val="none"/>
                <w:lang w:eastAsia="zh-CN"/>
              </w:rPr>
              <w:t xml:space="preserve">普陀区图书馆沈家门渔港文旅驿站（城市书房）运营服务 </w:t>
            </w:r>
            <w:r>
              <w:rPr>
                <w:rFonts w:hint="eastAsia" w:ascii="Times New Roman" w:hAnsi="Times New Roman"/>
                <w:color w:val="auto"/>
                <w:highlight w:val="none"/>
              </w:rPr>
              <w:t xml:space="preserve"> </w:t>
            </w:r>
          </w:p>
        </w:tc>
        <w:tc>
          <w:tcPr>
            <w:tcW w:w="1114"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3F5F24">
            <w:pPr>
              <w:spacing w:line="240" w:lineRule="exact"/>
              <w:jc w:val="center"/>
              <w:rPr>
                <w:rFonts w:ascii="Times New Roman" w:hAnsi="Times New Roman"/>
                <w:bCs/>
                <w:color w:val="auto"/>
                <w:highlight w:val="none"/>
              </w:rPr>
            </w:pPr>
            <w:r>
              <w:rPr>
                <w:rFonts w:hint="eastAsia" w:ascii="Times New Roman" w:hAnsi="Times New Roman"/>
                <w:b/>
                <w:color w:val="auto"/>
                <w:highlight w:val="none"/>
              </w:rPr>
              <w:t>项目编号</w:t>
            </w:r>
          </w:p>
        </w:tc>
        <w:tc>
          <w:tcPr>
            <w:tcW w:w="2669"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557D2C">
            <w:pPr>
              <w:spacing w:line="240" w:lineRule="exact"/>
              <w:rPr>
                <w:rFonts w:hint="eastAsia" w:ascii="Times New Roman" w:hAnsi="Times New Roman" w:eastAsia="宋体"/>
                <w:bCs/>
                <w:color w:val="auto"/>
                <w:highlight w:val="none"/>
                <w:lang w:eastAsia="zh-CN"/>
              </w:rPr>
            </w:pPr>
            <w:r>
              <w:rPr>
                <w:rFonts w:hint="eastAsia" w:ascii="Times New Roman" w:hAnsi="Times New Roman"/>
                <w:color w:val="auto"/>
                <w:highlight w:val="none"/>
                <w:lang w:eastAsia="zh-CN"/>
              </w:rPr>
              <w:t>SZGXZS2026079</w:t>
            </w:r>
          </w:p>
        </w:tc>
      </w:tr>
      <w:tr w14:paraId="035F0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F15549">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2</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C36E3E">
            <w:pPr>
              <w:spacing w:line="240" w:lineRule="exact"/>
              <w:jc w:val="center"/>
              <w:rPr>
                <w:rFonts w:ascii="Times New Roman" w:hAnsi="Times New Roman"/>
                <w:b/>
                <w:color w:val="auto"/>
                <w:highlight w:val="none"/>
              </w:rPr>
            </w:pPr>
            <w:r>
              <w:rPr>
                <w:rFonts w:hint="eastAsia" w:ascii="Times New Roman" w:hAnsi="Times New Roman"/>
                <w:b/>
                <w:color w:val="auto"/>
                <w:highlight w:val="none"/>
              </w:rPr>
              <w:t>采购单位名称</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CC96D96">
            <w:pPr>
              <w:spacing w:line="240" w:lineRule="exact"/>
              <w:rPr>
                <w:rFonts w:hint="eastAsia" w:ascii="Times New Roman" w:hAnsi="Times New Roman" w:eastAsia="宋体"/>
                <w:bCs/>
                <w:color w:val="auto"/>
                <w:highlight w:val="none"/>
                <w:lang w:eastAsia="zh-CN"/>
              </w:rPr>
            </w:pPr>
            <w:r>
              <w:rPr>
                <w:rFonts w:hint="eastAsia" w:ascii="Times New Roman" w:hAnsi="Times New Roman"/>
                <w:color w:val="auto"/>
                <w:highlight w:val="none"/>
                <w:lang w:eastAsia="zh-CN"/>
              </w:rPr>
              <w:t>舟山市普陀区图书馆</w:t>
            </w:r>
          </w:p>
        </w:tc>
      </w:tr>
      <w:tr w14:paraId="53C5D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6A2939">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3</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1EB3EB1">
            <w:pPr>
              <w:spacing w:line="240" w:lineRule="exact"/>
              <w:jc w:val="center"/>
              <w:rPr>
                <w:rFonts w:ascii="Times New Roman" w:hAnsi="Times New Roman"/>
                <w:b/>
                <w:color w:val="auto"/>
                <w:highlight w:val="none"/>
              </w:rPr>
            </w:pPr>
            <w:r>
              <w:rPr>
                <w:rFonts w:hint="eastAsia" w:ascii="Times New Roman" w:hAnsi="Times New Roman"/>
                <w:b/>
                <w:color w:val="auto"/>
                <w:highlight w:val="none"/>
              </w:rPr>
              <w:t>采购内容</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tbl>
            <w:tblPr>
              <w:tblStyle w:val="30"/>
              <w:tblpPr w:leftFromText="180" w:rightFromText="180" w:vertAnchor="text" w:horzAnchor="page" w:tblpX="27" w:tblpY="125"/>
              <w:tblOverlap w:val="never"/>
              <w:tblW w:w="88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5382"/>
              <w:gridCol w:w="1822"/>
              <w:gridCol w:w="931"/>
            </w:tblGrid>
            <w:tr w14:paraId="5E25D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31FC1AC4">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5382" w:type="dxa"/>
                  <w:tcBorders>
                    <w:top w:val="single" w:color="000000" w:sz="4" w:space="0"/>
                    <w:left w:val="single" w:color="000000" w:sz="4" w:space="0"/>
                    <w:bottom w:val="single" w:color="000000" w:sz="4" w:space="0"/>
                    <w:right w:val="single" w:color="auto" w:sz="4" w:space="0"/>
                  </w:tcBorders>
                  <w:vAlign w:val="center"/>
                </w:tcPr>
                <w:p w14:paraId="4781EAE7">
                  <w:pPr>
                    <w:widowControl/>
                    <w:ind w:left="840" w:hanging="420"/>
                    <w:jc w:val="center"/>
                    <w:rPr>
                      <w:rFonts w:ascii="宋体" w:hAnsi="宋体" w:cs="宋体"/>
                      <w:color w:val="auto"/>
                      <w:kern w:val="0"/>
                      <w:szCs w:val="21"/>
                      <w:highlight w:val="none"/>
                    </w:rPr>
                  </w:pPr>
                  <w:r>
                    <w:rPr>
                      <w:rFonts w:hint="eastAsia" w:ascii="宋体" w:hAnsi="宋体" w:cs="宋体"/>
                      <w:color w:val="auto"/>
                      <w:kern w:val="0"/>
                      <w:szCs w:val="21"/>
                      <w:highlight w:val="none"/>
                    </w:rPr>
                    <w:t>项目名称及内容</w:t>
                  </w:r>
                </w:p>
              </w:tc>
              <w:tc>
                <w:tcPr>
                  <w:tcW w:w="1822" w:type="dxa"/>
                  <w:tcBorders>
                    <w:top w:val="single" w:color="000000" w:sz="4" w:space="0"/>
                    <w:left w:val="single" w:color="000000" w:sz="4" w:space="0"/>
                    <w:bottom w:val="single" w:color="000000" w:sz="4" w:space="0"/>
                    <w:right w:val="single" w:color="000000" w:sz="4" w:space="0"/>
                  </w:tcBorders>
                  <w:vAlign w:val="center"/>
                </w:tcPr>
                <w:p w14:paraId="153412C5">
                  <w:pPr>
                    <w:widowControl/>
                    <w:spacing w:line="240" w:lineRule="auto"/>
                    <w:jc w:val="center"/>
                    <w:rPr>
                      <w:rFonts w:ascii="宋体" w:hAnsi="宋体" w:cs="宋体"/>
                      <w:color w:val="auto"/>
                      <w:kern w:val="0"/>
                      <w:szCs w:val="21"/>
                      <w:highlight w:val="none"/>
                    </w:rPr>
                  </w:pPr>
                  <w:r>
                    <w:rPr>
                      <w:rFonts w:hint="eastAsia" w:ascii="Times New Roman" w:hAnsi="Times New Roman" w:eastAsia="宋体" w:cs="Times New Roman"/>
                      <w:color w:val="auto"/>
                      <w:kern w:val="0"/>
                      <w:sz w:val="20"/>
                      <w:szCs w:val="21"/>
                      <w:highlight w:val="none"/>
                    </w:rPr>
                    <w:t>预算金额</w:t>
                  </w:r>
                  <w:r>
                    <w:rPr>
                      <w:rFonts w:hint="eastAsia" w:ascii="Times New Roman" w:hAnsi="Times New Roman" w:eastAsia="宋体" w:cs="Times New Roman"/>
                      <w:color w:val="auto"/>
                      <w:kern w:val="0"/>
                      <w:sz w:val="20"/>
                      <w:szCs w:val="21"/>
                      <w:highlight w:val="none"/>
                      <w:lang w:val="en-US" w:eastAsia="zh-CN"/>
                    </w:rPr>
                    <w:t xml:space="preserve"> </w:t>
                  </w:r>
                </w:p>
              </w:tc>
              <w:tc>
                <w:tcPr>
                  <w:tcW w:w="931" w:type="dxa"/>
                  <w:tcBorders>
                    <w:top w:val="single" w:color="000000" w:sz="4" w:space="0"/>
                    <w:left w:val="single" w:color="000000" w:sz="4" w:space="0"/>
                    <w:bottom w:val="single" w:color="000000" w:sz="4" w:space="0"/>
                    <w:right w:val="single" w:color="000000" w:sz="4" w:space="0"/>
                  </w:tcBorders>
                  <w:vAlign w:val="center"/>
                </w:tcPr>
                <w:p w14:paraId="4FA680DA">
                  <w:pPr>
                    <w:widowControl/>
                    <w:jc w:val="center"/>
                    <w:rPr>
                      <w:rFonts w:ascii="宋体" w:hAnsi="宋体" w:cs="宋体"/>
                      <w:b w:val="0"/>
                      <w:bCs w:val="0"/>
                      <w:color w:val="auto"/>
                      <w:kern w:val="0"/>
                      <w:szCs w:val="21"/>
                      <w:highlight w:val="none"/>
                    </w:rPr>
                  </w:pPr>
                  <w:r>
                    <w:rPr>
                      <w:rFonts w:hint="eastAsia" w:ascii="宋体" w:hAnsi="宋体" w:cs="宋体"/>
                      <w:b w:val="0"/>
                      <w:bCs w:val="0"/>
                      <w:color w:val="auto"/>
                      <w:kern w:val="0"/>
                      <w:szCs w:val="21"/>
                      <w:highlight w:val="none"/>
                    </w:rPr>
                    <w:t>备注</w:t>
                  </w:r>
                </w:p>
              </w:tc>
            </w:tr>
            <w:tr w14:paraId="2D3BA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6" w:hRule="atLeast"/>
              </w:trPr>
              <w:tc>
                <w:tcPr>
                  <w:tcW w:w="744" w:type="dxa"/>
                  <w:tcBorders>
                    <w:top w:val="single" w:color="000000" w:sz="4" w:space="0"/>
                    <w:left w:val="single" w:color="000000" w:sz="4" w:space="0"/>
                    <w:bottom w:val="single" w:color="000000" w:sz="4" w:space="0"/>
                    <w:right w:val="single" w:color="000000" w:sz="4" w:space="0"/>
                  </w:tcBorders>
                  <w:vAlign w:val="center"/>
                </w:tcPr>
                <w:p w14:paraId="373E589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5382" w:type="dxa"/>
                  <w:tcBorders>
                    <w:top w:val="single" w:color="000000" w:sz="4" w:space="0"/>
                    <w:left w:val="single" w:color="000000" w:sz="4" w:space="0"/>
                    <w:bottom w:val="single" w:color="000000" w:sz="4" w:space="0"/>
                    <w:right w:val="single" w:color="auto" w:sz="4" w:space="0"/>
                  </w:tcBorders>
                  <w:vAlign w:val="center"/>
                </w:tcPr>
                <w:p w14:paraId="6741B4E3">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lang w:eastAsia="zh-CN"/>
                    </w:rPr>
                    <w:t xml:space="preserve">普陀区图书馆沈家门渔港文旅驿站（城市书房）运营服务 </w:t>
                  </w:r>
                  <w:r>
                    <w:rPr>
                      <w:rFonts w:hint="eastAsia" w:ascii="宋体" w:hAnsi="宋体" w:cs="宋体"/>
                      <w:color w:val="auto"/>
                      <w:kern w:val="0"/>
                      <w:szCs w:val="21"/>
                      <w:highlight w:val="none"/>
                    </w:rPr>
                    <w:t xml:space="preserve"> </w:t>
                  </w:r>
                </w:p>
              </w:tc>
              <w:tc>
                <w:tcPr>
                  <w:tcW w:w="1822" w:type="dxa"/>
                  <w:tcBorders>
                    <w:top w:val="single" w:color="000000" w:sz="4" w:space="0"/>
                    <w:left w:val="single" w:color="000000" w:sz="4" w:space="0"/>
                    <w:bottom w:val="single" w:color="000000" w:sz="4" w:space="0"/>
                    <w:right w:val="single" w:color="000000" w:sz="4" w:space="0"/>
                  </w:tcBorders>
                  <w:vAlign w:val="center"/>
                </w:tcPr>
                <w:p w14:paraId="7BCDA0A7">
                  <w:pPr>
                    <w:pStyle w:val="28"/>
                    <w:spacing w:line="240" w:lineRule="auto"/>
                    <w:ind w:left="0" w:leftChars="0" w:firstLine="0" w:firstLineChars="0"/>
                    <w:jc w:val="center"/>
                    <w:rPr>
                      <w:rFonts w:ascii="宋体" w:hAnsi="宋体" w:cs="宋体"/>
                      <w:color w:val="auto"/>
                      <w:kern w:val="0"/>
                      <w:szCs w:val="21"/>
                      <w:highlight w:val="none"/>
                    </w:rPr>
                  </w:pPr>
                  <w:r>
                    <w:rPr>
                      <w:rFonts w:hint="eastAsia" w:ascii="宋体" w:hAnsi="宋体"/>
                      <w:color w:val="auto"/>
                      <w:highlight w:val="none"/>
                      <w:lang w:val="en-US" w:eastAsia="zh-CN"/>
                    </w:rPr>
                    <w:t>36万元/3年</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B4163">
                  <w:pPr>
                    <w:widowControl/>
                    <w:rPr>
                      <w:rFonts w:hint="default" w:ascii="宋体" w:hAnsi="宋体" w:eastAsia="宋体" w:cs="宋体"/>
                      <w:color w:val="auto"/>
                      <w:kern w:val="0"/>
                      <w:sz w:val="21"/>
                      <w:szCs w:val="21"/>
                      <w:highlight w:val="none"/>
                      <w:lang w:val="en-US" w:eastAsia="zh-CN" w:bidi="ar-SA"/>
                    </w:rPr>
                  </w:pPr>
                </w:p>
              </w:tc>
            </w:tr>
          </w:tbl>
          <w:p w14:paraId="6C2057EB">
            <w:pPr>
              <w:spacing w:after="120"/>
              <w:rPr>
                <w:rFonts w:ascii="Times New Roman" w:hAnsi="Times New Roman"/>
                <w:color w:val="auto"/>
                <w:kern w:val="0"/>
                <w:highlight w:val="none"/>
              </w:rPr>
            </w:pPr>
          </w:p>
        </w:tc>
      </w:tr>
      <w:tr w14:paraId="75678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23211E">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4</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644335">
            <w:pPr>
              <w:spacing w:line="240" w:lineRule="exact"/>
              <w:jc w:val="center"/>
              <w:rPr>
                <w:rFonts w:ascii="Times New Roman" w:hAnsi="Times New Roman"/>
                <w:b/>
                <w:color w:val="auto"/>
                <w:highlight w:val="none"/>
              </w:rPr>
            </w:pPr>
            <w:r>
              <w:rPr>
                <w:rFonts w:hint="eastAsia" w:ascii="Times New Roman" w:hAnsi="Times New Roman"/>
                <w:b/>
                <w:color w:val="auto"/>
                <w:highlight w:val="none"/>
              </w:rPr>
              <w:t>本项目预算</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BF21B70">
            <w:pPr>
              <w:spacing w:line="240" w:lineRule="auto"/>
              <w:jc w:val="left"/>
              <w:rPr>
                <w:rFonts w:ascii="Times New Roman" w:hAnsi="Times New Roman"/>
                <w:bCs/>
                <w:color w:val="auto"/>
                <w:szCs w:val="21"/>
                <w:highlight w:val="none"/>
              </w:rPr>
            </w:pPr>
            <w:r>
              <w:rPr>
                <w:rFonts w:hint="eastAsia" w:ascii="宋体" w:hAnsi="宋体" w:eastAsia="宋体" w:cs="Times New Roman"/>
                <w:b/>
                <w:color w:val="auto"/>
                <w:szCs w:val="21"/>
                <w:highlight w:val="none"/>
              </w:rPr>
              <w:t>人民币</w:t>
            </w:r>
            <w:r>
              <w:rPr>
                <w:rFonts w:hint="eastAsia" w:ascii="宋体" w:hAnsi="宋体" w:eastAsia="宋体" w:cs="Times New Roman"/>
                <w:b/>
                <w:color w:val="auto"/>
                <w:szCs w:val="21"/>
                <w:highlight w:val="none"/>
                <w:lang w:val="en-US" w:eastAsia="zh-CN"/>
              </w:rPr>
              <w:t>叁拾陆</w:t>
            </w:r>
            <w:r>
              <w:rPr>
                <w:rFonts w:hint="eastAsia" w:ascii="宋体" w:hAnsi="宋体" w:eastAsia="宋体" w:cs="Times New Roman"/>
                <w:b/>
                <w:color w:val="auto"/>
                <w:szCs w:val="21"/>
                <w:highlight w:val="none"/>
              </w:rPr>
              <w:t>万元整/</w:t>
            </w:r>
            <w:r>
              <w:rPr>
                <w:rFonts w:hint="eastAsia" w:ascii="宋体" w:hAnsi="宋体" w:cs="Times New Roman"/>
                <w:b/>
                <w:color w:val="auto"/>
                <w:szCs w:val="21"/>
                <w:highlight w:val="none"/>
                <w:lang w:val="en-US" w:eastAsia="zh-CN"/>
              </w:rPr>
              <w:t>叁</w:t>
            </w:r>
            <w:r>
              <w:rPr>
                <w:rFonts w:hint="eastAsia" w:ascii="宋体" w:hAnsi="宋体" w:eastAsia="宋体" w:cs="Times New Roman"/>
                <w:b/>
                <w:color w:val="auto"/>
                <w:szCs w:val="21"/>
                <w:highlight w:val="none"/>
              </w:rPr>
              <w:t>年（</w:t>
            </w:r>
            <w:r>
              <w:rPr>
                <w:rFonts w:hint="eastAsia" w:ascii="宋体" w:hAnsi="宋体" w:eastAsia="宋体" w:cs="Times New Roman"/>
                <w:b/>
                <w:color w:val="auto"/>
                <w:szCs w:val="21"/>
                <w:highlight w:val="none"/>
                <w:lang w:val="en-US" w:eastAsia="zh-CN"/>
              </w:rPr>
              <w:t>36</w:t>
            </w:r>
            <w:r>
              <w:rPr>
                <w:rFonts w:hint="eastAsia" w:ascii="宋体" w:hAnsi="宋体" w:eastAsia="宋体" w:cs="Times New Roman"/>
                <w:b/>
                <w:color w:val="auto"/>
                <w:szCs w:val="21"/>
                <w:highlight w:val="none"/>
              </w:rPr>
              <w:t>0,000.00元/</w:t>
            </w:r>
            <w:r>
              <w:rPr>
                <w:rFonts w:hint="eastAsia" w:ascii="宋体" w:hAnsi="宋体" w:cs="Times New Roman"/>
                <w:b/>
                <w:color w:val="auto"/>
                <w:szCs w:val="21"/>
                <w:highlight w:val="none"/>
                <w:lang w:val="en-US" w:eastAsia="zh-CN"/>
              </w:rPr>
              <w:t>3</w:t>
            </w:r>
            <w:r>
              <w:rPr>
                <w:rFonts w:hint="eastAsia" w:ascii="宋体" w:hAnsi="宋体" w:eastAsia="宋体" w:cs="Times New Roman"/>
                <w:b/>
                <w:color w:val="auto"/>
                <w:szCs w:val="21"/>
                <w:highlight w:val="none"/>
              </w:rPr>
              <w:t>年）</w:t>
            </w:r>
          </w:p>
        </w:tc>
      </w:tr>
      <w:tr w14:paraId="49DA0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64C7EB">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5</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6C354E9">
            <w:pPr>
              <w:spacing w:line="240" w:lineRule="exact"/>
              <w:jc w:val="center"/>
              <w:rPr>
                <w:rFonts w:ascii="宋体" w:hAnsi="宋体"/>
                <w:b/>
                <w:color w:val="auto"/>
                <w:highlight w:val="none"/>
              </w:rPr>
            </w:pPr>
            <w:r>
              <w:rPr>
                <w:rFonts w:hint="eastAsia" w:ascii="宋体" w:hAnsi="宋体"/>
                <w:b/>
                <w:color w:val="auto"/>
                <w:highlight w:val="none"/>
              </w:rPr>
              <w:t>时间要求</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D94DFC">
            <w:pPr>
              <w:spacing w:line="240" w:lineRule="exact"/>
              <w:rPr>
                <w:rFonts w:ascii="Times New Roman" w:hAnsi="Times New Roman"/>
                <w:color w:val="auto"/>
                <w:szCs w:val="21"/>
                <w:highlight w:val="none"/>
              </w:rPr>
            </w:pPr>
            <w:r>
              <w:rPr>
                <w:rFonts w:hint="eastAsia" w:ascii="Times New Roman" w:hAnsi="Times New Roman" w:eastAsia="宋体" w:cs="Times New Roman"/>
                <w:color w:val="auto"/>
                <w:szCs w:val="21"/>
                <w:highlight w:val="none"/>
                <w:u w:val="none"/>
              </w:rPr>
              <w:t>自合同签订之日起三年。</w:t>
            </w:r>
          </w:p>
        </w:tc>
      </w:tr>
      <w:tr w14:paraId="004C2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D8D324">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6</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C542495">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投标有效期</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D0F5CB">
            <w:pPr>
              <w:spacing w:line="240" w:lineRule="exact"/>
              <w:rPr>
                <w:rFonts w:ascii="Times New Roman" w:hAnsi="Times New Roman"/>
                <w:color w:val="auto"/>
                <w:szCs w:val="21"/>
                <w:highlight w:val="none"/>
              </w:rPr>
            </w:pPr>
            <w:r>
              <w:rPr>
                <w:rFonts w:ascii="Times New Roman" w:hAnsi="Times New Roman"/>
                <w:color w:val="auto"/>
                <w:szCs w:val="21"/>
                <w:highlight w:val="none"/>
              </w:rPr>
              <w:t>90</w:t>
            </w:r>
            <w:r>
              <w:rPr>
                <w:rFonts w:hint="eastAsia" w:ascii="Times New Roman" w:hAnsi="Times New Roman"/>
                <w:color w:val="auto"/>
                <w:szCs w:val="21"/>
                <w:highlight w:val="none"/>
              </w:rPr>
              <w:t>日历天。（从投标截止之日算起）</w:t>
            </w:r>
          </w:p>
        </w:tc>
      </w:tr>
      <w:tr w14:paraId="7CEB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E797DF4">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7</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EADB6A0">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评标方法</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B6F08F0">
            <w:pPr>
              <w:spacing w:line="240" w:lineRule="exact"/>
              <w:rPr>
                <w:rFonts w:ascii="Times New Roman" w:hAnsi="Times New Roman"/>
                <w:color w:val="auto"/>
                <w:szCs w:val="21"/>
                <w:highlight w:val="none"/>
              </w:rPr>
            </w:pPr>
            <w:r>
              <w:rPr>
                <w:rFonts w:hint="eastAsia" w:ascii="Times New Roman" w:hAnsi="Times New Roman"/>
                <w:color w:val="auto"/>
                <w:szCs w:val="21"/>
                <w:highlight w:val="none"/>
              </w:rPr>
              <w:t>综合评分法</w:t>
            </w:r>
          </w:p>
        </w:tc>
      </w:tr>
      <w:tr w14:paraId="35CB2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DDD328C">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8</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8A7C65">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签订合同</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F64F0D0">
            <w:pPr>
              <w:spacing w:line="240" w:lineRule="exact"/>
              <w:rPr>
                <w:rFonts w:ascii="Times New Roman" w:hAnsi="Times New Roman"/>
                <w:color w:val="auto"/>
                <w:szCs w:val="21"/>
                <w:highlight w:val="none"/>
              </w:rPr>
            </w:pPr>
            <w:r>
              <w:rPr>
                <w:rFonts w:hint="eastAsia" w:ascii="Times New Roman" w:hAnsi="Times New Roman"/>
                <w:color w:val="auto"/>
                <w:szCs w:val="21"/>
                <w:highlight w:val="none"/>
              </w:rPr>
              <w:t>中标通知书发出后</w:t>
            </w:r>
            <w:r>
              <w:rPr>
                <w:rFonts w:ascii="Times New Roman" w:hAnsi="Times New Roman"/>
                <w:color w:val="auto"/>
                <w:szCs w:val="21"/>
                <w:highlight w:val="none"/>
              </w:rPr>
              <w:t>30</w:t>
            </w:r>
            <w:r>
              <w:rPr>
                <w:rFonts w:hint="eastAsia" w:ascii="Times New Roman" w:hAnsi="Times New Roman"/>
                <w:color w:val="auto"/>
                <w:szCs w:val="21"/>
                <w:highlight w:val="none"/>
              </w:rPr>
              <w:t>天内。</w:t>
            </w:r>
          </w:p>
        </w:tc>
      </w:tr>
      <w:tr w14:paraId="6689D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055A67">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9</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DC4B948">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资金结算</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AB743E4">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1.采购人采用分期方式支付，将中标价平分为三年的额度（如不能平分，可双方协商三年的分配额 ）。</w:t>
            </w:r>
            <w:r>
              <w:rPr>
                <w:rFonts w:hint="eastAsia" w:ascii="宋体" w:hAnsi="宋体" w:eastAsia="宋体" w:cs="Times New Roman"/>
                <w:b/>
                <w:bCs/>
                <w:color w:val="auto"/>
                <w:szCs w:val="21"/>
                <w:highlight w:val="none"/>
              </w:rPr>
              <w:t>合同签订后第一年，合同生效以及具备实施条件</w:t>
            </w:r>
            <w:r>
              <w:rPr>
                <w:rFonts w:hint="eastAsia" w:ascii="宋体" w:hAnsi="宋体" w:eastAsia="宋体" w:cs="Times New Roman"/>
                <w:b/>
                <w:bCs/>
                <w:color w:val="auto"/>
                <w:szCs w:val="21"/>
                <w:highlight w:val="none"/>
                <w:lang w:eastAsia="zh-CN"/>
              </w:rPr>
              <w:t>，</w:t>
            </w:r>
            <w:r>
              <w:rPr>
                <w:rFonts w:hint="eastAsia" w:ascii="宋体" w:hAnsi="宋体" w:eastAsia="宋体" w:cs="Times New Roman"/>
                <w:b/>
                <w:bCs/>
                <w:color w:val="auto"/>
                <w:szCs w:val="21"/>
                <w:highlight w:val="none"/>
              </w:rPr>
              <w:t>自收到发票后7个工作日内，先支付每年额度的60%作为</w:t>
            </w:r>
            <w:r>
              <w:rPr>
                <w:rFonts w:hint="eastAsia" w:ascii="宋体" w:hAnsi="宋体" w:eastAsia="宋体" w:cs="Times New Roman"/>
                <w:b/>
                <w:bCs/>
                <w:color w:val="auto"/>
                <w:szCs w:val="21"/>
                <w:highlight w:val="none"/>
                <w:lang w:val="en-US" w:eastAsia="zh-CN"/>
              </w:rPr>
              <w:t>预付</w:t>
            </w:r>
            <w:r>
              <w:rPr>
                <w:rFonts w:hint="eastAsia" w:ascii="宋体" w:hAnsi="宋体" w:eastAsia="宋体" w:cs="Times New Roman"/>
                <w:b/>
                <w:bCs/>
                <w:color w:val="auto"/>
                <w:szCs w:val="21"/>
                <w:highlight w:val="none"/>
              </w:rPr>
              <w:t>款。</w:t>
            </w:r>
            <w:r>
              <w:rPr>
                <w:rFonts w:hint="eastAsia" w:ascii="宋体" w:hAnsi="宋体" w:eastAsia="宋体" w:cs="Times New Roman"/>
                <w:color w:val="auto"/>
                <w:szCs w:val="21"/>
                <w:highlight w:val="none"/>
              </w:rPr>
              <w:t>中标人根据合同规定提供服务，采购人于合同第一年的最后一个月根据《舟山市城市书房绩效考核指标》进行评定，如为良好以上，则再支付年额度的40%，第二、第三年依次进行。</w:t>
            </w:r>
          </w:p>
          <w:p w14:paraId="3C2DD454">
            <w:pPr>
              <w:spacing w:line="240" w:lineRule="auto"/>
              <w:outlineLvl w:val="0"/>
              <w:rPr>
                <w:rFonts w:ascii="宋体" w:hAnsi="宋体"/>
                <w:bCs/>
                <w:color w:val="auto"/>
                <w:szCs w:val="21"/>
                <w:highlight w:val="none"/>
              </w:rPr>
            </w:pPr>
            <w:r>
              <w:rPr>
                <w:rFonts w:hint="eastAsia" w:ascii="宋体" w:hAnsi="宋体" w:eastAsia="宋体" w:cs="Times New Roman"/>
                <w:color w:val="auto"/>
                <w:kern w:val="2"/>
                <w:sz w:val="21"/>
                <w:szCs w:val="21"/>
                <w:highlight w:val="none"/>
                <w:lang w:val="en-US" w:eastAsia="zh-CN" w:bidi="ar-SA"/>
              </w:rPr>
              <w:t>2.采购人将不定期组织对中标人经营管理指标事项进行考察，包括实地走访、查看各种</w:t>
            </w:r>
            <w:r>
              <w:rPr>
                <w:rFonts w:hint="eastAsia" w:ascii="宋体" w:hAnsi="宋体" w:cs="Times New Roman"/>
                <w:color w:val="auto"/>
                <w:kern w:val="2"/>
                <w:sz w:val="21"/>
                <w:szCs w:val="21"/>
                <w:highlight w:val="none"/>
                <w:lang w:val="en-US" w:eastAsia="zh-CN" w:bidi="ar-SA"/>
              </w:rPr>
              <w:t>资料台账</w:t>
            </w:r>
            <w:r>
              <w:rPr>
                <w:rFonts w:hint="eastAsia" w:ascii="宋体" w:hAnsi="宋体" w:eastAsia="宋体" w:cs="Times New Roman"/>
                <w:color w:val="auto"/>
                <w:kern w:val="2"/>
                <w:sz w:val="21"/>
                <w:szCs w:val="21"/>
                <w:highlight w:val="none"/>
                <w:lang w:val="en-US" w:eastAsia="zh-CN" w:bidi="ar-SA"/>
              </w:rPr>
              <w:t>等，以保证采购项目的顺利实施。</w:t>
            </w:r>
          </w:p>
        </w:tc>
      </w:tr>
      <w:tr w14:paraId="2F29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2BC63C4">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10</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AFB4508">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投标报价</w:t>
            </w:r>
          </w:p>
          <w:p w14:paraId="55BEC5C1">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与费用</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C88F56">
            <w:pPr>
              <w:spacing w:line="240" w:lineRule="exact"/>
              <w:rPr>
                <w:rFonts w:ascii="Times New Roman" w:hAnsi="Times New Roman" w:eastAsia="宋体" w:cs="Times New Roman"/>
                <w:color w:val="auto"/>
                <w:szCs w:val="21"/>
                <w:highlight w:val="none"/>
              </w:rPr>
            </w:pP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1"/>
                <w:highlight w:val="none"/>
              </w:rPr>
              <w:t>本项目的投标应以人民币报价，投标报价应包括所有费用。</w:t>
            </w:r>
          </w:p>
          <w:p w14:paraId="7B13AAB8">
            <w:pPr>
              <w:spacing w:line="240" w:lineRule="exact"/>
              <w:rPr>
                <w:rFonts w:hint="eastAsia" w:ascii="宋体" w:hAnsi="宋体" w:eastAsia="宋体" w:cs="宋体"/>
                <w:b w:val="0"/>
                <w:bCs/>
                <w:color w:val="auto"/>
                <w:szCs w:val="21"/>
                <w:highlight w:val="none"/>
              </w:rPr>
            </w:pPr>
            <w:r>
              <w:rPr>
                <w:rFonts w:ascii="Times New Roman" w:hAnsi="Times New Roman" w:eastAsia="宋体" w:cs="Times New Roman"/>
                <w:color w:val="auto"/>
                <w:szCs w:val="21"/>
                <w:highlight w:val="none"/>
              </w:rPr>
              <w:t>2.</w:t>
            </w:r>
            <w:r>
              <w:rPr>
                <w:rFonts w:hint="eastAsia" w:ascii="Times New Roman" w:hAnsi="Times New Roman" w:eastAsia="宋体" w:cs="Times New Roman"/>
                <w:color w:val="auto"/>
                <w:szCs w:val="21"/>
                <w:highlight w:val="none"/>
              </w:rPr>
              <w:t>投</w:t>
            </w:r>
            <w:r>
              <w:rPr>
                <w:rFonts w:hint="eastAsia" w:ascii="Times New Roman" w:hAnsi="Times New Roman" w:eastAsia="宋体" w:cs="Times New Roman"/>
                <w:bCs/>
                <w:color w:val="auto"/>
                <w:szCs w:val="21"/>
                <w:highlight w:val="none"/>
              </w:rPr>
              <w:t>标人应承担其参加</w:t>
            </w:r>
            <w:r>
              <w:rPr>
                <w:rFonts w:hint="eastAsia" w:ascii="Times New Roman" w:hAnsi="Times New Roman" w:eastAsia="宋体" w:cs="Times New Roman"/>
                <w:bCs/>
                <w:color w:val="auto"/>
                <w:szCs w:val="21"/>
                <w:highlight w:val="none"/>
                <w:lang w:eastAsia="zh-CN"/>
              </w:rPr>
              <w:t>本次</w:t>
            </w:r>
            <w:r>
              <w:rPr>
                <w:rFonts w:hint="eastAsia" w:ascii="Times New Roman" w:hAnsi="Times New Roman" w:eastAsia="宋体" w:cs="Times New Roman"/>
                <w:bCs/>
                <w:color w:val="auto"/>
                <w:szCs w:val="21"/>
                <w:highlight w:val="none"/>
              </w:rPr>
              <w:t>招标活动自身所发生</w:t>
            </w:r>
            <w:r>
              <w:rPr>
                <w:rFonts w:hint="eastAsia" w:ascii="宋体" w:hAnsi="宋体" w:eastAsia="宋体" w:cs="宋体"/>
                <w:b w:val="0"/>
                <w:bCs/>
                <w:color w:val="auto"/>
                <w:szCs w:val="21"/>
                <w:highlight w:val="none"/>
              </w:rPr>
              <w:t>的费用。</w:t>
            </w:r>
          </w:p>
          <w:p w14:paraId="389E329E">
            <w:pPr>
              <w:spacing w:line="240" w:lineRule="exact"/>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rPr>
              <w:t>3.招标代理费用由中标人支付，</w:t>
            </w:r>
            <w:r>
              <w:rPr>
                <w:rFonts w:hint="eastAsia" w:ascii="Times New Roman" w:hAnsi="Times New Roman" w:eastAsia="宋体" w:cs="Times New Roman"/>
                <w:bCs/>
                <w:color w:val="auto"/>
                <w:szCs w:val="21"/>
                <w:highlight w:val="none"/>
              </w:rPr>
              <w:t>收费</w:t>
            </w:r>
            <w:r>
              <w:rPr>
                <w:rFonts w:hint="eastAsia" w:ascii="Times New Roman" w:hAnsi="Times New Roman" w:eastAsia="宋体" w:cs="Times New Roman"/>
                <w:bCs/>
                <w:color w:val="auto"/>
                <w:szCs w:val="21"/>
                <w:highlight w:val="none"/>
                <w:lang w:val="en-US" w:eastAsia="zh-CN"/>
              </w:rPr>
              <w:t>金额</w:t>
            </w:r>
            <w:r>
              <w:rPr>
                <w:rFonts w:hint="eastAsia" w:ascii="Times New Roman" w:hAnsi="Times New Roman" w:eastAsia="宋体" w:cs="Times New Roman"/>
                <w:bCs/>
                <w:color w:val="auto"/>
                <w:szCs w:val="21"/>
                <w:highlight w:val="none"/>
              </w:rPr>
              <w:t>为：</w:t>
            </w:r>
            <w:r>
              <w:rPr>
                <w:rFonts w:hint="eastAsia" w:ascii="宋体" w:hAnsi="宋体" w:eastAsia="宋体" w:cs="宋体"/>
                <w:color w:val="auto"/>
                <w:highlight w:val="none"/>
                <w:lang w:val="en-US" w:eastAsia="zh-CN"/>
              </w:rPr>
              <w:t>人民币陆仟元整（</w:t>
            </w:r>
            <w:r>
              <w:rPr>
                <w:rFonts w:hint="eastAsia" w:ascii="宋体" w:hAnsi="宋体" w:cs="宋体"/>
                <w:color w:val="auto"/>
                <w:highlight w:val="none"/>
                <w:lang w:val="en-US" w:eastAsia="zh-CN"/>
              </w:rPr>
              <w:t>6,000</w:t>
            </w:r>
            <w:r>
              <w:rPr>
                <w:rFonts w:hint="eastAsia" w:ascii="宋体" w:hAnsi="宋体" w:eastAsia="宋体" w:cs="宋体"/>
                <w:color w:val="auto"/>
                <w:highlight w:val="none"/>
                <w:lang w:val="en-US" w:eastAsia="zh-CN"/>
              </w:rPr>
              <w:t>.00元）。</w:t>
            </w:r>
          </w:p>
          <w:p w14:paraId="187E3EFF">
            <w:pPr>
              <w:rPr>
                <w:rFonts w:hint="eastAsia" w:ascii="宋体" w:hAnsi="宋体" w:eastAsia="宋体" w:cs="宋体"/>
                <w:b w:val="0"/>
                <w:bCs/>
                <w:color w:val="auto"/>
                <w:highlight w:val="none"/>
              </w:rPr>
            </w:pPr>
            <w:r>
              <w:rPr>
                <w:rFonts w:ascii="Times New Roman" w:hAnsi="Times New Roman" w:eastAsia="宋体" w:cs="Times New Roman"/>
                <w:b w:val="0"/>
                <w:bCs/>
                <w:color w:val="auto"/>
                <w:highlight w:val="none"/>
              </w:rPr>
              <w:t>4.</w:t>
            </w:r>
            <w:r>
              <w:rPr>
                <w:rFonts w:hint="eastAsia" w:ascii="Times New Roman" w:hAnsi="Times New Roman" w:eastAsia="宋体" w:cs="Times New Roman"/>
                <w:b w:val="0"/>
                <w:bCs/>
                <w:color w:val="auto"/>
                <w:highlight w:val="none"/>
              </w:rPr>
              <w:t>中标通知书发出的同时，中标人应及时支付招标代理费，收到服务费后提供全额发票。</w:t>
            </w:r>
          </w:p>
          <w:p w14:paraId="1C23F990">
            <w:pPr>
              <w:rPr>
                <w:rFonts w:ascii="Times New Roman" w:hAnsi="Times New Roman"/>
                <w:color w:val="auto"/>
                <w:szCs w:val="21"/>
                <w:highlight w:val="none"/>
              </w:rPr>
            </w:pPr>
            <w:r>
              <w:rPr>
                <w:rFonts w:hint="eastAsia" w:ascii="Times New Roman" w:hAnsi="Times New Roman" w:eastAsia="宋体" w:cs="Times New Roman"/>
                <w:bCs/>
                <w:color w:val="auto"/>
                <w:szCs w:val="21"/>
                <w:highlight w:val="none"/>
              </w:rPr>
              <w:t>5.中标、成交供应商放弃中标、成交资格导致重新采购的，须承担支付代理费等费用在内的赔偿责任。</w:t>
            </w:r>
          </w:p>
        </w:tc>
      </w:tr>
      <w:tr w14:paraId="2333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61FBBD">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11</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E5F68C">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银行账号</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5E90D6">
            <w:pPr>
              <w:spacing w:line="240" w:lineRule="exact"/>
              <w:rPr>
                <w:rFonts w:ascii="宋体" w:hAnsi="宋体" w:cs="宋体"/>
                <w:color w:val="auto"/>
                <w:szCs w:val="21"/>
                <w:highlight w:val="none"/>
              </w:rPr>
            </w:pPr>
            <w:r>
              <w:rPr>
                <w:rFonts w:hint="eastAsia" w:ascii="宋体" w:hAnsi="宋体" w:cs="宋体"/>
                <w:color w:val="auto"/>
                <w:szCs w:val="21"/>
                <w:highlight w:val="none"/>
              </w:rPr>
              <w:t>收款单位：深圳市国信招标有限公司舟山分公司</w:t>
            </w:r>
          </w:p>
          <w:p w14:paraId="731D1663">
            <w:pPr>
              <w:spacing w:line="240" w:lineRule="exact"/>
              <w:rPr>
                <w:rFonts w:ascii="宋体" w:hAnsi="宋体" w:cs="宋体"/>
                <w:color w:val="auto"/>
                <w:szCs w:val="21"/>
                <w:highlight w:val="none"/>
              </w:rPr>
            </w:pPr>
            <w:r>
              <w:rPr>
                <w:rFonts w:hint="eastAsia" w:ascii="宋体" w:hAnsi="宋体" w:cs="宋体"/>
                <w:color w:val="auto"/>
                <w:szCs w:val="21"/>
                <w:highlight w:val="none"/>
              </w:rPr>
              <w:t>开户银行：中国工商银行舟山市定海区支行</w:t>
            </w:r>
          </w:p>
          <w:p w14:paraId="02488445">
            <w:pPr>
              <w:spacing w:line="240" w:lineRule="exact"/>
              <w:rPr>
                <w:rFonts w:ascii="宋体" w:hAnsi="宋体" w:cs="宋体"/>
                <w:color w:val="auto"/>
                <w:szCs w:val="21"/>
                <w:highlight w:val="none"/>
              </w:rPr>
            </w:pPr>
            <w:r>
              <w:rPr>
                <w:rFonts w:hint="eastAsia" w:ascii="宋体" w:hAnsi="宋体" w:cs="宋体"/>
                <w:color w:val="auto"/>
                <w:szCs w:val="21"/>
                <w:highlight w:val="none"/>
              </w:rPr>
              <w:t>银行账号：1206020209200081758</w:t>
            </w:r>
          </w:p>
        </w:tc>
      </w:tr>
      <w:tr w14:paraId="678FA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BBDA038">
            <w:pPr>
              <w:snapToGrid w:val="0"/>
              <w:spacing w:line="240" w:lineRule="exact"/>
              <w:jc w:val="center"/>
              <w:rPr>
                <w:rFonts w:ascii="Times New Roman" w:hAnsi="Times New Roman"/>
                <w:b/>
                <w:color w:val="auto"/>
                <w:highlight w:val="none"/>
              </w:rPr>
            </w:pPr>
            <w:r>
              <w:rPr>
                <w:rFonts w:ascii="Times New Roman" w:hAnsi="Times New Roman"/>
                <w:b/>
                <w:color w:val="auto"/>
                <w:highlight w:val="none"/>
              </w:rPr>
              <w:t>12</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7288FCE">
            <w:pPr>
              <w:spacing w:line="240" w:lineRule="exact"/>
              <w:jc w:val="center"/>
              <w:rPr>
                <w:rFonts w:ascii="Times New Roman" w:hAnsi="Times New Roman"/>
                <w:b/>
                <w:color w:val="auto"/>
                <w:szCs w:val="21"/>
                <w:highlight w:val="none"/>
              </w:rPr>
            </w:pPr>
            <w:r>
              <w:rPr>
                <w:rFonts w:hint="eastAsia" w:ascii="Times New Roman" w:hAnsi="Times New Roman"/>
                <w:b/>
                <w:color w:val="auto"/>
                <w:szCs w:val="21"/>
                <w:highlight w:val="none"/>
              </w:rPr>
              <w:t>质量标准</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0CCCEA9">
            <w:pPr>
              <w:spacing w:line="240" w:lineRule="exact"/>
              <w:rPr>
                <w:rFonts w:ascii="宋体" w:hAnsi="宋体" w:cs="宋体"/>
                <w:color w:val="auto"/>
                <w:szCs w:val="21"/>
                <w:highlight w:val="none"/>
              </w:rPr>
            </w:pPr>
            <w:r>
              <w:rPr>
                <w:rFonts w:hint="eastAsia" w:ascii="宋体" w:hAnsi="宋体" w:cs="宋体"/>
                <w:color w:val="auto"/>
                <w:szCs w:val="21"/>
                <w:highlight w:val="none"/>
              </w:rPr>
              <w:t>合同约定，经验收合格</w:t>
            </w:r>
          </w:p>
        </w:tc>
      </w:tr>
      <w:tr w14:paraId="6E15D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30239D4">
            <w:pPr>
              <w:snapToGrid w:val="0"/>
              <w:spacing w:line="240" w:lineRule="exact"/>
              <w:jc w:val="center"/>
              <w:rPr>
                <w:rFonts w:hint="eastAsia" w:ascii="Times New Roman" w:hAnsi="Times New Roman" w:eastAsia="宋体"/>
                <w:b/>
                <w:color w:val="auto"/>
                <w:highlight w:val="none"/>
                <w:lang w:val="en-US" w:eastAsia="zh-CN"/>
              </w:rPr>
            </w:pPr>
            <w:r>
              <w:rPr>
                <w:rFonts w:ascii="Times New Roman" w:hAnsi="Times New Roman"/>
                <w:b/>
                <w:color w:val="auto"/>
                <w:highlight w:val="none"/>
              </w:rPr>
              <w:t>1</w:t>
            </w:r>
            <w:r>
              <w:rPr>
                <w:rFonts w:hint="eastAsia" w:ascii="Times New Roman" w:hAnsi="Times New Roman"/>
                <w:b/>
                <w:color w:val="auto"/>
                <w:highlight w:val="none"/>
                <w:lang w:val="en-US" w:eastAsia="zh-CN"/>
              </w:rPr>
              <w:t>3</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016EAF8">
            <w:pPr>
              <w:snapToGrid w:val="0"/>
              <w:jc w:val="center"/>
              <w:rPr>
                <w:rFonts w:ascii="Times New Roman" w:hAnsi="Times New Roman"/>
                <w:b/>
                <w:color w:val="auto"/>
                <w:highlight w:val="none"/>
              </w:rPr>
            </w:pPr>
            <w:r>
              <w:rPr>
                <w:rFonts w:hint="eastAsia" w:ascii="Times New Roman" w:hAnsi="Times New Roman"/>
                <w:b/>
                <w:color w:val="auto"/>
                <w:highlight w:val="none"/>
              </w:rPr>
              <w:t>投标文件的</w:t>
            </w:r>
          </w:p>
          <w:p w14:paraId="37EA191A">
            <w:pPr>
              <w:snapToGrid w:val="0"/>
              <w:jc w:val="center"/>
              <w:rPr>
                <w:rFonts w:ascii="Times New Roman" w:hAnsi="Times New Roman"/>
                <w:b/>
                <w:color w:val="auto"/>
                <w:highlight w:val="none"/>
              </w:rPr>
            </w:pPr>
            <w:r>
              <w:rPr>
                <w:rFonts w:hint="eastAsia" w:ascii="Times New Roman" w:hAnsi="Times New Roman"/>
                <w:b/>
                <w:color w:val="auto"/>
                <w:highlight w:val="none"/>
              </w:rPr>
              <w:t>组成</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2BF457B">
            <w:pPr>
              <w:snapToGrid w:val="0"/>
              <w:rPr>
                <w:rFonts w:ascii="宋体" w:hAnsi="宋体" w:cs="宋体"/>
                <w:color w:val="auto"/>
                <w:szCs w:val="21"/>
                <w:highlight w:val="none"/>
              </w:rPr>
            </w:pPr>
            <w:r>
              <w:rPr>
                <w:rFonts w:hint="eastAsia" w:ascii="宋体" w:hAnsi="宋体" w:cs="宋体"/>
                <w:color w:val="auto"/>
                <w:szCs w:val="21"/>
                <w:highlight w:val="none"/>
              </w:rPr>
              <w:t>投标文件由资格响应文件、商务及技术响应文件、报价文件组成。</w:t>
            </w:r>
          </w:p>
        </w:tc>
      </w:tr>
      <w:tr w14:paraId="651C4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6C59A50">
            <w:pPr>
              <w:snapToGrid w:val="0"/>
              <w:spacing w:line="240" w:lineRule="exact"/>
              <w:jc w:val="center"/>
              <w:rPr>
                <w:rFonts w:hint="eastAsia" w:ascii="Times New Roman" w:hAnsi="Times New Roman" w:eastAsia="宋体"/>
                <w:b/>
                <w:color w:val="auto"/>
                <w:highlight w:val="none"/>
                <w:lang w:eastAsia="zh-CN"/>
              </w:rPr>
            </w:pPr>
            <w:r>
              <w:rPr>
                <w:rFonts w:ascii="Times New Roman" w:hAnsi="Times New Roman"/>
                <w:b/>
                <w:color w:val="auto"/>
                <w:highlight w:val="none"/>
              </w:rPr>
              <w:t>1</w:t>
            </w:r>
            <w:r>
              <w:rPr>
                <w:rFonts w:hint="eastAsia" w:ascii="Times New Roman" w:hAnsi="Times New Roman"/>
                <w:b/>
                <w:color w:val="auto"/>
                <w:highlight w:val="none"/>
                <w:lang w:val="en-US" w:eastAsia="zh-CN"/>
              </w:rPr>
              <w:t>4</w:t>
            </w:r>
          </w:p>
        </w:tc>
        <w:tc>
          <w:tcPr>
            <w:tcW w:w="1367"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15" w:type="dxa"/>
              <w:right w:w="15" w:type="dxa"/>
            </w:tcMar>
            <w:vAlign w:val="center"/>
          </w:tcPr>
          <w:p w14:paraId="2F7E0E10">
            <w:pPr>
              <w:snapToGrid w:val="0"/>
              <w:spacing w:line="240" w:lineRule="exact"/>
              <w:jc w:val="center"/>
              <w:rPr>
                <w:rFonts w:ascii="Times New Roman" w:hAnsi="Times New Roman"/>
                <w:b/>
                <w:color w:val="auto"/>
                <w:highlight w:val="none"/>
              </w:rPr>
            </w:pPr>
            <w:r>
              <w:rPr>
                <w:rFonts w:hint="eastAsia" w:ascii="Times New Roman" w:hAnsi="Times New Roman"/>
                <w:b/>
                <w:color w:val="auto"/>
                <w:highlight w:val="none"/>
              </w:rPr>
              <w:t>投标文件的</w:t>
            </w:r>
          </w:p>
          <w:p w14:paraId="1FF8E593">
            <w:pPr>
              <w:spacing w:line="240" w:lineRule="exact"/>
              <w:ind w:firstLine="517" w:firstLineChars="245"/>
              <w:rPr>
                <w:rFonts w:ascii="Times New Roman" w:hAnsi="Times New Roman"/>
                <w:b/>
                <w:color w:val="auto"/>
                <w:szCs w:val="21"/>
                <w:highlight w:val="none"/>
                <w:shd w:val="pct10" w:color="auto" w:fill="FFFFFF"/>
              </w:rPr>
            </w:pPr>
            <w:r>
              <w:rPr>
                <w:rFonts w:hint="eastAsia" w:ascii="Times New Roman" w:hAnsi="Times New Roman"/>
                <w:b/>
                <w:color w:val="auto"/>
                <w:highlight w:val="none"/>
              </w:rPr>
              <w:t>制作</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FED0954">
            <w:pPr>
              <w:spacing w:line="240" w:lineRule="exact"/>
              <w:rPr>
                <w:rFonts w:ascii="宋体" w:hAnsi="宋体" w:cs="宋体"/>
                <w:color w:val="auto"/>
                <w:szCs w:val="21"/>
                <w:highlight w:val="none"/>
              </w:rPr>
            </w:pPr>
            <w:r>
              <w:rPr>
                <w:rFonts w:hint="eastAsia" w:ascii="宋体" w:hAnsi="宋体" w:cs="宋体"/>
                <w:color w:val="auto"/>
                <w:szCs w:val="21"/>
                <w:highlight w:val="none"/>
              </w:rPr>
              <w:t>本项目实行电子投标。</w:t>
            </w:r>
          </w:p>
          <w:p w14:paraId="7F13D5F2">
            <w:pPr>
              <w:spacing w:line="240" w:lineRule="exact"/>
              <w:rPr>
                <w:rFonts w:ascii="宋体" w:hAnsi="宋体" w:cs="宋体"/>
                <w:color w:val="auto"/>
                <w:szCs w:val="21"/>
                <w:highlight w:val="none"/>
              </w:rPr>
            </w:pPr>
            <w:r>
              <w:rPr>
                <w:rFonts w:hint="eastAsia" w:ascii="宋体" w:hAnsi="宋体" w:cs="宋体"/>
                <w:color w:val="auto"/>
                <w:szCs w:val="21"/>
                <w:highlight w:val="none"/>
              </w:rPr>
              <w:t>投标人应准备电子投标文件、以介质存储的数据电文形式的备份投标文件：</w:t>
            </w:r>
          </w:p>
          <w:p w14:paraId="0380A4ED">
            <w:pPr>
              <w:spacing w:line="240" w:lineRule="exact"/>
              <w:rPr>
                <w:rFonts w:ascii="宋体" w:hAnsi="宋体" w:cs="宋体"/>
                <w:color w:val="auto"/>
                <w:szCs w:val="21"/>
                <w:highlight w:val="none"/>
              </w:rPr>
            </w:pPr>
            <w:r>
              <w:rPr>
                <w:rFonts w:hint="eastAsia" w:ascii="宋体" w:hAnsi="宋体" w:cs="宋体"/>
                <w:color w:val="auto"/>
                <w:szCs w:val="21"/>
                <w:highlight w:val="none"/>
              </w:rPr>
              <w:t>（1）电子投标文件，按政采云平台项目采购-电子交易操作指南及本招标文件要求递交。</w:t>
            </w:r>
          </w:p>
          <w:p w14:paraId="6DE77542">
            <w:pPr>
              <w:spacing w:line="240" w:lineRule="exact"/>
              <w:rPr>
                <w:rFonts w:ascii="宋体" w:hAnsi="宋体" w:cs="宋体"/>
                <w:color w:val="auto"/>
                <w:szCs w:val="21"/>
                <w:highlight w:val="none"/>
              </w:rPr>
            </w:pPr>
            <w:r>
              <w:rPr>
                <w:rFonts w:hint="eastAsia" w:ascii="宋体" w:hAnsi="宋体" w:cs="宋体"/>
                <w:color w:val="auto"/>
                <w:szCs w:val="21"/>
                <w:highlight w:val="none"/>
              </w:rPr>
              <w:t>（2）以介质存储的数据电文形式的备份投标文件，按政采云平台项目采购-电子交易操作指南中上传的电子投标文件格式，以U盘形式存储提供。数量为1份。</w:t>
            </w:r>
          </w:p>
          <w:p w14:paraId="3965C561">
            <w:pPr>
              <w:spacing w:line="240" w:lineRule="exact"/>
              <w:rPr>
                <w:rFonts w:ascii="宋体" w:hAnsi="宋体" w:cs="宋体"/>
                <w:color w:val="auto"/>
                <w:szCs w:val="21"/>
                <w:highlight w:val="none"/>
              </w:rPr>
            </w:pPr>
            <w:r>
              <w:rPr>
                <w:rFonts w:hint="eastAsia" w:ascii="宋体" w:hAnsi="宋体" w:cs="宋体"/>
                <w:color w:val="auto"/>
                <w:szCs w:val="21"/>
                <w:highlight w:val="none"/>
              </w:rPr>
              <w:t>投标文件均由资格响应文件、商务及技术响应文件、报价文件组成。</w:t>
            </w:r>
          </w:p>
          <w:p w14:paraId="6021F4A2">
            <w:pPr>
              <w:spacing w:line="240" w:lineRule="exact"/>
              <w:rPr>
                <w:rFonts w:ascii="宋体" w:hAnsi="宋体" w:cs="宋体"/>
                <w:color w:val="auto"/>
                <w:szCs w:val="21"/>
                <w:highlight w:val="none"/>
              </w:rPr>
            </w:pPr>
            <w:r>
              <w:rPr>
                <w:rFonts w:hint="eastAsia" w:ascii="宋体" w:hAnsi="宋体" w:cs="宋体"/>
                <w:b/>
                <w:color w:val="auto"/>
                <w:szCs w:val="21"/>
                <w:highlight w:val="none"/>
              </w:rPr>
              <w:t>投标人可以不提供备份投标文件，造成项目开评标活动无法进行下去的，投标无效，相关风险由投标人自行承担</w:t>
            </w:r>
          </w:p>
        </w:tc>
      </w:tr>
      <w:tr w14:paraId="5C19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985E918">
            <w:pPr>
              <w:snapToGrid w:val="0"/>
              <w:spacing w:line="240" w:lineRule="exact"/>
              <w:jc w:val="center"/>
              <w:rPr>
                <w:rFonts w:hint="eastAsia" w:ascii="Times New Roman" w:hAnsi="Times New Roman" w:eastAsia="宋体"/>
                <w:b/>
                <w:color w:val="auto"/>
                <w:highlight w:val="none"/>
                <w:lang w:eastAsia="zh-CN"/>
              </w:rPr>
            </w:pPr>
            <w:r>
              <w:rPr>
                <w:rFonts w:ascii="Times New Roman" w:hAnsi="Times New Roman"/>
                <w:b/>
                <w:color w:val="auto"/>
                <w:highlight w:val="none"/>
              </w:rPr>
              <w:t>1</w:t>
            </w:r>
            <w:r>
              <w:rPr>
                <w:rFonts w:hint="eastAsia" w:ascii="Times New Roman" w:hAnsi="Times New Roman"/>
                <w:b/>
                <w:color w:val="auto"/>
                <w:highlight w:val="none"/>
                <w:lang w:val="en-US" w:eastAsia="zh-CN"/>
              </w:rPr>
              <w:t>5</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388F7EB">
            <w:pPr>
              <w:snapToGrid w:val="0"/>
              <w:spacing w:line="240" w:lineRule="exact"/>
              <w:jc w:val="center"/>
              <w:rPr>
                <w:rFonts w:ascii="Times New Roman" w:hAnsi="Times New Roman"/>
                <w:b/>
                <w:color w:val="auto"/>
                <w:highlight w:val="none"/>
              </w:rPr>
            </w:pPr>
            <w:r>
              <w:rPr>
                <w:rFonts w:hint="eastAsia" w:ascii="Times New Roman" w:hAnsi="Times New Roman"/>
                <w:b/>
                <w:color w:val="auto"/>
                <w:highlight w:val="none"/>
              </w:rPr>
              <w:t>投标文件的</w:t>
            </w:r>
          </w:p>
          <w:p w14:paraId="79DA0B70">
            <w:pPr>
              <w:spacing w:line="240" w:lineRule="exact"/>
              <w:jc w:val="center"/>
              <w:rPr>
                <w:rFonts w:ascii="Times New Roman" w:hAnsi="Times New Roman"/>
                <w:b/>
                <w:color w:val="auto"/>
                <w:sz w:val="22"/>
                <w:highlight w:val="none"/>
                <w:shd w:val="pct10" w:color="auto" w:fill="FFFFFF"/>
              </w:rPr>
            </w:pPr>
            <w:r>
              <w:rPr>
                <w:rFonts w:hint="eastAsia" w:ascii="Times New Roman" w:hAnsi="Times New Roman"/>
                <w:b/>
                <w:color w:val="auto"/>
                <w:highlight w:val="none"/>
              </w:rPr>
              <w:t>组成</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27850B3">
            <w:pPr>
              <w:spacing w:line="240" w:lineRule="exact"/>
              <w:rPr>
                <w:rFonts w:ascii="宋体" w:hAnsi="宋体" w:cs="宋体"/>
                <w:color w:val="auto"/>
                <w:szCs w:val="21"/>
                <w:highlight w:val="none"/>
              </w:rPr>
            </w:pPr>
            <w:r>
              <w:rPr>
                <w:rFonts w:hint="eastAsia" w:ascii="宋体" w:hAnsi="宋体" w:cs="宋体"/>
                <w:color w:val="auto"/>
                <w:szCs w:val="21"/>
                <w:highlight w:val="none"/>
              </w:rPr>
              <w:t>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响应截止时间后送达的投标、响应文件，将被政采云平台拒收。</w:t>
            </w:r>
          </w:p>
          <w:p w14:paraId="190E752C">
            <w:pPr>
              <w:spacing w:line="240" w:lineRule="exact"/>
              <w:rPr>
                <w:rFonts w:ascii="宋体" w:hAnsi="宋体" w:cs="宋体"/>
                <w:color w:val="auto"/>
                <w:szCs w:val="21"/>
                <w:highlight w:val="none"/>
              </w:rPr>
            </w:pPr>
            <w:r>
              <w:rPr>
                <w:rFonts w:hint="eastAsia" w:ascii="宋体" w:hAnsi="宋体" w:cs="宋体"/>
                <w:color w:val="auto"/>
                <w:szCs w:val="21"/>
                <w:highlight w:val="none"/>
              </w:rPr>
              <w:t>投标人应当在规定时间前将以介质存储的数据电文形式的备份投标文件寄到或送达采购代理公司：舟山市定海区昌国路232号中楼202。逾期送达或未密封将被拒收。也可现场递交。</w:t>
            </w:r>
          </w:p>
          <w:p w14:paraId="68D5DEAB">
            <w:pPr>
              <w:spacing w:line="240" w:lineRule="exact"/>
              <w:rPr>
                <w:rFonts w:ascii="宋体" w:hAnsi="宋体" w:cs="宋体"/>
                <w:color w:val="auto"/>
                <w:szCs w:val="21"/>
                <w:highlight w:val="none"/>
              </w:rPr>
            </w:pPr>
            <w:r>
              <w:rPr>
                <w:rFonts w:hint="eastAsia" w:ascii="宋体" w:hAnsi="宋体" w:cs="宋体"/>
                <w:color w:val="auto"/>
                <w:szCs w:val="21"/>
                <w:highlight w:val="none"/>
              </w:rPr>
              <w:t>投标人递交以介质存储的数据电文形式的备份投标文件时，如出现下列情况之一的，将被拒收：</w:t>
            </w:r>
          </w:p>
          <w:p w14:paraId="23485A61">
            <w:pPr>
              <w:spacing w:line="240" w:lineRule="exact"/>
              <w:rPr>
                <w:rFonts w:ascii="宋体" w:hAnsi="宋体" w:cs="宋体"/>
                <w:color w:val="auto"/>
                <w:szCs w:val="21"/>
                <w:highlight w:val="none"/>
              </w:rPr>
            </w:pPr>
            <w:r>
              <w:rPr>
                <w:rFonts w:hint="eastAsia" w:ascii="宋体" w:hAnsi="宋体" w:cs="宋体"/>
                <w:color w:val="auto"/>
                <w:szCs w:val="21"/>
                <w:highlight w:val="none"/>
              </w:rPr>
              <w:t>1.未按规定密封或标记的投标文件；</w:t>
            </w:r>
          </w:p>
          <w:p w14:paraId="5A82DB37">
            <w:pPr>
              <w:spacing w:line="240" w:lineRule="exact"/>
              <w:rPr>
                <w:rFonts w:ascii="宋体" w:hAnsi="宋体" w:cs="宋体"/>
                <w:color w:val="auto"/>
                <w:szCs w:val="21"/>
                <w:highlight w:val="none"/>
              </w:rPr>
            </w:pPr>
            <w:r>
              <w:rPr>
                <w:rFonts w:hint="eastAsia" w:ascii="宋体" w:hAnsi="宋体" w:cs="宋体"/>
                <w:color w:val="auto"/>
                <w:szCs w:val="21"/>
                <w:highlight w:val="none"/>
              </w:rPr>
              <w:t>2.由于包装不妥，在送交途中严重破损或失散的；</w:t>
            </w:r>
          </w:p>
          <w:p w14:paraId="3E5B879C">
            <w:pPr>
              <w:spacing w:line="240" w:lineRule="exact"/>
              <w:rPr>
                <w:rFonts w:ascii="宋体" w:hAnsi="宋体" w:cs="宋体"/>
                <w:color w:val="auto"/>
                <w:szCs w:val="21"/>
                <w:highlight w:val="none"/>
              </w:rPr>
            </w:pPr>
            <w:r>
              <w:rPr>
                <w:rFonts w:hint="eastAsia" w:ascii="宋体" w:hAnsi="宋体" w:cs="宋体"/>
                <w:color w:val="auto"/>
                <w:szCs w:val="21"/>
                <w:highlight w:val="none"/>
              </w:rPr>
              <w:t>3.未成功办理投标人报名手续的；</w:t>
            </w:r>
          </w:p>
          <w:p w14:paraId="7790837A">
            <w:pPr>
              <w:spacing w:line="240" w:lineRule="exact"/>
              <w:rPr>
                <w:rFonts w:ascii="宋体" w:hAnsi="宋体" w:cs="宋体"/>
                <w:color w:val="auto"/>
                <w:szCs w:val="21"/>
                <w:highlight w:val="none"/>
              </w:rPr>
            </w:pPr>
            <w:r>
              <w:rPr>
                <w:rFonts w:hint="eastAsia" w:ascii="宋体" w:hAnsi="宋体" w:cs="宋体"/>
                <w:color w:val="auto"/>
                <w:szCs w:val="21"/>
                <w:highlight w:val="none"/>
              </w:rPr>
              <w:t>4.超过截止时间送达的；</w:t>
            </w:r>
          </w:p>
          <w:p w14:paraId="33E9A614">
            <w:pPr>
              <w:spacing w:line="240" w:lineRule="exact"/>
              <w:rPr>
                <w:rFonts w:ascii="宋体" w:hAnsi="宋体" w:cs="宋体"/>
                <w:color w:val="auto"/>
                <w:szCs w:val="21"/>
                <w:highlight w:val="none"/>
              </w:rPr>
            </w:pPr>
            <w:r>
              <w:rPr>
                <w:rFonts w:hint="eastAsia" w:ascii="宋体" w:hAnsi="宋体" w:cs="宋体"/>
                <w:color w:val="auto"/>
                <w:szCs w:val="21"/>
                <w:highlight w:val="none"/>
              </w:rPr>
              <w:t>仅提供备份投标文件的，投标无效。</w:t>
            </w:r>
          </w:p>
          <w:p w14:paraId="5F6B9F25">
            <w:pPr>
              <w:spacing w:line="240" w:lineRule="exact"/>
              <w:rPr>
                <w:rFonts w:ascii="宋体" w:hAnsi="宋体" w:cs="宋体"/>
                <w:color w:val="auto"/>
                <w:szCs w:val="21"/>
                <w:highlight w:val="none"/>
              </w:rPr>
            </w:pPr>
            <w:r>
              <w:rPr>
                <w:rFonts w:hint="eastAsia" w:ascii="宋体" w:hAnsi="宋体" w:cs="宋体"/>
                <w:color w:val="auto"/>
                <w:szCs w:val="21"/>
                <w:highlight w:val="none"/>
              </w:rPr>
              <w:t>投标人可以不提供备份投标文件，造成项目开评标活动无法进行下去的，投标无效，相关风险由投标人自行承担</w:t>
            </w:r>
          </w:p>
        </w:tc>
      </w:tr>
      <w:tr w14:paraId="439B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74A26F">
            <w:pPr>
              <w:snapToGrid w:val="0"/>
              <w:jc w:val="center"/>
              <w:rPr>
                <w:rFonts w:hint="eastAsia" w:ascii="Times New Roman" w:hAnsi="Times New Roman" w:eastAsia="宋体"/>
                <w:b/>
                <w:color w:val="auto"/>
                <w:highlight w:val="none"/>
                <w:lang w:eastAsia="zh-CN"/>
              </w:rPr>
            </w:pPr>
            <w:r>
              <w:rPr>
                <w:rFonts w:ascii="Times New Roman" w:hAnsi="Times New Roman"/>
                <w:b/>
                <w:color w:val="auto"/>
                <w:highlight w:val="none"/>
              </w:rPr>
              <w:t>1</w:t>
            </w:r>
            <w:r>
              <w:rPr>
                <w:rFonts w:hint="eastAsia" w:ascii="Times New Roman" w:hAnsi="Times New Roman"/>
                <w:b/>
                <w:color w:val="auto"/>
                <w:highlight w:val="none"/>
                <w:lang w:val="en-US" w:eastAsia="zh-CN"/>
              </w:rPr>
              <w:t>6</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06DAA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hAnsi="Times New Roman"/>
                <w:b/>
                <w:color w:val="auto"/>
                <w:szCs w:val="21"/>
                <w:highlight w:val="none"/>
              </w:rPr>
            </w:pPr>
            <w:r>
              <w:rPr>
                <w:rFonts w:hint="eastAsia" w:ascii="Times New Roman" w:hAnsi="Times New Roman" w:eastAsia="宋体" w:cs="Times New Roman"/>
                <w:b/>
                <w:color w:val="auto"/>
                <w:szCs w:val="21"/>
                <w:highlight w:val="none"/>
              </w:rPr>
              <w:t>投标人注册</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CDF0197">
            <w:pPr>
              <w:keepNext w:val="0"/>
              <w:keepLines w:val="0"/>
              <w:pageBreakBefore w:val="0"/>
              <w:widowControl w:val="0"/>
              <w:kinsoku/>
              <w:wordWrap/>
              <w:overflowPunct/>
              <w:topLinePunct w:val="0"/>
              <w:autoSpaceDE/>
              <w:autoSpaceDN/>
              <w:bidi w:val="0"/>
              <w:adjustRightInd/>
              <w:snapToGrid/>
              <w:spacing w:beforeLines="10" w:line="240" w:lineRule="exact"/>
              <w:jc w:val="left"/>
              <w:textAlignment w:val="auto"/>
              <w:rPr>
                <w:rFonts w:ascii="Times New Roman" w:hAnsi="Times New Roman"/>
                <w:color w:val="auto"/>
                <w:szCs w:val="21"/>
                <w:highlight w:val="none"/>
              </w:rPr>
            </w:pPr>
            <w:r>
              <w:rPr>
                <w:rFonts w:hint="eastAsia" w:ascii="Times New Roman" w:hAnsi="Times New Roman" w:eastAsia="宋体" w:cs="Times New Roman"/>
                <w:color w:val="auto"/>
                <w:szCs w:val="21"/>
                <w:highlight w:val="none"/>
              </w:rPr>
              <w:t>中标人应在合同签订前完成政府采购云平台（https://www.zcygov.cn/）全部注册步骤并成为正式注册入库供应商，否则将导致合同款无法正常支付，责任由中标人承担。请投标人尽早完成注册。https://middle.zcygov.cn/settle-front/#/registry。（供应商注册页面）</w:t>
            </w:r>
          </w:p>
        </w:tc>
      </w:tr>
      <w:tr w14:paraId="0A7E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A1B489">
            <w:pPr>
              <w:snapToGrid w:val="0"/>
              <w:spacing w:line="240" w:lineRule="exact"/>
              <w:jc w:val="center"/>
              <w:rPr>
                <w:rFonts w:hint="eastAsia" w:ascii="Times New Roman" w:hAnsi="Times New Roman" w:eastAsia="宋体"/>
                <w:b/>
                <w:color w:val="auto"/>
                <w:highlight w:val="none"/>
                <w:lang w:eastAsia="zh-CN"/>
              </w:rPr>
            </w:pPr>
            <w:r>
              <w:rPr>
                <w:rFonts w:ascii="Times New Roman" w:hAnsi="Times New Roman"/>
                <w:b/>
                <w:color w:val="auto"/>
                <w:highlight w:val="none"/>
              </w:rPr>
              <w:t>1</w:t>
            </w:r>
            <w:r>
              <w:rPr>
                <w:rFonts w:hint="eastAsia" w:ascii="Times New Roman" w:hAnsi="Times New Roman"/>
                <w:b/>
                <w:color w:val="auto"/>
                <w:highlight w:val="none"/>
                <w:lang w:val="en-US" w:eastAsia="zh-CN"/>
              </w:rPr>
              <w:t>7</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572EF5">
            <w:pPr>
              <w:spacing w:line="240" w:lineRule="auto"/>
              <w:jc w:val="center"/>
              <w:rPr>
                <w:rFonts w:ascii="Times New Roman" w:hAnsi="Times New Roman"/>
                <w:b/>
                <w:color w:val="auto"/>
                <w:szCs w:val="21"/>
                <w:highlight w:val="none"/>
              </w:rPr>
            </w:pPr>
            <w:r>
              <w:rPr>
                <w:rFonts w:hint="eastAsia" w:ascii="Times New Roman" w:hAnsi="Times New Roman"/>
                <w:b/>
                <w:color w:val="auto"/>
                <w:szCs w:val="21"/>
                <w:highlight w:val="none"/>
              </w:rPr>
              <w:t>不良信用记录查询</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3983B18">
            <w:pPr>
              <w:spacing w:line="240" w:lineRule="auto"/>
              <w:rPr>
                <w:rFonts w:ascii="Times New Roman" w:hAnsi="Times New Roman"/>
                <w:color w:val="auto"/>
                <w:szCs w:val="21"/>
                <w:highlight w:val="none"/>
              </w:rPr>
            </w:pPr>
            <w:r>
              <w:rPr>
                <w:rFonts w:hint="eastAsia" w:ascii="Times New Roman" w:hAnsi="Times New Roman"/>
                <w:color w:val="auto"/>
                <w:szCs w:val="21"/>
                <w:highlight w:val="none"/>
              </w:rPr>
              <w:t>根据财库</w:t>
            </w:r>
            <w:r>
              <w:rPr>
                <w:rFonts w:hint="eastAsia" w:ascii="Times New Roman" w:hAnsi="Times New Roman"/>
                <w:color w:val="auto"/>
                <w:szCs w:val="21"/>
                <w:highlight w:val="none"/>
                <w:lang w:eastAsia="zh-CN"/>
              </w:rPr>
              <w:t>〔2016〕125号</w:t>
            </w:r>
            <w:r>
              <w:rPr>
                <w:rFonts w:hint="eastAsia" w:ascii="Times New Roman" w:hAnsi="Times New Roman"/>
                <w:color w:val="auto"/>
                <w:szCs w:val="21"/>
                <w:highlight w:val="none"/>
              </w:rPr>
              <w:t>文件：</w:t>
            </w:r>
          </w:p>
          <w:p w14:paraId="5D04B27A">
            <w:pPr>
              <w:spacing w:line="240" w:lineRule="auto"/>
              <w:rPr>
                <w:rFonts w:ascii="Times New Roman" w:hAnsi="Times New Roman"/>
                <w:color w:val="auto"/>
                <w:szCs w:val="21"/>
                <w:highlight w:val="none"/>
              </w:rPr>
            </w:pPr>
            <w:r>
              <w:rPr>
                <w:rFonts w:ascii="Times New Roman" w:hAnsi="Times New Roman"/>
                <w:color w:val="auto"/>
                <w:szCs w:val="21"/>
                <w:highlight w:val="none"/>
              </w:rPr>
              <w:t>1.</w:t>
            </w:r>
            <w:r>
              <w:rPr>
                <w:rFonts w:hint="eastAsia" w:ascii="Times New Roman" w:hAnsi="Times New Roman"/>
                <w:color w:val="auto"/>
                <w:szCs w:val="21"/>
                <w:highlight w:val="none"/>
              </w:rPr>
              <w:t>至本项目投标截止前未被列入</w:t>
            </w:r>
            <w:r>
              <w:rPr>
                <w:rFonts w:ascii="Times New Roman" w:hAnsi="Times New Roman"/>
                <w:color w:val="auto"/>
                <w:szCs w:val="21"/>
                <w:highlight w:val="none"/>
              </w:rPr>
              <w:t>“</w:t>
            </w:r>
            <w:r>
              <w:rPr>
                <w:rFonts w:hint="eastAsia" w:ascii="Times New Roman" w:hAnsi="Times New Roman"/>
                <w:color w:val="auto"/>
                <w:szCs w:val="21"/>
                <w:highlight w:val="none"/>
              </w:rPr>
              <w:t>信用中国</w:t>
            </w:r>
            <w:r>
              <w:rPr>
                <w:rFonts w:ascii="Times New Roman" w:hAnsi="Times New Roman"/>
                <w:color w:val="auto"/>
                <w:szCs w:val="21"/>
                <w:highlight w:val="none"/>
              </w:rPr>
              <w:t>”</w:t>
            </w:r>
            <w:r>
              <w:rPr>
                <w:rFonts w:hint="eastAsia" w:ascii="Times New Roman" w:hAnsi="Times New Roman"/>
                <w:color w:val="auto"/>
                <w:szCs w:val="21"/>
                <w:highlight w:val="none"/>
              </w:rPr>
              <w:t>网站</w:t>
            </w:r>
            <w:r>
              <w:rPr>
                <w:rFonts w:hint="eastAsia" w:ascii="Times New Roman" w:hAnsi="Times New Roman"/>
                <w:color w:val="auto"/>
                <w:szCs w:val="21"/>
                <w:highlight w:val="none"/>
                <w:lang w:eastAsia="zh-CN"/>
              </w:rPr>
              <w:t>（</w:t>
            </w:r>
            <w:r>
              <w:rPr>
                <w:rFonts w:ascii="Times New Roman" w:hAnsi="Times New Roman"/>
                <w:color w:val="auto"/>
                <w:szCs w:val="21"/>
                <w:highlight w:val="none"/>
              </w:rPr>
              <w:t>www.creditchina.gov.cn</w:t>
            </w:r>
            <w:r>
              <w:rPr>
                <w:rFonts w:hint="eastAsia" w:ascii="Times New Roman" w:hAnsi="Times New Roman"/>
                <w:color w:val="auto"/>
                <w:szCs w:val="21"/>
                <w:highlight w:val="none"/>
                <w:lang w:eastAsia="zh-CN"/>
              </w:rPr>
              <w:t>）</w:t>
            </w:r>
            <w:r>
              <w:rPr>
                <w:rFonts w:ascii="Times New Roman" w:hAnsi="Times New Roman"/>
                <w:color w:val="auto"/>
                <w:szCs w:val="21"/>
                <w:highlight w:val="none"/>
              </w:rPr>
              <w:t>“</w:t>
            </w:r>
            <w:r>
              <w:rPr>
                <w:rFonts w:hint="eastAsia" w:ascii="Times New Roman" w:hAnsi="Times New Roman"/>
                <w:color w:val="auto"/>
                <w:szCs w:val="21"/>
                <w:highlight w:val="none"/>
              </w:rPr>
              <w:t>记录失信被执行人或重大税收违法案件当事人名单</w:t>
            </w:r>
            <w:r>
              <w:rPr>
                <w:rFonts w:ascii="Times New Roman" w:hAnsi="Times New Roman"/>
                <w:color w:val="auto"/>
                <w:szCs w:val="21"/>
                <w:highlight w:val="none"/>
              </w:rPr>
              <w:t>”</w:t>
            </w:r>
            <w:r>
              <w:rPr>
                <w:rFonts w:hint="eastAsia" w:ascii="Times New Roman" w:hAnsi="Times New Roman"/>
                <w:color w:val="auto"/>
                <w:szCs w:val="21"/>
                <w:highlight w:val="none"/>
              </w:rPr>
              <w:t>记录名单。</w:t>
            </w:r>
          </w:p>
          <w:p w14:paraId="6D4C62B5">
            <w:pPr>
              <w:spacing w:line="240" w:lineRule="auto"/>
              <w:rPr>
                <w:rFonts w:ascii="Times New Roman" w:hAnsi="Times New Roman"/>
                <w:color w:val="auto"/>
                <w:szCs w:val="21"/>
                <w:highlight w:val="none"/>
              </w:rPr>
            </w:pPr>
            <w:r>
              <w:rPr>
                <w:rFonts w:ascii="Times New Roman" w:hAnsi="Times New Roman"/>
                <w:color w:val="auto"/>
                <w:szCs w:val="21"/>
                <w:highlight w:val="none"/>
              </w:rPr>
              <w:t>2.</w:t>
            </w:r>
            <w:r>
              <w:rPr>
                <w:rFonts w:hint="eastAsia" w:ascii="Times New Roman" w:hAnsi="Times New Roman"/>
                <w:color w:val="auto"/>
                <w:szCs w:val="21"/>
                <w:highlight w:val="none"/>
              </w:rPr>
              <w:t>至本项目投标截止前不处于中国政府采购网</w:t>
            </w:r>
            <w:r>
              <w:rPr>
                <w:rFonts w:hint="eastAsia" w:ascii="Times New Roman" w:hAnsi="Times New Roman"/>
                <w:color w:val="auto"/>
                <w:szCs w:val="21"/>
                <w:highlight w:val="none"/>
                <w:lang w:eastAsia="zh-CN"/>
              </w:rPr>
              <w:t>（</w:t>
            </w:r>
            <w:r>
              <w:rPr>
                <w:rFonts w:ascii="Times New Roman" w:hAnsi="Times New Roman"/>
                <w:color w:val="auto"/>
                <w:szCs w:val="21"/>
                <w:highlight w:val="none"/>
              </w:rPr>
              <w:t>www.ccgp.gov.cn</w:t>
            </w:r>
            <w:r>
              <w:rPr>
                <w:rFonts w:hint="eastAsia" w:ascii="Times New Roman" w:hAnsi="Times New Roman"/>
                <w:color w:val="auto"/>
                <w:szCs w:val="21"/>
                <w:highlight w:val="none"/>
                <w:lang w:eastAsia="zh-CN"/>
              </w:rPr>
              <w:t>）</w:t>
            </w:r>
            <w:r>
              <w:rPr>
                <w:rFonts w:ascii="Times New Roman" w:hAnsi="Times New Roman"/>
                <w:color w:val="auto"/>
                <w:szCs w:val="21"/>
                <w:highlight w:val="none"/>
              </w:rPr>
              <w:t>“</w:t>
            </w:r>
            <w:r>
              <w:rPr>
                <w:rFonts w:hint="eastAsia" w:ascii="Times New Roman" w:hAnsi="Times New Roman"/>
                <w:color w:val="auto"/>
                <w:szCs w:val="21"/>
                <w:highlight w:val="none"/>
              </w:rPr>
              <w:t>政府采购严重违法失信行为信息记录</w:t>
            </w:r>
            <w:r>
              <w:rPr>
                <w:rFonts w:ascii="Times New Roman" w:hAnsi="Times New Roman"/>
                <w:color w:val="auto"/>
                <w:szCs w:val="21"/>
                <w:highlight w:val="none"/>
              </w:rPr>
              <w:t>”</w:t>
            </w:r>
            <w:r>
              <w:rPr>
                <w:rFonts w:hint="eastAsia" w:ascii="Times New Roman" w:hAnsi="Times New Roman"/>
                <w:color w:val="auto"/>
                <w:szCs w:val="21"/>
                <w:highlight w:val="none"/>
              </w:rPr>
              <w:t>中的禁止参加政府采购活动期间。</w:t>
            </w:r>
          </w:p>
          <w:p w14:paraId="1AA898F9">
            <w:pPr>
              <w:spacing w:line="240" w:lineRule="auto"/>
              <w:rPr>
                <w:rFonts w:ascii="Times New Roman" w:hAnsi="Times New Roman"/>
                <w:color w:val="auto"/>
                <w:highlight w:val="none"/>
              </w:rPr>
            </w:pPr>
            <w:r>
              <w:rPr>
                <w:rFonts w:hint="eastAsia" w:ascii="Times New Roman" w:hAnsi="Times New Roman"/>
                <w:color w:val="auto"/>
                <w:szCs w:val="21"/>
                <w:highlight w:val="none"/>
              </w:rPr>
              <w:t>提供</w:t>
            </w:r>
            <w:r>
              <w:rPr>
                <w:rFonts w:hint="eastAsia" w:ascii="Times New Roman" w:hAnsi="Times New Roman"/>
                <w:b/>
                <w:color w:val="auto"/>
                <w:highlight w:val="none"/>
              </w:rPr>
              <w:t>查询截图，（截图查询网站时间须在开标截止前二个星期内）。</w:t>
            </w:r>
            <w:r>
              <w:rPr>
                <w:rFonts w:hint="eastAsia" w:ascii="Times New Roman" w:hAnsi="Times New Roman"/>
                <w:color w:val="auto"/>
                <w:szCs w:val="21"/>
                <w:highlight w:val="none"/>
              </w:rPr>
              <w:t>对列入失信被执行人、重大税收违法案件当事人名单、政府采购严重违法失信行为记录名单的供应商，</w:t>
            </w:r>
            <w:r>
              <w:rPr>
                <w:rFonts w:hint="eastAsia" w:ascii="Times New Roman" w:hAnsi="Times New Roman"/>
                <w:b/>
                <w:color w:val="auto"/>
                <w:szCs w:val="21"/>
                <w:highlight w:val="none"/>
              </w:rPr>
              <w:t>其投标将作无效标处理</w:t>
            </w:r>
            <w:r>
              <w:rPr>
                <w:rFonts w:hint="eastAsia" w:ascii="Times New Roman" w:hAnsi="Times New Roman"/>
                <w:color w:val="auto"/>
                <w:szCs w:val="21"/>
                <w:highlight w:val="none"/>
              </w:rPr>
              <w:t>。</w:t>
            </w:r>
          </w:p>
        </w:tc>
      </w:tr>
      <w:tr w14:paraId="5F37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338EFAE">
            <w:pPr>
              <w:snapToGrid w:val="0"/>
              <w:spacing w:line="240" w:lineRule="exact"/>
              <w:jc w:val="center"/>
              <w:rPr>
                <w:rFonts w:hint="eastAsia" w:ascii="Times New Roman" w:hAnsi="Times New Roman" w:eastAsia="宋体"/>
                <w:b/>
                <w:color w:val="auto"/>
                <w:highlight w:val="none"/>
                <w:lang w:eastAsia="zh-CN"/>
              </w:rPr>
            </w:pPr>
            <w:r>
              <w:rPr>
                <w:rFonts w:hint="eastAsia" w:ascii="Times New Roman" w:hAnsi="Times New Roman"/>
                <w:b/>
                <w:color w:val="auto"/>
                <w:highlight w:val="none"/>
              </w:rPr>
              <w:t>1</w:t>
            </w:r>
            <w:r>
              <w:rPr>
                <w:rFonts w:hint="eastAsia" w:ascii="Times New Roman" w:hAnsi="Times New Roman"/>
                <w:b/>
                <w:color w:val="auto"/>
                <w:highlight w:val="none"/>
                <w:lang w:val="en-US" w:eastAsia="zh-CN"/>
              </w:rPr>
              <w:t>8</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760020">
            <w:pPr>
              <w:jc w:val="center"/>
              <w:rPr>
                <w:rFonts w:ascii="Times New Roman" w:hAnsi="Times New Roman"/>
                <w:b/>
                <w:color w:val="auto"/>
                <w:szCs w:val="21"/>
                <w:highlight w:val="none"/>
              </w:rPr>
            </w:pPr>
            <w:r>
              <w:rPr>
                <w:rFonts w:hint="eastAsia" w:ascii="Times New Roman" w:hAnsi="Times New Roman"/>
                <w:b/>
                <w:color w:val="auto"/>
                <w:szCs w:val="21"/>
                <w:highlight w:val="none"/>
                <w:u w:val="none" w:color="auto"/>
                <w:lang w:val="en-US" w:eastAsia="zh-CN"/>
              </w:rPr>
              <w:t>投标保证金、履约保证金</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5320AE9">
            <w:pPr>
              <w:spacing w:line="240" w:lineRule="exact"/>
              <w:rPr>
                <w:rFonts w:hint="eastAsia" w:ascii="Times New Roman" w:hAnsi="Times New Roman"/>
                <w:b/>
                <w:bCs/>
                <w:color w:val="auto"/>
                <w:szCs w:val="21"/>
                <w:highlight w:val="none"/>
                <w:u w:val="none" w:color="auto"/>
              </w:rPr>
            </w:pPr>
            <w:r>
              <w:rPr>
                <w:rFonts w:hint="eastAsia" w:ascii="Times New Roman" w:hAnsi="Times New Roman"/>
                <w:b/>
                <w:bCs/>
                <w:color w:val="auto"/>
                <w:szCs w:val="21"/>
                <w:highlight w:val="none"/>
                <w:u w:val="none" w:color="auto"/>
              </w:rPr>
              <w:t>列入不良行为记录名单的供应商参加浙江政府采购活动须按照《中华人民共和国政府采购法实施条例》第三十三条、第四十八条规定缴纳投标保证金（项目预算金额的2%）</w:t>
            </w:r>
            <w:r>
              <w:rPr>
                <w:rFonts w:hint="eastAsia" w:ascii="Times New Roman" w:hAnsi="Times New Roman"/>
                <w:b/>
                <w:bCs/>
                <w:color w:val="auto"/>
                <w:szCs w:val="21"/>
                <w:highlight w:val="none"/>
                <w:u w:val="none" w:color="auto"/>
                <w:lang w:eastAsia="zh-CN"/>
              </w:rPr>
              <w:t>、</w:t>
            </w:r>
            <w:r>
              <w:rPr>
                <w:rFonts w:hint="eastAsia" w:ascii="Times New Roman" w:hAnsi="Times New Roman"/>
                <w:b/>
                <w:bCs/>
                <w:color w:val="auto"/>
                <w:szCs w:val="21"/>
                <w:highlight w:val="none"/>
                <w:u w:val="none" w:color="auto"/>
              </w:rPr>
              <w:t>履约保证金（合同金额的10%）</w:t>
            </w:r>
          </w:p>
          <w:p w14:paraId="02B56AA4">
            <w:pPr>
              <w:spacing w:line="240" w:lineRule="exact"/>
              <w:rPr>
                <w:rFonts w:hint="eastAsia" w:ascii="Times New Roman" w:hAnsi="Times New Roman"/>
                <w:b/>
                <w:bCs/>
                <w:color w:val="auto"/>
                <w:szCs w:val="21"/>
                <w:highlight w:val="none"/>
                <w:u w:val="none" w:color="auto"/>
                <w:lang w:val="en-US" w:eastAsia="zh-CN"/>
              </w:rPr>
            </w:pPr>
            <w:r>
              <w:rPr>
                <w:rFonts w:hint="eastAsia" w:ascii="Times New Roman" w:hAnsi="Times New Roman"/>
                <w:b/>
                <w:bCs/>
                <w:color w:val="auto"/>
                <w:szCs w:val="21"/>
                <w:highlight w:val="none"/>
                <w:u w:val="none" w:color="auto"/>
                <w:lang w:val="en-US" w:eastAsia="zh-CN"/>
              </w:rPr>
              <w:t>1.</w:t>
            </w:r>
            <w:r>
              <w:rPr>
                <w:rFonts w:hint="eastAsia" w:ascii="Times New Roman" w:hAnsi="Times New Roman"/>
                <w:b/>
                <w:bCs/>
                <w:color w:val="auto"/>
                <w:szCs w:val="21"/>
                <w:highlight w:val="none"/>
                <w:u w:val="none" w:color="auto"/>
              </w:rPr>
              <w:t>投标保证金</w:t>
            </w:r>
            <w:r>
              <w:rPr>
                <w:rFonts w:hint="eastAsia" w:ascii="Times New Roman" w:hAnsi="Times New Roman"/>
                <w:b/>
                <w:bCs/>
                <w:color w:val="auto"/>
                <w:szCs w:val="21"/>
                <w:highlight w:val="none"/>
                <w:u w:val="none" w:color="auto"/>
                <w:lang w:val="en-US" w:eastAsia="zh-CN"/>
              </w:rPr>
              <w:t>于投标截止时间前打入账户：</w:t>
            </w:r>
          </w:p>
          <w:p w14:paraId="583D3823">
            <w:pPr>
              <w:spacing w:line="240" w:lineRule="exact"/>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收款单位：深圳市国信招标有限公司舟山分公司</w:t>
            </w:r>
          </w:p>
          <w:p w14:paraId="7FEBF5D7">
            <w:pPr>
              <w:spacing w:line="240" w:lineRule="exact"/>
              <w:rPr>
                <w:rFonts w:hint="eastAsia" w:ascii="宋体" w:hAnsi="宋体" w:eastAsia="宋体" w:cs="宋体"/>
                <w:color w:val="auto"/>
                <w:sz w:val="21"/>
                <w:szCs w:val="21"/>
                <w:highlight w:val="none"/>
                <w:u w:val="none" w:color="auto"/>
              </w:rPr>
            </w:pPr>
            <w:r>
              <w:rPr>
                <w:rFonts w:hint="eastAsia" w:ascii="宋体" w:hAnsi="宋体" w:eastAsia="宋体" w:cs="宋体"/>
                <w:color w:val="auto"/>
                <w:sz w:val="21"/>
                <w:szCs w:val="21"/>
                <w:highlight w:val="none"/>
                <w:u w:val="none" w:color="auto"/>
              </w:rPr>
              <w:t>开户银行：中国工商银行舟山市定海区支行</w:t>
            </w:r>
          </w:p>
          <w:p w14:paraId="777D4E1B">
            <w:pPr>
              <w:rPr>
                <w:rFonts w:hint="eastAsia" w:ascii="Times New Roman" w:hAnsi="Times New Roman"/>
                <w:b/>
                <w:bCs/>
                <w:color w:val="auto"/>
                <w:szCs w:val="21"/>
                <w:highlight w:val="none"/>
                <w:u w:val="none" w:color="auto"/>
                <w:lang w:val="en-US" w:eastAsia="zh-CN"/>
              </w:rPr>
            </w:pPr>
            <w:r>
              <w:rPr>
                <w:rFonts w:hint="eastAsia" w:ascii="宋体" w:hAnsi="宋体" w:eastAsia="宋体" w:cs="宋体"/>
                <w:color w:val="auto"/>
                <w:sz w:val="21"/>
                <w:szCs w:val="21"/>
                <w:highlight w:val="none"/>
                <w:u w:val="none" w:color="auto"/>
              </w:rPr>
              <w:t>银行账号：1206020209200081758</w:t>
            </w:r>
          </w:p>
          <w:p w14:paraId="6D7DCA92">
            <w:pPr>
              <w:rPr>
                <w:rFonts w:hint="default" w:ascii="Times New Roman" w:hAnsi="Times New Roman" w:eastAsia="宋体"/>
                <w:b/>
                <w:bCs/>
                <w:color w:val="auto"/>
                <w:szCs w:val="21"/>
                <w:highlight w:val="none"/>
                <w:u w:val="none" w:color="auto"/>
                <w:lang w:val="en-US" w:eastAsia="zh-CN"/>
              </w:rPr>
            </w:pPr>
            <w:r>
              <w:rPr>
                <w:rFonts w:hint="eastAsia" w:ascii="Times New Roman" w:hAnsi="Times New Roman"/>
                <w:b/>
                <w:bCs/>
                <w:color w:val="auto"/>
                <w:szCs w:val="21"/>
                <w:highlight w:val="none"/>
                <w:u w:val="none" w:color="auto"/>
                <w:lang w:val="en-US" w:eastAsia="zh-CN"/>
              </w:rPr>
              <w:t>未按规定缴纳投标保证金的，投标无效。</w:t>
            </w:r>
          </w:p>
          <w:p w14:paraId="5CDC793F">
            <w:pPr>
              <w:rPr>
                <w:rFonts w:ascii="Times New Roman" w:hAnsi="Times New Roman"/>
                <w:color w:val="auto"/>
                <w:szCs w:val="21"/>
                <w:highlight w:val="none"/>
              </w:rPr>
            </w:pPr>
            <w:r>
              <w:rPr>
                <w:rFonts w:hint="eastAsia" w:ascii="Times New Roman" w:hAnsi="Times New Roman"/>
                <w:b/>
                <w:bCs/>
                <w:color w:val="auto"/>
                <w:szCs w:val="21"/>
                <w:highlight w:val="none"/>
                <w:u w:val="none" w:color="auto"/>
                <w:lang w:val="en-US" w:eastAsia="zh-CN"/>
              </w:rPr>
              <w:t>2.</w:t>
            </w:r>
            <w:r>
              <w:rPr>
                <w:rFonts w:hint="eastAsia" w:ascii="Times New Roman" w:hAnsi="Times New Roman"/>
                <w:b/>
                <w:bCs/>
                <w:color w:val="auto"/>
                <w:szCs w:val="21"/>
                <w:highlight w:val="none"/>
                <w:u w:val="none" w:color="auto"/>
              </w:rPr>
              <w:t>履约保证金</w:t>
            </w:r>
            <w:r>
              <w:rPr>
                <w:rFonts w:hint="eastAsia" w:ascii="Times New Roman" w:hAnsi="Times New Roman"/>
                <w:b/>
                <w:bCs/>
                <w:color w:val="auto"/>
                <w:szCs w:val="21"/>
                <w:highlight w:val="none"/>
                <w:u w:val="none" w:color="auto"/>
                <w:lang w:val="en-US" w:eastAsia="zh-CN"/>
              </w:rPr>
              <w:t>项目完成后无息退还。</w:t>
            </w:r>
          </w:p>
        </w:tc>
      </w:tr>
      <w:tr w14:paraId="5C491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45BB77">
            <w:pPr>
              <w:snapToGrid w:val="0"/>
              <w:spacing w:line="240" w:lineRule="exact"/>
              <w:jc w:val="center"/>
              <w:rPr>
                <w:rFonts w:ascii="Times New Roman" w:hAnsi="Times New Roman"/>
                <w:b/>
                <w:color w:val="auto"/>
                <w:highlight w:val="none"/>
              </w:rPr>
            </w:pPr>
            <w:r>
              <w:rPr>
                <w:rFonts w:ascii="Times New Roman" w:hAnsi="Times New Roman" w:eastAsia="宋体" w:cs="Times New Roman"/>
                <w:b/>
                <w:color w:val="auto"/>
                <w:highlight w:val="none"/>
              </w:rPr>
              <w:t>1</w:t>
            </w:r>
            <w:r>
              <w:rPr>
                <w:rFonts w:hint="eastAsia" w:ascii="Times New Roman" w:hAnsi="Times New Roman" w:eastAsia="宋体" w:cs="Times New Roman"/>
                <w:b/>
                <w:color w:val="auto"/>
                <w:highlight w:val="none"/>
              </w:rPr>
              <w:t>9</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2A09B11">
            <w:pPr>
              <w:jc w:val="center"/>
              <w:rPr>
                <w:rFonts w:ascii="Times New Roman" w:hAnsi="Times New Roman"/>
                <w:b/>
                <w:color w:val="auto"/>
                <w:szCs w:val="21"/>
                <w:highlight w:val="none"/>
              </w:rPr>
            </w:pPr>
            <w:r>
              <w:rPr>
                <w:rFonts w:hint="eastAsia" w:ascii="Times New Roman" w:hAnsi="Times New Roman" w:eastAsia="宋体" w:cs="Times New Roman"/>
                <w:b/>
                <w:color w:val="auto"/>
                <w:szCs w:val="21"/>
                <w:highlight w:val="none"/>
              </w:rPr>
              <w:t>中小企业有关政策</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CAF251">
            <w:pPr>
              <w:numPr>
                <w:ilvl w:val="0"/>
                <w:numId w:val="3"/>
              </w:numPr>
              <w:snapToGrid w:val="0"/>
              <w:rPr>
                <w:rFonts w:hint="eastAsia" w:ascii="宋体" w:hAnsi="宋体" w:eastAsia="宋体" w:cs="宋体"/>
                <w:b/>
                <w:bCs/>
                <w:i w:val="0"/>
                <w:iCs w:val="0"/>
                <w:caps w:val="0"/>
                <w:color w:val="auto"/>
                <w:spacing w:val="0"/>
                <w:sz w:val="21"/>
                <w:szCs w:val="21"/>
                <w:highlight w:val="none"/>
              </w:rPr>
            </w:pPr>
            <w:r>
              <w:rPr>
                <w:rFonts w:ascii="Times New Roman" w:hAnsi="Times New Roman" w:eastAsia="宋体" w:cs="Times New Roman"/>
                <w:color w:val="auto"/>
                <w:szCs w:val="21"/>
                <w:highlight w:val="none"/>
              </w:rPr>
              <w:t>中小企业预留份额情况：根据《政府采购促进中小企业发展管理办法》（财库〔2020〕46号），本项目专门面向中小企业。</w:t>
            </w:r>
            <w:r>
              <w:rPr>
                <w:rFonts w:ascii="Times New Roman" w:hAnsi="Times New Roman" w:eastAsia="宋体" w:cs="Times New Roman"/>
                <w:b/>
                <w:bCs/>
                <w:color w:val="auto"/>
                <w:szCs w:val="21"/>
                <w:highlight w:val="none"/>
              </w:rPr>
              <w:t>本项目对应的中小企业</w:t>
            </w:r>
            <w:r>
              <w:rPr>
                <w:rFonts w:hint="eastAsia" w:ascii="Times New Roman" w:hAnsi="Times New Roman" w:eastAsia="宋体" w:cs="Times New Roman"/>
                <w:b/>
                <w:bCs/>
                <w:color w:val="auto"/>
                <w:szCs w:val="21"/>
                <w:highlight w:val="none"/>
                <w:lang w:eastAsia="zh-CN"/>
              </w:rPr>
              <w:t>划型标准</w:t>
            </w:r>
            <w:r>
              <w:rPr>
                <w:rFonts w:ascii="Times New Roman" w:hAnsi="Times New Roman" w:eastAsia="宋体" w:cs="Times New Roman"/>
                <w:b/>
                <w:bCs/>
                <w:color w:val="auto"/>
                <w:szCs w:val="21"/>
                <w:highlight w:val="none"/>
              </w:rPr>
              <w:t>所属行业：</w:t>
            </w:r>
            <w:r>
              <w:rPr>
                <w:rFonts w:hint="eastAsia" w:ascii="Times New Roman" w:hAnsi="Times New Roman" w:eastAsia="宋体" w:cs="Times New Roman"/>
                <w:b/>
                <w:bCs/>
                <w:color w:val="auto"/>
                <w:szCs w:val="21"/>
                <w:highlight w:val="none"/>
                <w:lang w:eastAsia="zh-CN"/>
              </w:rPr>
              <w:t>其他未列明行业</w:t>
            </w:r>
            <w:r>
              <w:rPr>
                <w:rFonts w:ascii="Times New Roman" w:hAnsi="Times New Roman" w:eastAsia="宋体" w:cs="Times New Roman"/>
                <w:b/>
                <w:bCs/>
                <w:color w:val="auto"/>
                <w:szCs w:val="21"/>
                <w:highlight w:val="none"/>
              </w:rPr>
              <w:t>。</w:t>
            </w:r>
            <w:r>
              <w:rPr>
                <w:rFonts w:hint="eastAsia" w:ascii="宋体" w:hAnsi="宋体" w:eastAsia="宋体" w:cs="宋体"/>
                <w:b/>
                <w:bCs/>
                <w:i w:val="0"/>
                <w:iCs w:val="0"/>
                <w:caps w:val="0"/>
                <w:color w:val="auto"/>
                <w:spacing w:val="0"/>
                <w:sz w:val="21"/>
                <w:szCs w:val="21"/>
                <w:highlight w:val="none"/>
              </w:rPr>
              <w:t>（中小企业</w:t>
            </w:r>
            <w:r>
              <w:rPr>
                <w:rFonts w:hint="eastAsia" w:ascii="宋体" w:hAnsi="宋体" w:eastAsia="宋体" w:cs="宋体"/>
                <w:b/>
                <w:bCs/>
                <w:i w:val="0"/>
                <w:iCs w:val="0"/>
                <w:caps w:val="0"/>
                <w:color w:val="auto"/>
                <w:spacing w:val="0"/>
                <w:sz w:val="21"/>
                <w:szCs w:val="21"/>
                <w:highlight w:val="none"/>
                <w:lang w:eastAsia="zh-CN"/>
              </w:rPr>
              <w:t>划型标准</w:t>
            </w:r>
            <w:r>
              <w:rPr>
                <w:rFonts w:hint="eastAsia" w:ascii="宋体" w:hAnsi="宋体" w:eastAsia="宋体" w:cs="宋体"/>
                <w:b/>
                <w:bCs/>
                <w:i w:val="0"/>
                <w:iCs w:val="0"/>
                <w:caps w:val="0"/>
                <w:color w:val="auto"/>
                <w:spacing w:val="0"/>
                <w:sz w:val="21"/>
                <w:szCs w:val="21"/>
                <w:highlight w:val="none"/>
              </w:rPr>
              <w:t>详见《工信部联企业</w:t>
            </w:r>
            <w:r>
              <w:rPr>
                <w:rFonts w:hint="eastAsia" w:ascii="宋体" w:hAnsi="宋体" w:cs="宋体"/>
                <w:b/>
                <w:bCs/>
                <w:i w:val="0"/>
                <w:iCs w:val="0"/>
                <w:caps w:val="0"/>
                <w:color w:val="auto"/>
                <w:spacing w:val="0"/>
                <w:sz w:val="21"/>
                <w:szCs w:val="21"/>
                <w:highlight w:val="none"/>
                <w:lang w:eastAsia="zh-CN"/>
              </w:rPr>
              <w:t>〔2011〕300号</w:t>
            </w:r>
            <w:r>
              <w:rPr>
                <w:rFonts w:hint="eastAsia" w:ascii="宋体" w:hAnsi="宋体" w:eastAsia="宋体" w:cs="宋体"/>
                <w:b/>
                <w:bCs/>
                <w:i w:val="0"/>
                <w:iCs w:val="0"/>
                <w:caps w:val="0"/>
                <w:color w:val="auto"/>
                <w:spacing w:val="0"/>
                <w:sz w:val="21"/>
                <w:szCs w:val="21"/>
                <w:highlight w:val="none"/>
              </w:rPr>
              <w:t>》）</w:t>
            </w:r>
          </w:p>
          <w:p w14:paraId="257F2573">
            <w:pPr>
              <w:numPr>
                <w:ilvl w:val="0"/>
                <w:numId w:val="0"/>
              </w:numPr>
              <w:snapToGrid w:val="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rPr>
              <w:t>注：如出现以下三种相关情形为无效投标（响应）文件：</w:t>
            </w:r>
          </w:p>
          <w:p w14:paraId="427F5F6A">
            <w:pPr>
              <w:snapToGrid w:val="0"/>
              <w:ind w:firstLine="422" w:firstLineChars="20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lang w:val="en-US" w:eastAsia="zh-CN"/>
              </w:rPr>
              <w:t>1.</w:t>
            </w:r>
            <w:r>
              <w:rPr>
                <w:rFonts w:hint="eastAsia" w:ascii="宋体" w:hAnsi="宋体" w:eastAsia="宋体" w:cs="宋体"/>
                <w:b/>
                <w:bCs/>
                <w:i w:val="0"/>
                <w:iCs w:val="0"/>
                <w:caps w:val="0"/>
                <w:color w:val="auto"/>
                <w:spacing w:val="0"/>
                <w:sz w:val="21"/>
                <w:szCs w:val="21"/>
                <w:highlight w:val="none"/>
              </w:rPr>
              <w:t>《中小企业声明函》填写大型、中型、小型、微型等四种类型时划型错误；</w:t>
            </w:r>
          </w:p>
          <w:p w14:paraId="6CF07CAB">
            <w:pPr>
              <w:snapToGrid w:val="0"/>
              <w:ind w:firstLine="422" w:firstLineChars="200"/>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sz w:val="21"/>
                <w:szCs w:val="21"/>
                <w:highlight w:val="none"/>
                <w:lang w:val="en-US" w:eastAsia="zh-CN"/>
              </w:rPr>
              <w:t>2.</w:t>
            </w:r>
            <w:r>
              <w:rPr>
                <w:rFonts w:hint="eastAsia" w:ascii="宋体" w:hAnsi="宋体" w:eastAsia="宋体" w:cs="宋体"/>
                <w:b/>
                <w:bCs/>
                <w:i w:val="0"/>
                <w:iCs w:val="0"/>
                <w:caps w:val="0"/>
                <w:color w:val="auto"/>
                <w:spacing w:val="0"/>
                <w:sz w:val="21"/>
                <w:szCs w:val="21"/>
                <w:highlight w:val="none"/>
              </w:rPr>
              <w:t>《中小企业声明函》填写行业错误或者未填写行业，或者错填为“采购文件确定的行业”等类似瑕疵；</w:t>
            </w:r>
          </w:p>
          <w:p w14:paraId="64BBE17B">
            <w:pPr>
              <w:snapToGrid w:val="0"/>
              <w:ind w:firstLine="422" w:firstLineChars="200"/>
              <w:rPr>
                <w:rFonts w:ascii="Times New Roman" w:hAnsi="Times New Roman" w:eastAsia="宋体" w:cs="Times New Roman"/>
                <w:b/>
                <w:bCs/>
                <w:color w:val="auto"/>
                <w:szCs w:val="21"/>
                <w:highlight w:val="none"/>
              </w:rPr>
            </w:pPr>
            <w:r>
              <w:rPr>
                <w:rFonts w:hint="eastAsia" w:ascii="宋体" w:hAnsi="宋体" w:eastAsia="宋体" w:cs="宋体"/>
                <w:b/>
                <w:bCs/>
                <w:i w:val="0"/>
                <w:iCs w:val="0"/>
                <w:caps w:val="0"/>
                <w:color w:val="auto"/>
                <w:spacing w:val="0"/>
                <w:sz w:val="21"/>
                <w:szCs w:val="21"/>
                <w:highlight w:val="none"/>
                <w:lang w:val="en-US" w:eastAsia="zh-CN"/>
              </w:rPr>
              <w:t>3.</w:t>
            </w:r>
            <w:r>
              <w:rPr>
                <w:rFonts w:hint="eastAsia" w:ascii="宋体" w:hAnsi="宋体" w:eastAsia="宋体" w:cs="宋体"/>
                <w:b/>
                <w:bCs/>
                <w:i w:val="0"/>
                <w:iCs w:val="0"/>
                <w:caps w:val="0"/>
                <w:color w:val="auto"/>
                <w:spacing w:val="0"/>
                <w:sz w:val="21"/>
                <w:szCs w:val="21"/>
                <w:highlight w:val="none"/>
              </w:rPr>
              <w:t>《中小企业声明函》中的制造厂商使用他人授权品牌或者授权他人实际生产。</w:t>
            </w:r>
          </w:p>
          <w:p w14:paraId="499E7B5C">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2）在政府采购活动中，供应商提供的货物、工程或者服务符合下列情形的，享受本办法规定的中小企业扶持政策：</w:t>
            </w:r>
          </w:p>
          <w:p w14:paraId="092F39A0">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①在货物采购项目中，货物由中小企业制造，即货物由中小企业生产且使用该中小企业商号或者注册商标；</w:t>
            </w:r>
          </w:p>
          <w:p w14:paraId="2E7471DC">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②在工程采购项目中，工程由中小企业承建，即工程施工单位为中小企业；</w:t>
            </w:r>
          </w:p>
          <w:p w14:paraId="6967C26B">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③在服务采购项目中，服务由中小企业承接，即提供服务的人员为中小企业依照《中华人民共和国劳动合同法》订立劳动合同的从业人员。</w:t>
            </w:r>
          </w:p>
          <w:p w14:paraId="314C2638">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在货物采购项目中，供应商提供的货物既有中小企业制造货物，也有大型企业制造货物的，不享受本办法规定的中小企业扶持政策。</w:t>
            </w:r>
          </w:p>
          <w:p w14:paraId="6D6FDA18">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以联合体形式参加政府采购活动，联合体各方均为中小企业的，联合体视同中小企业。其中，联合体各方均为小微企业的，联合体视同小微企业。</w:t>
            </w:r>
          </w:p>
          <w:p w14:paraId="2E2F90F6">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3）投标人符合《财政部、司法部关于政府采购支持监狱企业发展有关问题的通知》（财库〔2014〕68号）文件要求，并提供省级以上监狱管理局、戒毒管理局（含新疆生产建设兵团）出具的属于监狱企业的证明文件，则视同小型、微型企业。</w:t>
            </w:r>
          </w:p>
          <w:p w14:paraId="19F877D0">
            <w:pPr>
              <w:snapToGrid w:val="0"/>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rPr>
              <w:t>（</w:t>
            </w:r>
            <w:r>
              <w:rPr>
                <w:rFonts w:ascii="Times New Roman" w:hAnsi="Times New Roman" w:eastAsia="宋体" w:cs="Times New Roman"/>
                <w:color w:val="auto"/>
                <w:szCs w:val="21"/>
                <w:highlight w:val="none"/>
              </w:rPr>
              <w:t>4）投标人符合《三部门联合发布关于促进残疾人就业政府采购政策的通知》（财库〔2017〕141号）文件要求，并提供《残疾人福利性单位声明函》的，则视同小型、微型企业。</w:t>
            </w:r>
          </w:p>
          <w:p w14:paraId="095AF632">
            <w:pPr>
              <w:snapToGrid w:val="0"/>
              <w:rPr>
                <w:rFonts w:ascii="Times New Roman" w:hAnsi="Times New Roman"/>
                <w:b/>
                <w:bCs/>
                <w:color w:val="auto"/>
                <w:szCs w:val="21"/>
                <w:highlight w:val="none"/>
              </w:rPr>
            </w:pPr>
            <w:r>
              <w:rPr>
                <w:rFonts w:hint="eastAsia" w:ascii="Times New Roman" w:hAnsi="Times New Roman" w:eastAsia="宋体" w:cs="Times New Roman"/>
                <w:color w:val="auto"/>
                <w:szCs w:val="21"/>
                <w:highlight w:val="none"/>
              </w:rPr>
              <w:t>本项目专门面向中小企业采购（参加投标供应商须出具《中小企业声明函》，未提供不认定为中小企业，此次投标无效）。</w:t>
            </w:r>
          </w:p>
        </w:tc>
      </w:tr>
      <w:tr w14:paraId="3CEA4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CellSpacing w:w="7" w:type="dxa"/>
          <w:jc w:val="center"/>
        </w:trPr>
        <w:tc>
          <w:tcPr>
            <w:tcW w:w="633"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8BD436">
            <w:pPr>
              <w:snapToGrid w:val="0"/>
              <w:spacing w:line="240" w:lineRule="exact"/>
              <w:jc w:val="center"/>
              <w:rPr>
                <w:rFonts w:hint="eastAsia" w:ascii="Times New Roman" w:hAnsi="Times New Roman"/>
                <w:b/>
                <w:color w:val="auto"/>
                <w:highlight w:val="none"/>
              </w:rPr>
            </w:pPr>
            <w:r>
              <w:rPr>
                <w:rFonts w:hint="eastAsia" w:ascii="Times New Roman" w:hAnsi="Times New Roman" w:eastAsia="宋体" w:cs="Times New Roman"/>
                <w:b/>
                <w:color w:val="auto"/>
                <w:highlight w:val="none"/>
                <w:lang w:val="en-US" w:eastAsia="zh-CN"/>
              </w:rPr>
              <w:t>20</w:t>
            </w:r>
          </w:p>
        </w:tc>
        <w:tc>
          <w:tcPr>
            <w:tcW w:w="1367" w:type="dxa"/>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A6EA483">
            <w:pPr>
              <w:jc w:val="center"/>
              <w:rPr>
                <w:rFonts w:hint="eastAsia" w:ascii="Times New Roman" w:hAnsi="Times New Roman"/>
                <w:b/>
                <w:color w:val="auto"/>
                <w:szCs w:val="21"/>
                <w:highlight w:val="none"/>
              </w:rPr>
            </w:pPr>
            <w:r>
              <w:rPr>
                <w:rFonts w:hint="eastAsia" w:ascii="宋体" w:hAnsi="宋体" w:cs="Times New Roman" w:eastAsiaTheme="minorEastAsia"/>
                <w:b/>
                <w:bCs/>
                <w:color w:val="auto"/>
                <w:kern w:val="2"/>
                <w:sz w:val="21"/>
                <w:szCs w:val="22"/>
                <w:highlight w:val="none"/>
                <w:lang w:val="en-US" w:eastAsia="zh-CN" w:bidi="ar-SA"/>
              </w:rPr>
              <w:t>对本国产品的支持政策</w:t>
            </w:r>
          </w:p>
        </w:tc>
        <w:tc>
          <w:tcPr>
            <w:tcW w:w="9136" w:type="dxa"/>
            <w:gridSpan w:val="3"/>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6A195C6">
            <w:pPr>
              <w:numPr>
                <w:ilvl w:val="0"/>
                <w:numId w:val="0"/>
              </w:numPr>
              <w:tabs>
                <w:tab w:val="left" w:pos="812"/>
              </w:tabs>
              <w:adjustRightInd w:val="0"/>
              <w:spacing w:line="240" w:lineRule="auto"/>
              <w:rPr>
                <w:rFonts w:hint="default" w:ascii="宋体" w:hAnsi="宋体" w:cs="Times New Roman"/>
                <w:b/>
                <w:bCs/>
                <w:color w:val="auto"/>
                <w:highlight w:val="none"/>
                <w:lang w:val="en-US" w:eastAsia="zh-CN"/>
              </w:rPr>
            </w:pPr>
            <w:r>
              <w:rPr>
                <w:rFonts w:hint="eastAsia" w:ascii="宋体" w:hAnsi="宋体" w:cs="Times New Roman" w:eastAsiaTheme="minorEastAsia"/>
                <w:b/>
                <w:bCs/>
                <w:color w:val="auto"/>
                <w:kern w:val="2"/>
                <w:sz w:val="21"/>
                <w:szCs w:val="22"/>
                <w:highlight w:val="none"/>
                <w:lang w:val="en-US" w:eastAsia="zh-CN" w:bidi="ar-SA"/>
              </w:rPr>
              <w:t>对本国产品的支持政策</w:t>
            </w:r>
            <w:r>
              <w:rPr>
                <w:rFonts w:hint="eastAsia" w:ascii="宋体" w:hAnsi="宋体" w:cs="Times New Roman"/>
                <w:b/>
                <w:bCs/>
                <w:color w:val="auto"/>
                <w:highlight w:val="none"/>
                <w:lang w:val="en-US" w:eastAsia="zh-CN"/>
              </w:rPr>
              <w:t>：</w:t>
            </w:r>
          </w:p>
          <w:p w14:paraId="4E000BE7">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根据《国务院办公厅关于在政府采购中实施本国产品标准及相关政策的通知》国办发〔2025〕34号）、浙江省财政厅《关于落实在政府采购中实施本国产品标准及相关政策的通知》的规定：</w:t>
            </w:r>
          </w:p>
          <w:p w14:paraId="53276166">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（1）政府采购活动中既有本国产品又有非本国产品参与竞争的，依法对本国产品给予价格评审优惠，对本国产品的报价给予 20%的价格扣除，用扣除后的价格参与评审。</w:t>
            </w:r>
          </w:p>
          <w:p w14:paraId="05B42245">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val="en-US" w:eastAsia="zh-CN"/>
              </w:rPr>
            </w:pPr>
            <w:r>
              <w:rPr>
                <w:rFonts w:hint="eastAsia" w:ascii="宋体" w:hAnsi="宋体" w:cs="Times New Roman"/>
                <w:color w:val="auto"/>
                <w:highlight w:val="none"/>
                <w:lang w:val="en-US" w:eastAsia="zh-CN"/>
              </w:rPr>
              <w:t>（2）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4FAEAD63">
            <w:pPr>
              <w:numPr>
                <w:ilvl w:val="0"/>
                <w:numId w:val="0"/>
              </w:numPr>
              <w:tabs>
                <w:tab w:val="left" w:pos="812"/>
              </w:tabs>
              <w:adjustRightInd w:val="0"/>
              <w:spacing w:line="240" w:lineRule="auto"/>
              <w:ind w:firstLine="420" w:firstLineChars="200"/>
              <w:rPr>
                <w:rFonts w:hint="eastAsia" w:ascii="宋体" w:hAnsi="宋体" w:cs="Times New Roman"/>
                <w:b/>
                <w:bCs/>
                <w:color w:val="auto"/>
                <w:highlight w:val="none"/>
                <w:lang w:eastAsia="zh-CN"/>
              </w:rPr>
            </w:pPr>
            <w:r>
              <w:rPr>
                <w:rFonts w:hint="eastAsia" w:ascii="宋体" w:hAnsi="宋体" w:cs="Times New Roman"/>
                <w:color w:val="auto"/>
                <w:highlight w:val="none"/>
                <w:lang w:val="en-US" w:eastAsia="zh-CN"/>
              </w:rPr>
              <w:t>要求供应商对其提供的产品出具《关于符合本国产品标准的声明函》（样式见附件，以下简称《声明函》）或财政部会同有关部门规定的有关证明文件。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其余未明确要求按照国办发〔2025〕34号，国务院办公厅关于在政府采购中实施本国产品标准及相关政策的通知执行。当采购项目或者采购包中含有多种产品的，供应商还应当提供《关于本国产品成本比例的声明函》。</w:t>
            </w:r>
          </w:p>
          <w:p w14:paraId="794030E1">
            <w:pPr>
              <w:numPr>
                <w:ilvl w:val="0"/>
                <w:numId w:val="0"/>
              </w:numPr>
              <w:tabs>
                <w:tab w:val="left" w:pos="812"/>
              </w:tabs>
              <w:adjustRightInd w:val="0"/>
              <w:spacing w:line="240" w:lineRule="auto"/>
              <w:rPr>
                <w:rFonts w:hint="eastAsia" w:ascii="宋体" w:hAnsi="宋体" w:cs="Times New Roman"/>
                <w:b/>
                <w:bCs/>
                <w:color w:val="auto"/>
                <w:highlight w:val="none"/>
                <w:lang w:eastAsia="zh-CN"/>
              </w:rPr>
            </w:pPr>
            <w:r>
              <w:rPr>
                <w:rFonts w:hint="eastAsia" w:ascii="宋体" w:hAnsi="宋体" w:cs="Times New Roman"/>
                <w:b/>
                <w:bCs/>
                <w:color w:val="auto"/>
                <w:highlight w:val="none"/>
                <w:lang w:eastAsia="zh-CN"/>
              </w:rPr>
              <w:t>本国产品标准：</w:t>
            </w:r>
          </w:p>
          <w:p w14:paraId="0F1ED463">
            <w:pPr>
              <w:numPr>
                <w:ilvl w:val="0"/>
                <w:numId w:val="0"/>
              </w:numPr>
              <w:tabs>
                <w:tab w:val="left" w:pos="812"/>
              </w:tabs>
              <w:adjustRightInd w:val="0"/>
              <w:spacing w:line="240" w:lineRule="auto"/>
              <w:rPr>
                <w:rFonts w:hint="eastAsia" w:ascii="宋体" w:hAnsi="宋体" w:cs="Times New Roman"/>
                <w:color w:val="auto"/>
                <w:highlight w:val="none"/>
                <w:lang w:eastAsia="zh-CN"/>
              </w:rPr>
            </w:pPr>
            <w:r>
              <w:rPr>
                <w:rFonts w:hint="eastAsia" w:ascii="宋体" w:hAnsi="宋体" w:cs="Times New Roman"/>
                <w:color w:val="auto"/>
                <w:highlight w:val="none"/>
                <w:lang w:eastAsia="zh-CN"/>
              </w:rPr>
              <w:t>本国产品应当符合以下条件：</w:t>
            </w:r>
          </w:p>
          <w:p w14:paraId="3A11AAE8">
            <w:pPr>
              <w:numPr>
                <w:ilvl w:val="0"/>
                <w:numId w:val="0"/>
              </w:numPr>
              <w:tabs>
                <w:tab w:val="left" w:pos="812"/>
                <w:tab w:val="left" w:pos="8086"/>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一</w:t>
            </w:r>
            <w:r>
              <w:rPr>
                <w:rFonts w:hint="eastAsia" w:ascii="宋体" w:hAnsi="宋体" w:cs="Times New Roman"/>
                <w:color w:val="auto"/>
                <w:highlight w:val="none"/>
                <w:lang w:eastAsia="zh-CN"/>
              </w:rPr>
              <w:t>）在中国境内生产</w:t>
            </w:r>
            <w:r>
              <w:rPr>
                <w:rFonts w:hint="eastAsia" w:ascii="宋体" w:hAnsi="宋体" w:cs="Times New Roman"/>
                <w:color w:val="auto"/>
                <w:highlight w:val="none"/>
                <w:lang w:eastAsia="zh-CN"/>
              </w:rPr>
              <w:tab/>
            </w:r>
          </w:p>
          <w:p w14:paraId="57ACA830">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1.产品应当在中国境内生产，即在中华人民共和国关境内实现从原材料、组件到产品的属性改变。</w:t>
            </w:r>
          </w:p>
          <w:p w14:paraId="5134D397">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2.属性改变是指经过制造、加工或者组装等工序，产生完全不同于原材料、组件的新产品并具有新的名称和特征（用途）。属性改变不包括以下细微操作：</w:t>
            </w:r>
          </w:p>
          <w:p w14:paraId="2A6E125F">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1.为确保产品在运输或者储存期间保持某种状态而进行的操作；</w:t>
            </w:r>
          </w:p>
          <w:p w14:paraId="68DDB4C5">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2.为产品运输或者销售进行的包装或者展示；</w:t>
            </w:r>
          </w:p>
          <w:p w14:paraId="742FAC80">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3.在产品或者其包装上粘贴或者印刷品牌、标志、标识以及其他用于区别的标记；</w:t>
            </w:r>
          </w:p>
          <w:p w14:paraId="1B7A9F98">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4.简单的上漆、磨光和分装；</w:t>
            </w:r>
          </w:p>
          <w:p w14:paraId="72E070EA">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5.其他不属于属性改变的情形。</w:t>
            </w:r>
          </w:p>
          <w:p w14:paraId="4999D421">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w:t>
            </w:r>
            <w:r>
              <w:rPr>
                <w:rFonts w:hint="eastAsia" w:ascii="宋体" w:hAnsi="宋体" w:cs="Times New Roman"/>
                <w:color w:val="auto"/>
                <w:highlight w:val="none"/>
                <w:lang w:val="en-US" w:eastAsia="zh-CN"/>
              </w:rPr>
              <w:t>二</w:t>
            </w:r>
            <w:r>
              <w:rPr>
                <w:rFonts w:hint="eastAsia" w:ascii="宋体" w:hAnsi="宋体" w:cs="Times New Roman"/>
                <w:color w:val="auto"/>
                <w:highlight w:val="none"/>
                <w:lang w:eastAsia="zh-CN"/>
              </w:rPr>
              <w:t>）在中国境内生产的组件成本占比达到规定比例</w:t>
            </w:r>
          </w:p>
          <w:p w14:paraId="5FA659F7">
            <w:pPr>
              <w:numPr>
                <w:ilvl w:val="0"/>
                <w:numId w:val="0"/>
              </w:numPr>
              <w:tabs>
                <w:tab w:val="left" w:pos="812"/>
              </w:tabs>
              <w:adjustRightInd w:val="0"/>
              <w:spacing w:line="240" w:lineRule="auto"/>
              <w:ind w:firstLine="420" w:firstLineChars="200"/>
              <w:rPr>
                <w:rFonts w:hint="eastAsia" w:ascii="宋体" w:hAnsi="宋体" w:cs="Times New Roman"/>
                <w:color w:val="auto"/>
                <w:highlight w:val="none"/>
                <w:lang w:eastAsia="zh-CN"/>
              </w:rPr>
            </w:pPr>
            <w:r>
              <w:rPr>
                <w:rFonts w:hint="eastAsia" w:ascii="宋体" w:hAnsi="宋体" w:cs="Times New Roman"/>
                <w:color w:val="auto"/>
                <w:highlight w:val="none"/>
                <w:lang w:eastAsia="zh-CN"/>
              </w:rPr>
              <w:t>产品在中国境内生产的组件成本占比应当达到规定比例，计算公式为：</w:t>
            </w:r>
          </w:p>
          <w:p w14:paraId="3E5AB44E">
            <w:pPr>
              <w:numPr>
                <w:ilvl w:val="0"/>
                <w:numId w:val="0"/>
              </w:numPr>
              <w:tabs>
                <w:tab w:val="left" w:pos="812"/>
              </w:tabs>
              <w:adjustRightInd w:val="0"/>
              <w:spacing w:line="240" w:lineRule="auto"/>
              <w:ind w:firstLine="630" w:firstLineChars="300"/>
              <w:rPr>
                <w:rFonts w:hint="eastAsia" w:ascii="宋体" w:hAnsi="宋体" w:cs="Times New Roman"/>
                <w:b w:val="0"/>
                <w:bCs/>
                <w:color w:val="auto"/>
                <w:sz w:val="21"/>
                <w:szCs w:val="21"/>
                <w:highlight w:val="none"/>
                <w:lang w:eastAsia="zh-CN"/>
              </w:rPr>
            </w:pPr>
            <w:r>
              <w:rPr>
                <w:rFonts w:hint="eastAsia" w:ascii="宋体" w:hAnsi="宋体" w:cs="Times New Roman"/>
                <w:b w:val="0"/>
                <w:bCs/>
                <w:color w:val="auto"/>
                <w:position w:val="-14"/>
                <w:sz w:val="21"/>
                <w:szCs w:val="21"/>
                <w:highlight w:val="none"/>
                <w:lang w:eastAsia="zh-CN"/>
              </w:rPr>
              <w:object>
                <v:shape id="_x0000_i1026" o:spt="75" type="#_x0000_t75" style="height:31.45pt;width:162.4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9">
                  <o:LockedField>false</o:LockedField>
                </o:OLEObject>
              </w:object>
            </w:r>
            <w:r>
              <w:rPr>
                <w:rFonts w:hint="eastAsia" w:ascii="宋体" w:hAnsi="宋体" w:eastAsia="宋体" w:cs="宋体"/>
                <w:b w:val="0"/>
                <w:bCs/>
                <w:color w:val="auto"/>
                <w:sz w:val="21"/>
                <w:szCs w:val="21"/>
                <w:highlight w:val="none"/>
                <w:lang w:val="en-US" w:eastAsia="zh-CN"/>
              </w:rPr>
              <w:t>≥</w:t>
            </w:r>
            <w:r>
              <w:rPr>
                <w:rFonts w:hint="eastAsia" w:ascii="宋体" w:hAnsi="宋体" w:eastAsia="宋体" w:cs="宋体"/>
                <w:b w:val="0"/>
                <w:bCs/>
                <w:color w:val="auto"/>
                <w:sz w:val="21"/>
                <w:szCs w:val="21"/>
                <w:highlight w:val="none"/>
                <w:lang w:eastAsia="zh-CN"/>
              </w:rPr>
              <w:t>规定比例</w:t>
            </w:r>
          </w:p>
          <w:p w14:paraId="3C71B833">
            <w:pPr>
              <w:numPr>
                <w:ilvl w:val="0"/>
                <w:numId w:val="0"/>
              </w:numPr>
              <w:tabs>
                <w:tab w:val="left" w:pos="812"/>
              </w:tabs>
              <w:adjustRightInd w:val="0"/>
              <w:spacing w:line="240" w:lineRule="auto"/>
              <w:ind w:left="0" w:leftChars="0" w:firstLine="420" w:firstLineChars="200"/>
              <w:rPr>
                <w:rFonts w:hint="eastAsia" w:ascii="Times New Roman" w:hAnsi="Times New Roman"/>
                <w:color w:val="auto"/>
                <w:szCs w:val="21"/>
                <w:highlight w:val="none"/>
              </w:rPr>
            </w:pPr>
            <w:r>
              <w:rPr>
                <w:rFonts w:hint="eastAsia" w:ascii="宋体" w:hAnsi="宋体" w:cs="Times New Roman"/>
                <w:color w:val="auto"/>
                <w:highlight w:val="none"/>
                <w:lang w:eastAsia="zh-CN"/>
              </w:rPr>
              <w:t>财政部会同有关行业主管部门，分产品确定在中国境内生产的组件成本占比应当达到的规定比例。在分产品的中国境内生产的组件成本占比相关要求实施前，符合本通知第一条第（</w:t>
            </w:r>
            <w:r>
              <w:rPr>
                <w:rFonts w:hint="eastAsia" w:ascii="宋体" w:hAnsi="宋体" w:cs="Times New Roman"/>
                <w:color w:val="auto"/>
                <w:highlight w:val="none"/>
                <w:lang w:val="en-US" w:eastAsia="zh-CN"/>
              </w:rPr>
              <w:t>一</w:t>
            </w:r>
            <w:r>
              <w:rPr>
                <w:rFonts w:hint="eastAsia" w:ascii="宋体" w:hAnsi="宋体" w:cs="Times New Roman"/>
                <w:color w:val="auto"/>
                <w:highlight w:val="none"/>
                <w:lang w:eastAsia="zh-CN"/>
              </w:rPr>
              <w:t>）项条件的产品在政府采购活动中视同本国产品。</w:t>
            </w:r>
          </w:p>
        </w:tc>
      </w:tr>
    </w:tbl>
    <w:p w14:paraId="6B559FB6">
      <w:pPr>
        <w:pStyle w:val="45"/>
        <w:snapToGrid w:val="0"/>
        <w:spacing w:before="156" w:after="156"/>
        <w:rPr>
          <w:rFonts w:hAnsi="宋体"/>
          <w:b/>
          <w:bCs/>
          <w:color w:val="auto"/>
          <w:sz w:val="28"/>
          <w:highlight w:val="none"/>
        </w:rPr>
      </w:pPr>
    </w:p>
    <w:p w14:paraId="6F2B998F">
      <w:pPr>
        <w:pStyle w:val="45"/>
        <w:snapToGrid w:val="0"/>
        <w:spacing w:before="156" w:after="156"/>
        <w:rPr>
          <w:rFonts w:hAnsi="宋体"/>
          <w:b/>
          <w:bCs/>
          <w:color w:val="auto"/>
          <w:sz w:val="28"/>
          <w:highlight w:val="none"/>
        </w:rPr>
      </w:pPr>
    </w:p>
    <w:p w14:paraId="44E7BBB4">
      <w:pPr>
        <w:pStyle w:val="45"/>
        <w:snapToGrid w:val="0"/>
        <w:spacing w:before="156" w:after="156"/>
        <w:jc w:val="center"/>
        <w:rPr>
          <w:rFonts w:hAnsi="宋体"/>
          <w:b/>
          <w:bCs/>
          <w:color w:val="auto"/>
          <w:sz w:val="28"/>
          <w:highlight w:val="none"/>
        </w:rPr>
      </w:pPr>
    </w:p>
    <w:p w14:paraId="5599F567">
      <w:pPr>
        <w:pStyle w:val="45"/>
        <w:snapToGrid w:val="0"/>
        <w:spacing w:before="156" w:after="156"/>
        <w:jc w:val="center"/>
        <w:rPr>
          <w:rFonts w:hAnsi="宋体"/>
          <w:b/>
          <w:bCs/>
          <w:color w:val="auto"/>
          <w:sz w:val="28"/>
          <w:highlight w:val="none"/>
        </w:rPr>
      </w:pPr>
      <w:r>
        <w:rPr>
          <w:rFonts w:hAnsi="宋体"/>
          <w:b/>
          <w:bCs/>
          <w:color w:val="auto"/>
          <w:sz w:val="28"/>
          <w:highlight w:val="none"/>
        </w:rPr>
        <w:t>一</w:t>
      </w:r>
      <w:r>
        <w:rPr>
          <w:rFonts w:hint="eastAsia" w:hAnsi="宋体"/>
          <w:b/>
          <w:bCs/>
          <w:color w:val="auto"/>
          <w:sz w:val="28"/>
          <w:highlight w:val="none"/>
        </w:rPr>
        <w:t>、</w:t>
      </w:r>
      <w:r>
        <w:rPr>
          <w:rFonts w:hAnsi="宋体"/>
          <w:b/>
          <w:bCs/>
          <w:color w:val="auto"/>
          <w:sz w:val="28"/>
          <w:highlight w:val="none"/>
        </w:rPr>
        <w:t xml:space="preserve">   总  则</w:t>
      </w:r>
    </w:p>
    <w:p w14:paraId="7449471C">
      <w:pPr>
        <w:pStyle w:val="45"/>
        <w:snapToGrid w:val="0"/>
        <w:spacing w:beforeLines="0" w:afterLines="0" w:line="360" w:lineRule="auto"/>
        <w:rPr>
          <w:rFonts w:hAnsi="宋体"/>
          <w:b/>
          <w:bCs/>
          <w:color w:val="auto"/>
          <w:highlight w:val="none"/>
        </w:rPr>
      </w:pPr>
      <w:r>
        <w:rPr>
          <w:rFonts w:hAnsi="宋体"/>
          <w:b/>
          <w:bCs/>
          <w:color w:val="auto"/>
          <w:highlight w:val="none"/>
        </w:rPr>
        <w:t>（一）适用范围</w:t>
      </w:r>
    </w:p>
    <w:p w14:paraId="6B5D7C50">
      <w:pPr>
        <w:snapToGrid w:val="0"/>
        <w:spacing w:line="360" w:lineRule="auto"/>
        <w:ind w:firstLine="420" w:firstLineChars="200"/>
        <w:jc w:val="left"/>
        <w:rPr>
          <w:rFonts w:ascii="宋体" w:hAnsi="宋体"/>
          <w:color w:val="auto"/>
          <w:highlight w:val="none"/>
        </w:rPr>
      </w:pPr>
      <w:r>
        <w:rPr>
          <w:rFonts w:ascii="宋体" w:hAnsi="宋体"/>
          <w:color w:val="auto"/>
          <w:highlight w:val="none"/>
        </w:rPr>
        <w:t>本</w:t>
      </w:r>
      <w:r>
        <w:rPr>
          <w:rFonts w:hint="eastAsia" w:ascii="宋体" w:hAnsi="宋体"/>
          <w:color w:val="auto"/>
          <w:highlight w:val="none"/>
        </w:rPr>
        <w:t>磋商文件</w:t>
      </w:r>
      <w:r>
        <w:rPr>
          <w:rFonts w:ascii="宋体" w:hAnsi="宋体"/>
          <w:color w:val="auto"/>
          <w:highlight w:val="none"/>
        </w:rPr>
        <w:t>适用于</w:t>
      </w:r>
      <w:r>
        <w:rPr>
          <w:rFonts w:hint="eastAsia" w:ascii="宋体" w:hAnsi="宋体"/>
          <w:color w:val="auto"/>
          <w:highlight w:val="none"/>
          <w:lang w:eastAsia="zh-CN"/>
        </w:rPr>
        <w:t xml:space="preserve">普陀区图书馆沈家门渔港文旅驿站（城市书房）运营服务 </w:t>
      </w:r>
      <w:r>
        <w:rPr>
          <w:rFonts w:ascii="宋体" w:hAnsi="宋体"/>
          <w:color w:val="auto"/>
          <w:highlight w:val="none"/>
        </w:rPr>
        <w:t>的招标、投标、评标、定标、验收、合同履约、付款等行为（</w:t>
      </w:r>
      <w:r>
        <w:rPr>
          <w:rFonts w:hint="eastAsia" w:ascii="宋体" w:hAnsi="宋体"/>
          <w:color w:val="auto"/>
          <w:highlight w:val="none"/>
          <w:lang w:eastAsia="zh-CN"/>
        </w:rPr>
        <w:t>法律法规</w:t>
      </w:r>
      <w:r>
        <w:rPr>
          <w:rFonts w:ascii="宋体" w:hAnsi="宋体"/>
          <w:color w:val="auto"/>
          <w:highlight w:val="none"/>
        </w:rPr>
        <w:t>另有规定的，从其规定）。</w:t>
      </w:r>
    </w:p>
    <w:p w14:paraId="7DABC377">
      <w:pPr>
        <w:pStyle w:val="45"/>
        <w:snapToGrid w:val="0"/>
        <w:spacing w:beforeLines="0" w:afterLines="0" w:line="360" w:lineRule="auto"/>
        <w:rPr>
          <w:rFonts w:hAnsi="宋体"/>
          <w:b/>
          <w:bCs/>
          <w:color w:val="auto"/>
          <w:highlight w:val="none"/>
        </w:rPr>
      </w:pPr>
      <w:r>
        <w:rPr>
          <w:rFonts w:hAnsi="宋体"/>
          <w:b/>
          <w:bCs/>
          <w:color w:val="auto"/>
          <w:highlight w:val="none"/>
        </w:rPr>
        <w:t>（二）定义</w:t>
      </w:r>
    </w:p>
    <w:p w14:paraId="36332618">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1.“采购人”系指</w:t>
      </w:r>
      <w:r>
        <w:rPr>
          <w:rFonts w:hint="eastAsia" w:ascii="宋体" w:hAnsi="宋体"/>
          <w:color w:val="auto"/>
          <w:szCs w:val="21"/>
          <w:highlight w:val="none"/>
          <w:lang w:eastAsia="zh-CN"/>
        </w:rPr>
        <w:t>舟山市普陀区图书馆</w:t>
      </w:r>
      <w:r>
        <w:rPr>
          <w:rFonts w:hint="eastAsia" w:ascii="宋体" w:hAnsi="宋体"/>
          <w:color w:val="auto"/>
          <w:szCs w:val="21"/>
          <w:highlight w:val="none"/>
        </w:rPr>
        <w:t>。</w:t>
      </w:r>
    </w:p>
    <w:p w14:paraId="33ECEBEC">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.“采购代理机构”系指组织本次招标的深圳市国信招标有限公司。</w:t>
      </w:r>
    </w:p>
    <w:p w14:paraId="7746F421">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w:t>
      </w:r>
      <w:r>
        <w:rPr>
          <w:rFonts w:hint="eastAsia" w:ascii="宋体" w:hAnsi="宋体"/>
          <w:color w:val="auto"/>
          <w:szCs w:val="21"/>
          <w:highlight w:val="none"/>
        </w:rPr>
        <w:t>投标人</w:t>
      </w:r>
      <w:r>
        <w:rPr>
          <w:rFonts w:ascii="宋体" w:hAnsi="宋体"/>
          <w:color w:val="auto"/>
          <w:szCs w:val="21"/>
          <w:highlight w:val="none"/>
        </w:rPr>
        <w:t>”系指向</w:t>
      </w:r>
      <w:r>
        <w:rPr>
          <w:rFonts w:hint="eastAsia" w:ascii="宋体" w:hAnsi="宋体"/>
          <w:color w:val="auto"/>
          <w:szCs w:val="21"/>
          <w:highlight w:val="none"/>
        </w:rPr>
        <w:t>采购人</w:t>
      </w:r>
      <w:r>
        <w:rPr>
          <w:rFonts w:ascii="宋体" w:hAnsi="宋体"/>
          <w:color w:val="auto"/>
          <w:szCs w:val="21"/>
          <w:highlight w:val="none"/>
        </w:rPr>
        <w:t>提交</w:t>
      </w:r>
      <w:r>
        <w:rPr>
          <w:rFonts w:hint="eastAsia" w:ascii="宋体" w:hAnsi="宋体"/>
          <w:color w:val="auto"/>
          <w:szCs w:val="21"/>
          <w:highlight w:val="none"/>
        </w:rPr>
        <w:t>投标文件</w:t>
      </w:r>
      <w:r>
        <w:rPr>
          <w:rFonts w:ascii="宋体" w:hAnsi="宋体"/>
          <w:color w:val="auto"/>
          <w:szCs w:val="21"/>
          <w:highlight w:val="none"/>
        </w:rPr>
        <w:t>的单位或个人。</w:t>
      </w:r>
    </w:p>
    <w:p w14:paraId="2E749E97">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w:t>
      </w:r>
      <w:r>
        <w:rPr>
          <w:rFonts w:ascii="宋体" w:hAnsi="宋体"/>
          <w:color w:val="auto"/>
          <w:szCs w:val="21"/>
          <w:highlight w:val="none"/>
        </w:rPr>
        <w:t>“产品”系指供方按</w:t>
      </w:r>
      <w:r>
        <w:rPr>
          <w:rFonts w:hint="eastAsia" w:ascii="宋体" w:hAnsi="宋体"/>
          <w:color w:val="auto"/>
          <w:szCs w:val="21"/>
          <w:highlight w:val="none"/>
        </w:rPr>
        <w:t>采购文件</w:t>
      </w:r>
      <w:r>
        <w:rPr>
          <w:rFonts w:ascii="宋体" w:hAnsi="宋体"/>
          <w:color w:val="auto"/>
          <w:szCs w:val="21"/>
          <w:highlight w:val="none"/>
        </w:rPr>
        <w:t>规定，须向采购人提供的一切设备、保险、税金、备品备件、工</w:t>
      </w:r>
      <w:r>
        <w:rPr>
          <w:rFonts w:hint="eastAsia" w:ascii="宋体" w:hAnsi="宋体"/>
          <w:color w:val="auto"/>
          <w:szCs w:val="21"/>
          <w:highlight w:val="none"/>
        </w:rPr>
        <w:t>具、手册及其它有关技术资料和材料。</w:t>
      </w:r>
    </w:p>
    <w:p w14:paraId="112792D0">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5.“服务”系指采购文件规定投标人须承担的安装、调试、技术协助、校准、培训、技术指导以及其他类似的义务。</w:t>
      </w:r>
    </w:p>
    <w:p w14:paraId="28EBE596">
      <w:pPr>
        <w:snapToGrid w:val="0"/>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6.“项目”系指投标人按采购文件规定向采购人提供的产品和服务。</w:t>
      </w:r>
    </w:p>
    <w:p w14:paraId="1BB6BB8C">
      <w:pPr>
        <w:snapToGrid w:val="0"/>
        <w:spacing w:line="360" w:lineRule="auto"/>
        <w:ind w:firstLine="420" w:firstLineChars="200"/>
        <w:jc w:val="left"/>
        <w:rPr>
          <w:rFonts w:ascii="宋体" w:hAnsi="宋体"/>
          <w:color w:val="auto"/>
          <w:highlight w:val="none"/>
        </w:rPr>
      </w:pPr>
      <w:r>
        <w:rPr>
          <w:rFonts w:hint="eastAsia" w:ascii="宋体" w:hAnsi="宋体"/>
          <w:color w:val="auto"/>
          <w:szCs w:val="21"/>
          <w:highlight w:val="none"/>
        </w:rPr>
        <w:t>7.“中标人”是指经审查通过，并经公示无异议的投标人</w:t>
      </w:r>
      <w:r>
        <w:rPr>
          <w:rFonts w:hint="eastAsia" w:ascii="宋体" w:hAnsi="宋体"/>
          <w:color w:val="auto"/>
          <w:highlight w:val="none"/>
        </w:rPr>
        <w:t>。</w:t>
      </w:r>
    </w:p>
    <w:p w14:paraId="713C46AD">
      <w:pPr>
        <w:snapToGrid w:val="0"/>
        <w:spacing w:line="360" w:lineRule="auto"/>
        <w:ind w:firstLine="420" w:firstLineChars="200"/>
        <w:jc w:val="left"/>
        <w:rPr>
          <w:rFonts w:ascii="宋体" w:hAnsi="宋体"/>
          <w:color w:val="auto"/>
          <w:szCs w:val="21"/>
          <w:highlight w:val="none"/>
        </w:rPr>
      </w:pPr>
      <w:r>
        <w:rPr>
          <w:rFonts w:ascii="宋体" w:hAnsi="宋体"/>
          <w:color w:val="auto"/>
          <w:szCs w:val="21"/>
          <w:highlight w:val="none"/>
        </w:rPr>
        <w:t>8</w:t>
      </w:r>
      <w:r>
        <w:rPr>
          <w:rFonts w:hint="eastAsia" w:ascii="宋体" w:hAnsi="宋体"/>
          <w:color w:val="auto"/>
          <w:szCs w:val="21"/>
          <w:highlight w:val="none"/>
        </w:rPr>
        <w:t>.</w:t>
      </w:r>
      <w:r>
        <w:rPr>
          <w:rFonts w:hint="eastAsia" w:ascii="宋体" w:hAnsi="宋体"/>
          <w:b/>
          <w:color w:val="auto"/>
          <w:highlight w:val="none"/>
        </w:rPr>
        <w:t xml:space="preserve"> “★”</w:t>
      </w:r>
      <w:r>
        <w:rPr>
          <w:rFonts w:hint="eastAsia" w:ascii="宋体" w:hAnsi="宋体"/>
          <w:b/>
          <w:color w:val="auto"/>
          <w:szCs w:val="21"/>
          <w:highlight w:val="none"/>
        </w:rPr>
        <w:t>系指实质性</w:t>
      </w:r>
      <w:r>
        <w:rPr>
          <w:rFonts w:hint="eastAsia" w:ascii="宋体" w:hAnsi="宋体"/>
          <w:b/>
          <w:color w:val="auto"/>
          <w:highlight w:val="none"/>
        </w:rPr>
        <w:t>要求条款，未响应的作无效标处理。</w:t>
      </w:r>
    </w:p>
    <w:p w14:paraId="3DFE3A2C">
      <w:pPr>
        <w:snapToGrid w:val="0"/>
        <w:spacing w:line="312" w:lineRule="auto"/>
        <w:jc w:val="left"/>
        <w:outlineLvl w:val="1"/>
        <w:rPr>
          <w:rFonts w:ascii="宋体" w:hAnsi="宋体"/>
          <w:b/>
          <w:color w:val="auto"/>
          <w:szCs w:val="21"/>
          <w:highlight w:val="none"/>
        </w:rPr>
      </w:pPr>
      <w:r>
        <w:rPr>
          <w:rFonts w:ascii="宋体" w:hAnsi="宋体"/>
          <w:b/>
          <w:color w:val="auto"/>
          <w:szCs w:val="21"/>
          <w:highlight w:val="none"/>
        </w:rPr>
        <w:t>（三）采购方式</w:t>
      </w:r>
    </w:p>
    <w:p w14:paraId="49EE6E24">
      <w:pPr>
        <w:snapToGrid w:val="0"/>
        <w:spacing w:line="312" w:lineRule="auto"/>
        <w:ind w:firstLine="420" w:firstLineChars="200"/>
        <w:jc w:val="left"/>
        <w:rPr>
          <w:rFonts w:ascii="宋体" w:hAnsi="宋体"/>
          <w:color w:val="auto"/>
          <w:szCs w:val="21"/>
          <w:highlight w:val="none"/>
        </w:rPr>
      </w:pPr>
      <w:r>
        <w:rPr>
          <w:rFonts w:ascii="宋体" w:hAnsi="宋体"/>
          <w:color w:val="auto"/>
          <w:szCs w:val="21"/>
          <w:highlight w:val="none"/>
        </w:rPr>
        <w:t>本次采购采用</w:t>
      </w:r>
      <w:r>
        <w:rPr>
          <w:rFonts w:hint="eastAsia" w:ascii="宋体" w:hAnsi="宋体"/>
          <w:color w:val="auto"/>
          <w:szCs w:val="21"/>
          <w:highlight w:val="none"/>
        </w:rPr>
        <w:t>竞争性磋商方</w:t>
      </w:r>
      <w:r>
        <w:rPr>
          <w:rFonts w:ascii="宋体" w:hAnsi="宋体"/>
          <w:color w:val="auto"/>
          <w:szCs w:val="21"/>
          <w:highlight w:val="none"/>
        </w:rPr>
        <w:t>式进行。</w:t>
      </w:r>
    </w:p>
    <w:p w14:paraId="4A8078D1">
      <w:pPr>
        <w:pStyle w:val="45"/>
        <w:snapToGrid w:val="0"/>
        <w:spacing w:beforeLines="0" w:afterLines="0" w:line="312" w:lineRule="auto"/>
        <w:rPr>
          <w:rFonts w:hAnsi="宋体"/>
          <w:b/>
          <w:color w:val="auto"/>
          <w:highlight w:val="none"/>
        </w:rPr>
      </w:pPr>
      <w:r>
        <w:rPr>
          <w:rFonts w:hAnsi="宋体"/>
          <w:b/>
          <w:color w:val="auto"/>
          <w:highlight w:val="none"/>
        </w:rPr>
        <w:t>（四）采购预算</w:t>
      </w:r>
    </w:p>
    <w:p w14:paraId="6573C3A7">
      <w:pPr>
        <w:pStyle w:val="45"/>
        <w:snapToGrid w:val="0"/>
        <w:spacing w:beforeLines="0" w:afterLines="0" w:line="312" w:lineRule="auto"/>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人民币</w:t>
      </w:r>
      <w:r>
        <w:rPr>
          <w:rFonts w:hint="eastAsia" w:ascii="宋体" w:hAnsi="宋体" w:eastAsia="宋体" w:cs="Times New Roman"/>
          <w:b/>
          <w:color w:val="auto"/>
          <w:szCs w:val="21"/>
          <w:highlight w:val="none"/>
          <w:lang w:val="en-US" w:eastAsia="zh-CN"/>
        </w:rPr>
        <w:t>叁拾陆</w:t>
      </w:r>
      <w:r>
        <w:rPr>
          <w:rFonts w:hint="eastAsia" w:ascii="宋体" w:hAnsi="宋体" w:eastAsia="宋体" w:cs="Times New Roman"/>
          <w:b/>
          <w:color w:val="auto"/>
          <w:szCs w:val="21"/>
          <w:highlight w:val="none"/>
        </w:rPr>
        <w:t>万元整/</w:t>
      </w:r>
      <w:r>
        <w:rPr>
          <w:rFonts w:hint="eastAsia" w:ascii="宋体" w:hAnsi="宋体" w:cs="Times New Roman"/>
          <w:b/>
          <w:color w:val="auto"/>
          <w:szCs w:val="21"/>
          <w:highlight w:val="none"/>
          <w:lang w:val="en-US" w:eastAsia="zh-CN"/>
        </w:rPr>
        <w:t>叁</w:t>
      </w:r>
      <w:r>
        <w:rPr>
          <w:rFonts w:hint="eastAsia" w:ascii="宋体" w:hAnsi="宋体" w:eastAsia="宋体" w:cs="Times New Roman"/>
          <w:b/>
          <w:color w:val="auto"/>
          <w:szCs w:val="21"/>
          <w:highlight w:val="none"/>
        </w:rPr>
        <w:t>年（</w:t>
      </w:r>
      <w:r>
        <w:rPr>
          <w:rFonts w:hint="eastAsia" w:ascii="宋体" w:hAnsi="宋体" w:eastAsia="宋体" w:cs="Times New Roman"/>
          <w:b/>
          <w:color w:val="auto"/>
          <w:szCs w:val="21"/>
          <w:highlight w:val="none"/>
          <w:lang w:val="en-US" w:eastAsia="zh-CN"/>
        </w:rPr>
        <w:t>36</w:t>
      </w:r>
      <w:r>
        <w:rPr>
          <w:rFonts w:hint="eastAsia" w:ascii="宋体" w:hAnsi="宋体" w:eastAsia="宋体" w:cs="Times New Roman"/>
          <w:b/>
          <w:color w:val="auto"/>
          <w:szCs w:val="21"/>
          <w:highlight w:val="none"/>
        </w:rPr>
        <w:t>0,000.00元/</w:t>
      </w:r>
      <w:r>
        <w:rPr>
          <w:rFonts w:hint="eastAsia" w:ascii="宋体" w:hAnsi="宋体" w:cs="Times New Roman"/>
          <w:b/>
          <w:color w:val="auto"/>
          <w:szCs w:val="21"/>
          <w:highlight w:val="none"/>
          <w:lang w:val="en-US" w:eastAsia="zh-CN"/>
        </w:rPr>
        <w:t>3</w:t>
      </w:r>
      <w:r>
        <w:rPr>
          <w:rFonts w:hint="eastAsia" w:ascii="宋体" w:hAnsi="宋体" w:eastAsia="宋体" w:cs="Times New Roman"/>
          <w:b/>
          <w:color w:val="auto"/>
          <w:szCs w:val="21"/>
          <w:highlight w:val="none"/>
        </w:rPr>
        <w:t>年）</w:t>
      </w:r>
    </w:p>
    <w:p w14:paraId="143C3A62">
      <w:pPr>
        <w:pStyle w:val="45"/>
        <w:snapToGrid w:val="0"/>
        <w:spacing w:beforeLines="0" w:afterLines="0" w:line="312" w:lineRule="auto"/>
        <w:rPr>
          <w:rFonts w:hAnsi="宋体"/>
          <w:b/>
          <w:color w:val="auto"/>
          <w:highlight w:val="none"/>
        </w:rPr>
      </w:pPr>
      <w:r>
        <w:rPr>
          <w:rFonts w:hint="eastAsia" w:hAnsi="宋体"/>
          <w:b/>
          <w:color w:val="auto"/>
          <w:highlight w:val="none"/>
        </w:rPr>
        <w:t>（五）</w:t>
      </w:r>
      <w:r>
        <w:rPr>
          <w:rFonts w:hAnsi="宋体"/>
          <w:b/>
          <w:color w:val="auto"/>
          <w:highlight w:val="none"/>
        </w:rPr>
        <w:t>费用</w:t>
      </w:r>
    </w:p>
    <w:p w14:paraId="21FBF245">
      <w:pPr>
        <w:snapToGrid w:val="0"/>
        <w:spacing w:line="312" w:lineRule="auto"/>
        <w:ind w:firstLine="420" w:firstLineChars="200"/>
        <w:jc w:val="left"/>
        <w:rPr>
          <w:rFonts w:ascii="宋体" w:hAnsi="宋体"/>
          <w:color w:val="auto"/>
          <w:szCs w:val="21"/>
          <w:highlight w:val="none"/>
        </w:rPr>
      </w:pPr>
      <w:r>
        <w:rPr>
          <w:rFonts w:ascii="宋体" w:hAnsi="宋体"/>
          <w:color w:val="auto"/>
          <w:szCs w:val="21"/>
          <w:highlight w:val="none"/>
        </w:rPr>
        <w:t>不论</w:t>
      </w:r>
      <w:r>
        <w:rPr>
          <w:rFonts w:hint="eastAsia" w:ascii="宋体" w:hAnsi="宋体"/>
          <w:color w:val="auto"/>
          <w:szCs w:val="21"/>
          <w:highlight w:val="none"/>
        </w:rPr>
        <w:t>采购</w:t>
      </w:r>
      <w:r>
        <w:rPr>
          <w:rFonts w:ascii="宋体" w:hAnsi="宋体"/>
          <w:color w:val="auto"/>
          <w:szCs w:val="21"/>
          <w:highlight w:val="none"/>
        </w:rPr>
        <w:t>结果如何，</w:t>
      </w:r>
      <w:r>
        <w:rPr>
          <w:rFonts w:hint="eastAsia" w:ascii="宋体" w:hAnsi="宋体"/>
          <w:color w:val="auto"/>
          <w:szCs w:val="21"/>
          <w:highlight w:val="none"/>
        </w:rPr>
        <w:t>投标人</w:t>
      </w:r>
      <w:r>
        <w:rPr>
          <w:rFonts w:ascii="宋体" w:hAnsi="宋体"/>
          <w:color w:val="auto"/>
          <w:szCs w:val="21"/>
          <w:highlight w:val="none"/>
        </w:rPr>
        <w:t>均应自行承担所有与投标有关的全部费用（</w:t>
      </w:r>
      <w:r>
        <w:rPr>
          <w:rFonts w:hint="eastAsia" w:ascii="宋体" w:hAnsi="宋体"/>
          <w:color w:val="auto"/>
          <w:szCs w:val="21"/>
          <w:highlight w:val="none"/>
        </w:rPr>
        <w:t>磋商文件</w:t>
      </w:r>
      <w:r>
        <w:rPr>
          <w:rFonts w:ascii="宋体" w:hAnsi="宋体"/>
          <w:color w:val="auto"/>
          <w:szCs w:val="21"/>
          <w:highlight w:val="none"/>
        </w:rPr>
        <w:t>另有规定除外）。</w:t>
      </w:r>
    </w:p>
    <w:p w14:paraId="33AA5EA4">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rPr>
        <w:t xml:space="preserve">五）关于联合体 </w:t>
      </w:r>
    </w:p>
    <w:p w14:paraId="54AAD3D3">
      <w:pPr>
        <w:snapToGrid w:val="0"/>
        <w:spacing w:line="360" w:lineRule="auto"/>
        <w:ind w:firstLine="413" w:firstLineChars="196"/>
        <w:jc w:val="left"/>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本项目</w:t>
      </w:r>
      <w:r>
        <w:rPr>
          <w:rFonts w:hint="eastAsia" w:ascii="宋体" w:hAnsi="宋体" w:eastAsia="宋体" w:cs="Times New Roman"/>
          <w:b/>
          <w:color w:val="auto"/>
          <w:szCs w:val="21"/>
          <w:highlight w:val="none"/>
          <w:lang w:val="en-US" w:eastAsia="zh-CN"/>
        </w:rPr>
        <w:t>不接受</w:t>
      </w:r>
      <w:r>
        <w:rPr>
          <w:rFonts w:hint="eastAsia" w:ascii="宋体" w:hAnsi="宋体" w:eastAsia="宋体" w:cs="Times New Roman"/>
          <w:b/>
          <w:color w:val="auto"/>
          <w:szCs w:val="21"/>
          <w:highlight w:val="none"/>
        </w:rPr>
        <w:t>联合体</w:t>
      </w:r>
    </w:p>
    <w:p w14:paraId="628C3F63">
      <w:pPr>
        <w:keepNext w:val="0"/>
        <w:keepLines w:val="0"/>
        <w:pageBreakBefore w:val="0"/>
        <w:widowControl w:val="0"/>
        <w:kinsoku/>
        <w:wordWrap/>
        <w:overflowPunct/>
        <w:topLinePunct w:val="0"/>
        <w:autoSpaceDE/>
        <w:autoSpaceDN/>
        <w:bidi w:val="0"/>
        <w:adjustRightInd/>
        <w:snapToGrid w:val="0"/>
        <w:spacing w:line="360" w:lineRule="auto"/>
        <w:ind w:right="0" w:rightChars="0"/>
        <w:jc w:val="both"/>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lang w:eastAsia="zh-CN"/>
        </w:rPr>
        <w:t>（六）关于分包和转包</w:t>
      </w:r>
    </w:p>
    <w:p w14:paraId="4B53671D">
      <w:pPr>
        <w:snapToGrid w:val="0"/>
        <w:spacing w:line="360" w:lineRule="auto"/>
        <w:ind w:firstLine="413" w:firstLineChars="196"/>
        <w:jc w:val="left"/>
        <w:rPr>
          <w:rFonts w:hint="eastAsia" w:ascii="宋体" w:hAnsi="宋体" w:eastAsia="宋体" w:cs="Times New Roman"/>
          <w:b/>
          <w:color w:val="auto"/>
          <w:szCs w:val="21"/>
          <w:highlight w:val="none"/>
          <w:lang w:eastAsia="zh-CN"/>
        </w:rPr>
      </w:pPr>
      <w:r>
        <w:rPr>
          <w:rFonts w:hint="eastAsia" w:ascii="宋体" w:hAnsi="宋体" w:eastAsia="宋体" w:cs="Times New Roman"/>
          <w:b/>
          <w:color w:val="auto"/>
          <w:szCs w:val="21"/>
          <w:highlight w:val="none"/>
        </w:rPr>
        <w:t>本项目</w:t>
      </w:r>
      <w:r>
        <w:rPr>
          <w:rFonts w:hint="eastAsia" w:ascii="宋体" w:hAnsi="宋体" w:eastAsia="宋体" w:cs="Times New Roman"/>
          <w:b/>
          <w:color w:val="auto"/>
          <w:szCs w:val="21"/>
          <w:highlight w:val="none"/>
          <w:lang w:val="en-US" w:eastAsia="zh-CN"/>
        </w:rPr>
        <w:t>不</w:t>
      </w:r>
      <w:r>
        <w:rPr>
          <w:rFonts w:hint="eastAsia" w:ascii="宋体" w:hAnsi="宋体" w:eastAsia="宋体" w:cs="Times New Roman"/>
          <w:b/>
          <w:color w:val="auto"/>
          <w:szCs w:val="21"/>
          <w:highlight w:val="none"/>
        </w:rPr>
        <w:t>允许分包</w:t>
      </w:r>
      <w:r>
        <w:rPr>
          <w:rFonts w:hint="eastAsia" w:ascii="宋体" w:hAnsi="宋体" w:eastAsia="宋体" w:cs="Times New Roman"/>
          <w:b/>
          <w:color w:val="auto"/>
          <w:szCs w:val="21"/>
          <w:highlight w:val="none"/>
          <w:lang w:eastAsia="zh-CN"/>
        </w:rPr>
        <w:t>。</w:t>
      </w:r>
    </w:p>
    <w:p w14:paraId="0FBB172E">
      <w:pPr>
        <w:keepNext w:val="0"/>
        <w:keepLines w:val="0"/>
        <w:pageBreakBefore w:val="0"/>
        <w:kinsoku/>
        <w:wordWrap/>
        <w:overflowPunct/>
        <w:topLinePunct w:val="0"/>
        <w:autoSpaceDE/>
        <w:autoSpaceDN/>
        <w:bidi w:val="0"/>
        <w:adjustRightInd/>
        <w:snapToGrid w:val="0"/>
        <w:spacing w:line="360" w:lineRule="auto"/>
        <w:ind w:left="0" w:leftChars="0" w:right="0" w:rightChars="0" w:firstLine="422" w:firstLineChars="200"/>
        <w:jc w:val="both"/>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本项目不允许转包。</w:t>
      </w:r>
    </w:p>
    <w:p w14:paraId="1F16D972">
      <w:pPr>
        <w:pStyle w:val="45"/>
        <w:snapToGrid w:val="0"/>
        <w:spacing w:beforeLines="0" w:afterLines="0" w:line="312" w:lineRule="auto"/>
        <w:rPr>
          <w:rFonts w:hAnsi="宋体"/>
          <w:b/>
          <w:color w:val="auto"/>
          <w:highlight w:val="none"/>
        </w:rPr>
      </w:pPr>
      <w:r>
        <w:rPr>
          <w:rFonts w:hAnsi="宋体"/>
          <w:b/>
          <w:color w:val="auto"/>
          <w:highlight w:val="none"/>
        </w:rPr>
        <w:t>（</w:t>
      </w:r>
      <w:r>
        <w:rPr>
          <w:rFonts w:hint="eastAsia" w:hAnsi="宋体"/>
          <w:b/>
          <w:color w:val="auto"/>
          <w:highlight w:val="none"/>
        </w:rPr>
        <w:t>八</w:t>
      </w:r>
      <w:r>
        <w:rPr>
          <w:rFonts w:hAnsi="宋体"/>
          <w:b/>
          <w:color w:val="auto"/>
          <w:highlight w:val="none"/>
        </w:rPr>
        <w:t>）特别说明：</w:t>
      </w:r>
    </w:p>
    <w:p w14:paraId="0C8C38A0">
      <w:pPr>
        <w:snapToGrid w:val="0"/>
        <w:spacing w:line="360" w:lineRule="auto"/>
        <w:ind w:firstLine="420" w:firstLineChars="200"/>
        <w:jc w:val="left"/>
        <w:rPr>
          <w:rFonts w:ascii="宋体" w:hAnsi="宋体"/>
          <w:color w:val="auto"/>
          <w:szCs w:val="22"/>
          <w:highlight w:val="none"/>
        </w:rPr>
      </w:pPr>
      <w:r>
        <w:rPr>
          <w:rFonts w:hint="eastAsia" w:ascii="Times New Roman" w:hAnsi="Times New Roman"/>
          <w:bCs/>
          <w:color w:val="auto"/>
          <w:szCs w:val="22"/>
          <w:highlight w:val="none"/>
        </w:rPr>
        <w:t>1.</w:t>
      </w:r>
      <w:r>
        <w:rPr>
          <w:rFonts w:hint="eastAsia" w:ascii="宋体" w:hAnsi="宋体"/>
          <w:color w:val="auto"/>
          <w:szCs w:val="22"/>
          <w:highlight w:val="none"/>
        </w:rPr>
        <w:t>单位负责人为同一人或者存在直接控股、管理关系的不同供应商，不得同时参加同一合同项下的投标。</w:t>
      </w:r>
    </w:p>
    <w:p w14:paraId="004DA7AB">
      <w:pPr>
        <w:snapToGrid w:val="0"/>
        <w:spacing w:line="360" w:lineRule="auto"/>
        <w:ind w:firstLine="420" w:firstLineChars="200"/>
        <w:jc w:val="left"/>
        <w:rPr>
          <w:rFonts w:ascii="宋体" w:hAnsi="宋体"/>
          <w:color w:val="auto"/>
          <w:szCs w:val="22"/>
          <w:highlight w:val="none"/>
        </w:rPr>
      </w:pPr>
      <w:r>
        <w:rPr>
          <w:rFonts w:hint="eastAsia" w:ascii="宋体" w:hAnsi="宋体"/>
          <w:color w:val="auto"/>
          <w:szCs w:val="22"/>
          <w:highlight w:val="none"/>
        </w:rPr>
        <w:t>为项目提供整体设计、规范编制或者项目管理、监理、检测等服务的供应商，不得参加该项目的投标。</w:t>
      </w:r>
    </w:p>
    <w:p w14:paraId="31DA48A7">
      <w:pPr>
        <w:snapToGrid w:val="0"/>
        <w:spacing w:line="360" w:lineRule="auto"/>
        <w:ind w:firstLine="401" w:firstLineChars="199"/>
        <w:rPr>
          <w:rFonts w:ascii="Times New Roman" w:hAnsi="Times New Roman"/>
          <w:bCs/>
          <w:color w:val="auto"/>
          <w:spacing w:val="-4"/>
          <w:kern w:val="0"/>
          <w:highlight w:val="none"/>
        </w:rPr>
      </w:pPr>
      <w:r>
        <w:rPr>
          <w:rFonts w:ascii="Times New Roman" w:hAnsi="Times New Roman"/>
          <w:bCs/>
          <w:color w:val="auto"/>
          <w:spacing w:val="-4"/>
          <w:kern w:val="0"/>
          <w:highlight w:val="none"/>
        </w:rPr>
        <w:t>2.</w:t>
      </w:r>
      <w:r>
        <w:rPr>
          <w:rFonts w:hint="eastAsia" w:ascii="Times New Roman" w:hAnsi="Times New Roman"/>
          <w:bCs/>
          <w:color w:val="auto"/>
          <w:spacing w:val="-4"/>
          <w:kern w:val="0"/>
          <w:highlight w:val="none"/>
        </w:rPr>
        <w:t>投标人投标所使用的资格、信誉、荣誉、业绩与企业认证必须为本法人所拥有。投标人投标所使用的采购项目实施人员必须为本法人员工。</w:t>
      </w:r>
    </w:p>
    <w:p w14:paraId="100E5109">
      <w:pPr>
        <w:snapToGrid w:val="0"/>
        <w:spacing w:line="360" w:lineRule="auto"/>
        <w:ind w:firstLine="404" w:firstLineChars="200"/>
        <w:rPr>
          <w:rFonts w:ascii="Times New Roman" w:hAnsi="Times New Roman"/>
          <w:bCs/>
          <w:color w:val="auto"/>
          <w:spacing w:val="-4"/>
          <w:kern w:val="0"/>
          <w:highlight w:val="none"/>
        </w:rPr>
      </w:pPr>
      <w:r>
        <w:rPr>
          <w:rFonts w:ascii="Times New Roman" w:hAnsi="Times New Roman"/>
          <w:bCs/>
          <w:color w:val="auto"/>
          <w:spacing w:val="-4"/>
          <w:kern w:val="0"/>
          <w:highlight w:val="none"/>
        </w:rPr>
        <w:t>3.</w:t>
      </w:r>
      <w:r>
        <w:rPr>
          <w:rFonts w:hint="eastAsia" w:ascii="Times New Roman" w:hAnsi="Times New Roman"/>
          <w:bCs/>
          <w:color w:val="auto"/>
          <w:spacing w:val="-4"/>
          <w:kern w:val="0"/>
          <w:highlight w:val="none"/>
        </w:rPr>
        <w:t>投标人应仔细阅读招标文件的所有内容，按照招标文件的要求提交投标文件，并对所提供的全部资料的真实性承担法律责任。</w:t>
      </w:r>
    </w:p>
    <w:p w14:paraId="3EEADB12">
      <w:pPr>
        <w:pStyle w:val="45"/>
        <w:snapToGrid w:val="0"/>
        <w:spacing w:beforeLines="0" w:afterLines="0" w:line="360" w:lineRule="auto"/>
        <w:rPr>
          <w:rFonts w:hAnsi="宋体"/>
          <w:b/>
          <w:color w:val="auto"/>
          <w:highlight w:val="none"/>
        </w:rPr>
      </w:pPr>
      <w:r>
        <w:rPr>
          <w:rFonts w:hAnsi="宋体"/>
          <w:b/>
          <w:color w:val="auto"/>
          <w:highlight w:val="none"/>
        </w:rPr>
        <w:t>（</w:t>
      </w:r>
      <w:r>
        <w:rPr>
          <w:rFonts w:hint="eastAsia" w:hAnsi="宋体"/>
          <w:b/>
          <w:color w:val="auto"/>
          <w:highlight w:val="none"/>
        </w:rPr>
        <w:t>九</w:t>
      </w:r>
      <w:r>
        <w:rPr>
          <w:rFonts w:hAnsi="宋体"/>
          <w:b/>
          <w:color w:val="auto"/>
          <w:highlight w:val="none"/>
        </w:rPr>
        <w:t>）质疑</w:t>
      </w:r>
    </w:p>
    <w:p w14:paraId="0EEA129B">
      <w:pPr>
        <w:widowControl/>
        <w:snapToGrid w:val="0"/>
        <w:spacing w:line="360" w:lineRule="auto"/>
        <w:ind w:firstLine="420" w:firstLineChars="200"/>
        <w:outlineLvl w:val="1"/>
        <w:rPr>
          <w:rFonts w:hAnsi="宋体" w:cs="宋体"/>
          <w:bCs/>
          <w:color w:val="auto"/>
          <w:szCs w:val="21"/>
          <w:highlight w:val="none"/>
        </w:rPr>
      </w:pPr>
      <w:r>
        <w:rPr>
          <w:rFonts w:hAnsi="宋体" w:cs="宋体"/>
          <w:bCs/>
          <w:color w:val="auto"/>
          <w:szCs w:val="21"/>
          <w:highlight w:val="none"/>
        </w:rPr>
        <w:t>投标人应当自知道或者应当知道其合法权益受到损害之日起七个工作日内提出质疑。</w:t>
      </w:r>
    </w:p>
    <w:p w14:paraId="3EDA5D45">
      <w:pPr>
        <w:widowControl/>
        <w:snapToGrid w:val="0"/>
        <w:spacing w:line="360" w:lineRule="auto"/>
        <w:ind w:firstLine="420" w:firstLineChars="200"/>
        <w:outlineLvl w:val="1"/>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1.对可以质疑的采购文件提出质疑的，为收到采购文件之日或者采购文件公告期限届满之日；</w:t>
      </w:r>
    </w:p>
    <w:p w14:paraId="41F331C0">
      <w:pPr>
        <w:widowControl/>
        <w:snapToGrid w:val="0"/>
        <w:spacing w:line="360" w:lineRule="auto"/>
        <w:ind w:firstLine="420" w:firstLineChars="200"/>
        <w:outlineLvl w:val="1"/>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2.对采购过程提出质疑的，为各采购程序环节结束之日；</w:t>
      </w:r>
    </w:p>
    <w:p w14:paraId="6E19CF9C">
      <w:pPr>
        <w:widowControl/>
        <w:snapToGrid w:val="0"/>
        <w:spacing w:line="360" w:lineRule="auto"/>
        <w:ind w:firstLine="420" w:firstLineChars="200"/>
        <w:outlineLvl w:val="1"/>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3.对中标或者成交结果提出质疑的，为中标或者成交结果公告期限届满之日。</w:t>
      </w:r>
    </w:p>
    <w:p w14:paraId="276E5FE5">
      <w:pPr>
        <w:widowControl/>
        <w:snapToGrid w:val="0"/>
        <w:spacing w:line="360" w:lineRule="auto"/>
        <w:ind w:firstLine="420" w:firstLineChars="200"/>
        <w:outlineLvl w:val="1"/>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r>
        <w:rPr>
          <w:rFonts w:cs="宋体" w:asciiTheme="minorEastAsia" w:hAnsiTheme="minorEastAsia" w:eastAsiaTheme="minorEastAsia"/>
          <w:bCs/>
          <w:color w:val="auto"/>
          <w:szCs w:val="21"/>
          <w:highlight w:val="none"/>
        </w:rPr>
        <w:t>质疑书应包括下列主要内容：</w:t>
      </w:r>
    </w:p>
    <w:p w14:paraId="4C391554">
      <w:pPr>
        <w:widowControl/>
        <w:snapToGrid w:val="0"/>
        <w:spacing w:line="360" w:lineRule="auto"/>
        <w:ind w:firstLine="420" w:firstLineChars="200"/>
        <w:outlineLvl w:val="1"/>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①质疑人的名称、地址、邮政编码、联系人、联系电话，以及被质疑人名称及联系方式；</w:t>
      </w:r>
    </w:p>
    <w:p w14:paraId="30A22E8F">
      <w:pPr>
        <w:widowControl/>
        <w:snapToGrid w:val="0"/>
        <w:spacing w:line="360" w:lineRule="auto"/>
        <w:ind w:firstLine="420" w:firstLineChars="200"/>
        <w:outlineLvl w:val="1"/>
        <w:rPr>
          <w:rFonts w:cs="宋体" w:asciiTheme="minorEastAsia" w:hAnsiTheme="minorEastAsia" w:eastAsiaTheme="minorEastAsia"/>
          <w:bCs/>
          <w:color w:val="auto"/>
          <w:szCs w:val="21"/>
          <w:highlight w:val="none"/>
        </w:rPr>
      </w:pPr>
      <w:r>
        <w:rPr>
          <w:rFonts w:cs="宋体" w:asciiTheme="minorEastAsia" w:hAnsiTheme="minorEastAsia" w:eastAsiaTheme="minorEastAsia"/>
          <w:bCs/>
          <w:color w:val="auto"/>
          <w:szCs w:val="21"/>
          <w:highlight w:val="none"/>
        </w:rPr>
        <w:t>②被质疑采购项目名称、编号及采购内容；</w:t>
      </w:r>
    </w:p>
    <w:p w14:paraId="109760F0">
      <w:pPr>
        <w:widowControl/>
        <w:snapToGrid w:val="0"/>
        <w:spacing w:line="360" w:lineRule="auto"/>
        <w:ind w:firstLine="420" w:firstLineChars="200"/>
        <w:outlineLvl w:val="1"/>
        <w:rPr>
          <w:rFonts w:hAnsi="宋体" w:cs="宋体"/>
          <w:bCs/>
          <w:color w:val="auto"/>
          <w:szCs w:val="21"/>
          <w:highlight w:val="none"/>
        </w:rPr>
      </w:pPr>
      <w:r>
        <w:rPr>
          <w:rFonts w:hAnsi="宋体" w:cs="宋体"/>
          <w:bCs/>
          <w:color w:val="auto"/>
          <w:szCs w:val="21"/>
          <w:highlight w:val="none"/>
        </w:rPr>
        <w:t>③具体的质疑事项及事实依据；</w:t>
      </w:r>
    </w:p>
    <w:p w14:paraId="72351EDB">
      <w:pPr>
        <w:widowControl/>
        <w:snapToGrid w:val="0"/>
        <w:spacing w:line="360" w:lineRule="auto"/>
        <w:ind w:firstLine="420" w:firstLineChars="200"/>
        <w:outlineLvl w:val="1"/>
        <w:rPr>
          <w:rFonts w:hAnsi="宋体" w:cs="宋体"/>
          <w:bCs/>
          <w:color w:val="auto"/>
          <w:szCs w:val="21"/>
          <w:highlight w:val="none"/>
        </w:rPr>
      </w:pPr>
      <w:r>
        <w:rPr>
          <w:rFonts w:hAnsi="宋体" w:cs="宋体"/>
          <w:bCs/>
          <w:color w:val="auto"/>
          <w:szCs w:val="21"/>
          <w:highlight w:val="none"/>
        </w:rPr>
        <w:t>④认为自己合法权益受到损害或可能受到损害的相关证据材料；</w:t>
      </w:r>
    </w:p>
    <w:p w14:paraId="625832D7">
      <w:pPr>
        <w:widowControl/>
        <w:snapToGrid w:val="0"/>
        <w:spacing w:line="360" w:lineRule="auto"/>
        <w:ind w:firstLine="420" w:firstLineChars="200"/>
        <w:outlineLvl w:val="1"/>
        <w:rPr>
          <w:rFonts w:hAnsi="宋体" w:cs="宋体"/>
          <w:bCs/>
          <w:color w:val="auto"/>
          <w:szCs w:val="21"/>
          <w:highlight w:val="none"/>
        </w:rPr>
      </w:pPr>
      <w:r>
        <w:rPr>
          <w:rFonts w:hAnsi="宋体" w:cs="宋体"/>
          <w:bCs/>
          <w:color w:val="auto"/>
          <w:szCs w:val="21"/>
          <w:highlight w:val="none"/>
        </w:rPr>
        <w:t>⑤提出质疑的日期。</w:t>
      </w:r>
    </w:p>
    <w:p w14:paraId="6D0C2EF3">
      <w:pPr>
        <w:pStyle w:val="2"/>
        <w:spacing w:after="0" w:line="360" w:lineRule="auto"/>
        <w:ind w:firstLine="420" w:firstLineChars="200"/>
        <w:rPr>
          <w:color w:val="auto"/>
          <w:sz w:val="21"/>
          <w:szCs w:val="21"/>
          <w:highlight w:val="none"/>
        </w:rPr>
      </w:pPr>
      <w:r>
        <w:rPr>
          <w:rFonts w:hint="eastAsia"/>
          <w:color w:val="auto"/>
          <w:sz w:val="21"/>
          <w:szCs w:val="21"/>
          <w:highlight w:val="none"/>
        </w:rPr>
        <w:t>供应商为自然人的，应当由本人签字：供应商为法人或者其他组织的，应当由法定代表人、主要负责人，或者其授权代表签字或者盖章，并加盖公章。</w:t>
      </w:r>
    </w:p>
    <w:p w14:paraId="21ED3F49">
      <w:pPr>
        <w:widowControl/>
        <w:snapToGrid w:val="0"/>
        <w:spacing w:line="360" w:lineRule="auto"/>
        <w:ind w:firstLine="420" w:firstLineChars="200"/>
        <w:outlineLvl w:val="1"/>
        <w:rPr>
          <w:rFonts w:asciiTheme="minorEastAsia" w:hAnsiTheme="minorEastAsia" w:eastAsiaTheme="minorEastAsia"/>
          <w:b/>
          <w:color w:val="auto"/>
          <w:sz w:val="28"/>
          <w:highlight w:val="none"/>
        </w:rPr>
      </w:pPr>
      <w:r>
        <w:rPr>
          <w:rFonts w:hint="eastAsia" w:hAnsi="宋体" w:cs="宋体"/>
          <w:bCs/>
          <w:color w:val="auto"/>
          <w:szCs w:val="21"/>
          <w:highlight w:val="none"/>
        </w:rPr>
        <w:t>供应商在法定质疑期内一次性提出针对同一采购程序环节的质疑。</w:t>
      </w:r>
    </w:p>
    <w:p w14:paraId="4F3EC157">
      <w:pPr>
        <w:pStyle w:val="12"/>
        <w:snapToGrid w:val="0"/>
        <w:spacing w:before="156" w:line="360" w:lineRule="auto"/>
        <w:ind w:right="-506" w:rightChars="-241" w:firstLine="3092" w:firstLineChars="110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二、  磋商文件</w:t>
      </w:r>
    </w:p>
    <w:p w14:paraId="66A176DB">
      <w:pPr>
        <w:snapToGrid w:val="0"/>
        <w:spacing w:line="360" w:lineRule="auto"/>
        <w:ind w:right="-241"/>
        <w:jc w:val="left"/>
        <w:rPr>
          <w:rFonts w:ascii="宋体" w:hAnsi="宋体"/>
          <w:b/>
          <w:color w:val="auto"/>
          <w:sz w:val="24"/>
          <w:highlight w:val="none"/>
        </w:rPr>
      </w:pPr>
      <w:r>
        <w:rPr>
          <w:rFonts w:hint="eastAsia" w:ascii="宋体" w:hAnsi="宋体"/>
          <w:b/>
          <w:color w:val="auto"/>
          <w:sz w:val="24"/>
          <w:highlight w:val="none"/>
        </w:rPr>
        <w:t>（一）磋商文件的构成。本磋商文件由以下</w:t>
      </w:r>
      <w:r>
        <w:rPr>
          <w:rFonts w:hint="eastAsia" w:ascii="宋体" w:hAnsi="宋体"/>
          <w:b/>
          <w:color w:val="auto"/>
          <w:sz w:val="24"/>
          <w:highlight w:val="none"/>
          <w:lang w:eastAsia="zh-CN"/>
        </w:rPr>
        <w:t>部分</w:t>
      </w:r>
      <w:r>
        <w:rPr>
          <w:rFonts w:hint="eastAsia" w:ascii="宋体" w:hAnsi="宋体"/>
          <w:b/>
          <w:color w:val="auto"/>
          <w:sz w:val="24"/>
          <w:highlight w:val="none"/>
        </w:rPr>
        <w:t>组成：</w:t>
      </w:r>
    </w:p>
    <w:p w14:paraId="57DE011C">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1.招标公告</w:t>
      </w:r>
    </w:p>
    <w:p w14:paraId="16526914">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2.招标需求</w:t>
      </w:r>
    </w:p>
    <w:p w14:paraId="5C328FD7">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3.投标人须知</w:t>
      </w:r>
    </w:p>
    <w:p w14:paraId="2F0B4DF1">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4.评标方法及标准</w:t>
      </w:r>
    </w:p>
    <w:p w14:paraId="5A3C201D">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5.合同主要条款</w:t>
      </w:r>
    </w:p>
    <w:p w14:paraId="4F9A740E">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6.投标文件格式</w:t>
      </w:r>
    </w:p>
    <w:p w14:paraId="111B361F">
      <w:pPr>
        <w:snapToGrid w:val="0"/>
        <w:spacing w:line="360" w:lineRule="auto"/>
        <w:ind w:right="-238" w:firstLine="420" w:firstLineChars="200"/>
        <w:jc w:val="left"/>
        <w:rPr>
          <w:rFonts w:ascii="宋体" w:hAnsi="宋体"/>
          <w:color w:val="auto"/>
          <w:highlight w:val="none"/>
        </w:rPr>
      </w:pPr>
      <w:r>
        <w:rPr>
          <w:rFonts w:hint="eastAsia" w:ascii="宋体" w:hAnsi="宋体"/>
          <w:color w:val="auto"/>
          <w:highlight w:val="none"/>
        </w:rPr>
        <w:t>7.本项目磋商文件的澄清、答复、修改、补充的内容</w:t>
      </w:r>
    </w:p>
    <w:p w14:paraId="7015B527">
      <w:pPr>
        <w:snapToGrid w:val="0"/>
        <w:spacing w:line="360" w:lineRule="auto"/>
        <w:ind w:right="-238"/>
        <w:jc w:val="left"/>
        <w:rPr>
          <w:rFonts w:ascii="宋体" w:hAnsi="宋体"/>
          <w:b/>
          <w:color w:val="auto"/>
          <w:sz w:val="24"/>
          <w:highlight w:val="none"/>
        </w:rPr>
      </w:pPr>
      <w:r>
        <w:rPr>
          <w:rFonts w:hint="eastAsia" w:ascii="宋体" w:hAnsi="宋体"/>
          <w:b/>
          <w:color w:val="auto"/>
          <w:sz w:val="24"/>
          <w:highlight w:val="none"/>
        </w:rPr>
        <w:t>（二）投标人的风险</w:t>
      </w:r>
    </w:p>
    <w:p w14:paraId="6D7C94D7">
      <w:pPr>
        <w:pStyle w:val="21"/>
        <w:spacing w:line="360" w:lineRule="auto"/>
        <w:ind w:right="-506" w:rightChars="-241" w:firstLine="420"/>
        <w:rPr>
          <w:rFonts w:ascii="宋体" w:eastAsia="宋体"/>
          <w:color w:val="auto"/>
          <w:sz w:val="21"/>
          <w:highlight w:val="none"/>
        </w:rPr>
      </w:pPr>
      <w:r>
        <w:rPr>
          <w:rFonts w:hint="eastAsia" w:ascii="宋体" w:eastAsia="宋体"/>
          <w:color w:val="auto"/>
          <w:sz w:val="21"/>
          <w:highlight w:val="none"/>
        </w:rPr>
        <w:t>投标人没有按照磋商文件要求提供全部资料，或者投标人没有对磋商文件在各方面作出实质性响应是投标人的风险，并可能导致其投标被拒绝。</w:t>
      </w:r>
    </w:p>
    <w:p w14:paraId="1C804C0B">
      <w:pPr>
        <w:pStyle w:val="7"/>
        <w:numPr>
          <w:ilvl w:val="0"/>
          <w:numId w:val="0"/>
        </w:numPr>
        <w:tabs>
          <w:tab w:val="left" w:pos="454"/>
          <w:tab w:val="left" w:pos="720"/>
        </w:tabs>
        <w:snapToGrid w:val="0"/>
        <w:spacing w:line="360" w:lineRule="auto"/>
        <w:ind w:left="360" w:right="-238" w:hanging="360"/>
        <w:rPr>
          <w:rFonts w:ascii="宋体" w:hAnsi="宋体"/>
          <w:b/>
          <w:color w:val="auto"/>
          <w:sz w:val="24"/>
          <w:highlight w:val="none"/>
        </w:rPr>
      </w:pPr>
      <w:r>
        <w:rPr>
          <w:rFonts w:hint="eastAsia" w:ascii="宋体" w:hAnsi="宋体"/>
          <w:b/>
          <w:color w:val="auto"/>
          <w:sz w:val="24"/>
          <w:highlight w:val="none"/>
        </w:rPr>
        <w:t xml:space="preserve">（三）磋商文件的澄清与修改 </w:t>
      </w:r>
    </w:p>
    <w:p w14:paraId="6B0BF7CB">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1.投标人获取磋商文件后，应仔细检查磋商文件的所有内容，如有残缺等问题，应及时向采购代理机构提出，否则，由此引起的损失由投标人自己承担。投标人同时应认真审阅磋商文件中所有的事项、格式、条款和规范要求等，若投标人的投标文件没有按磋商文件要求提交全部资料，或投标文件没有对磋商文件做出实质性响应的，其风险由投标人自行承担，并根据有关条款规定，该响应有可能被拒绝。</w:t>
      </w:r>
    </w:p>
    <w:p w14:paraId="06A0EF51">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2.提交首次投标文件截止之日前，采购人、采购代理机构可以对已发出的磋商文件进行必要的澄清或者修改，澄清或者修改的内容作为磋商文件的组成部分。澄清或者修改的内容可能影响投标文件编制的，采购代理机构应当在提交首次投标文件截止时间至少5日前，以短信形式通知所有已经报名的供应商；不足5日的，采购人、采购代理机构应当顺延提交首次投标文件截止时间。</w:t>
      </w:r>
    </w:p>
    <w:p w14:paraId="5955B9B3">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3.投标人若对磋商文件有任何疑问，要求澄清或认为有必要与采购代理机构进行交流时，应用书面形式送至采购代理机构，采购代理机构将根据澄清内容作出答复，并应将答复内容通知所有投标人。</w:t>
      </w:r>
    </w:p>
    <w:p w14:paraId="298D5330">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 xml:space="preserve">4.采购代理机构在规定时间前，对磋商文件的澄清或修改内容，均为磋商文件的组成部分。 </w:t>
      </w:r>
    </w:p>
    <w:p w14:paraId="50BA0EE6">
      <w:pPr>
        <w:pStyle w:val="12"/>
        <w:snapToGrid w:val="0"/>
        <w:spacing w:before="156"/>
        <w:ind w:firstLine="3202" w:firstLineChars="1139"/>
        <w:outlineLvl w:val="1"/>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三、投标文件的编制</w:t>
      </w:r>
    </w:p>
    <w:p w14:paraId="6EC390C0">
      <w:pPr>
        <w:snapToGrid w:val="0"/>
        <w:spacing w:line="360" w:lineRule="auto"/>
        <w:jc w:val="left"/>
        <w:outlineLvl w:val="0"/>
        <w:rPr>
          <w:rFonts w:ascii="宋体" w:hAnsi="宋体"/>
          <w:b/>
          <w:color w:val="auto"/>
          <w:sz w:val="24"/>
          <w:highlight w:val="none"/>
        </w:rPr>
      </w:pPr>
      <w:r>
        <w:rPr>
          <w:rFonts w:hint="eastAsia" w:ascii="宋体" w:hAnsi="宋体"/>
          <w:b/>
          <w:color w:val="auto"/>
          <w:sz w:val="24"/>
          <w:highlight w:val="none"/>
        </w:rPr>
        <w:t>（一）投标文件的组成</w:t>
      </w:r>
    </w:p>
    <w:p w14:paraId="45DC17D8">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由投标文件、投标报价文件组成。电子投标文件中所须加盖公章部分均采用CA签章。</w:t>
      </w:r>
    </w:p>
    <w:p w14:paraId="1A356301">
      <w:pPr>
        <w:snapToGrid w:val="0"/>
        <w:spacing w:line="360" w:lineRule="auto"/>
        <w:ind w:right="-241" w:firstLine="420" w:firstLineChars="200"/>
        <w:jc w:val="left"/>
        <w:rPr>
          <w:rFonts w:ascii="宋体" w:hAnsi="宋体"/>
          <w:color w:val="auto"/>
          <w:highlight w:val="none"/>
        </w:rPr>
      </w:pPr>
      <w:r>
        <w:rPr>
          <w:rFonts w:hint="eastAsia" w:ascii="宋体" w:hAnsi="宋体"/>
          <w:color w:val="auto"/>
          <w:highlight w:val="none"/>
        </w:rPr>
        <w:t>（以下投标文件的部分格式详见本磋商文件第六部分，如本磋商文件没有提供相应的格式，投标人可自行制表填写）</w:t>
      </w:r>
    </w:p>
    <w:p w14:paraId="59BFBFC1">
      <w:pPr>
        <w:pStyle w:val="12"/>
        <w:snapToGrid w:val="0"/>
        <w:spacing w:line="360" w:lineRule="auto"/>
        <w:ind w:left="417"/>
        <w:rPr>
          <w:rFonts w:hAnsi="宋体" w:eastAsia="宋体"/>
          <w:b/>
          <w:color w:val="auto"/>
          <w:sz w:val="21"/>
          <w:szCs w:val="21"/>
          <w:highlight w:val="none"/>
        </w:rPr>
      </w:pPr>
      <w:r>
        <w:rPr>
          <w:rFonts w:hint="eastAsia" w:hAnsi="宋体" w:eastAsia="宋体"/>
          <w:b/>
          <w:color w:val="auto"/>
          <w:sz w:val="21"/>
          <w:szCs w:val="21"/>
          <w:highlight w:val="none"/>
        </w:rPr>
        <w:t>1.</w:t>
      </w:r>
      <w:r>
        <w:rPr>
          <w:rFonts w:hAnsi="宋体" w:eastAsia="宋体"/>
          <w:b/>
          <w:color w:val="auto"/>
          <w:sz w:val="21"/>
          <w:szCs w:val="21"/>
          <w:highlight w:val="none"/>
        </w:rPr>
        <w:t>资格</w:t>
      </w:r>
      <w:r>
        <w:rPr>
          <w:rFonts w:hint="eastAsia" w:hAnsi="宋体" w:eastAsia="宋体"/>
          <w:b/>
          <w:color w:val="auto"/>
          <w:sz w:val="21"/>
          <w:szCs w:val="21"/>
          <w:highlight w:val="none"/>
        </w:rPr>
        <w:t>投标部分</w:t>
      </w:r>
      <w:r>
        <w:rPr>
          <w:rFonts w:hAnsi="宋体" w:eastAsia="宋体"/>
          <w:b/>
          <w:color w:val="auto"/>
          <w:sz w:val="21"/>
          <w:szCs w:val="21"/>
          <w:highlight w:val="none"/>
        </w:rPr>
        <w:t>：</w:t>
      </w:r>
    </w:p>
    <w:p w14:paraId="001A122F">
      <w:pPr>
        <w:spacing w:line="360" w:lineRule="auto"/>
        <w:ind w:left="417"/>
        <w:rPr>
          <w:rFonts w:ascii="宋体"/>
          <w:color w:val="auto"/>
          <w:highlight w:val="none"/>
        </w:rPr>
      </w:pPr>
      <w:r>
        <w:rPr>
          <w:rFonts w:ascii="宋体" w:hAnsi="宋体"/>
          <w:color w:val="auto"/>
          <w:highlight w:val="none"/>
        </w:rPr>
        <w:t>1.1</w:t>
      </w:r>
      <w:r>
        <w:rPr>
          <w:rFonts w:hint="eastAsia" w:ascii="宋体" w:hAnsi="宋体"/>
          <w:color w:val="auto"/>
          <w:highlight w:val="none"/>
        </w:rPr>
        <w:t>基本资格条件：符合《中华人民共和国政府采购法》第二十二条的规定；</w:t>
      </w:r>
    </w:p>
    <w:p w14:paraId="1E53DD74">
      <w:pPr>
        <w:spacing w:line="360" w:lineRule="auto"/>
        <w:ind w:firstLine="420" w:firstLineChars="200"/>
        <w:rPr>
          <w:rFonts w:ascii="宋体" w:hAnsi="宋体"/>
          <w:color w:val="auto"/>
          <w:highlight w:val="none"/>
        </w:rPr>
      </w:pPr>
      <w:r>
        <w:rPr>
          <w:rFonts w:hint="eastAsia" w:ascii="宋体" w:hAnsi="宋体"/>
          <w:color w:val="auto"/>
          <w:highlight w:val="none"/>
        </w:rPr>
        <w:t>（以下</w:t>
      </w:r>
      <w:r>
        <w:rPr>
          <w:rFonts w:ascii="宋体" w:hAnsi="宋体"/>
          <w:color w:val="auto"/>
          <w:highlight w:val="none"/>
        </w:rPr>
        <w:t>A~</w:t>
      </w:r>
      <w:r>
        <w:rPr>
          <w:rFonts w:hint="eastAsia" w:ascii="宋体" w:hAnsi="宋体"/>
          <w:color w:val="auto"/>
          <w:highlight w:val="none"/>
        </w:rPr>
        <w:t>E项是第二十二条要求及对应证明材料的具体内容，各投标人须在投标文件中出具对应证明材料）</w:t>
      </w:r>
    </w:p>
    <w:p w14:paraId="752AD34D">
      <w:pPr>
        <w:spacing w:line="360" w:lineRule="auto"/>
        <w:ind w:firstLine="482" w:firstLineChars="200"/>
        <w:rPr>
          <w:rFonts w:ascii="宋体"/>
          <w:b/>
          <w:bCs/>
          <w:color w:val="auto"/>
          <w:highlight w:val="none"/>
        </w:rPr>
      </w:pPr>
      <w:r>
        <w:rPr>
          <w:rFonts w:ascii="宋体" w:hAnsi="宋体"/>
          <w:b/>
          <w:bCs/>
          <w:color w:val="auto"/>
          <w:sz w:val="24"/>
          <w:highlight w:val="none"/>
        </w:rPr>
        <w:t>A</w:t>
      </w:r>
      <w:r>
        <w:rPr>
          <w:rFonts w:ascii="宋体" w:cs="宋体"/>
          <w:b/>
          <w:bCs/>
          <w:color w:val="auto"/>
          <w:sz w:val="24"/>
          <w:highlight w:val="none"/>
        </w:rPr>
        <w:t>.</w:t>
      </w:r>
      <w:r>
        <w:rPr>
          <w:rFonts w:hint="eastAsia" w:ascii="宋体" w:hAnsi="宋体"/>
          <w:b/>
          <w:bCs/>
          <w:color w:val="auto"/>
          <w:highlight w:val="none"/>
        </w:rPr>
        <w:t>具有独立承担民事责任的能力：</w:t>
      </w:r>
    </w:p>
    <w:p w14:paraId="7CD60C59">
      <w:pPr>
        <w:spacing w:line="360" w:lineRule="auto"/>
        <w:ind w:firstLine="420" w:firstLineChars="200"/>
        <w:rPr>
          <w:rFonts w:ascii="宋体"/>
          <w:b/>
          <w:bCs/>
          <w:color w:val="auto"/>
          <w:highlight w:val="none"/>
        </w:rPr>
      </w:pPr>
      <w:r>
        <w:rPr>
          <w:rFonts w:hint="eastAsia" w:ascii="宋体" w:hAnsi="宋体"/>
          <w:color w:val="auto"/>
          <w:highlight w:val="none"/>
        </w:rPr>
        <w:t>投标人须在投标文件中出具符合以下情况的证明材料复印件</w:t>
      </w:r>
      <w:r>
        <w:rPr>
          <w:rFonts w:hint="eastAsia" w:ascii="宋体" w:hAnsi="宋体"/>
          <w:b/>
          <w:bCs/>
          <w:color w:val="auto"/>
          <w:highlight w:val="none"/>
        </w:rPr>
        <w:t>（五选一）：</w:t>
      </w:r>
    </w:p>
    <w:p w14:paraId="390B64A9">
      <w:pPr>
        <w:spacing w:line="360" w:lineRule="auto"/>
        <w:ind w:firstLine="420" w:firstLineChars="200"/>
        <w:rPr>
          <w:rFonts w:ascii="宋体"/>
          <w:color w:val="auto"/>
          <w:highlight w:val="none"/>
        </w:rPr>
      </w:pPr>
      <w:r>
        <w:rPr>
          <w:rFonts w:ascii="宋体" w:hAnsi="宋体" w:cs="Calibri"/>
          <w:color w:val="auto"/>
          <w:highlight w:val="none"/>
        </w:rPr>
        <w:fldChar w:fldCharType="begin"/>
      </w:r>
      <w:r>
        <w:rPr>
          <w:rFonts w:ascii="宋体" w:hAnsi="宋体" w:cs="Calibri"/>
          <w:color w:val="auto"/>
          <w:highlight w:val="none"/>
        </w:rPr>
        <w:instrText xml:space="preserve"> EQ \o\ac(</w:instrText>
      </w:r>
      <w:r>
        <w:rPr>
          <w:rFonts w:hint="eastAsia" w:ascii="宋体" w:hAnsi="宋体" w:cs="Calibri"/>
          <w:color w:val="auto"/>
          <w:highlight w:val="none"/>
        </w:rPr>
        <w:instrText xml:space="preserve">○</w:instrText>
      </w:r>
      <w:r>
        <w:rPr>
          <w:rFonts w:ascii="宋体" w:hAnsi="宋体" w:cs="Calibri"/>
          <w:color w:val="auto"/>
          <w:highlight w:val="none"/>
        </w:rPr>
        <w:instrText xml:space="preserve">,1)</w:instrText>
      </w:r>
      <w:r>
        <w:rPr>
          <w:rFonts w:ascii="宋体" w:hAnsi="宋体" w:cs="Calibri"/>
          <w:color w:val="auto"/>
          <w:highlight w:val="none"/>
        </w:rPr>
        <w:fldChar w:fldCharType="end"/>
      </w:r>
      <w:r>
        <w:rPr>
          <w:rFonts w:hint="eastAsia" w:ascii="宋体" w:hAnsi="宋体"/>
          <w:color w:val="auto"/>
          <w:highlight w:val="none"/>
        </w:rPr>
        <w:t>如投标人是企业（包括合伙企业），提供在工商部门注册的有效“企业法人营业执照”或“营业执照”；</w:t>
      </w:r>
    </w:p>
    <w:p w14:paraId="72A1EB28">
      <w:pPr>
        <w:spacing w:line="360" w:lineRule="auto"/>
        <w:ind w:firstLine="420" w:firstLineChars="200"/>
        <w:rPr>
          <w:rFonts w:ascii="宋体"/>
          <w:color w:val="auto"/>
          <w:highlight w:val="none"/>
        </w:rPr>
      </w:pPr>
      <w:r>
        <w:rPr>
          <w:rFonts w:ascii="宋体" w:hAnsi="宋体"/>
          <w:color w:val="auto"/>
          <w:highlight w:val="none"/>
        </w:rPr>
        <w:fldChar w:fldCharType="begin"/>
      </w:r>
      <w:r>
        <w:rPr>
          <w:rFonts w:ascii="宋体" w:hAnsi="宋体"/>
          <w:color w:val="auto"/>
          <w:highlight w:val="none"/>
        </w:rPr>
        <w:instrText xml:space="preserve"> EQ \o\ac(</w:instrText>
      </w:r>
      <w:r>
        <w:rPr>
          <w:rFonts w:hint="eastAsia" w:ascii="宋体" w:hAnsi="宋体"/>
          <w:color w:val="auto"/>
          <w:highlight w:val="none"/>
        </w:rPr>
        <w:instrText xml:space="preserve">○</w:instrText>
      </w:r>
      <w:r>
        <w:rPr>
          <w:rFonts w:ascii="宋体"/>
          <w:color w:val="auto"/>
          <w:highlight w:val="none"/>
        </w:rPr>
        <w:instrText xml:space="preserve">,</w:instrText>
      </w:r>
      <w:r>
        <w:rPr>
          <w:rFonts w:ascii="宋体" w:hAnsi="宋体"/>
          <w:color w:val="auto"/>
          <w:position w:val="2"/>
          <w:sz w:val="14"/>
          <w:highlight w:val="none"/>
        </w:rPr>
        <w:instrText xml:space="preserve">2</w:instrText>
      </w:r>
      <w:r>
        <w:rPr>
          <w:rFonts w:ascii="宋体" w:hAnsi="宋体"/>
          <w:color w:val="auto"/>
          <w:highlight w:val="none"/>
        </w:rPr>
        <w:instrText xml:space="preserve">)</w:instrText>
      </w:r>
      <w:r>
        <w:rPr>
          <w:rFonts w:ascii="宋体" w:hAnsi="宋体"/>
          <w:color w:val="auto"/>
          <w:highlight w:val="none"/>
        </w:rPr>
        <w:fldChar w:fldCharType="end"/>
      </w:r>
      <w:r>
        <w:rPr>
          <w:rFonts w:hint="eastAsia" w:ascii="宋体" w:hAnsi="宋体"/>
          <w:color w:val="auto"/>
          <w:highlight w:val="none"/>
        </w:rPr>
        <w:t>如投标人是事业单位，提供有效的“事业单位法人证书”；</w:t>
      </w:r>
    </w:p>
    <w:p w14:paraId="7DE255F0">
      <w:pPr>
        <w:spacing w:line="360" w:lineRule="auto"/>
        <w:ind w:firstLine="420" w:firstLineChars="200"/>
        <w:rPr>
          <w:rFonts w:ascii="宋体"/>
          <w:color w:val="auto"/>
          <w:highlight w:val="none"/>
        </w:rPr>
      </w:pPr>
      <w:r>
        <w:rPr>
          <w:rFonts w:ascii="宋体" w:hAnsi="宋体"/>
          <w:color w:val="auto"/>
          <w:highlight w:val="none"/>
        </w:rPr>
        <w:fldChar w:fldCharType="begin"/>
      </w:r>
      <w:r>
        <w:rPr>
          <w:rFonts w:ascii="宋体" w:hAnsi="宋体"/>
          <w:color w:val="auto"/>
          <w:highlight w:val="none"/>
        </w:rPr>
        <w:instrText xml:space="preserve"> EQ \o\ac(</w:instrText>
      </w:r>
      <w:r>
        <w:rPr>
          <w:rFonts w:hint="eastAsia" w:ascii="宋体" w:hAnsi="宋体"/>
          <w:color w:val="auto"/>
          <w:highlight w:val="none"/>
        </w:rPr>
        <w:instrText xml:space="preserve">○</w:instrText>
      </w:r>
      <w:r>
        <w:rPr>
          <w:rFonts w:ascii="宋体"/>
          <w:color w:val="auto"/>
          <w:highlight w:val="none"/>
        </w:rPr>
        <w:instrText xml:space="preserve">,</w:instrText>
      </w:r>
      <w:r>
        <w:rPr>
          <w:rFonts w:ascii="宋体" w:hAnsi="宋体"/>
          <w:color w:val="auto"/>
          <w:position w:val="2"/>
          <w:sz w:val="14"/>
          <w:highlight w:val="none"/>
        </w:rPr>
        <w:instrText xml:space="preserve">3</w:instrText>
      </w:r>
      <w:r>
        <w:rPr>
          <w:rFonts w:ascii="宋体" w:hAnsi="宋体"/>
          <w:color w:val="auto"/>
          <w:highlight w:val="none"/>
        </w:rPr>
        <w:instrText xml:space="preserve">)</w:instrText>
      </w:r>
      <w:r>
        <w:rPr>
          <w:rFonts w:ascii="宋体" w:hAnsi="宋体"/>
          <w:color w:val="auto"/>
          <w:highlight w:val="none"/>
        </w:rPr>
        <w:fldChar w:fldCharType="end"/>
      </w:r>
      <w:r>
        <w:rPr>
          <w:rFonts w:hint="eastAsia" w:ascii="宋体" w:hAnsi="宋体"/>
          <w:color w:val="auto"/>
          <w:highlight w:val="none"/>
        </w:rPr>
        <w:t>如投标人是非企业专业服务机构的，提供执业许可证等证明文件；</w:t>
      </w:r>
    </w:p>
    <w:p w14:paraId="1830FB5F">
      <w:pPr>
        <w:spacing w:line="360" w:lineRule="auto"/>
        <w:ind w:firstLine="420" w:firstLineChars="200"/>
        <w:rPr>
          <w:rFonts w:ascii="宋体" w:cs="宋体"/>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EQ \o\ac(</w:instrText>
      </w:r>
      <w:r>
        <w:rPr>
          <w:rFonts w:hint="eastAsia" w:ascii="宋体" w:hAnsi="宋体" w:cs="宋体"/>
          <w:color w:val="auto"/>
          <w:highlight w:val="none"/>
        </w:rPr>
        <w:instrText xml:space="preserve">○</w:instrText>
      </w:r>
      <w:r>
        <w:rPr>
          <w:rFonts w:ascii="宋体" w:hAnsi="宋体" w:cs="宋体"/>
          <w:color w:val="auto"/>
          <w:highlight w:val="none"/>
        </w:rPr>
        <w:instrText xml:space="preserve">,4)</w:instrText>
      </w:r>
      <w:r>
        <w:rPr>
          <w:rFonts w:ascii="宋体" w:hAnsi="宋体" w:cs="宋体"/>
          <w:color w:val="auto"/>
          <w:highlight w:val="none"/>
        </w:rPr>
        <w:fldChar w:fldCharType="end"/>
      </w:r>
      <w:r>
        <w:rPr>
          <w:rFonts w:hint="eastAsia" w:ascii="宋体" w:hAnsi="宋体" w:cs="宋体"/>
          <w:color w:val="auto"/>
          <w:highlight w:val="none"/>
        </w:rPr>
        <w:t>如投标人是个体工商户，提供有效的“个体工商户营业执照”；</w:t>
      </w:r>
    </w:p>
    <w:p w14:paraId="2620E3D7">
      <w:pPr>
        <w:spacing w:line="360" w:lineRule="auto"/>
        <w:ind w:firstLine="420" w:firstLineChars="200"/>
        <w:rPr>
          <w:rFonts w:ascii="宋体" w:cs="宋体"/>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EQ \o\ac(</w:instrText>
      </w:r>
      <w:r>
        <w:rPr>
          <w:rFonts w:hint="eastAsia" w:ascii="宋体" w:hAnsi="宋体" w:cs="宋体"/>
          <w:color w:val="auto"/>
          <w:highlight w:val="none"/>
        </w:rPr>
        <w:instrText xml:space="preserve">○</w:instrText>
      </w:r>
      <w:r>
        <w:rPr>
          <w:rFonts w:ascii="宋体" w:hAnsi="宋体" w:cs="宋体"/>
          <w:color w:val="auto"/>
          <w:highlight w:val="none"/>
        </w:rPr>
        <w:instrText xml:space="preserve">,5)</w:instrText>
      </w:r>
      <w:r>
        <w:rPr>
          <w:rFonts w:ascii="宋体" w:hAnsi="宋体" w:cs="宋体"/>
          <w:color w:val="auto"/>
          <w:highlight w:val="none"/>
        </w:rPr>
        <w:fldChar w:fldCharType="end"/>
      </w:r>
      <w:r>
        <w:rPr>
          <w:rFonts w:hint="eastAsia" w:ascii="宋体" w:hAnsi="宋体" w:cs="宋体"/>
          <w:color w:val="auto"/>
          <w:highlight w:val="none"/>
        </w:rPr>
        <w:t>如投标人是自然人，提供有效的自然人身份证明（居民身份证正反面或公安机关出具的临时居民身份证正反面或港澳台胞证或证照）。</w:t>
      </w:r>
    </w:p>
    <w:p w14:paraId="3651AEBC">
      <w:pPr>
        <w:spacing w:line="360" w:lineRule="auto"/>
        <w:ind w:firstLine="422" w:firstLineChars="200"/>
        <w:rPr>
          <w:rFonts w:ascii="宋体" w:hAnsi="宋体" w:cs="宋体"/>
          <w:b/>
          <w:bCs/>
          <w:color w:val="auto"/>
          <w:highlight w:val="none"/>
        </w:rPr>
      </w:pPr>
      <w:r>
        <w:rPr>
          <w:rFonts w:ascii="宋体" w:hAnsi="宋体" w:cs="宋体"/>
          <w:b/>
          <w:bCs/>
          <w:color w:val="auto"/>
          <w:szCs w:val="21"/>
          <w:highlight w:val="none"/>
        </w:rPr>
        <w:t>B.</w:t>
      </w:r>
      <w:r>
        <w:rPr>
          <w:rFonts w:hint="eastAsia" w:ascii="宋体" w:hAnsi="宋体" w:cs="宋体"/>
          <w:b/>
          <w:bCs/>
          <w:color w:val="auto"/>
          <w:highlight w:val="none"/>
        </w:rPr>
        <w:t>具有良好的商业信誉和健全的财务会计制度：</w:t>
      </w:r>
    </w:p>
    <w:p w14:paraId="625863BD">
      <w:pPr>
        <w:spacing w:line="360" w:lineRule="auto"/>
        <w:ind w:firstLine="420" w:firstLineChars="200"/>
        <w:rPr>
          <w:rFonts w:ascii="宋体"/>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EQ \o\ac(</w:instrText>
      </w:r>
      <w:r>
        <w:rPr>
          <w:rFonts w:hint="eastAsia" w:ascii="宋体" w:hAnsi="宋体" w:cs="宋体"/>
          <w:color w:val="auto"/>
          <w:highlight w:val="none"/>
        </w:rPr>
        <w:instrText xml:space="preserve">○</w:instrText>
      </w:r>
      <w:r>
        <w:rPr>
          <w:rFonts w:ascii="宋体" w:hAnsi="宋体" w:cs="宋体"/>
          <w:color w:val="auto"/>
          <w:highlight w:val="none"/>
        </w:rPr>
        <w:instrText xml:space="preserve">,1)</w:instrText>
      </w:r>
      <w:r>
        <w:rPr>
          <w:rFonts w:ascii="宋体" w:hAnsi="宋体" w:cs="宋体"/>
          <w:color w:val="auto"/>
          <w:highlight w:val="none"/>
        </w:rPr>
        <w:fldChar w:fldCharType="end"/>
      </w:r>
      <w:r>
        <w:rPr>
          <w:rFonts w:hint="eastAsia" w:ascii="宋体" w:hAnsi="宋体"/>
          <w:color w:val="auto"/>
          <w:highlight w:val="none"/>
        </w:rPr>
        <w:t>良好的商业信誉：</w:t>
      </w:r>
    </w:p>
    <w:p w14:paraId="24EE3241">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至本项目投标截止时间止未列入失信被执行人、重大税收违法案件当事人名单、政府采购严重违法失信行为记录名单网页查询记录截图。</w:t>
      </w:r>
    </w:p>
    <w:p w14:paraId="75D0420E">
      <w:pPr>
        <w:spacing w:line="360" w:lineRule="auto"/>
        <w:ind w:firstLine="420" w:firstLineChars="200"/>
        <w:rPr>
          <w:rFonts w:ascii="宋体" w:cs="宋体"/>
          <w:color w:val="auto"/>
          <w:highlight w:val="none"/>
        </w:rPr>
      </w:pPr>
      <w:r>
        <w:rPr>
          <w:rFonts w:hint="eastAsia" w:ascii="宋体" w:hAnsi="宋体" w:cs="宋体"/>
          <w:color w:val="auto"/>
          <w:highlight w:val="none"/>
        </w:rPr>
        <w:t>以代理机构在开标当日在“信用中国”（</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）网页查询记录为准）。</w:t>
      </w:r>
    </w:p>
    <w:p w14:paraId="00DBF835">
      <w:pPr>
        <w:spacing w:line="360" w:lineRule="auto"/>
        <w:ind w:firstLine="420" w:firstLineChars="200"/>
        <w:rPr>
          <w:rFonts w:ascii="宋体" w:cs="宋体"/>
          <w:color w:val="auto"/>
          <w:highlight w:val="none"/>
        </w:rPr>
      </w:pPr>
      <w:r>
        <w:rPr>
          <w:rFonts w:hint="eastAsia" w:ascii="宋体" w:hAnsi="宋体" w:cs="宋体"/>
          <w:color w:val="auto"/>
          <w:szCs w:val="21"/>
          <w:highlight w:val="none"/>
        </w:rPr>
        <w:t>对</w:t>
      </w:r>
      <w:r>
        <w:rPr>
          <w:rFonts w:hint="eastAsia" w:ascii="宋体" w:hAnsi="宋体" w:cs="宋体"/>
          <w:color w:val="auto"/>
          <w:highlight w:val="none"/>
        </w:rPr>
        <w:t>列入失信被执行人、重大税收违法案件当事人名单、政府采购严重违法失信行为记录名单的投标人，其投标将作无效标处理。</w:t>
      </w:r>
    </w:p>
    <w:p w14:paraId="6655177B">
      <w:pPr>
        <w:spacing w:line="360" w:lineRule="auto"/>
        <w:ind w:firstLine="420" w:firstLineChars="200"/>
        <w:rPr>
          <w:rFonts w:ascii="宋体" w:cs="宋体"/>
          <w:color w:val="auto"/>
          <w:highlight w:val="none"/>
        </w:rPr>
      </w:pPr>
      <w:r>
        <w:rPr>
          <w:rFonts w:hint="eastAsia" w:ascii="宋体" w:cs="宋体"/>
          <w:color w:val="auto"/>
          <w:highlight w:val="none"/>
        </w:rPr>
        <w:t>②</w:t>
      </w:r>
      <w:r>
        <w:rPr>
          <w:rFonts w:hint="eastAsia" w:ascii="宋体" w:hAnsi="宋体" w:cs="宋体"/>
          <w:color w:val="auto"/>
          <w:highlight w:val="none"/>
        </w:rPr>
        <w:t>健全的财务会计制度：</w:t>
      </w:r>
    </w:p>
    <w:p w14:paraId="1B08A3C2">
      <w:pPr>
        <w:spacing w:line="360" w:lineRule="auto"/>
        <w:ind w:firstLine="420" w:firstLineChars="200"/>
        <w:rPr>
          <w:rFonts w:ascii="宋体" w:cs="宋体"/>
          <w:color w:val="auto"/>
          <w:highlight w:val="none"/>
        </w:rPr>
      </w:pPr>
      <w:r>
        <w:rPr>
          <w:rFonts w:hint="eastAsia" w:ascii="宋体" w:hAnsi="宋体" w:cs="宋体"/>
          <w:color w:val="auto"/>
          <w:highlight w:val="none"/>
        </w:rPr>
        <w:t>投标人须在投标文件中出具符合以下情况的证明材料复印件</w:t>
      </w:r>
      <w:r>
        <w:rPr>
          <w:rFonts w:hint="eastAsia" w:ascii="宋体" w:hAnsi="宋体" w:cs="宋体"/>
          <w:b/>
          <w:bCs/>
          <w:color w:val="auto"/>
          <w:highlight w:val="none"/>
        </w:rPr>
        <w:t>（三选一）</w:t>
      </w:r>
      <w:r>
        <w:rPr>
          <w:rFonts w:hint="eastAsia" w:ascii="宋体" w:hAnsi="宋体" w:cs="宋体"/>
          <w:color w:val="auto"/>
          <w:highlight w:val="none"/>
        </w:rPr>
        <w:t>：</w:t>
      </w:r>
    </w:p>
    <w:p w14:paraId="10C7262E">
      <w:pPr>
        <w:numPr>
          <w:ilvl w:val="0"/>
          <w:numId w:val="4"/>
        </w:numPr>
        <w:spacing w:line="360" w:lineRule="auto"/>
        <w:ind w:firstLine="420" w:firstLineChars="200"/>
        <w:rPr>
          <w:rFonts w:ascii="宋体" w:cs="宋体"/>
          <w:color w:val="auto"/>
          <w:highlight w:val="none"/>
        </w:rPr>
      </w:pPr>
      <w:r>
        <w:rPr>
          <w:rFonts w:hint="eastAsia" w:ascii="宋体" w:hAnsi="宋体" w:cs="宋体"/>
          <w:color w:val="auto"/>
          <w:highlight w:val="none"/>
        </w:rPr>
        <w:t>投标人是法人的，应提供最近一个年度经审计的财务报告，包括资产负债表、利润表、现金流量表（执行《小企业会计准则》的提供资产负债表和利润表两张基本报表），未经审计的，提供资产负债表、利润表或损益表。</w:t>
      </w:r>
    </w:p>
    <w:p w14:paraId="0DF50BF8">
      <w:pPr>
        <w:numPr>
          <w:ilvl w:val="0"/>
          <w:numId w:val="4"/>
        </w:numPr>
        <w:spacing w:line="360" w:lineRule="auto"/>
        <w:ind w:firstLine="420" w:firstLineChars="200"/>
        <w:rPr>
          <w:rFonts w:ascii="宋体"/>
          <w:color w:val="auto"/>
          <w:highlight w:val="none"/>
        </w:rPr>
      </w:pPr>
      <w:r>
        <w:rPr>
          <w:rFonts w:hint="eastAsia" w:ascii="宋体" w:hAnsi="宋体"/>
          <w:color w:val="auto"/>
          <w:highlight w:val="none"/>
        </w:rPr>
        <w:t>其他组织和自然人如没有经审计的财务报告的，可以提供资产负债表、利润表、现金流量表。</w:t>
      </w:r>
    </w:p>
    <w:p w14:paraId="45F0623F">
      <w:pPr>
        <w:numPr>
          <w:ilvl w:val="0"/>
          <w:numId w:val="4"/>
        </w:numPr>
        <w:spacing w:line="360" w:lineRule="auto"/>
        <w:ind w:firstLine="420" w:firstLineChars="200"/>
        <w:rPr>
          <w:rFonts w:ascii="宋体"/>
          <w:color w:val="auto"/>
          <w:highlight w:val="none"/>
        </w:rPr>
      </w:pPr>
      <w:r>
        <w:rPr>
          <w:rFonts w:hint="eastAsia" w:ascii="宋体" w:hAnsi="宋体"/>
          <w:color w:val="auto"/>
          <w:highlight w:val="none"/>
        </w:rPr>
        <w:t>新成立不足一年的公司须出具情况说明。</w:t>
      </w:r>
    </w:p>
    <w:p w14:paraId="41C2D55E">
      <w:pPr>
        <w:pStyle w:val="91"/>
        <w:spacing w:line="360" w:lineRule="auto"/>
        <w:ind w:left="420" w:firstLine="0" w:firstLineChars="0"/>
        <w:rPr>
          <w:rFonts w:hint="eastAsia" w:ascii="宋体" w:eastAsia="宋体" w:cs="宋体"/>
          <w:color w:val="auto"/>
          <w:szCs w:val="21"/>
          <w:highlight w:val="none"/>
          <w:lang w:eastAsia="zh-CN"/>
        </w:rPr>
      </w:pPr>
      <w:r>
        <w:rPr>
          <w:rFonts w:ascii="宋体" w:hAnsi="宋体" w:cs="宋体"/>
          <w:b/>
          <w:bCs/>
          <w:color w:val="auto"/>
          <w:szCs w:val="21"/>
          <w:highlight w:val="none"/>
        </w:rPr>
        <w:t>C.</w:t>
      </w:r>
      <w:r>
        <w:rPr>
          <w:rFonts w:hint="eastAsia" w:ascii="宋体" w:hAnsi="宋体" w:cs="宋体"/>
          <w:b/>
          <w:bCs/>
          <w:color w:val="auto"/>
          <w:szCs w:val="21"/>
          <w:highlight w:val="none"/>
        </w:rPr>
        <w:t>具有履行合同所必需的设备和专业技术能力</w:t>
      </w:r>
      <w:r>
        <w:rPr>
          <w:rFonts w:hint="eastAsia" w:ascii="宋体" w:hAnsi="宋体" w:cs="宋体"/>
          <w:b/>
          <w:bCs/>
          <w:color w:val="auto"/>
          <w:szCs w:val="21"/>
          <w:highlight w:val="none"/>
          <w:lang w:eastAsia="zh-CN"/>
        </w:rPr>
        <w:t>。</w:t>
      </w:r>
    </w:p>
    <w:p w14:paraId="5DE68E96">
      <w:pPr>
        <w:pStyle w:val="91"/>
        <w:spacing w:line="360" w:lineRule="auto"/>
        <w:ind w:left="420" w:firstLine="0" w:firstLineChars="0"/>
        <w:rPr>
          <w:rFonts w:ascii="宋体" w:cs="宋体"/>
          <w:b/>
          <w:bCs/>
          <w:color w:val="auto"/>
          <w:szCs w:val="21"/>
          <w:highlight w:val="none"/>
        </w:rPr>
      </w:pPr>
      <w:r>
        <w:rPr>
          <w:rFonts w:ascii="宋体" w:hAnsi="宋体" w:cs="宋体"/>
          <w:b/>
          <w:bCs/>
          <w:color w:val="auto"/>
          <w:szCs w:val="21"/>
          <w:highlight w:val="none"/>
        </w:rPr>
        <w:t>D.</w:t>
      </w:r>
      <w:r>
        <w:rPr>
          <w:rFonts w:hint="eastAsia" w:ascii="宋体" w:hAnsi="宋体" w:cs="宋体"/>
          <w:b/>
          <w:bCs/>
          <w:color w:val="auto"/>
          <w:szCs w:val="21"/>
          <w:highlight w:val="none"/>
        </w:rPr>
        <w:t>有依法缴纳税收和社会保障资金的良好记录：</w:t>
      </w:r>
    </w:p>
    <w:p w14:paraId="1DF0C617">
      <w:pPr>
        <w:spacing w:line="360" w:lineRule="auto"/>
        <w:ind w:firstLine="420" w:firstLineChars="200"/>
        <w:rPr>
          <w:rFonts w:ascii="宋体"/>
          <w:color w:val="auto"/>
          <w:highlight w:val="none"/>
        </w:rPr>
      </w:pPr>
      <w:r>
        <w:rPr>
          <w:rFonts w:hint="eastAsia" w:ascii="宋体" w:hAnsi="宋体"/>
          <w:color w:val="auto"/>
          <w:highlight w:val="none"/>
        </w:rPr>
        <w:t>1投标人须在投标文件中同时出具满足以下要求的证明材料复印件：</w:t>
      </w:r>
    </w:p>
    <w:p w14:paraId="1EA1D54C">
      <w:pPr>
        <w:spacing w:line="360" w:lineRule="auto"/>
        <w:ind w:firstLine="420" w:firstLineChars="200"/>
        <w:rPr>
          <w:rFonts w:ascii="宋体" w:hAnsi="宋体"/>
          <w:color w:val="auto"/>
          <w:highlight w:val="none"/>
        </w:rPr>
      </w:pPr>
      <w:r>
        <w:rPr>
          <w:rFonts w:ascii="宋体" w:hAnsi="宋体" w:cs="宋体"/>
          <w:color w:val="auto"/>
          <w:highlight w:val="none"/>
        </w:rPr>
        <w:fldChar w:fldCharType="begin"/>
      </w:r>
      <w:r>
        <w:rPr>
          <w:rFonts w:ascii="宋体" w:hAnsi="宋体" w:cs="宋体"/>
          <w:color w:val="auto"/>
          <w:highlight w:val="none"/>
        </w:rPr>
        <w:instrText xml:space="preserve"> EQ \o\ac(</w:instrText>
      </w:r>
      <w:r>
        <w:rPr>
          <w:rFonts w:hint="eastAsia" w:ascii="宋体" w:hAnsi="宋体" w:cs="宋体"/>
          <w:color w:val="auto"/>
          <w:highlight w:val="none"/>
        </w:rPr>
        <w:instrText xml:space="preserve">○</w:instrText>
      </w:r>
      <w:r>
        <w:rPr>
          <w:rFonts w:ascii="宋体" w:hAnsi="宋体" w:cs="宋体"/>
          <w:color w:val="auto"/>
          <w:highlight w:val="none"/>
        </w:rPr>
        <w:instrText xml:space="preserve">,1)</w:instrText>
      </w:r>
      <w:r>
        <w:rPr>
          <w:rFonts w:ascii="宋体" w:hAnsi="宋体" w:cs="宋体"/>
          <w:color w:val="auto"/>
          <w:highlight w:val="none"/>
        </w:rPr>
        <w:fldChar w:fldCharType="end"/>
      </w:r>
      <w:r>
        <w:rPr>
          <w:rFonts w:hint="eastAsia" w:ascii="宋体" w:hAnsi="宋体"/>
          <w:color w:val="auto"/>
          <w:highlight w:val="none"/>
        </w:rPr>
        <w:t>投标人须提供由税务部门出具的最近一季度内缴纳增值税和企业所得税的纳税证明。</w:t>
      </w:r>
    </w:p>
    <w:p w14:paraId="0EF784F6">
      <w:pPr>
        <w:spacing w:line="360" w:lineRule="auto"/>
        <w:ind w:firstLine="420" w:firstLineChars="200"/>
        <w:rPr>
          <w:rFonts w:ascii="宋体" w:hAnsi="宋体"/>
          <w:color w:val="auto"/>
          <w:highlight w:val="none"/>
        </w:rPr>
      </w:pPr>
      <w:r>
        <w:rPr>
          <w:rFonts w:hint="eastAsia" w:ascii="宋体" w:hAnsi="宋体"/>
          <w:color w:val="auto"/>
          <w:highlight w:val="none"/>
        </w:rPr>
        <w:t>②投标人须提供最近三个月内缴纳社会保险的凭据（缴税付款凭证或社会保险缴纳证明）。</w:t>
      </w:r>
    </w:p>
    <w:p w14:paraId="197CF1A3">
      <w:pPr>
        <w:spacing w:line="360" w:lineRule="auto"/>
        <w:ind w:firstLine="420" w:firstLineChars="200"/>
        <w:rPr>
          <w:rFonts w:ascii="宋体" w:hAnsi="宋体"/>
          <w:color w:val="auto"/>
          <w:highlight w:val="none"/>
        </w:rPr>
      </w:pPr>
      <w:r>
        <w:rPr>
          <w:rFonts w:hint="eastAsia" w:ascii="宋体" w:hAnsi="宋体"/>
          <w:color w:val="auto"/>
          <w:highlight w:val="none"/>
        </w:rPr>
        <w:t>依法免税或不需要缴纳社会保障资金的投标人，应提供相应文件证明其依法免税或不需要缴纳社会保障资金。</w:t>
      </w:r>
    </w:p>
    <w:p w14:paraId="673712CC">
      <w:pPr>
        <w:spacing w:line="360" w:lineRule="auto"/>
        <w:ind w:firstLine="211" w:firstLineChars="100"/>
        <w:rPr>
          <w:rFonts w:ascii="宋体"/>
          <w:b/>
          <w:bCs/>
          <w:color w:val="auto"/>
          <w:highlight w:val="none"/>
        </w:rPr>
      </w:pPr>
      <w:r>
        <w:rPr>
          <w:rFonts w:ascii="宋体" w:hAnsi="宋体"/>
          <w:b/>
          <w:bCs/>
          <w:color w:val="auto"/>
          <w:highlight w:val="none"/>
        </w:rPr>
        <w:t>E.</w:t>
      </w:r>
      <w:r>
        <w:rPr>
          <w:rFonts w:hint="eastAsia" w:ascii="宋体" w:hAnsi="宋体"/>
          <w:b/>
          <w:bCs/>
          <w:color w:val="auto"/>
          <w:highlight w:val="none"/>
        </w:rPr>
        <w:t>参加政府采购活动前三年内，在经营活动中没有重大违法记录：</w:t>
      </w:r>
    </w:p>
    <w:p w14:paraId="2A7A7B3E">
      <w:pPr>
        <w:spacing w:line="360" w:lineRule="auto"/>
        <w:ind w:firstLine="420" w:firstLineChars="200"/>
        <w:rPr>
          <w:rFonts w:ascii="宋体" w:hAnsi="宋体"/>
          <w:color w:val="auto"/>
          <w:highlight w:val="none"/>
        </w:rPr>
      </w:pPr>
      <w:r>
        <w:rPr>
          <w:rFonts w:hint="eastAsia" w:ascii="宋体" w:hAnsi="宋体"/>
          <w:color w:val="auto"/>
          <w:highlight w:val="none"/>
        </w:rPr>
        <w:t>投标人须在投标文件中出具《声明函》、《廉政承诺书》。（格式见附件）</w:t>
      </w:r>
    </w:p>
    <w:p w14:paraId="4D0E2DBC">
      <w:pPr>
        <w:pStyle w:val="12"/>
        <w:snapToGrid w:val="0"/>
        <w:spacing w:line="360" w:lineRule="auto"/>
        <w:ind w:firstLine="417" w:firstLineChars="198"/>
        <w:rPr>
          <w:rFonts w:hAnsi="宋体" w:eastAsia="宋体" w:cs="宋体"/>
          <w:b/>
          <w:bCs/>
          <w:color w:val="auto"/>
          <w:sz w:val="21"/>
          <w:szCs w:val="21"/>
          <w:highlight w:val="none"/>
        </w:rPr>
      </w:pPr>
      <w:r>
        <w:rPr>
          <w:rFonts w:hint="eastAsia" w:hAnsi="宋体" w:eastAsia="宋体" w:cs="宋体"/>
          <w:b/>
          <w:bCs/>
          <w:color w:val="auto"/>
          <w:sz w:val="21"/>
          <w:szCs w:val="21"/>
          <w:highlight w:val="none"/>
        </w:rPr>
        <w:t>中小企业声明函；</w:t>
      </w:r>
    </w:p>
    <w:p w14:paraId="1FFC5D6F">
      <w:pPr>
        <w:pStyle w:val="12"/>
        <w:snapToGrid w:val="0"/>
        <w:spacing w:line="360" w:lineRule="auto"/>
        <w:ind w:firstLine="417" w:firstLineChars="198"/>
        <w:rPr>
          <w:rFonts w:hAnsi="宋体" w:eastAsia="宋体" w:cs="宋体"/>
          <w:b/>
          <w:bCs/>
          <w:color w:val="auto"/>
          <w:sz w:val="21"/>
          <w:szCs w:val="21"/>
          <w:highlight w:val="none"/>
        </w:rPr>
      </w:pPr>
      <w:r>
        <w:rPr>
          <w:rFonts w:hint="eastAsia" w:hAnsi="宋体" w:eastAsia="宋体" w:cs="宋体"/>
          <w:b/>
          <w:bCs/>
          <w:color w:val="auto"/>
          <w:sz w:val="21"/>
          <w:szCs w:val="21"/>
          <w:highlight w:val="none"/>
        </w:rPr>
        <w:t>提供由省级以上监狱管理局、戒毒管理局</w:t>
      </w:r>
      <w:r>
        <w:rPr>
          <w:rFonts w:hint="eastAsia" w:hAnsi="宋体" w:eastAsia="宋体" w:cs="宋体"/>
          <w:b/>
          <w:bCs/>
          <w:color w:val="auto"/>
          <w:sz w:val="21"/>
          <w:szCs w:val="21"/>
          <w:highlight w:val="none"/>
          <w:lang w:eastAsia="zh-CN"/>
        </w:rPr>
        <w:t>（</w:t>
      </w:r>
      <w:r>
        <w:rPr>
          <w:rFonts w:hint="eastAsia" w:hAnsi="宋体" w:eastAsia="宋体" w:cs="宋体"/>
          <w:b/>
          <w:bCs/>
          <w:color w:val="auto"/>
          <w:sz w:val="21"/>
          <w:szCs w:val="21"/>
          <w:highlight w:val="none"/>
        </w:rPr>
        <w:t>含新疆生产建设兵团</w:t>
      </w:r>
      <w:r>
        <w:rPr>
          <w:rFonts w:hint="eastAsia" w:hAnsi="宋体" w:eastAsia="宋体" w:cs="宋体"/>
          <w:b/>
          <w:bCs/>
          <w:color w:val="auto"/>
          <w:sz w:val="21"/>
          <w:szCs w:val="21"/>
          <w:highlight w:val="none"/>
          <w:lang w:eastAsia="zh-CN"/>
        </w:rPr>
        <w:t>）</w:t>
      </w:r>
      <w:r>
        <w:rPr>
          <w:rFonts w:hint="eastAsia" w:hAnsi="宋体" w:eastAsia="宋体" w:cs="宋体"/>
          <w:b/>
          <w:bCs/>
          <w:color w:val="auto"/>
          <w:sz w:val="21"/>
          <w:szCs w:val="21"/>
          <w:highlight w:val="none"/>
        </w:rPr>
        <w:t>出具的属于监狱企业的证明文件（如有）；</w:t>
      </w:r>
    </w:p>
    <w:p w14:paraId="5F5876FC">
      <w:pPr>
        <w:pStyle w:val="12"/>
        <w:snapToGrid w:val="0"/>
        <w:spacing w:line="360" w:lineRule="auto"/>
        <w:ind w:firstLine="417" w:firstLineChars="198"/>
        <w:rPr>
          <w:rFonts w:hAnsi="宋体" w:eastAsia="宋体" w:cs="宋体"/>
          <w:b/>
          <w:bCs/>
          <w:color w:val="auto"/>
          <w:sz w:val="21"/>
          <w:szCs w:val="21"/>
          <w:highlight w:val="none"/>
        </w:rPr>
      </w:pPr>
      <w:r>
        <w:rPr>
          <w:rFonts w:hint="eastAsia" w:hAnsi="宋体" w:eastAsia="宋体" w:cs="宋体"/>
          <w:b/>
          <w:bCs/>
          <w:color w:val="auto"/>
          <w:sz w:val="21"/>
          <w:szCs w:val="21"/>
          <w:highlight w:val="none"/>
        </w:rPr>
        <w:t>残疾人福利性单位声明函（如是）。</w:t>
      </w:r>
    </w:p>
    <w:p w14:paraId="32F56AF0">
      <w:pPr>
        <w:pStyle w:val="12"/>
        <w:snapToGrid w:val="0"/>
        <w:spacing w:line="360" w:lineRule="auto"/>
        <w:ind w:firstLine="415" w:firstLineChars="198"/>
        <w:rPr>
          <w:rFonts w:hint="eastAsia" w:hAnsi="宋体"/>
          <w:b/>
          <w:color w:val="auto"/>
          <w:highlight w:val="none"/>
        </w:rPr>
      </w:pPr>
      <w:r>
        <w:rPr>
          <w:rFonts w:hint="eastAsia" w:hAnsi="宋体" w:eastAsia="宋体" w:cs="宋体"/>
          <w:color w:val="auto"/>
          <w:sz w:val="21"/>
          <w:szCs w:val="21"/>
          <w:highlight w:val="none"/>
        </w:rPr>
        <w:t>注：证明材料均需加盖签章。</w:t>
      </w:r>
    </w:p>
    <w:p w14:paraId="01FA46BC">
      <w:pPr>
        <w:pStyle w:val="45"/>
        <w:snapToGrid w:val="0"/>
        <w:spacing w:beforeLines="0" w:afterLines="0" w:line="360" w:lineRule="auto"/>
        <w:ind w:firstLine="422" w:firstLineChars="200"/>
        <w:rPr>
          <w:rFonts w:hAnsi="宋体"/>
          <w:b/>
          <w:color w:val="auto"/>
          <w:highlight w:val="none"/>
        </w:rPr>
      </w:pPr>
      <w:r>
        <w:rPr>
          <w:rFonts w:hint="eastAsia" w:hAnsi="宋体"/>
          <w:b/>
          <w:color w:val="auto"/>
          <w:highlight w:val="none"/>
        </w:rPr>
        <w:t>2.</w:t>
      </w:r>
      <w:r>
        <w:rPr>
          <w:rFonts w:hAnsi="宋体"/>
          <w:b/>
          <w:color w:val="auto"/>
          <w:highlight w:val="none"/>
        </w:rPr>
        <w:t>商务</w:t>
      </w:r>
      <w:r>
        <w:rPr>
          <w:rFonts w:hint="eastAsia" w:hAnsi="宋体"/>
          <w:b/>
          <w:color w:val="auto"/>
          <w:highlight w:val="none"/>
        </w:rPr>
        <w:t>及技术投标部分</w:t>
      </w:r>
      <w:r>
        <w:rPr>
          <w:rFonts w:hAnsi="宋体"/>
          <w:b/>
          <w:color w:val="auto"/>
          <w:highlight w:val="none"/>
        </w:rPr>
        <w:t>：</w:t>
      </w:r>
    </w:p>
    <w:p w14:paraId="49853722">
      <w:pPr>
        <w:snapToGrid w:val="0"/>
        <w:spacing w:line="360" w:lineRule="auto"/>
        <w:ind w:firstLine="411" w:firstLineChars="196"/>
        <w:jc w:val="left"/>
        <w:rPr>
          <w:rFonts w:hint="default" w:ascii="宋体" w:hAnsi="宋体" w:eastAsia="宋体" w:cs="Times New Roman"/>
          <w:bCs/>
          <w:color w:val="auto"/>
          <w:szCs w:val="21"/>
          <w:highlight w:val="none"/>
          <w:lang w:val="en-US" w:eastAsia="zh-CN"/>
        </w:rPr>
      </w:pPr>
      <w:r>
        <w:rPr>
          <w:rFonts w:hint="eastAsia" w:ascii="宋体" w:hAnsi="宋体" w:eastAsia="宋体" w:cs="Times New Roman"/>
          <w:bCs/>
          <w:color w:val="auto"/>
          <w:szCs w:val="21"/>
          <w:highlight w:val="none"/>
          <w:lang w:val="en-US" w:eastAsia="zh-CN"/>
        </w:rPr>
        <w:t>2.1投标函</w:t>
      </w:r>
    </w:p>
    <w:p w14:paraId="3A251013">
      <w:pPr>
        <w:snapToGrid w:val="0"/>
        <w:spacing w:line="360" w:lineRule="auto"/>
        <w:ind w:firstLine="411" w:firstLineChars="196"/>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投标人基本情况表（如有）；</w:t>
      </w:r>
    </w:p>
    <w:p w14:paraId="3209D780">
      <w:pPr>
        <w:snapToGrid w:val="0"/>
        <w:spacing w:line="360" w:lineRule="auto"/>
        <w:ind w:firstLine="411" w:firstLineChars="196"/>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3</w:t>
      </w:r>
      <w:r>
        <w:rPr>
          <w:rFonts w:hint="eastAsia" w:ascii="宋体" w:hAnsi="宋体"/>
          <w:color w:val="auto"/>
          <w:szCs w:val="21"/>
          <w:highlight w:val="none"/>
        </w:rPr>
        <w:t>成功案例及业绩；</w:t>
      </w:r>
    </w:p>
    <w:p w14:paraId="1E114290">
      <w:pPr>
        <w:snapToGrid w:val="0"/>
        <w:spacing w:line="360" w:lineRule="auto"/>
        <w:ind w:firstLine="411" w:firstLineChars="196"/>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4</w:t>
      </w:r>
      <w:r>
        <w:rPr>
          <w:rFonts w:hint="eastAsia" w:ascii="宋体" w:hAnsi="宋体"/>
          <w:color w:val="auto"/>
          <w:szCs w:val="21"/>
          <w:highlight w:val="none"/>
        </w:rPr>
        <w:t>项目负责人简历表（须附相关证明材料）；项目实施人员一览表（须附职称证书复印件）；</w:t>
      </w:r>
    </w:p>
    <w:p w14:paraId="2E72AF71">
      <w:pPr>
        <w:snapToGrid w:val="0"/>
        <w:spacing w:line="360" w:lineRule="auto"/>
        <w:ind w:firstLine="411" w:firstLineChars="196"/>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5</w:t>
      </w:r>
      <w:r>
        <w:rPr>
          <w:rFonts w:hint="eastAsia" w:ascii="宋体" w:hAnsi="宋体"/>
          <w:color w:val="auto"/>
          <w:szCs w:val="21"/>
          <w:highlight w:val="none"/>
        </w:rPr>
        <w:t>商务</w:t>
      </w:r>
      <w:r>
        <w:rPr>
          <w:rFonts w:hint="eastAsia" w:ascii="宋体" w:hAnsi="宋体"/>
          <w:color w:val="auto"/>
          <w:szCs w:val="21"/>
          <w:highlight w:val="none"/>
          <w:lang w:val="en-US" w:eastAsia="zh-CN"/>
        </w:rPr>
        <w:t>响应</w:t>
      </w:r>
      <w:r>
        <w:rPr>
          <w:rFonts w:hint="eastAsia" w:ascii="宋体" w:hAnsi="宋体"/>
          <w:color w:val="auto"/>
          <w:szCs w:val="21"/>
          <w:highlight w:val="none"/>
        </w:rPr>
        <w:t>表；</w:t>
      </w:r>
    </w:p>
    <w:p w14:paraId="00D0F6E8">
      <w:pPr>
        <w:snapToGrid w:val="0"/>
        <w:spacing w:line="360" w:lineRule="auto"/>
        <w:ind w:right="-87" w:firstLine="411" w:firstLineChars="196"/>
        <w:jc w:val="left"/>
        <w:rPr>
          <w:rFonts w:ascii="宋体" w:hAnsi="宋体"/>
          <w:color w:val="auto"/>
          <w:szCs w:val="22"/>
          <w:highlight w:val="none"/>
        </w:rPr>
      </w:pPr>
      <w:r>
        <w:rPr>
          <w:rFonts w:ascii="宋体" w:hAnsi="宋体"/>
          <w:color w:val="auto"/>
          <w:szCs w:val="22"/>
          <w:highlight w:val="none"/>
        </w:rPr>
        <w:t>2.</w:t>
      </w:r>
      <w:r>
        <w:rPr>
          <w:rFonts w:hint="eastAsia" w:ascii="宋体" w:hAnsi="宋体"/>
          <w:color w:val="auto"/>
          <w:szCs w:val="22"/>
          <w:highlight w:val="none"/>
          <w:lang w:val="en-US" w:eastAsia="zh-CN"/>
        </w:rPr>
        <w:t>6</w:t>
      </w:r>
      <w:r>
        <w:rPr>
          <w:rFonts w:hint="eastAsia" w:ascii="Times New Roman" w:hAnsi="Times New Roman"/>
          <w:color w:val="auto"/>
          <w:szCs w:val="22"/>
          <w:highlight w:val="none"/>
        </w:rPr>
        <w:t>对本项目总体要求的理解</w:t>
      </w:r>
      <w:r>
        <w:rPr>
          <w:rFonts w:hint="eastAsia" w:ascii="宋体" w:hAnsi="宋体"/>
          <w:color w:val="auto"/>
          <w:szCs w:val="22"/>
          <w:highlight w:val="none"/>
        </w:rPr>
        <w:t>；</w:t>
      </w:r>
    </w:p>
    <w:p w14:paraId="2DFE4BFE">
      <w:pPr>
        <w:snapToGrid w:val="0"/>
        <w:spacing w:line="360" w:lineRule="auto"/>
        <w:ind w:right="-87" w:firstLine="411" w:firstLineChars="196"/>
        <w:jc w:val="left"/>
        <w:textAlignment w:val="baseline"/>
        <w:rPr>
          <w:rFonts w:ascii="宋体" w:hAnsi="宋体"/>
          <w:color w:val="auto"/>
          <w:sz w:val="20"/>
          <w:szCs w:val="22"/>
          <w:highlight w:val="none"/>
        </w:rPr>
      </w:pPr>
      <w:r>
        <w:rPr>
          <w:rFonts w:ascii="宋体" w:hAnsi="宋体"/>
          <w:color w:val="auto"/>
          <w:szCs w:val="22"/>
          <w:highlight w:val="none"/>
        </w:rPr>
        <w:t>2.</w:t>
      </w:r>
      <w:r>
        <w:rPr>
          <w:rFonts w:hint="eastAsia" w:ascii="宋体" w:hAnsi="宋体"/>
          <w:color w:val="auto"/>
          <w:szCs w:val="22"/>
          <w:highlight w:val="none"/>
          <w:lang w:val="en-US" w:eastAsia="zh-CN"/>
        </w:rPr>
        <w:t>7</w:t>
      </w:r>
      <w:r>
        <w:rPr>
          <w:rFonts w:hint="eastAsia" w:ascii="宋体" w:hAnsi="宋体"/>
          <w:color w:val="auto"/>
          <w:szCs w:val="22"/>
          <w:highlight w:val="none"/>
        </w:rPr>
        <w:t>项目总体架构及技术解决方案</w:t>
      </w:r>
    </w:p>
    <w:p w14:paraId="305BD944">
      <w:pPr>
        <w:snapToGrid w:val="0"/>
        <w:spacing w:line="360" w:lineRule="auto"/>
        <w:ind w:right="-87" w:firstLine="411" w:firstLineChars="196"/>
        <w:jc w:val="left"/>
        <w:textAlignment w:val="baseline"/>
        <w:rPr>
          <w:rFonts w:ascii="宋体" w:hAnsi="宋体"/>
          <w:color w:val="auto"/>
          <w:sz w:val="20"/>
          <w:szCs w:val="22"/>
          <w:highlight w:val="none"/>
        </w:rPr>
      </w:pPr>
      <w:r>
        <w:rPr>
          <w:rFonts w:ascii="宋体" w:hAnsi="宋体"/>
          <w:color w:val="auto"/>
          <w:szCs w:val="22"/>
          <w:highlight w:val="none"/>
        </w:rPr>
        <w:t>2.</w:t>
      </w:r>
      <w:r>
        <w:rPr>
          <w:rFonts w:hint="eastAsia" w:ascii="宋体" w:hAnsi="宋体"/>
          <w:color w:val="auto"/>
          <w:szCs w:val="22"/>
          <w:highlight w:val="none"/>
          <w:lang w:val="en-US" w:eastAsia="zh-CN"/>
        </w:rPr>
        <w:t>8</w:t>
      </w:r>
      <w:r>
        <w:rPr>
          <w:rFonts w:hint="eastAsia" w:ascii="宋体" w:hAnsi="宋体"/>
          <w:color w:val="auto"/>
          <w:szCs w:val="22"/>
          <w:highlight w:val="none"/>
        </w:rPr>
        <w:t xml:space="preserve">保证项目质量的技术力量及技术措施； </w:t>
      </w:r>
    </w:p>
    <w:p w14:paraId="39F76D80">
      <w:pPr>
        <w:snapToGrid w:val="0"/>
        <w:spacing w:line="360" w:lineRule="auto"/>
        <w:ind w:right="-87" w:firstLine="411" w:firstLineChars="196"/>
        <w:jc w:val="left"/>
        <w:textAlignment w:val="baseline"/>
        <w:rPr>
          <w:rFonts w:ascii="宋体" w:hAnsi="宋体"/>
          <w:color w:val="auto"/>
          <w:szCs w:val="22"/>
          <w:highlight w:val="none"/>
        </w:rPr>
      </w:pPr>
      <w:r>
        <w:rPr>
          <w:rFonts w:ascii="宋体" w:hAnsi="宋体"/>
          <w:color w:val="auto"/>
          <w:szCs w:val="22"/>
          <w:highlight w:val="none"/>
        </w:rPr>
        <w:t>2.</w:t>
      </w:r>
      <w:r>
        <w:rPr>
          <w:rFonts w:hint="eastAsia" w:ascii="宋体" w:hAnsi="宋体"/>
          <w:color w:val="auto"/>
          <w:szCs w:val="22"/>
          <w:highlight w:val="none"/>
          <w:lang w:val="en-US" w:eastAsia="zh-CN"/>
        </w:rPr>
        <w:t>9</w:t>
      </w:r>
      <w:r>
        <w:rPr>
          <w:rFonts w:hint="eastAsia" w:ascii="宋体" w:hAnsi="宋体"/>
          <w:color w:val="auto"/>
          <w:szCs w:val="22"/>
          <w:highlight w:val="none"/>
        </w:rPr>
        <w:t>保证项目的组织方案及人力资源安排；</w:t>
      </w:r>
    </w:p>
    <w:p w14:paraId="0FC7DD7F">
      <w:pPr>
        <w:snapToGrid w:val="0"/>
        <w:spacing w:line="360" w:lineRule="auto"/>
        <w:ind w:right="-87" w:firstLine="411" w:firstLineChars="196"/>
        <w:jc w:val="left"/>
        <w:textAlignment w:val="baseline"/>
        <w:rPr>
          <w:rFonts w:hint="eastAsia" w:ascii="宋体" w:hAnsi="宋体" w:eastAsia="宋体"/>
          <w:color w:val="auto"/>
          <w:szCs w:val="22"/>
          <w:highlight w:val="none"/>
          <w:lang w:eastAsia="zh-CN"/>
        </w:rPr>
      </w:pPr>
      <w:r>
        <w:rPr>
          <w:rFonts w:hint="eastAsia" w:ascii="宋体" w:hAnsi="宋体"/>
          <w:color w:val="auto"/>
          <w:szCs w:val="22"/>
          <w:highlight w:val="none"/>
        </w:rPr>
        <w:t>2</w:t>
      </w:r>
      <w:r>
        <w:rPr>
          <w:rFonts w:ascii="宋体" w:hAnsi="宋体"/>
          <w:color w:val="auto"/>
          <w:szCs w:val="22"/>
          <w:highlight w:val="none"/>
        </w:rPr>
        <w:t>.</w:t>
      </w:r>
      <w:r>
        <w:rPr>
          <w:rFonts w:hint="eastAsia" w:ascii="宋体" w:hAnsi="宋体"/>
          <w:color w:val="auto"/>
          <w:szCs w:val="22"/>
          <w:highlight w:val="none"/>
          <w:lang w:val="en-US" w:eastAsia="zh-CN"/>
        </w:rPr>
        <w:t>10</w:t>
      </w:r>
      <w:r>
        <w:rPr>
          <w:rFonts w:ascii="宋体" w:hAnsi="宋体"/>
          <w:color w:val="auto"/>
          <w:szCs w:val="22"/>
          <w:highlight w:val="none"/>
        </w:rPr>
        <w:t>项目运营方案</w:t>
      </w:r>
      <w:r>
        <w:rPr>
          <w:rFonts w:hint="eastAsia" w:ascii="宋体" w:hAnsi="宋体"/>
          <w:color w:val="auto"/>
          <w:szCs w:val="22"/>
          <w:highlight w:val="none"/>
          <w:lang w:eastAsia="zh-CN"/>
        </w:rPr>
        <w:t>；</w:t>
      </w:r>
    </w:p>
    <w:p w14:paraId="70770FB1">
      <w:pPr>
        <w:snapToGrid w:val="0"/>
        <w:spacing w:line="360" w:lineRule="auto"/>
        <w:ind w:right="-87" w:firstLine="411" w:firstLineChars="196"/>
        <w:jc w:val="left"/>
        <w:textAlignment w:val="baseline"/>
        <w:rPr>
          <w:rFonts w:ascii="宋体" w:hAnsi="宋体"/>
          <w:color w:val="auto"/>
          <w:sz w:val="20"/>
          <w:szCs w:val="22"/>
          <w:highlight w:val="none"/>
        </w:rPr>
      </w:pPr>
      <w:r>
        <w:rPr>
          <w:rFonts w:ascii="宋体" w:hAnsi="宋体"/>
          <w:color w:val="auto"/>
          <w:szCs w:val="22"/>
          <w:highlight w:val="none"/>
        </w:rPr>
        <w:t>2.1</w:t>
      </w:r>
      <w:r>
        <w:rPr>
          <w:rFonts w:hint="eastAsia" w:ascii="宋体" w:hAnsi="宋体"/>
          <w:color w:val="auto"/>
          <w:szCs w:val="22"/>
          <w:highlight w:val="none"/>
          <w:lang w:val="en-US" w:eastAsia="zh-CN"/>
        </w:rPr>
        <w:t>1</w:t>
      </w:r>
      <w:r>
        <w:rPr>
          <w:rFonts w:hint="eastAsia" w:ascii="宋体" w:hAnsi="宋体"/>
          <w:color w:val="auto"/>
          <w:szCs w:val="22"/>
          <w:highlight w:val="none"/>
        </w:rPr>
        <w:t>服务承诺和保障措施；</w:t>
      </w:r>
    </w:p>
    <w:p w14:paraId="3A87B9FA">
      <w:pPr>
        <w:snapToGrid w:val="0"/>
        <w:spacing w:line="360" w:lineRule="auto"/>
        <w:ind w:right="-87" w:firstLine="411" w:firstLineChars="196"/>
        <w:jc w:val="left"/>
        <w:textAlignment w:val="baseline"/>
        <w:rPr>
          <w:rFonts w:hint="eastAsia" w:ascii="宋体" w:hAnsi="宋体" w:eastAsia="宋体"/>
          <w:color w:val="auto"/>
          <w:sz w:val="20"/>
          <w:szCs w:val="22"/>
          <w:highlight w:val="none"/>
          <w:lang w:eastAsia="zh-CN"/>
        </w:rPr>
      </w:pPr>
      <w:r>
        <w:rPr>
          <w:rFonts w:ascii="宋体" w:hAnsi="宋体"/>
          <w:color w:val="auto"/>
          <w:szCs w:val="22"/>
          <w:highlight w:val="none"/>
        </w:rPr>
        <w:t>2.1</w:t>
      </w:r>
      <w:r>
        <w:rPr>
          <w:rFonts w:hint="eastAsia" w:ascii="宋体" w:hAnsi="宋体"/>
          <w:color w:val="auto"/>
          <w:szCs w:val="22"/>
          <w:highlight w:val="none"/>
          <w:lang w:val="en-US" w:eastAsia="zh-CN"/>
        </w:rPr>
        <w:t>2</w:t>
      </w:r>
      <w:r>
        <w:rPr>
          <w:rFonts w:hint="eastAsia" w:ascii="宋体" w:hAnsi="宋体"/>
          <w:color w:val="auto"/>
          <w:szCs w:val="22"/>
          <w:highlight w:val="none"/>
        </w:rPr>
        <w:t>技术响应表</w:t>
      </w:r>
      <w:r>
        <w:rPr>
          <w:rFonts w:hint="eastAsia" w:ascii="宋体" w:hAnsi="宋体"/>
          <w:color w:val="auto"/>
          <w:szCs w:val="22"/>
          <w:highlight w:val="none"/>
          <w:lang w:eastAsia="zh-CN"/>
        </w:rPr>
        <w:t>；</w:t>
      </w:r>
    </w:p>
    <w:p w14:paraId="73A51E2B">
      <w:pPr>
        <w:snapToGrid w:val="0"/>
        <w:spacing w:line="360" w:lineRule="auto"/>
        <w:ind w:firstLine="411" w:firstLineChars="196"/>
        <w:jc w:val="left"/>
        <w:rPr>
          <w:rFonts w:hint="eastAsia" w:ascii="宋体" w:hAnsi="宋体" w:eastAsia="宋体" w:cs="Times New Roman"/>
          <w:bCs/>
          <w:color w:val="auto"/>
          <w:szCs w:val="21"/>
          <w:highlight w:val="none"/>
        </w:rPr>
      </w:pPr>
      <w:r>
        <w:rPr>
          <w:rFonts w:ascii="宋体" w:hAnsi="宋体"/>
          <w:color w:val="auto"/>
          <w:szCs w:val="22"/>
          <w:highlight w:val="none"/>
        </w:rPr>
        <w:t>2.1</w:t>
      </w:r>
      <w:r>
        <w:rPr>
          <w:rFonts w:hint="eastAsia" w:ascii="宋体" w:hAnsi="宋体"/>
          <w:color w:val="auto"/>
          <w:szCs w:val="22"/>
          <w:highlight w:val="none"/>
          <w:lang w:val="en-US" w:eastAsia="zh-CN"/>
        </w:rPr>
        <w:t>3</w:t>
      </w:r>
      <w:r>
        <w:rPr>
          <w:rFonts w:hint="eastAsia" w:ascii="宋体" w:hAnsi="宋体"/>
          <w:color w:val="auto"/>
          <w:szCs w:val="22"/>
          <w:highlight w:val="none"/>
        </w:rPr>
        <w:t>投标人对本项目的合理化建议和改进措施</w:t>
      </w:r>
      <w:r>
        <w:rPr>
          <w:rFonts w:hint="eastAsia" w:ascii="宋体" w:hAnsi="宋体" w:eastAsia="宋体" w:cs="Times New Roman"/>
          <w:bCs/>
          <w:color w:val="auto"/>
          <w:szCs w:val="21"/>
          <w:highlight w:val="none"/>
        </w:rPr>
        <w:t>；</w:t>
      </w:r>
    </w:p>
    <w:p w14:paraId="1B20EA1A">
      <w:pPr>
        <w:snapToGrid w:val="0"/>
        <w:spacing w:line="360" w:lineRule="auto"/>
        <w:ind w:firstLine="411" w:firstLineChars="196"/>
        <w:jc w:val="left"/>
        <w:rPr>
          <w:rFonts w:hint="eastAsia" w:ascii="宋体" w:hAnsi="宋体" w:eastAsia="宋体" w:cs="Times New Roman"/>
          <w:bCs/>
          <w:color w:val="auto"/>
          <w:szCs w:val="21"/>
          <w:highlight w:val="none"/>
          <w:lang w:eastAsia="zh-CN"/>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lang w:val="en-US" w:eastAsia="zh-CN"/>
        </w:rPr>
        <w:t>1</w:t>
      </w:r>
      <w:r>
        <w:rPr>
          <w:rFonts w:hint="eastAsia" w:ascii="宋体" w:hAnsi="宋体" w:cs="Times New Roman"/>
          <w:bCs/>
          <w:color w:val="auto"/>
          <w:szCs w:val="21"/>
          <w:highlight w:val="none"/>
          <w:lang w:val="en-US" w:eastAsia="zh-CN"/>
        </w:rPr>
        <w:t>4</w:t>
      </w:r>
      <w:r>
        <w:rPr>
          <w:rFonts w:hint="eastAsia" w:ascii="宋体" w:hAnsi="宋体" w:eastAsia="宋体" w:cs="Times New Roman"/>
          <w:bCs/>
          <w:color w:val="auto"/>
          <w:szCs w:val="21"/>
          <w:highlight w:val="none"/>
        </w:rPr>
        <w:t>评分规则中涉及的所需提交的材料（如有），投标人需要说明的其他文件和说明（如有）</w:t>
      </w:r>
      <w:r>
        <w:rPr>
          <w:rFonts w:hint="eastAsia" w:ascii="宋体" w:hAnsi="宋体" w:eastAsia="宋体" w:cs="Times New Roman"/>
          <w:bCs/>
          <w:color w:val="auto"/>
          <w:szCs w:val="21"/>
          <w:highlight w:val="none"/>
          <w:lang w:eastAsia="zh-CN"/>
        </w:rPr>
        <w:t>。</w:t>
      </w:r>
    </w:p>
    <w:p w14:paraId="2F9DECC8">
      <w:pPr>
        <w:pStyle w:val="2"/>
        <w:ind w:firstLine="422"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b/>
          <w:color w:val="auto"/>
          <w:sz w:val="21"/>
          <w:szCs w:val="21"/>
          <w:highlight w:val="none"/>
        </w:rPr>
        <w:t>3.</w:t>
      </w:r>
      <w:r>
        <w:rPr>
          <w:rFonts w:asciiTheme="minorEastAsia" w:hAnsiTheme="minorEastAsia" w:eastAsiaTheme="minorEastAsia"/>
          <w:b/>
          <w:color w:val="auto"/>
          <w:sz w:val="21"/>
          <w:szCs w:val="21"/>
          <w:highlight w:val="none"/>
        </w:rPr>
        <w:t>报价</w:t>
      </w:r>
      <w:r>
        <w:rPr>
          <w:rFonts w:hint="eastAsia" w:asciiTheme="minorEastAsia" w:hAnsiTheme="minorEastAsia" w:eastAsiaTheme="minorEastAsia"/>
          <w:b/>
          <w:color w:val="auto"/>
          <w:sz w:val="21"/>
          <w:szCs w:val="21"/>
          <w:highlight w:val="none"/>
        </w:rPr>
        <w:t>部分</w:t>
      </w:r>
      <w:r>
        <w:rPr>
          <w:rFonts w:asciiTheme="minorEastAsia" w:hAnsiTheme="minorEastAsia" w:eastAsiaTheme="minorEastAsia"/>
          <w:b/>
          <w:color w:val="auto"/>
          <w:sz w:val="21"/>
          <w:szCs w:val="21"/>
          <w:highlight w:val="none"/>
        </w:rPr>
        <w:t>：</w:t>
      </w:r>
    </w:p>
    <w:p w14:paraId="469A7530">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3.1投标报价文件由第一次开标一览表、投标报价明细表、最终报价及承诺一览表组成；</w:t>
      </w:r>
    </w:p>
    <w:p w14:paraId="614A7FAE">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3.2最终报价及承诺一览表（经谈判确定并填写后单独提供）。</w:t>
      </w:r>
    </w:p>
    <w:p w14:paraId="0005FBE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3.3投标人针对报价需要说明的其他文件和说明（如有，格式自拟）。</w:t>
      </w:r>
    </w:p>
    <w:p w14:paraId="1804A21D">
      <w:pPr>
        <w:snapToGrid w:val="0"/>
        <w:spacing w:line="360" w:lineRule="auto"/>
        <w:ind w:right="55" w:firstLine="422" w:firstLineChars="200"/>
        <w:jc w:val="left"/>
        <w:outlineLvl w:val="0"/>
        <w:rPr>
          <w:rFonts w:hint="eastAsia" w:ascii="Times New Roman" w:hAnsi="Times New Roman" w:eastAsia="宋体" w:cs="Times New Roman"/>
          <w:b/>
          <w:color w:val="auto"/>
          <w:szCs w:val="21"/>
          <w:highlight w:val="none"/>
        </w:rPr>
      </w:pPr>
      <w:r>
        <w:rPr>
          <w:rFonts w:hint="eastAsia" w:ascii="Times New Roman" w:hAnsi="Times New Roman" w:eastAsia="宋体" w:cs="Times New Roman"/>
          <w:b/>
          <w:color w:val="auto"/>
          <w:szCs w:val="21"/>
          <w:highlight w:val="none"/>
        </w:rPr>
        <w:t>关于符合本国产品标准的声明函</w:t>
      </w: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lang w:val="en-US" w:eastAsia="zh-CN"/>
        </w:rPr>
        <w:t>如有</w:t>
      </w:r>
      <w:r>
        <w:rPr>
          <w:rFonts w:hint="eastAsia" w:ascii="Times New Roman" w:hAnsi="Times New Roman" w:eastAsia="宋体" w:cs="Times New Roman"/>
          <w:b/>
          <w:color w:val="auto"/>
          <w:szCs w:val="21"/>
          <w:highlight w:val="none"/>
          <w:lang w:eastAsia="zh-CN"/>
        </w:rPr>
        <w:t>）</w:t>
      </w:r>
      <w:r>
        <w:rPr>
          <w:rFonts w:hint="eastAsia" w:ascii="Times New Roman" w:hAnsi="Times New Roman" w:eastAsia="宋体" w:cs="Times New Roman"/>
          <w:b/>
          <w:color w:val="auto"/>
          <w:szCs w:val="21"/>
          <w:highlight w:val="none"/>
        </w:rPr>
        <w:t>；</w:t>
      </w:r>
    </w:p>
    <w:p w14:paraId="4273C13B">
      <w:pPr>
        <w:snapToGrid w:val="0"/>
        <w:spacing w:line="360" w:lineRule="auto"/>
        <w:ind w:right="55" w:firstLine="422" w:firstLineChars="200"/>
        <w:jc w:val="left"/>
        <w:outlineLvl w:val="0"/>
        <w:rPr>
          <w:rFonts w:hint="eastAsia" w:ascii="宋体" w:hAnsi="宋体"/>
          <w:b/>
          <w:color w:val="auto"/>
          <w:sz w:val="24"/>
          <w:highlight w:val="none"/>
        </w:rPr>
      </w:pPr>
      <w:r>
        <w:rPr>
          <w:rFonts w:hint="eastAsia" w:ascii="Times New Roman" w:hAnsi="Times New Roman" w:eastAsia="宋体" w:cs="Times New Roman"/>
          <w:b/>
          <w:color w:val="auto"/>
          <w:szCs w:val="21"/>
          <w:highlight w:val="none"/>
        </w:rPr>
        <w:t>关于本国产品成本比例的声明函（如有）</w:t>
      </w:r>
      <w:r>
        <w:rPr>
          <w:rFonts w:hint="eastAsia" w:ascii="Times New Roman" w:hAnsi="Times New Roman" w:eastAsia="宋体" w:cs="Times New Roman"/>
          <w:b/>
          <w:color w:val="auto"/>
          <w:szCs w:val="21"/>
          <w:highlight w:val="none"/>
          <w:lang w:eastAsia="zh-CN"/>
        </w:rPr>
        <w:t>。</w:t>
      </w:r>
    </w:p>
    <w:p w14:paraId="6D30B257">
      <w:pPr>
        <w:snapToGrid w:val="0"/>
        <w:spacing w:line="360" w:lineRule="auto"/>
        <w:jc w:val="left"/>
        <w:outlineLvl w:val="0"/>
        <w:rPr>
          <w:rFonts w:ascii="宋体" w:hAnsi="宋体"/>
          <w:b/>
          <w:color w:val="auto"/>
          <w:sz w:val="24"/>
          <w:highlight w:val="none"/>
        </w:rPr>
      </w:pPr>
      <w:r>
        <w:rPr>
          <w:rFonts w:hint="eastAsia" w:ascii="宋体" w:hAnsi="宋体"/>
          <w:b/>
          <w:color w:val="auto"/>
          <w:sz w:val="24"/>
          <w:highlight w:val="none"/>
        </w:rPr>
        <w:t>（二）投标文件的语言及计量</w:t>
      </w:r>
    </w:p>
    <w:p w14:paraId="1DDC8294">
      <w:pPr>
        <w:snapToGrid w:val="0"/>
        <w:spacing w:line="360" w:lineRule="auto"/>
        <w:ind w:right="-506" w:rightChars="-241" w:firstLine="420" w:firstLineChars="200"/>
        <w:jc w:val="left"/>
        <w:rPr>
          <w:rFonts w:ascii="宋体" w:hAnsi="宋体"/>
          <w:color w:val="auto"/>
          <w:highlight w:val="none"/>
        </w:rPr>
      </w:pPr>
      <w:r>
        <w:rPr>
          <w:rFonts w:hint="eastAsia" w:ascii="宋体" w:hAnsi="宋体"/>
          <w:color w:val="auto"/>
          <w:highlight w:val="none"/>
        </w:rPr>
        <w:t>1.投标文件以及投标人与招标人就有关投标事宜的所有来往函电，均应以中文汉语书写。除签名、盖章、专用名称等特殊情形外，以中文汉语以外的文字表述的投标文件视同未提供。</w:t>
      </w:r>
    </w:p>
    <w:p w14:paraId="3B7877E9">
      <w:pPr>
        <w:snapToGrid w:val="0"/>
        <w:spacing w:line="360" w:lineRule="auto"/>
        <w:ind w:right="-506" w:rightChars="-241" w:firstLine="420" w:firstLineChars="200"/>
        <w:jc w:val="left"/>
        <w:rPr>
          <w:rFonts w:ascii="宋体" w:hAnsi="宋体"/>
          <w:color w:val="auto"/>
          <w:highlight w:val="none"/>
        </w:rPr>
      </w:pPr>
      <w:r>
        <w:rPr>
          <w:rFonts w:hint="eastAsia" w:ascii="宋体" w:hAnsi="宋体"/>
          <w:color w:val="auto"/>
          <w:highlight w:val="none"/>
        </w:rPr>
        <w:t>2.投标计量单位，磋商文件已有明确规定的，使用磋商文件规定的计量单位；磋商文件没有规定的，应采用中华人民共和国法定计量单位（货币单位：人民币元），否则视同未响应。</w:t>
      </w:r>
    </w:p>
    <w:p w14:paraId="18C5FAE6">
      <w:pPr>
        <w:snapToGrid w:val="0"/>
        <w:spacing w:line="360" w:lineRule="auto"/>
        <w:jc w:val="left"/>
        <w:outlineLvl w:val="0"/>
        <w:rPr>
          <w:rFonts w:ascii="宋体" w:hAnsi="宋体"/>
          <w:b/>
          <w:color w:val="auto"/>
          <w:sz w:val="24"/>
          <w:highlight w:val="none"/>
        </w:rPr>
      </w:pPr>
      <w:r>
        <w:rPr>
          <w:rFonts w:hint="eastAsia" w:ascii="宋体" w:hAnsi="宋体"/>
          <w:b/>
          <w:color w:val="auto"/>
          <w:sz w:val="24"/>
          <w:highlight w:val="none"/>
        </w:rPr>
        <w:t>（三）投标报价</w:t>
      </w:r>
    </w:p>
    <w:p w14:paraId="2B42CB0E">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1.投标报价应按磋商文件中相关附表格式填写。</w:t>
      </w:r>
    </w:p>
    <w:p w14:paraId="062EFCEC">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2.投标报价是履行合同的最终价格，应包括一切税金和费用。</w:t>
      </w:r>
    </w:p>
    <w:p w14:paraId="3788B202">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3.投标文件只允许有一个报价，有选择的或有条件的报价将不予接受。</w:t>
      </w:r>
    </w:p>
    <w:p w14:paraId="1BACA581">
      <w:pPr>
        <w:pStyle w:val="7"/>
        <w:numPr>
          <w:ilvl w:val="0"/>
          <w:numId w:val="0"/>
        </w:numPr>
        <w:tabs>
          <w:tab w:val="left" w:pos="454"/>
          <w:tab w:val="left" w:pos="720"/>
          <w:tab w:val="clear" w:pos="360"/>
        </w:tabs>
        <w:snapToGrid w:val="0"/>
        <w:spacing w:line="360" w:lineRule="auto"/>
        <w:rPr>
          <w:rFonts w:ascii="宋体" w:hAnsi="宋体"/>
          <w:b/>
          <w:color w:val="auto"/>
          <w:sz w:val="24"/>
          <w:highlight w:val="none"/>
        </w:rPr>
      </w:pPr>
      <w:r>
        <w:rPr>
          <w:rFonts w:hint="eastAsia" w:ascii="宋体" w:hAnsi="宋体"/>
          <w:b/>
          <w:color w:val="auto"/>
          <w:sz w:val="24"/>
          <w:highlight w:val="none"/>
        </w:rPr>
        <w:t>（四）投标文件的有效期</w:t>
      </w:r>
    </w:p>
    <w:p w14:paraId="071FC972">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1.自投标截止日起90 天投标文件应保持有效。有效期不足的投标文件将被拒绝。</w:t>
      </w:r>
    </w:p>
    <w:p w14:paraId="320FCA8C">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2.在特殊情况下，招标人可与投标人协商延长投标书的有效期，这种要求和答复均以书面形式进行。</w:t>
      </w:r>
    </w:p>
    <w:p w14:paraId="59E8A0E4">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3.投标人可拒绝接受延期要求。同意延长有效期的不能修改投标文件。</w:t>
      </w:r>
    </w:p>
    <w:p w14:paraId="1E836B37">
      <w:pPr>
        <w:pStyle w:val="7"/>
        <w:numPr>
          <w:ilvl w:val="0"/>
          <w:numId w:val="0"/>
        </w:numPr>
        <w:tabs>
          <w:tab w:val="left" w:pos="454"/>
          <w:tab w:val="left" w:pos="720"/>
          <w:tab w:val="clear" w:pos="360"/>
        </w:tabs>
        <w:snapToGrid w:val="0"/>
        <w:spacing w:line="360" w:lineRule="auto"/>
        <w:ind w:firstLine="210" w:firstLineChars="100"/>
        <w:rPr>
          <w:rFonts w:ascii="宋体" w:hAnsi="宋体"/>
          <w:color w:val="auto"/>
          <w:highlight w:val="none"/>
        </w:rPr>
      </w:pPr>
      <w:r>
        <w:rPr>
          <w:rFonts w:hint="eastAsia" w:ascii="宋体" w:hAnsi="宋体"/>
          <w:color w:val="auto"/>
          <w:highlight w:val="none"/>
        </w:rPr>
        <w:t>4.中标人的投标文件自开标之日起至合同履行完毕止均应保持有效。</w:t>
      </w:r>
    </w:p>
    <w:p w14:paraId="091FD8BD">
      <w:pPr>
        <w:snapToGrid w:val="0"/>
        <w:spacing w:line="336" w:lineRule="auto"/>
        <w:jc w:val="left"/>
        <w:outlineLvl w:val="0"/>
        <w:rPr>
          <w:rFonts w:ascii="宋体" w:hAnsi="宋体"/>
          <w:b/>
          <w:color w:val="auto"/>
          <w:sz w:val="24"/>
          <w:highlight w:val="none"/>
        </w:rPr>
      </w:pPr>
      <w:r>
        <w:rPr>
          <w:rFonts w:hint="eastAsia" w:ascii="宋体" w:hAnsi="宋体"/>
          <w:b/>
          <w:color w:val="auto"/>
          <w:sz w:val="24"/>
          <w:highlight w:val="none"/>
        </w:rPr>
        <w:t>（五）投标文件的签署和份数</w:t>
      </w:r>
    </w:p>
    <w:p w14:paraId="04387292">
      <w:pPr>
        <w:pStyle w:val="2"/>
        <w:spacing w:after="0" w:line="336" w:lineRule="auto"/>
        <w:ind w:firstLine="420"/>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1.1电子投标文件部分：</w:t>
      </w:r>
    </w:p>
    <w:p w14:paraId="39DE9919">
      <w:pPr>
        <w:pStyle w:val="2"/>
        <w:spacing w:after="0" w:line="336" w:lineRule="auto"/>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投标人应根据“政采云供应商项目采购-电子交易操作指南”及本磋商文件规定的格式和顺序编制电子投标文件并进行关联定位。</w:t>
      </w:r>
    </w:p>
    <w:p w14:paraId="3C1336AB">
      <w:pPr>
        <w:pStyle w:val="2"/>
        <w:spacing w:after="0" w:line="336" w:lineRule="auto"/>
        <w:ind w:firstLine="420"/>
        <w:rPr>
          <w:rFonts w:ascii="Times New Roman" w:hAnsi="Times New Roman"/>
          <w:b/>
          <w:bCs/>
          <w:color w:val="auto"/>
          <w:sz w:val="21"/>
          <w:szCs w:val="21"/>
          <w:highlight w:val="none"/>
        </w:rPr>
      </w:pPr>
      <w:r>
        <w:rPr>
          <w:rFonts w:hint="eastAsia" w:ascii="Times New Roman" w:hAnsi="Times New Roman"/>
          <w:b/>
          <w:bCs/>
          <w:color w:val="auto"/>
          <w:sz w:val="21"/>
          <w:szCs w:val="21"/>
          <w:highlight w:val="none"/>
        </w:rPr>
        <w:t>1.2以介质存储的数据电文形式的备份投标文件部分：</w:t>
      </w:r>
    </w:p>
    <w:p w14:paraId="781FBC1E">
      <w:pPr>
        <w:pStyle w:val="2"/>
        <w:spacing w:after="0" w:line="336" w:lineRule="auto"/>
        <w:ind w:firstLine="420"/>
        <w:rPr>
          <w:rFonts w:ascii="Times New Roman" w:hAnsi="Times New Roman"/>
          <w:color w:val="auto"/>
          <w:sz w:val="21"/>
          <w:szCs w:val="21"/>
          <w:highlight w:val="none"/>
        </w:rPr>
      </w:pPr>
      <w:r>
        <w:rPr>
          <w:rFonts w:hint="eastAsia" w:ascii="Times New Roman" w:hAnsi="Times New Roman"/>
          <w:color w:val="auto"/>
          <w:sz w:val="21"/>
          <w:szCs w:val="21"/>
          <w:highlight w:val="none"/>
        </w:rPr>
        <w:t>电子投标文件的备份文件，以U盘形式存储，并单独密封递交。</w:t>
      </w:r>
    </w:p>
    <w:p w14:paraId="43CEC7DC">
      <w:pPr>
        <w:snapToGrid w:val="0"/>
        <w:spacing w:line="336" w:lineRule="auto"/>
        <w:jc w:val="left"/>
        <w:rPr>
          <w:rFonts w:ascii="宋体" w:hAnsi="宋体"/>
          <w:b/>
          <w:color w:val="auto"/>
          <w:sz w:val="24"/>
          <w:highlight w:val="none"/>
        </w:rPr>
      </w:pPr>
      <w:r>
        <w:rPr>
          <w:rFonts w:hint="eastAsia" w:ascii="宋体" w:hAnsi="宋体"/>
          <w:b/>
          <w:color w:val="auto"/>
          <w:sz w:val="24"/>
          <w:highlight w:val="none"/>
        </w:rPr>
        <w:t>（六）投标文件的形式和效力</w:t>
      </w:r>
    </w:p>
    <w:p w14:paraId="1FA2FA70">
      <w:pPr>
        <w:tabs>
          <w:tab w:val="left" w:pos="0"/>
        </w:tabs>
        <w:spacing w:line="336"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b/>
          <w:color w:val="auto"/>
          <w:szCs w:val="21"/>
          <w:highlight w:val="none"/>
        </w:rPr>
        <w:tab/>
      </w:r>
      <w:r>
        <w:rPr>
          <w:rFonts w:hint="eastAsia" w:ascii="Times New Roman" w:hAnsi="Times New Roman" w:eastAsia="宋体" w:cs="Times New Roman"/>
          <w:color w:val="auto"/>
          <w:kern w:val="2"/>
          <w:sz w:val="21"/>
          <w:szCs w:val="21"/>
          <w:highlight w:val="none"/>
          <w:lang w:val="en-US" w:eastAsia="zh-CN" w:bidi="ar-SA"/>
        </w:rPr>
        <w:t>投标文件分为电子投标文件以及备份投标文件，备份文件为以介质存储的数据电文形式的备份投标文件。</w:t>
      </w:r>
    </w:p>
    <w:p w14:paraId="1546AA4A">
      <w:pPr>
        <w:tabs>
          <w:tab w:val="left" w:pos="0"/>
        </w:tabs>
        <w:spacing w:line="336"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ab/>
      </w:r>
      <w:r>
        <w:rPr>
          <w:rFonts w:hint="eastAsia" w:ascii="Times New Roman" w:hAnsi="Times New Roman" w:eastAsia="宋体" w:cs="Times New Roman"/>
          <w:color w:val="auto"/>
          <w:kern w:val="2"/>
          <w:sz w:val="21"/>
          <w:szCs w:val="21"/>
          <w:highlight w:val="none"/>
          <w:lang w:val="en-US" w:eastAsia="zh-CN" w:bidi="ar-SA"/>
        </w:rPr>
        <w:t>1.电子投标文件，按“政采云供应商项目采购-电子交易操作指南”及本磋商文件要求制作、加密并递交。</w:t>
      </w:r>
    </w:p>
    <w:p w14:paraId="4FAE8C0B">
      <w:pPr>
        <w:tabs>
          <w:tab w:val="left" w:pos="0"/>
        </w:tabs>
        <w:spacing w:line="336"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ab/>
      </w:r>
      <w:r>
        <w:rPr>
          <w:rFonts w:hint="eastAsia" w:ascii="Times New Roman" w:hAnsi="Times New Roman" w:eastAsia="宋体" w:cs="Times New Roman"/>
          <w:color w:val="auto"/>
          <w:kern w:val="2"/>
          <w:sz w:val="21"/>
          <w:szCs w:val="21"/>
          <w:highlight w:val="none"/>
          <w:lang w:val="en-US" w:eastAsia="zh-CN" w:bidi="ar-SA"/>
        </w:rPr>
        <w:t>2.以介质存储的数据电文形式的备份投标文件，即电子投标文件按“政采云供应商项目采购-电子交易操作指南”制作的备份文件。</w:t>
      </w:r>
    </w:p>
    <w:p w14:paraId="5991D29E">
      <w:pPr>
        <w:tabs>
          <w:tab w:val="left" w:pos="0"/>
        </w:tabs>
        <w:spacing w:line="336"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ab/>
      </w:r>
      <w:r>
        <w:rPr>
          <w:rFonts w:hint="eastAsia" w:ascii="Times New Roman" w:hAnsi="Times New Roman" w:eastAsia="宋体" w:cs="Times New Roman"/>
          <w:color w:val="auto"/>
          <w:kern w:val="2"/>
          <w:sz w:val="21"/>
          <w:szCs w:val="21"/>
          <w:highlight w:val="none"/>
          <w:lang w:val="en-US" w:eastAsia="zh-CN" w:bidi="ar-SA"/>
        </w:rPr>
        <w:t>3.投标文件的效力</w:t>
      </w:r>
    </w:p>
    <w:p w14:paraId="531FB36D">
      <w:pPr>
        <w:tabs>
          <w:tab w:val="left" w:pos="0"/>
        </w:tabs>
        <w:spacing w:line="336" w:lineRule="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ab/>
      </w:r>
      <w:r>
        <w:rPr>
          <w:rFonts w:hint="eastAsia" w:ascii="Times New Roman" w:hAnsi="Times New Roman" w:eastAsia="宋体" w:cs="Times New Roman"/>
          <w:color w:val="auto"/>
          <w:kern w:val="2"/>
          <w:sz w:val="21"/>
          <w:szCs w:val="21"/>
          <w:highlight w:val="none"/>
          <w:lang w:val="en-US" w:eastAsia="zh-CN" w:bidi="ar-SA"/>
        </w:rPr>
        <w:t>投标文件的启用，按先后顺位分别为电子投标文件、以介质存储的数据电文形式的备份投标文件。在下一顺位的投标文件启用时，前一顺位的投标文件自动失效。</w:t>
      </w:r>
    </w:p>
    <w:p w14:paraId="14CEA76A">
      <w:pPr>
        <w:snapToGrid w:val="0"/>
        <w:spacing w:line="336" w:lineRule="auto"/>
        <w:jc w:val="left"/>
        <w:rPr>
          <w:rFonts w:ascii="宋体" w:hAnsi="宋体"/>
          <w:b/>
          <w:color w:val="auto"/>
          <w:sz w:val="24"/>
          <w:highlight w:val="none"/>
        </w:rPr>
      </w:pPr>
      <w:r>
        <w:rPr>
          <w:rFonts w:hint="eastAsia" w:ascii="宋体" w:hAnsi="宋体"/>
          <w:b/>
          <w:color w:val="auto"/>
          <w:sz w:val="24"/>
          <w:highlight w:val="none"/>
        </w:rPr>
        <w:t>（七）投标文件的包装、递交、修改和撤回</w:t>
      </w:r>
    </w:p>
    <w:p w14:paraId="08F1F614">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1.投标人应当在投标截止时间前完成电子投标文件的传输递交，并可以补充、修改或者撤回电子投标文件。补充或者修改电子投标文件的，应当先行撤回原文件，补充、修改后重新传输递交。投标截止时间前未完成传输的，视为撤回投标文件。投标、投标截止时间后送达的投标、投标文件，将被政采云平台拒收。</w:t>
      </w:r>
    </w:p>
    <w:p w14:paraId="1AD2A4A2">
      <w:pPr>
        <w:snapToGrid w:val="0"/>
        <w:spacing w:line="360" w:lineRule="auto"/>
        <w:ind w:firstLine="420" w:firstLineChars="200"/>
        <w:jc w:val="left"/>
        <w:rPr>
          <w:rFonts w:ascii="宋体" w:hAnsi="宋体"/>
          <w:color w:val="auto"/>
          <w:highlight w:val="none"/>
        </w:rPr>
      </w:pPr>
      <w:r>
        <w:rPr>
          <w:rFonts w:hint="eastAsia" w:ascii="宋体" w:hAnsi="宋体"/>
          <w:color w:val="auto"/>
          <w:highlight w:val="none"/>
        </w:rPr>
        <w:t>2.投标人应当在截止时间前将以介质存储的数据电文形式的备份投标文件寄到或送达采购代理公司。地址：舟山市定海区昌国路232号中楼202  深圳市国信招标有限公司舟山分公司。也可现场递交。逾期送达或未密封将被拒收。</w:t>
      </w:r>
    </w:p>
    <w:p w14:paraId="3EA76B31">
      <w:pPr>
        <w:snapToGrid w:val="0"/>
        <w:spacing w:line="360" w:lineRule="auto"/>
        <w:ind w:right="-86" w:rightChars="-41" w:firstLine="422" w:firstLineChars="200"/>
        <w:jc w:val="left"/>
        <w:rPr>
          <w:rFonts w:ascii="宋体" w:hAnsi="宋体"/>
          <w:color w:val="auto"/>
          <w:highlight w:val="none"/>
        </w:rPr>
      </w:pPr>
      <w:bookmarkStart w:id="1" w:name="_Hlk175817526"/>
      <w:r>
        <w:rPr>
          <w:rFonts w:hint="eastAsia" w:cs="(使用中文字体)"/>
          <w:b/>
          <w:color w:val="auto"/>
          <w:szCs w:val="21"/>
          <w:highlight w:val="none"/>
        </w:rPr>
        <w:t>投标人可以不提供备份投标文件，造成项目开评标活动无法进行下去的，投标无效，相关风险由投标人自行承担。</w:t>
      </w:r>
    </w:p>
    <w:bookmarkEnd w:id="1"/>
    <w:p w14:paraId="1F4969DD">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投标人递交以介质存储的数据电文形式的备份投标文件时，如出现下列情况之一的，将被拒收：</w:t>
      </w:r>
    </w:p>
    <w:p w14:paraId="1E15DEB6">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（1）未按规定密封或标记的投标文件；</w:t>
      </w:r>
    </w:p>
    <w:p w14:paraId="02C38A5D">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（2）由于包装不妥，在送交途中严重破损或失散的；</w:t>
      </w:r>
    </w:p>
    <w:p w14:paraId="4166F563">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（3）未成功办理投标人报名手续的；</w:t>
      </w:r>
    </w:p>
    <w:p w14:paraId="26CC46C5">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（4）超过投标截止时间送达的；</w:t>
      </w:r>
    </w:p>
    <w:p w14:paraId="00ADB1C7">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仅提供备份投标文件的，投标无效。</w:t>
      </w:r>
    </w:p>
    <w:p w14:paraId="411847E9">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投标人可以不提供备份投标文件，造成项目开评标活动无法进行下去的，投标无效，相关风险由投标人自行承担。</w:t>
      </w:r>
    </w:p>
    <w:p w14:paraId="1C720315">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3.投标文件未按时解密，供应商提供了备份投标文件的，以备份投标文件作为依据，否则视为投标文件撤回。投标文件已按时解密的，备份投标文件自动失效。</w:t>
      </w:r>
    </w:p>
    <w:p w14:paraId="17D9D279">
      <w:pPr>
        <w:snapToGrid w:val="0"/>
        <w:spacing w:line="360" w:lineRule="auto"/>
        <w:ind w:right="-86" w:rightChars="-41" w:firstLine="420" w:firstLineChars="200"/>
        <w:jc w:val="left"/>
        <w:rPr>
          <w:rFonts w:ascii="宋体" w:hAnsi="宋体"/>
          <w:color w:val="auto"/>
          <w:highlight w:val="none"/>
        </w:rPr>
      </w:pPr>
      <w:r>
        <w:rPr>
          <w:rFonts w:hint="eastAsia" w:ascii="宋体" w:hAnsi="宋体"/>
          <w:color w:val="auto"/>
          <w:highlight w:val="none"/>
        </w:rPr>
        <w:t>4.备份投标文件须密封封装。包装封面上应注明投标人名称，封口处加盖投标人公章。</w:t>
      </w:r>
    </w:p>
    <w:p w14:paraId="2B643C4A">
      <w:pPr>
        <w:snapToGrid w:val="0"/>
        <w:spacing w:line="336" w:lineRule="auto"/>
        <w:outlineLvl w:val="2"/>
        <w:rPr>
          <w:rFonts w:ascii="宋体" w:hAnsi="宋体"/>
          <w:b/>
          <w:color w:val="auto"/>
          <w:sz w:val="24"/>
          <w:highlight w:val="none"/>
        </w:rPr>
      </w:pPr>
      <w:r>
        <w:rPr>
          <w:rFonts w:hint="eastAsia" w:ascii="宋体" w:hAnsi="宋体"/>
          <w:b/>
          <w:color w:val="auto"/>
          <w:sz w:val="24"/>
          <w:highlight w:val="none"/>
        </w:rPr>
        <w:t>（八）投标无效的情形</w:t>
      </w:r>
    </w:p>
    <w:p w14:paraId="30E9267E">
      <w:pPr>
        <w:pStyle w:val="12"/>
        <w:snapToGrid w:val="0"/>
        <w:spacing w:line="336" w:lineRule="auto"/>
        <w:ind w:firstLine="415" w:firstLineChars="198"/>
        <w:rPr>
          <w:rFonts w:hAnsi="宋体" w:eastAsia="宋体"/>
          <w:color w:val="auto"/>
          <w:sz w:val="21"/>
          <w:highlight w:val="none"/>
        </w:rPr>
      </w:pPr>
      <w:r>
        <w:rPr>
          <w:rFonts w:hint="eastAsia" w:hAnsi="宋体" w:eastAsia="宋体"/>
          <w:color w:val="auto"/>
          <w:sz w:val="21"/>
          <w:highlight w:val="none"/>
        </w:rPr>
        <w:t>实质上没有响应磋商文件要求的投标将被视为无效投标。投标人不得通过修正或</w:t>
      </w:r>
      <w:r>
        <w:rPr>
          <w:rFonts w:hint="eastAsia" w:hAnsi="宋体" w:eastAsia="宋体"/>
          <w:color w:val="auto"/>
          <w:sz w:val="21"/>
          <w:highlight w:val="none"/>
          <w:lang w:eastAsia="zh-CN"/>
        </w:rPr>
        <w:t>撤销不符</w:t>
      </w:r>
      <w:r>
        <w:rPr>
          <w:rFonts w:hint="eastAsia" w:hAnsi="宋体" w:eastAsia="宋体"/>
          <w:color w:val="auto"/>
          <w:sz w:val="21"/>
          <w:highlight w:val="none"/>
        </w:rPr>
        <w:t>合要求的偏离或保留从而使其投标成为实质上响应的投标。经磋商小组认定属于投标人疏忽、笔误所造成的差错，应当允许其在评标结束之前进行修改或者补正（可以是复印件、传真件等，原件必须加盖单位公章）。修改或者补正投标文件必须以书面形式进行，并应在中标结果公告之前查核原件。限期内不补正或经补正后仍不符合磋商文件要求的，应认定其投标无效。投标人修改、补正投标文件后，不影响磋商小组对其投标文件所作的评价和评分结果。</w:t>
      </w:r>
    </w:p>
    <w:p w14:paraId="10D537DB">
      <w:pPr>
        <w:snapToGrid w:val="0"/>
        <w:spacing w:line="360" w:lineRule="auto"/>
        <w:ind w:firstLine="417" w:firstLineChars="198"/>
        <w:rPr>
          <w:rFonts w:ascii="Times New Roman" w:hAnsi="Times New Roman"/>
          <w:color w:val="auto"/>
          <w:szCs w:val="21"/>
          <w:highlight w:val="none"/>
        </w:rPr>
      </w:pPr>
      <w:r>
        <w:rPr>
          <w:rFonts w:ascii="Times New Roman" w:hAnsi="Times New Roman"/>
          <w:b/>
          <w:bCs/>
          <w:color w:val="auto"/>
          <w:szCs w:val="21"/>
          <w:highlight w:val="none"/>
        </w:rPr>
        <w:t>1.</w:t>
      </w:r>
      <w:r>
        <w:rPr>
          <w:rFonts w:hint="eastAsia" w:ascii="Times New Roman" w:hAnsi="Times New Roman"/>
          <w:b/>
          <w:bCs/>
          <w:color w:val="auto"/>
          <w:szCs w:val="21"/>
          <w:highlight w:val="none"/>
        </w:rPr>
        <w:t>在符合性审查和商务评审时，如发现下列情形之一且无法作出合理解释的，投标文件将被视为无效投标：</w:t>
      </w:r>
    </w:p>
    <w:p w14:paraId="6DFA34A2">
      <w:pPr>
        <w:snapToGrid w:val="0"/>
        <w:spacing w:line="360" w:lineRule="auto"/>
        <w:ind w:firstLine="415" w:firstLineChars="198"/>
        <w:rPr>
          <w:rFonts w:ascii="Times New Roman" w:hAnsi="Times New Roman"/>
          <w:bCs/>
          <w:color w:val="auto"/>
          <w:szCs w:val="21"/>
          <w:highlight w:val="none"/>
        </w:rPr>
      </w:pPr>
      <w:r>
        <w:rPr>
          <w:rFonts w:hint="eastAsia" w:ascii="Times New Roman" w:hAnsi="Times New Roman"/>
          <w:bCs/>
          <w:color w:val="auto"/>
          <w:szCs w:val="21"/>
          <w:highlight w:val="none"/>
        </w:rPr>
        <w:t>（1）</w:t>
      </w:r>
      <w:r>
        <w:rPr>
          <w:rFonts w:hint="eastAsia" w:ascii="Times New Roman" w:hAnsi="Times New Roman"/>
          <w:color w:val="auto"/>
          <w:szCs w:val="21"/>
          <w:highlight w:val="none"/>
        </w:rPr>
        <w:t>资格证明文件不全的，或者不符合采购文件标明的资格要求的</w:t>
      </w:r>
      <w:r>
        <w:rPr>
          <w:rFonts w:hint="eastAsia" w:ascii="Times New Roman" w:hAnsi="Times New Roman"/>
          <w:bCs/>
          <w:color w:val="auto"/>
          <w:szCs w:val="21"/>
          <w:highlight w:val="none"/>
        </w:rPr>
        <w:t>；</w:t>
      </w:r>
    </w:p>
    <w:p w14:paraId="72C4744D">
      <w:pPr>
        <w:snapToGrid w:val="0"/>
        <w:spacing w:line="360" w:lineRule="auto"/>
        <w:ind w:firstLine="415" w:firstLineChars="198"/>
        <w:rPr>
          <w:rFonts w:ascii="Times New Roman" w:hAnsi="Times New Roman"/>
          <w:bCs/>
          <w:color w:val="auto"/>
          <w:szCs w:val="21"/>
          <w:highlight w:val="none"/>
        </w:rPr>
      </w:pPr>
      <w:r>
        <w:rPr>
          <w:rFonts w:hint="eastAsia" w:ascii="Times New Roman" w:hAnsi="Times New Roman"/>
          <w:bCs/>
          <w:color w:val="auto"/>
          <w:szCs w:val="21"/>
          <w:highlight w:val="none"/>
        </w:rPr>
        <w:t>（2）</w:t>
      </w:r>
      <w:r>
        <w:rPr>
          <w:rFonts w:hint="eastAsia" w:ascii="Times New Roman" w:hAnsi="Times New Roman"/>
          <w:color w:val="auto"/>
          <w:szCs w:val="21"/>
          <w:highlight w:val="none"/>
        </w:rPr>
        <w:t>投标文件组成不全的；</w:t>
      </w:r>
    </w:p>
    <w:p w14:paraId="0044E026">
      <w:pPr>
        <w:snapToGrid w:val="0"/>
        <w:spacing w:line="360" w:lineRule="auto"/>
        <w:ind w:firstLine="415" w:firstLineChars="198"/>
        <w:rPr>
          <w:rFonts w:ascii="Times New Roman" w:hAnsi="Times New Roman"/>
          <w:bCs/>
          <w:color w:val="auto"/>
          <w:szCs w:val="21"/>
          <w:highlight w:val="none"/>
        </w:rPr>
      </w:pPr>
      <w:r>
        <w:rPr>
          <w:rFonts w:hint="eastAsia" w:ascii="Times New Roman" w:hAnsi="Times New Roman"/>
          <w:bCs/>
          <w:color w:val="auto"/>
          <w:szCs w:val="21"/>
          <w:highlight w:val="none"/>
        </w:rPr>
        <w:t>（3）投标文件的实质性内容未使用中文表述、意思表述不明确、前后矛盾或者使用计量单位不符合采购文件要求的；（</w:t>
      </w:r>
      <w:r>
        <w:rPr>
          <w:rFonts w:hint="eastAsia" w:ascii="Times New Roman" w:hAnsi="Times New Roman"/>
          <w:color w:val="auto"/>
          <w:szCs w:val="21"/>
          <w:highlight w:val="none"/>
        </w:rPr>
        <w:t>经评审小组认定允许其在线更正的笔误除外</w:t>
      </w:r>
      <w:r>
        <w:rPr>
          <w:rFonts w:hint="eastAsia" w:ascii="Times New Roman" w:hAnsi="Times New Roman"/>
          <w:bCs/>
          <w:color w:val="auto"/>
          <w:szCs w:val="21"/>
          <w:highlight w:val="none"/>
        </w:rPr>
        <w:t>）</w:t>
      </w:r>
    </w:p>
    <w:p w14:paraId="4864BA14">
      <w:pPr>
        <w:snapToGrid w:val="0"/>
        <w:spacing w:line="360" w:lineRule="auto"/>
        <w:ind w:firstLine="415" w:firstLineChars="198"/>
        <w:rPr>
          <w:rFonts w:ascii="Times New Roman" w:hAnsi="Times New Roman"/>
          <w:bCs/>
          <w:color w:val="auto"/>
          <w:szCs w:val="21"/>
          <w:highlight w:val="none"/>
        </w:rPr>
      </w:pPr>
      <w:r>
        <w:rPr>
          <w:rFonts w:hint="eastAsia" w:ascii="Times New Roman" w:hAnsi="Times New Roman"/>
          <w:bCs/>
          <w:color w:val="auto"/>
          <w:szCs w:val="21"/>
          <w:highlight w:val="none"/>
        </w:rPr>
        <w:t>（4）投标文件的关键内容字迹模糊、无法辨认的，或者投标文件中经修正的内容字迹模糊</w:t>
      </w:r>
      <w:r>
        <w:rPr>
          <w:rFonts w:hint="eastAsia" w:ascii="Times New Roman" w:hAnsi="Times New Roman"/>
          <w:bCs/>
          <w:color w:val="auto"/>
          <w:szCs w:val="21"/>
          <w:highlight w:val="none"/>
          <w:lang w:eastAsia="zh-CN"/>
        </w:rPr>
        <w:t>难以辨认</w:t>
      </w:r>
      <w:r>
        <w:rPr>
          <w:rFonts w:hint="eastAsia" w:ascii="Times New Roman" w:hAnsi="Times New Roman"/>
          <w:bCs/>
          <w:color w:val="auto"/>
          <w:szCs w:val="21"/>
          <w:highlight w:val="none"/>
        </w:rPr>
        <w:t>或者修改处未按规定签名盖章的；</w:t>
      </w:r>
    </w:p>
    <w:p w14:paraId="77EAB287">
      <w:pPr>
        <w:snapToGrid w:val="0"/>
        <w:spacing w:line="360" w:lineRule="auto"/>
        <w:ind w:firstLine="415" w:firstLineChars="198"/>
        <w:rPr>
          <w:rFonts w:ascii="Times New Roman" w:hAnsi="Times New Roman"/>
          <w:bCs/>
          <w:color w:val="auto"/>
          <w:szCs w:val="21"/>
          <w:highlight w:val="none"/>
        </w:rPr>
      </w:pPr>
      <w:r>
        <w:rPr>
          <w:rFonts w:hint="eastAsia" w:ascii="Times New Roman" w:hAnsi="Times New Roman"/>
          <w:bCs/>
          <w:color w:val="auto"/>
          <w:szCs w:val="21"/>
          <w:highlight w:val="none"/>
        </w:rPr>
        <w:t>（5）投标有效期、交货时间、质保期等商务条款不能满足采购文件要求的；</w:t>
      </w:r>
    </w:p>
    <w:p w14:paraId="083F9181">
      <w:pPr>
        <w:snapToGrid w:val="0"/>
        <w:spacing w:line="360" w:lineRule="auto"/>
        <w:ind w:firstLine="415" w:firstLineChars="198"/>
        <w:rPr>
          <w:rFonts w:ascii="宋体" w:hAnsi="宋体" w:cs="宋体"/>
          <w:bCs/>
          <w:color w:val="auto"/>
          <w:szCs w:val="21"/>
          <w:highlight w:val="none"/>
        </w:rPr>
      </w:pPr>
      <w:r>
        <w:rPr>
          <w:rFonts w:hint="eastAsia" w:ascii="宋体" w:hAnsi="宋体" w:cs="宋体"/>
          <w:bCs/>
          <w:color w:val="auto"/>
          <w:szCs w:val="21"/>
          <w:highlight w:val="none"/>
        </w:rPr>
        <w:t>（6）未响应采购文件实质性要求或者投标文件有采购人不能接受的附加条件的；</w:t>
      </w:r>
    </w:p>
    <w:p w14:paraId="663BF1DD">
      <w:pPr>
        <w:snapToGrid w:val="0"/>
        <w:spacing w:line="360" w:lineRule="auto"/>
        <w:ind w:firstLine="438" w:firstLineChars="209"/>
        <w:rPr>
          <w:rFonts w:ascii="宋体" w:hAnsi="宋体" w:cs="宋体"/>
          <w:bCs/>
          <w:color w:val="auto"/>
          <w:szCs w:val="21"/>
          <w:highlight w:val="none"/>
        </w:rPr>
      </w:pPr>
      <w:r>
        <w:rPr>
          <w:rFonts w:hint="eastAsia" w:ascii="宋体" w:hAnsi="宋体" w:cs="宋体"/>
          <w:bCs/>
          <w:color w:val="auto"/>
          <w:szCs w:val="21"/>
          <w:highlight w:val="none"/>
        </w:rPr>
        <w:t>（7）投标文件没有按采购文件要求响应有标“★”的条款的资料和材料的；</w:t>
      </w:r>
    </w:p>
    <w:p w14:paraId="34E9049F">
      <w:pPr>
        <w:pStyle w:val="28"/>
        <w:spacing w:after="0" w:line="360" w:lineRule="auto"/>
        <w:ind w:left="0" w:leftChars="0" w:firstLine="422"/>
        <w:rPr>
          <w:rFonts w:ascii="宋体" w:hAnsi="宋体" w:cs="宋体"/>
          <w:b/>
          <w:color w:val="auto"/>
          <w:szCs w:val="21"/>
          <w:highlight w:val="none"/>
        </w:rPr>
      </w:pPr>
      <w:r>
        <w:rPr>
          <w:rFonts w:hint="eastAsia" w:ascii="宋体" w:hAnsi="宋体" w:cs="宋体"/>
          <w:b/>
          <w:color w:val="auto"/>
          <w:szCs w:val="21"/>
          <w:highlight w:val="none"/>
        </w:rPr>
        <w:t>（8）在不影响公平竞争的前提下，采购文件中参与同一标段（包）的供应商存在以下情形的，其投标文件相应无效：</w:t>
      </w:r>
    </w:p>
    <w:p w14:paraId="6F2A2333">
      <w:pPr>
        <w:pStyle w:val="28"/>
        <w:spacing w:after="0" w:line="360" w:lineRule="auto"/>
        <w:ind w:left="0" w:leftChars="0" w:firstLine="422"/>
        <w:rPr>
          <w:rFonts w:ascii="宋体" w:hAnsi="宋体" w:cs="宋体"/>
          <w:b/>
          <w:color w:val="auto"/>
          <w:szCs w:val="21"/>
          <w:highlight w:val="none"/>
        </w:rPr>
      </w:pPr>
      <w:r>
        <w:rPr>
          <w:rFonts w:hint="eastAsia" w:ascii="宋体" w:hAnsi="宋体" w:cs="宋体"/>
          <w:b/>
          <w:color w:val="auto"/>
          <w:szCs w:val="21"/>
          <w:highlight w:val="none"/>
        </w:rPr>
        <w:t>①MAC地址相同、计算机硬盘序列号相同、采购文件细节错误一致且无合理解释的等情形。</w:t>
      </w:r>
    </w:p>
    <w:p w14:paraId="0F776556">
      <w:pPr>
        <w:pStyle w:val="28"/>
        <w:spacing w:after="0" w:line="360" w:lineRule="auto"/>
        <w:ind w:left="0" w:leftChars="0" w:firstLine="422"/>
        <w:rPr>
          <w:rFonts w:ascii="宋体" w:hAnsi="宋体" w:cs="宋体"/>
          <w:b/>
          <w:color w:val="auto"/>
          <w:szCs w:val="21"/>
          <w:highlight w:val="none"/>
        </w:rPr>
      </w:pPr>
      <w:r>
        <w:rPr>
          <w:rFonts w:hint="eastAsia" w:ascii="宋体" w:hAnsi="宋体" w:cs="宋体"/>
          <w:b/>
          <w:color w:val="auto"/>
          <w:szCs w:val="21"/>
          <w:highlight w:val="none"/>
        </w:rPr>
        <w:t>②上传的电子投标（响应）文件若出现使用本项目其他投标（响应）供应商的数字证书加密的，或者加盖本项目其他投标（响应）供应商的电子印章的；</w:t>
      </w:r>
    </w:p>
    <w:p w14:paraId="1722BDDB">
      <w:pPr>
        <w:pStyle w:val="28"/>
        <w:spacing w:after="0" w:line="360" w:lineRule="auto"/>
        <w:ind w:left="0" w:leftChars="0" w:firstLine="422"/>
        <w:rPr>
          <w:rFonts w:ascii="宋体" w:hAnsi="宋体" w:cs="宋体"/>
          <w:b/>
          <w:color w:val="auto"/>
          <w:szCs w:val="21"/>
          <w:highlight w:val="none"/>
        </w:rPr>
      </w:pPr>
      <w:r>
        <w:rPr>
          <w:rFonts w:hint="eastAsia" w:ascii="宋体" w:hAnsi="宋体" w:cs="宋体"/>
          <w:b/>
          <w:color w:val="auto"/>
          <w:szCs w:val="21"/>
          <w:highlight w:val="none"/>
        </w:rPr>
        <w:t>③不同供应商的投标（响应）文件的内容存在三处（含）以上错误一致的；</w:t>
      </w:r>
    </w:p>
    <w:p w14:paraId="33D4DAFA">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④不同供应商联系人为同一人或不同联系人的联系电话一致的</w:t>
      </w:r>
      <w:r>
        <w:rPr>
          <w:rFonts w:hint="eastAsia" w:ascii="宋体" w:hAnsi="宋体" w:cs="宋体"/>
          <w:b/>
          <w:color w:val="auto"/>
          <w:highlight w:val="none"/>
        </w:rPr>
        <w:t>。</w:t>
      </w:r>
    </w:p>
    <w:p w14:paraId="5DA9A0C8">
      <w:pPr>
        <w:pStyle w:val="28"/>
        <w:spacing w:after="0" w:line="360" w:lineRule="auto"/>
        <w:ind w:left="0" w:leftChars="0" w:firstLine="422"/>
        <w:rPr>
          <w:rFonts w:hint="eastAsia" w:ascii="Times New Roman" w:hAnsi="Times New Roman"/>
          <w:b/>
          <w:color w:val="auto"/>
          <w:szCs w:val="21"/>
          <w:highlight w:val="none"/>
        </w:rPr>
      </w:pPr>
    </w:p>
    <w:p w14:paraId="60459E8C">
      <w:pPr>
        <w:pStyle w:val="28"/>
        <w:spacing w:after="0" w:line="360" w:lineRule="auto"/>
        <w:ind w:left="0" w:leftChars="0" w:firstLine="422"/>
        <w:rPr>
          <w:rFonts w:ascii="Times New Roman" w:hAnsi="Times New Roman"/>
          <w:b/>
          <w:color w:val="auto"/>
          <w:szCs w:val="21"/>
          <w:highlight w:val="none"/>
        </w:rPr>
      </w:pPr>
      <w:r>
        <w:rPr>
          <w:rFonts w:hint="eastAsia" w:ascii="Times New Roman" w:hAnsi="Times New Roman"/>
          <w:b/>
          <w:color w:val="auto"/>
          <w:szCs w:val="21"/>
          <w:highlight w:val="none"/>
        </w:rPr>
        <w:t>2.在技术评审时，如发现下列情形之一的，投标文件将被视为无效：</w:t>
      </w:r>
    </w:p>
    <w:p w14:paraId="4DB4CA86">
      <w:pPr>
        <w:pStyle w:val="11"/>
        <w:snapToGrid w:val="0"/>
        <w:spacing w:line="336" w:lineRule="auto"/>
        <w:rPr>
          <w:rFonts w:hAnsi="宋体"/>
          <w:color w:val="auto"/>
          <w:sz w:val="21"/>
          <w:szCs w:val="21"/>
          <w:highlight w:val="none"/>
        </w:rPr>
      </w:pPr>
      <w:r>
        <w:rPr>
          <w:rFonts w:hint="eastAsia" w:hAnsi="宋体"/>
          <w:color w:val="auto"/>
          <w:sz w:val="21"/>
          <w:szCs w:val="21"/>
          <w:highlight w:val="none"/>
        </w:rPr>
        <w:t>（1）投标文件标明的响应或偏离与事实不符或虚假投标的；</w:t>
      </w:r>
    </w:p>
    <w:p w14:paraId="7FFEA5A4">
      <w:pPr>
        <w:pStyle w:val="11"/>
        <w:snapToGrid w:val="0"/>
        <w:spacing w:line="336" w:lineRule="auto"/>
        <w:rPr>
          <w:rFonts w:hAnsi="宋体"/>
          <w:color w:val="auto"/>
          <w:sz w:val="21"/>
          <w:szCs w:val="21"/>
          <w:highlight w:val="none"/>
        </w:rPr>
      </w:pPr>
      <w:r>
        <w:rPr>
          <w:rFonts w:hint="eastAsia" w:hAnsi="宋体"/>
          <w:color w:val="auto"/>
          <w:sz w:val="21"/>
          <w:szCs w:val="21"/>
          <w:highlight w:val="none"/>
        </w:rPr>
        <w:t xml:space="preserve">（2） </w:t>
      </w:r>
      <w:r>
        <w:rPr>
          <w:rFonts w:hint="eastAsia" w:hAnsi="宋体"/>
          <w:snapToGrid w:val="0"/>
          <w:color w:val="auto"/>
          <w:sz w:val="21"/>
          <w:szCs w:val="21"/>
          <w:highlight w:val="none"/>
        </w:rPr>
        <w:t>明显不符合磋商文件要求</w:t>
      </w:r>
      <w:r>
        <w:rPr>
          <w:rFonts w:hint="eastAsia" w:hAnsi="宋体"/>
          <w:color w:val="auto"/>
          <w:sz w:val="21"/>
          <w:szCs w:val="21"/>
          <w:highlight w:val="none"/>
        </w:rPr>
        <w:t>技术指标、主要功能项目发生实质性偏离的；或者磋商文件中标“★”的技术参数、条款（如有）发生实质性偏离的；</w:t>
      </w:r>
    </w:p>
    <w:p w14:paraId="0098FC7B">
      <w:pPr>
        <w:pStyle w:val="11"/>
        <w:snapToGrid w:val="0"/>
        <w:spacing w:line="336" w:lineRule="auto"/>
        <w:rPr>
          <w:rFonts w:hAnsi="宋体"/>
          <w:color w:val="auto"/>
          <w:sz w:val="21"/>
          <w:szCs w:val="21"/>
          <w:highlight w:val="none"/>
        </w:rPr>
      </w:pPr>
      <w:r>
        <w:rPr>
          <w:rFonts w:hint="eastAsia" w:hAnsi="宋体"/>
          <w:color w:val="auto"/>
          <w:sz w:val="21"/>
          <w:szCs w:val="21"/>
          <w:highlight w:val="none"/>
        </w:rPr>
        <w:t>（3）投标技术方案不明确，存在一个或一个以上备选（替代）投标方案的。</w:t>
      </w:r>
    </w:p>
    <w:p w14:paraId="3837ED46">
      <w:pPr>
        <w:pStyle w:val="11"/>
        <w:snapToGrid w:val="0"/>
        <w:spacing w:line="360" w:lineRule="auto"/>
        <w:rPr>
          <w:rFonts w:hAnsi="宋体"/>
          <w:b/>
          <w:color w:val="auto"/>
          <w:sz w:val="21"/>
          <w:szCs w:val="21"/>
          <w:highlight w:val="none"/>
        </w:rPr>
      </w:pPr>
      <w:r>
        <w:rPr>
          <w:rFonts w:hint="eastAsia" w:hAnsi="宋体"/>
          <w:b/>
          <w:color w:val="auto"/>
          <w:sz w:val="21"/>
          <w:szCs w:val="21"/>
          <w:highlight w:val="none"/>
        </w:rPr>
        <w:t>3.在报价评审时，如发现下列情形之一的，投标文件将被视为无效：</w:t>
      </w:r>
    </w:p>
    <w:p w14:paraId="5B2938E2">
      <w:pPr>
        <w:pStyle w:val="11"/>
        <w:snapToGrid w:val="0"/>
        <w:spacing w:line="360" w:lineRule="auto"/>
        <w:rPr>
          <w:rFonts w:hAnsi="宋体"/>
          <w:color w:val="auto"/>
          <w:sz w:val="21"/>
          <w:szCs w:val="21"/>
          <w:highlight w:val="none"/>
        </w:rPr>
      </w:pPr>
      <w:r>
        <w:rPr>
          <w:rFonts w:hint="eastAsia" w:hAnsi="宋体"/>
          <w:color w:val="auto"/>
          <w:sz w:val="21"/>
          <w:szCs w:val="21"/>
          <w:highlight w:val="none"/>
        </w:rPr>
        <w:t>（1）未采用人民币报价或者未按照磋商文件标明的币种报价的；</w:t>
      </w:r>
    </w:p>
    <w:p w14:paraId="57A32FAA">
      <w:pPr>
        <w:pStyle w:val="11"/>
        <w:snapToGrid w:val="0"/>
        <w:spacing w:line="360" w:lineRule="auto"/>
        <w:rPr>
          <w:rFonts w:hAnsi="宋体"/>
          <w:color w:val="auto"/>
          <w:sz w:val="21"/>
          <w:szCs w:val="21"/>
          <w:highlight w:val="none"/>
        </w:rPr>
      </w:pPr>
      <w:r>
        <w:rPr>
          <w:rFonts w:hint="eastAsia" w:hAnsi="宋体"/>
          <w:color w:val="auto"/>
          <w:sz w:val="21"/>
          <w:szCs w:val="21"/>
          <w:highlight w:val="none"/>
        </w:rPr>
        <w:t>（2）投标报价超过预算金额的；</w:t>
      </w:r>
    </w:p>
    <w:p w14:paraId="7EBFD6C3">
      <w:pPr>
        <w:pStyle w:val="11"/>
        <w:snapToGrid w:val="0"/>
        <w:spacing w:line="360" w:lineRule="auto"/>
        <w:ind w:right="-506" w:rightChars="-241"/>
        <w:rPr>
          <w:rFonts w:hint="eastAsia" w:hAnsi="宋体"/>
          <w:b/>
          <w:color w:val="auto"/>
          <w:sz w:val="21"/>
          <w:szCs w:val="21"/>
          <w:highlight w:val="none"/>
          <w:lang w:val="en-US" w:eastAsia="zh-CN"/>
        </w:rPr>
      </w:pPr>
      <w:r>
        <w:rPr>
          <w:rFonts w:hint="eastAsia" w:hAnsi="宋体"/>
          <w:b/>
          <w:color w:val="auto"/>
          <w:sz w:val="21"/>
          <w:szCs w:val="21"/>
          <w:highlight w:val="none"/>
        </w:rPr>
        <w:t>（3）</w:t>
      </w:r>
      <w:r>
        <w:rPr>
          <w:rFonts w:hint="eastAsia" w:hAnsi="宋体"/>
          <w:b/>
          <w:color w:val="auto"/>
          <w:sz w:val="21"/>
          <w:szCs w:val="21"/>
          <w:highlight w:val="none"/>
          <w:lang w:val="en-US" w:eastAsia="zh-CN"/>
        </w:rPr>
        <w:t>根据财库〔2026〕2号文件的规定：</w:t>
      </w:r>
    </w:p>
    <w:p w14:paraId="069504B5">
      <w:pPr>
        <w:pStyle w:val="11"/>
        <w:snapToGrid w:val="0"/>
        <w:spacing w:line="360" w:lineRule="auto"/>
        <w:ind w:right="-506" w:rightChars="-241"/>
        <w:rPr>
          <w:rFonts w:hint="default" w:hAnsi="宋体"/>
          <w:b/>
          <w:color w:val="auto"/>
          <w:sz w:val="21"/>
          <w:szCs w:val="21"/>
          <w:highlight w:val="none"/>
          <w:lang w:val="en-US" w:eastAsia="zh-CN"/>
        </w:rPr>
      </w:pPr>
      <w:r>
        <w:rPr>
          <w:rFonts w:hint="default" w:hAnsi="宋体"/>
          <w:b/>
          <w:color w:val="auto"/>
          <w:sz w:val="21"/>
          <w:szCs w:val="21"/>
          <w:highlight w:val="none"/>
          <w:lang w:val="en-US" w:eastAsia="zh-CN"/>
        </w:rPr>
        <w:t>政府采购评审中出现下列情形之一的，评审委员会应当启动异常低价投标（响应）审查程序：</w:t>
      </w:r>
    </w:p>
    <w:p w14:paraId="53BEF305">
      <w:pPr>
        <w:pStyle w:val="11"/>
        <w:snapToGrid w:val="0"/>
        <w:spacing w:line="360" w:lineRule="auto"/>
        <w:ind w:right="-506" w:rightChars="-241"/>
        <w:rPr>
          <w:rFonts w:hint="default" w:hAnsi="宋体"/>
          <w:b/>
          <w:color w:val="auto"/>
          <w:sz w:val="21"/>
          <w:szCs w:val="21"/>
          <w:highlight w:val="none"/>
          <w:lang w:val="en-US" w:eastAsia="zh-CN"/>
        </w:rPr>
      </w:pPr>
      <w:r>
        <w:rPr>
          <w:rFonts w:hint="default" w:hAnsi="宋体"/>
          <w:b/>
          <w:color w:val="auto"/>
          <w:sz w:val="21"/>
          <w:szCs w:val="21"/>
          <w:highlight w:val="none"/>
          <w:lang w:val="en-US" w:eastAsia="zh-CN"/>
        </w:rPr>
        <w:t>1.投标（响应）报价低于全部通过符合性审查供应商投标（响应）报价平均值50%的，即投标（响应）报价</w:t>
      </w:r>
      <w:r>
        <w:rPr>
          <w:rFonts w:hint="eastAsia" w:hAnsi="宋体"/>
          <w:b/>
          <w:color w:val="auto"/>
          <w:sz w:val="21"/>
          <w:szCs w:val="21"/>
          <w:highlight w:val="none"/>
          <w:lang w:val="en-US" w:eastAsia="zh-CN"/>
        </w:rPr>
        <w:t>〈</w:t>
      </w:r>
      <w:r>
        <w:rPr>
          <w:rFonts w:hint="default" w:hAnsi="宋体"/>
          <w:b/>
          <w:color w:val="auto"/>
          <w:sz w:val="21"/>
          <w:szCs w:val="21"/>
          <w:highlight w:val="none"/>
          <w:lang w:val="en-US" w:eastAsia="zh-CN"/>
        </w:rPr>
        <w:t>全部通过符合性审查供应商投标（响应）报价平均值×50%；</w:t>
      </w:r>
    </w:p>
    <w:p w14:paraId="7477B63E">
      <w:pPr>
        <w:pStyle w:val="11"/>
        <w:snapToGrid w:val="0"/>
        <w:spacing w:line="360" w:lineRule="auto"/>
        <w:ind w:right="-506" w:rightChars="-241"/>
        <w:rPr>
          <w:rFonts w:hint="default" w:hAnsi="宋体"/>
          <w:b/>
          <w:color w:val="auto"/>
          <w:sz w:val="21"/>
          <w:szCs w:val="21"/>
          <w:highlight w:val="none"/>
          <w:lang w:val="en-US" w:eastAsia="zh-CN"/>
        </w:rPr>
      </w:pPr>
      <w:r>
        <w:rPr>
          <w:rFonts w:hint="default" w:hAnsi="宋体"/>
          <w:b/>
          <w:color w:val="auto"/>
          <w:sz w:val="21"/>
          <w:szCs w:val="21"/>
          <w:highlight w:val="none"/>
          <w:lang w:val="en-US" w:eastAsia="zh-CN"/>
        </w:rPr>
        <w:t>2.投标（响应）报价低于通过符合性审查的次低报价供应商投标（响应）报价50%的，即投标（响应）报价</w:t>
      </w:r>
      <w:r>
        <w:rPr>
          <w:rFonts w:hint="eastAsia" w:hAnsi="宋体"/>
          <w:b/>
          <w:color w:val="auto"/>
          <w:sz w:val="21"/>
          <w:szCs w:val="21"/>
          <w:highlight w:val="none"/>
          <w:lang w:val="en-US" w:eastAsia="zh-CN"/>
        </w:rPr>
        <w:t>〈</w:t>
      </w:r>
      <w:r>
        <w:rPr>
          <w:rFonts w:hint="default" w:hAnsi="宋体"/>
          <w:b/>
          <w:color w:val="auto"/>
          <w:sz w:val="21"/>
          <w:szCs w:val="21"/>
          <w:highlight w:val="none"/>
          <w:lang w:val="en-US" w:eastAsia="zh-CN"/>
        </w:rPr>
        <w:t>通过符合性审查的次低报价供应商投标（响应）报价×50%；</w:t>
      </w:r>
    </w:p>
    <w:p w14:paraId="41FAB762">
      <w:pPr>
        <w:pStyle w:val="11"/>
        <w:snapToGrid w:val="0"/>
        <w:spacing w:line="360" w:lineRule="auto"/>
        <w:ind w:right="-506" w:rightChars="-241"/>
        <w:rPr>
          <w:rFonts w:hint="default" w:hAnsi="宋体"/>
          <w:b/>
          <w:color w:val="auto"/>
          <w:sz w:val="21"/>
          <w:szCs w:val="21"/>
          <w:highlight w:val="none"/>
          <w:lang w:val="en-US" w:eastAsia="zh-CN"/>
        </w:rPr>
      </w:pPr>
      <w:r>
        <w:rPr>
          <w:rFonts w:hint="default" w:hAnsi="宋体"/>
          <w:b/>
          <w:color w:val="auto"/>
          <w:sz w:val="21"/>
          <w:szCs w:val="21"/>
          <w:highlight w:val="none"/>
          <w:lang w:val="en-US" w:eastAsia="zh-CN"/>
        </w:rPr>
        <w:t>3.投标（响应）报价低于采购项目最高限价45%的，即投标（响应）报价</w:t>
      </w:r>
      <w:r>
        <w:rPr>
          <w:rFonts w:hint="eastAsia" w:hAnsi="宋体"/>
          <w:b/>
          <w:color w:val="auto"/>
          <w:sz w:val="21"/>
          <w:szCs w:val="21"/>
          <w:highlight w:val="none"/>
          <w:lang w:val="en-US" w:eastAsia="zh-CN"/>
        </w:rPr>
        <w:t>〈</w:t>
      </w:r>
      <w:r>
        <w:rPr>
          <w:rFonts w:hint="default" w:hAnsi="宋体"/>
          <w:b/>
          <w:color w:val="auto"/>
          <w:sz w:val="21"/>
          <w:szCs w:val="21"/>
          <w:highlight w:val="none"/>
          <w:lang w:val="en-US" w:eastAsia="zh-CN"/>
        </w:rPr>
        <w:t>采购项目最高限价×45%</w:t>
      </w:r>
      <w:r>
        <w:rPr>
          <w:rFonts w:hint="eastAsia" w:hAnsi="宋体"/>
          <w:b/>
          <w:color w:val="auto"/>
          <w:sz w:val="21"/>
          <w:szCs w:val="21"/>
          <w:highlight w:val="none"/>
          <w:lang w:val="en-US" w:eastAsia="zh-CN"/>
        </w:rPr>
        <w:t>。</w:t>
      </w:r>
    </w:p>
    <w:p w14:paraId="009C84F0">
      <w:pPr>
        <w:pStyle w:val="11"/>
        <w:snapToGrid w:val="0"/>
        <w:spacing w:line="360" w:lineRule="auto"/>
        <w:ind w:right="-506" w:rightChars="-241"/>
        <w:rPr>
          <w:rFonts w:hAnsi="宋体"/>
          <w:b/>
          <w:color w:val="auto"/>
          <w:sz w:val="21"/>
          <w:szCs w:val="21"/>
          <w:highlight w:val="none"/>
        </w:rPr>
      </w:pPr>
      <w:r>
        <w:rPr>
          <w:rFonts w:hint="eastAsia" w:hAnsi="宋体"/>
          <w:b/>
          <w:color w:val="auto"/>
          <w:sz w:val="21"/>
          <w:szCs w:val="21"/>
          <w:highlight w:val="none"/>
          <w:lang w:eastAsia="zh-CN"/>
        </w:rPr>
        <w:t>（</w:t>
      </w:r>
      <w:r>
        <w:rPr>
          <w:rFonts w:hint="eastAsia" w:hAnsi="宋体"/>
          <w:b/>
          <w:color w:val="auto"/>
          <w:sz w:val="21"/>
          <w:szCs w:val="21"/>
          <w:highlight w:val="none"/>
          <w:lang w:val="en-US" w:eastAsia="zh-CN"/>
        </w:rPr>
        <w:t>4</w:t>
      </w:r>
      <w:r>
        <w:rPr>
          <w:rFonts w:hint="eastAsia" w:hAnsi="宋体"/>
          <w:b/>
          <w:color w:val="auto"/>
          <w:sz w:val="21"/>
          <w:szCs w:val="21"/>
          <w:highlight w:val="none"/>
          <w:lang w:eastAsia="zh-CN"/>
        </w:rPr>
        <w:t>）</w:t>
      </w:r>
      <w:r>
        <w:rPr>
          <w:rFonts w:hint="eastAsia" w:hAnsi="宋体"/>
          <w:b/>
          <w:color w:val="auto"/>
          <w:sz w:val="21"/>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F24E698">
      <w:pPr>
        <w:pStyle w:val="11"/>
        <w:snapToGrid w:val="0"/>
        <w:spacing w:line="360" w:lineRule="auto"/>
        <w:ind w:right="-506" w:rightChars="-241"/>
        <w:rPr>
          <w:rFonts w:hint="eastAsia" w:hAnsi="宋体" w:eastAsia="宋体"/>
          <w:color w:val="auto"/>
          <w:sz w:val="21"/>
          <w:szCs w:val="21"/>
          <w:highlight w:val="none"/>
          <w:lang w:eastAsia="zh-CN"/>
        </w:rPr>
      </w:pPr>
      <w:r>
        <w:rPr>
          <w:rFonts w:hint="eastAsia" w:hAnsi="宋体"/>
          <w:color w:val="auto"/>
          <w:sz w:val="21"/>
          <w:szCs w:val="21"/>
          <w:highlight w:val="none"/>
        </w:rPr>
        <w:t>（</w:t>
      </w:r>
      <w:r>
        <w:rPr>
          <w:rFonts w:hint="eastAsia" w:hAnsi="宋体"/>
          <w:color w:val="auto"/>
          <w:sz w:val="21"/>
          <w:szCs w:val="21"/>
          <w:highlight w:val="none"/>
          <w:lang w:val="en-US" w:eastAsia="zh-CN"/>
        </w:rPr>
        <w:t>5</w:t>
      </w:r>
      <w:r>
        <w:rPr>
          <w:rFonts w:hint="eastAsia" w:hAnsi="宋体"/>
          <w:color w:val="auto"/>
          <w:sz w:val="21"/>
          <w:szCs w:val="21"/>
          <w:highlight w:val="none"/>
        </w:rPr>
        <w:t>）投标报价具有选择性，或者开标价格与投标文件承诺的优惠（折扣）价格不一致的。</w:t>
      </w:r>
    </w:p>
    <w:p w14:paraId="0157C654">
      <w:pPr>
        <w:pStyle w:val="64"/>
        <w:snapToGrid w:val="0"/>
        <w:spacing w:line="360" w:lineRule="auto"/>
        <w:ind w:right="-86" w:rightChars="-41" w:firstLine="510" w:firstLineChars="242"/>
        <w:rPr>
          <w:rFonts w:asciiTheme="minorEastAsia" w:hAnsiTheme="minorEastAsia" w:eastAsiaTheme="minorEastAsia"/>
          <w:b/>
          <w:color w:val="auto"/>
          <w:szCs w:val="21"/>
          <w:highlight w:val="none"/>
        </w:rPr>
      </w:pPr>
      <w:r>
        <w:rPr>
          <w:rFonts w:hint="eastAsia" w:asciiTheme="minorEastAsia" w:hAnsiTheme="minorEastAsia" w:eastAsiaTheme="minorEastAsia"/>
          <w:b/>
          <w:bCs/>
          <w:color w:val="auto"/>
          <w:szCs w:val="21"/>
          <w:highlight w:val="none"/>
        </w:rPr>
        <w:t>4.</w:t>
      </w:r>
      <w:r>
        <w:rPr>
          <w:rFonts w:hint="eastAsia" w:asciiTheme="minorEastAsia" w:hAnsiTheme="minorEastAsia" w:eastAsiaTheme="minorEastAsia"/>
          <w:color w:val="auto"/>
          <w:szCs w:val="21"/>
          <w:highlight w:val="none"/>
        </w:rPr>
        <w:t>法律、法规和磋商文件规定的其他无效情形。</w:t>
      </w:r>
    </w:p>
    <w:p w14:paraId="164DDE5C">
      <w:pPr>
        <w:pStyle w:val="64"/>
        <w:snapToGrid w:val="0"/>
        <w:spacing w:line="360" w:lineRule="auto"/>
        <w:ind w:right="-86" w:rightChars="-41" w:firstLine="0"/>
        <w:rPr>
          <w:rFonts w:hAnsi="宋体"/>
          <w:color w:val="auto"/>
          <w:sz w:val="24"/>
          <w:szCs w:val="24"/>
          <w:highlight w:val="none"/>
        </w:rPr>
      </w:pPr>
      <w:r>
        <w:rPr>
          <w:rFonts w:hint="eastAsia" w:ascii="宋体" w:hAnsi="宋体"/>
          <w:b/>
          <w:color w:val="auto"/>
          <w:spacing w:val="-4"/>
          <w:kern w:val="0"/>
          <w:sz w:val="24"/>
          <w:szCs w:val="24"/>
          <w:highlight w:val="none"/>
        </w:rPr>
        <w:t>（九）出现以下情形，导致电子交易平台无法正常运行，或者无法保证电子交易的公平、公正和安全时，中止电子交易活动：</w:t>
      </w:r>
    </w:p>
    <w:p w14:paraId="609A5AFA">
      <w:pPr>
        <w:pStyle w:val="64"/>
        <w:snapToGrid w:val="0"/>
        <w:spacing w:line="360" w:lineRule="auto"/>
        <w:ind w:right="-86" w:rightChars="-41" w:firstLine="438" w:firstLineChars="209"/>
        <w:rPr>
          <w:rFonts w:hAnsi="宋体"/>
          <w:color w:val="auto"/>
          <w:highlight w:val="none"/>
        </w:rPr>
      </w:pPr>
      <w:r>
        <w:rPr>
          <w:rFonts w:hint="eastAsia" w:hAnsi="宋体"/>
          <w:color w:val="auto"/>
          <w:highlight w:val="none"/>
        </w:rPr>
        <w:t>（一）电子交易平台发生故障而无法登录访问的；</w:t>
      </w:r>
    </w:p>
    <w:p w14:paraId="0728BACF">
      <w:pPr>
        <w:pStyle w:val="64"/>
        <w:snapToGrid w:val="0"/>
        <w:spacing w:line="360" w:lineRule="auto"/>
        <w:ind w:right="-86" w:rightChars="-41" w:firstLine="438" w:firstLineChars="209"/>
        <w:rPr>
          <w:rFonts w:hAnsi="宋体"/>
          <w:color w:val="auto"/>
          <w:highlight w:val="none"/>
        </w:rPr>
      </w:pPr>
      <w:r>
        <w:rPr>
          <w:rFonts w:hint="eastAsia" w:hAnsi="宋体"/>
          <w:color w:val="auto"/>
          <w:highlight w:val="none"/>
        </w:rPr>
        <w:t>（二）电子交易平台应用或数据库出现错误，不能进行正常操作的；</w:t>
      </w:r>
    </w:p>
    <w:p w14:paraId="48322D1A">
      <w:pPr>
        <w:pStyle w:val="64"/>
        <w:snapToGrid w:val="0"/>
        <w:spacing w:line="360" w:lineRule="auto"/>
        <w:ind w:right="-86" w:rightChars="-41" w:firstLine="438" w:firstLineChars="209"/>
        <w:rPr>
          <w:rFonts w:hAnsi="宋体"/>
          <w:color w:val="auto"/>
          <w:highlight w:val="none"/>
        </w:rPr>
      </w:pPr>
      <w:r>
        <w:rPr>
          <w:rFonts w:hint="eastAsia" w:hAnsi="宋体"/>
          <w:color w:val="auto"/>
          <w:highlight w:val="none"/>
        </w:rPr>
        <w:t>（三）电子交易平台发现严重安全漏洞，有潜在泄密危险的；</w:t>
      </w:r>
    </w:p>
    <w:p w14:paraId="75389D94">
      <w:pPr>
        <w:pStyle w:val="64"/>
        <w:snapToGrid w:val="0"/>
        <w:spacing w:line="360" w:lineRule="auto"/>
        <w:ind w:right="-86" w:rightChars="-41" w:firstLine="438" w:firstLineChars="209"/>
        <w:rPr>
          <w:rFonts w:hAnsi="宋体"/>
          <w:color w:val="auto"/>
          <w:highlight w:val="none"/>
        </w:rPr>
      </w:pPr>
      <w:r>
        <w:rPr>
          <w:rFonts w:hint="eastAsia" w:hAnsi="宋体"/>
          <w:color w:val="auto"/>
          <w:highlight w:val="none"/>
        </w:rPr>
        <w:t>（四）病毒发作导致不能进行正常操作的；</w:t>
      </w:r>
    </w:p>
    <w:p w14:paraId="37DBBE8C">
      <w:pPr>
        <w:pStyle w:val="64"/>
        <w:snapToGrid w:val="0"/>
        <w:spacing w:line="360" w:lineRule="auto"/>
        <w:ind w:right="-86" w:rightChars="-41" w:firstLine="438" w:firstLineChars="209"/>
        <w:rPr>
          <w:rFonts w:hAnsi="宋体"/>
          <w:color w:val="auto"/>
          <w:highlight w:val="none"/>
        </w:rPr>
      </w:pPr>
      <w:r>
        <w:rPr>
          <w:rFonts w:hint="eastAsia" w:hAnsi="宋体"/>
          <w:color w:val="auto"/>
          <w:highlight w:val="none"/>
        </w:rPr>
        <w:t>（五）其他无法保证电子交易的公平、公正和安全的情况。</w:t>
      </w:r>
    </w:p>
    <w:p w14:paraId="69B50817">
      <w:pPr>
        <w:pStyle w:val="64"/>
        <w:snapToGrid w:val="0"/>
        <w:spacing w:line="360" w:lineRule="auto"/>
        <w:ind w:right="-86" w:rightChars="-41" w:firstLine="438" w:firstLineChars="209"/>
        <w:rPr>
          <w:rFonts w:hAnsi="宋体"/>
          <w:color w:val="auto"/>
          <w:highlight w:val="none"/>
        </w:rPr>
      </w:pPr>
      <w:r>
        <w:rPr>
          <w:rFonts w:hint="eastAsia" w:hAnsi="宋体"/>
          <w:color w:val="auto"/>
          <w:highlight w:val="none"/>
        </w:rPr>
        <w:t>出现前款规定情形，不影响采购公平、公正性的，代理机构可以待上述情形消除后继续组织电子交易活动，也可以决定某些环节以纸质形式进行；影响或可能影响采购公平、公正性的，重新采购。</w:t>
      </w:r>
    </w:p>
    <w:p w14:paraId="04DC03DF">
      <w:pPr>
        <w:pStyle w:val="11"/>
        <w:snapToGrid w:val="0"/>
        <w:spacing w:line="336" w:lineRule="auto"/>
        <w:ind w:right="-241" w:firstLine="0"/>
        <w:rPr>
          <w:rFonts w:hint="eastAsia" w:hAnsi="宋体"/>
          <w:b/>
          <w:color w:val="auto"/>
          <w:sz w:val="28"/>
          <w:highlight w:val="none"/>
        </w:rPr>
      </w:pPr>
      <w:r>
        <w:rPr>
          <w:rFonts w:hint="eastAsia" w:hAnsi="宋体"/>
          <w:b/>
          <w:color w:val="auto"/>
          <w:sz w:val="24"/>
          <w:highlight w:val="none"/>
        </w:rPr>
        <w:t>（十）被拒绝的投标文件为无效。</w:t>
      </w:r>
    </w:p>
    <w:p w14:paraId="68FC896A">
      <w:pPr>
        <w:pStyle w:val="11"/>
        <w:snapToGrid w:val="0"/>
        <w:spacing w:line="360" w:lineRule="auto"/>
        <w:ind w:firstLine="300" w:firstLineChars="110"/>
        <w:jc w:val="center"/>
        <w:outlineLvl w:val="1"/>
        <w:rPr>
          <w:rFonts w:hint="eastAsia" w:hAnsi="宋体"/>
          <w:b/>
          <w:color w:val="auto"/>
          <w:sz w:val="28"/>
          <w:highlight w:val="none"/>
        </w:rPr>
      </w:pPr>
    </w:p>
    <w:p w14:paraId="58799CFD">
      <w:pPr>
        <w:pStyle w:val="11"/>
        <w:snapToGrid w:val="0"/>
        <w:spacing w:line="360" w:lineRule="auto"/>
        <w:ind w:firstLine="300" w:firstLineChars="110"/>
        <w:jc w:val="center"/>
        <w:outlineLvl w:val="1"/>
        <w:rPr>
          <w:rFonts w:hint="eastAsia" w:hAnsi="宋体"/>
          <w:b/>
          <w:color w:val="auto"/>
          <w:sz w:val="28"/>
          <w:highlight w:val="none"/>
        </w:rPr>
      </w:pPr>
    </w:p>
    <w:p w14:paraId="01200600">
      <w:pPr>
        <w:pStyle w:val="11"/>
        <w:snapToGrid w:val="0"/>
        <w:spacing w:line="360" w:lineRule="auto"/>
        <w:ind w:firstLine="300" w:firstLineChars="110"/>
        <w:jc w:val="center"/>
        <w:outlineLvl w:val="1"/>
        <w:rPr>
          <w:rFonts w:hAnsi="宋体"/>
          <w:b/>
          <w:snapToGrid w:val="0"/>
          <w:color w:val="auto"/>
          <w:sz w:val="28"/>
          <w:highlight w:val="none"/>
        </w:rPr>
      </w:pPr>
      <w:r>
        <w:rPr>
          <w:rFonts w:hint="eastAsia" w:hAnsi="宋体"/>
          <w:b/>
          <w:color w:val="auto"/>
          <w:sz w:val="28"/>
          <w:highlight w:val="none"/>
        </w:rPr>
        <w:t>四、开标</w:t>
      </w:r>
    </w:p>
    <w:p w14:paraId="2379625D">
      <w:pPr>
        <w:pStyle w:val="12"/>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（一）电子招投标开标及评审程序</w:t>
      </w:r>
    </w:p>
    <w:p w14:paraId="1FC602EF">
      <w:pPr>
        <w:adjustRightInd w:val="0"/>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1.采购组织机构按照规定的时间通过政采云系统组织开标、开启投标文件，所有投标人均应当准时在线参加；</w:t>
      </w:r>
    </w:p>
    <w:p w14:paraId="2C3B7CB8">
      <w:pPr>
        <w:adjustRightInd w:val="0"/>
        <w:snapToGrid w:val="0"/>
        <w:spacing w:line="360" w:lineRule="auto"/>
        <w:ind w:firstLine="420" w:firstLineChars="200"/>
        <w:jc w:val="left"/>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2.投标截止时间后，投标人登录政采云平台，用“项目采购-开标评标”功能对电子投标文件进行</w:t>
      </w:r>
      <w:r>
        <w:rPr>
          <w:rFonts w:hint="eastAsia" w:asciiTheme="minorEastAsia" w:hAnsiTheme="minorEastAsia" w:eastAsiaTheme="minorEastAsia"/>
          <w:b/>
          <w:bCs/>
          <w:color w:val="auto"/>
          <w:szCs w:val="21"/>
          <w:highlight w:val="none"/>
        </w:rPr>
        <w:t>在线解密。</w:t>
      </w:r>
      <w:r>
        <w:rPr>
          <w:rFonts w:hint="eastAsia" w:asciiTheme="minorEastAsia" w:hAnsiTheme="minorEastAsia" w:eastAsiaTheme="minorEastAsia"/>
          <w:color w:val="auto"/>
          <w:szCs w:val="21"/>
          <w:highlight w:val="none"/>
        </w:rPr>
        <w:t>在线解密电子投标文件时间</w:t>
      </w:r>
      <w:r>
        <w:rPr>
          <w:rFonts w:hint="eastAsia" w:asciiTheme="minorEastAsia" w:hAnsiTheme="minorEastAsia" w:eastAsiaTheme="minorEastAsia"/>
          <w:b/>
          <w:bCs/>
          <w:color w:val="auto"/>
          <w:szCs w:val="21"/>
          <w:highlight w:val="none"/>
        </w:rPr>
        <w:t>为开标时间起半个小时内；</w:t>
      </w:r>
    </w:p>
    <w:p w14:paraId="6C4CF724">
      <w:pPr>
        <w:pStyle w:val="11"/>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3.磋商小组对商务技术投标文件进行评审；</w:t>
      </w:r>
    </w:p>
    <w:p w14:paraId="51A2AD15">
      <w:pPr>
        <w:pStyle w:val="11"/>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4.磋商小组所有成员集中与单一投标人进行磋商；同时进行报价；</w:t>
      </w:r>
    </w:p>
    <w:p w14:paraId="42A9CCF8">
      <w:pPr>
        <w:pStyle w:val="11"/>
        <w:snapToGrid w:val="0"/>
        <w:spacing w:line="360" w:lineRule="auto"/>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5.在系统上公布评审结果。</w:t>
      </w:r>
    </w:p>
    <w:p w14:paraId="48F03074">
      <w:pPr>
        <w:pStyle w:val="11"/>
        <w:snapToGrid w:val="0"/>
        <w:spacing w:line="360" w:lineRule="auto"/>
        <w:rPr>
          <w:rFonts w:asciiTheme="minorEastAsia" w:hAnsiTheme="minorEastAsia" w:eastAsiaTheme="minorEastAsia"/>
          <w:b/>
          <w:bCs/>
          <w:color w:val="auto"/>
          <w:sz w:val="21"/>
          <w:szCs w:val="21"/>
          <w:highlight w:val="none"/>
        </w:rPr>
      </w:pPr>
      <w:r>
        <w:rPr>
          <w:rFonts w:hint="eastAsia" w:asciiTheme="minorEastAsia" w:hAnsiTheme="minorEastAsia" w:eastAsiaTheme="minorEastAsia"/>
          <w:b/>
          <w:bCs/>
          <w:color w:val="auto"/>
          <w:sz w:val="21"/>
          <w:szCs w:val="21"/>
          <w:highlight w:val="none"/>
        </w:rPr>
        <w:t>特别说明：政采云公司如对电子化开标及评审程序有调整的，按调整后的程序操作。</w:t>
      </w:r>
    </w:p>
    <w:p w14:paraId="7AC8B3D6">
      <w:pPr>
        <w:pStyle w:val="2"/>
        <w:spacing w:after="0" w:line="360" w:lineRule="auto"/>
        <w:rPr>
          <w:rFonts w:asciiTheme="minorEastAsia" w:hAnsiTheme="minorEastAsia" w:eastAsiaTheme="minorEastAsia"/>
          <w:b/>
          <w:bCs/>
          <w:color w:val="auto"/>
          <w:spacing w:val="4"/>
          <w:highlight w:val="none"/>
        </w:rPr>
      </w:pPr>
      <w:r>
        <w:rPr>
          <w:rFonts w:hint="eastAsia" w:asciiTheme="minorEastAsia" w:hAnsiTheme="minorEastAsia" w:eastAsiaTheme="minorEastAsia"/>
          <w:b/>
          <w:color w:val="auto"/>
          <w:kern w:val="0"/>
          <w:highlight w:val="none"/>
        </w:rPr>
        <w:t>（二）本项目原则上采用政采云电子招投标开标及评审程序，但</w:t>
      </w:r>
      <w:r>
        <w:rPr>
          <w:rFonts w:hint="eastAsia" w:asciiTheme="minorEastAsia" w:hAnsiTheme="minorEastAsia" w:eastAsiaTheme="minorEastAsia"/>
          <w:b/>
          <w:color w:val="auto"/>
          <w:kern w:val="0"/>
          <w:highlight w:val="none"/>
          <w:lang w:eastAsia="zh-CN"/>
        </w:rPr>
        <w:t>有以</w:t>
      </w:r>
      <w:r>
        <w:rPr>
          <w:rFonts w:hint="eastAsia" w:asciiTheme="minorEastAsia" w:hAnsiTheme="minorEastAsia" w:eastAsiaTheme="minorEastAsia"/>
          <w:b/>
          <w:color w:val="auto"/>
          <w:kern w:val="0"/>
          <w:highlight w:val="none"/>
        </w:rPr>
        <w:t>下情形之一的，按以下情况处理：</w:t>
      </w:r>
    </w:p>
    <w:p w14:paraId="233D6CC4">
      <w:pPr>
        <w:pStyle w:val="2"/>
        <w:spacing w:after="0" w:line="336" w:lineRule="auto"/>
        <w:ind w:firstLine="420"/>
        <w:rPr>
          <w:rFonts w:hint="eastAsia" w:asciiTheme="minorEastAsia" w:hAnsiTheme="minorEastAsia" w:eastAsiaTheme="minorEastAsia"/>
          <w:b/>
          <w:color w:val="auto"/>
          <w:sz w:val="28"/>
          <w:szCs w:val="28"/>
          <w:highlight w:val="none"/>
        </w:rPr>
      </w:pPr>
      <w:r>
        <w:rPr>
          <w:rFonts w:hint="eastAsia" w:asciiTheme="minorEastAsia" w:hAnsiTheme="minorEastAsia" w:eastAsiaTheme="minorEastAsia"/>
          <w:color w:val="auto"/>
          <w:sz w:val="21"/>
          <w:szCs w:val="21"/>
          <w:highlight w:val="none"/>
        </w:rPr>
        <w:t>1.若投标人在规定时间内无法解密或解密失败，采购组织机构将开启所有投标人递交的以介质存储云平台项目采购模块，以完成开标，采用电子投标文件的数据电文形式的备份投标文件后，上传至政采云的投标文件自动失效。</w:t>
      </w:r>
    </w:p>
    <w:p w14:paraId="4D19362C">
      <w:pPr>
        <w:pStyle w:val="12"/>
        <w:snapToGrid w:val="0"/>
        <w:spacing w:line="360" w:lineRule="auto"/>
        <w:ind w:firstLine="3233" w:firstLineChars="1150"/>
        <w:outlineLvl w:val="1"/>
        <w:rPr>
          <w:rFonts w:hint="eastAsia" w:asciiTheme="minorEastAsia" w:hAnsiTheme="minorEastAsia" w:eastAsiaTheme="minorEastAsia"/>
          <w:b/>
          <w:color w:val="auto"/>
          <w:sz w:val="28"/>
          <w:szCs w:val="28"/>
          <w:highlight w:val="none"/>
        </w:rPr>
      </w:pPr>
    </w:p>
    <w:p w14:paraId="0FEE1ADC">
      <w:pPr>
        <w:pStyle w:val="12"/>
        <w:snapToGrid w:val="0"/>
        <w:spacing w:line="360" w:lineRule="auto"/>
        <w:ind w:firstLine="3233" w:firstLineChars="115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五、评  标</w:t>
      </w:r>
    </w:p>
    <w:p w14:paraId="310A8A52">
      <w:pPr>
        <w:pStyle w:val="12"/>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（一）组建磋商小组</w:t>
      </w:r>
    </w:p>
    <w:p w14:paraId="247C71DB">
      <w:pPr>
        <w:pStyle w:val="12"/>
        <w:snapToGrid w:val="0"/>
        <w:spacing w:line="360" w:lineRule="auto"/>
        <w:ind w:firstLine="420" w:firstLineChars="200"/>
        <w:rPr>
          <w:rFonts w:asciiTheme="minorEastAsia" w:hAnsiTheme="minorEastAsia" w:eastAsiaTheme="minorEastAsia"/>
          <w:color w:val="auto"/>
          <w:sz w:val="21"/>
          <w:highlight w:val="none"/>
        </w:rPr>
      </w:pPr>
      <w:r>
        <w:rPr>
          <w:rFonts w:hint="eastAsia" w:asciiTheme="minorEastAsia" w:hAnsiTheme="minorEastAsia" w:eastAsiaTheme="minorEastAsia"/>
          <w:color w:val="auto"/>
          <w:sz w:val="21"/>
          <w:highlight w:val="none"/>
        </w:rPr>
        <w:t>本项目磋商小组由采购人代表和评审专家共3人（含）以上单数组成，其中评审专家人数不得少于磋商小组成员总数的2/3。</w:t>
      </w:r>
    </w:p>
    <w:p w14:paraId="20C5813C">
      <w:pPr>
        <w:pStyle w:val="12"/>
        <w:snapToGrid w:val="0"/>
        <w:spacing w:line="420" w:lineRule="exact"/>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（二）评标程序</w:t>
      </w:r>
    </w:p>
    <w:p w14:paraId="3BC43DCD">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1.资格审查</w:t>
      </w:r>
    </w:p>
    <w:p w14:paraId="5A6D730F">
      <w:pPr>
        <w:spacing w:line="420" w:lineRule="exact"/>
        <w:ind w:firstLine="420" w:firstLineChars="200"/>
        <w:rPr>
          <w:rFonts w:cs="宋体" w:asciiTheme="minorEastAsia" w:hAnsiTheme="minorEastAsia" w:eastAsiaTheme="minorEastAsia"/>
          <w:color w:val="auto"/>
          <w:kern w:val="0"/>
          <w:szCs w:val="21"/>
          <w:highlight w:val="none"/>
        </w:rPr>
      </w:pPr>
      <w:r>
        <w:rPr>
          <w:rFonts w:hint="eastAsia" w:cs="宋体" w:asciiTheme="minorEastAsia" w:hAnsiTheme="minorEastAsia" w:eastAsiaTheme="minorEastAsia"/>
          <w:color w:val="auto"/>
          <w:kern w:val="0"/>
          <w:szCs w:val="21"/>
          <w:highlight w:val="none"/>
        </w:rPr>
        <w:t>评标委员会审查投标文件的实质性内容是否符合磋商文件的实质性要求。</w:t>
      </w:r>
    </w:p>
    <w:p w14:paraId="3E28C27F">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2.评标委员会将根据投标人的投标文件进行审查、核对，如有疑问，将对投标人通过电子系统进行询标，投标人向评标委员会澄清有关问题，并最终以电子形式进行答复。投标人拒绝澄清或者澄清的内容改变了投标文件的实质性内容的，评标委员会有权对该投标文件作出不利于投标人的评判。</w:t>
      </w:r>
    </w:p>
    <w:p w14:paraId="6D63C5A1">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3.磋商顺序</w:t>
      </w:r>
    </w:p>
    <w:p w14:paraId="75C7AE72">
      <w:pPr>
        <w:spacing w:line="420" w:lineRule="exact"/>
        <w:ind w:firstLine="420" w:firstLineChars="200"/>
        <w:rPr>
          <w:rFonts w:asciiTheme="minorEastAsia" w:hAnsiTheme="minorEastAsia" w:eastAsiaTheme="minorEastAsia"/>
          <w:color w:val="auto"/>
          <w:highlight w:val="none"/>
        </w:rPr>
      </w:pPr>
      <w:r>
        <w:rPr>
          <w:rFonts w:hint="eastAsia" w:cs="宋体" w:asciiTheme="minorEastAsia" w:hAnsiTheme="minorEastAsia" w:eastAsiaTheme="minorEastAsia"/>
          <w:color w:val="auto"/>
          <w:szCs w:val="20"/>
          <w:highlight w:val="none"/>
        </w:rPr>
        <w:t>对通过资格审查的合格投标人按提交投标文件时间的先后顺序磋商。</w:t>
      </w:r>
    </w:p>
    <w:p w14:paraId="58022ACB">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4.磋商内容及过程</w:t>
      </w:r>
    </w:p>
    <w:p w14:paraId="7D220111">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磋商小组所有成员集中与单一投标人分别</w:t>
      </w:r>
      <w:r>
        <w:rPr>
          <w:rFonts w:hint="eastAsia" w:cs="宋体" w:asciiTheme="minorEastAsia" w:hAnsiTheme="minorEastAsia" w:eastAsiaTheme="minorEastAsia"/>
          <w:color w:val="auto"/>
          <w:szCs w:val="20"/>
          <w:highlight w:val="none"/>
        </w:rPr>
        <w:t>就价格、服务、技术等认为需要磋商的内容进行磋商，</w:t>
      </w:r>
      <w:r>
        <w:rPr>
          <w:rFonts w:hint="eastAsia" w:cs="Arial" w:asciiTheme="minorEastAsia" w:hAnsiTheme="minorEastAsia" w:eastAsiaTheme="minorEastAsia"/>
          <w:color w:val="auto"/>
          <w:szCs w:val="21"/>
          <w:highlight w:val="none"/>
        </w:rPr>
        <w:t>并给予所有参加磋商的</w:t>
      </w:r>
      <w:r>
        <w:rPr>
          <w:rFonts w:hint="eastAsia" w:cs="宋体" w:asciiTheme="minorEastAsia" w:hAnsiTheme="minorEastAsia" w:eastAsiaTheme="minorEastAsia"/>
          <w:color w:val="auto"/>
          <w:szCs w:val="21"/>
          <w:highlight w:val="none"/>
        </w:rPr>
        <w:t>投标人</w:t>
      </w:r>
      <w:r>
        <w:rPr>
          <w:rFonts w:hint="eastAsia" w:cs="Arial" w:asciiTheme="minorEastAsia" w:hAnsiTheme="minorEastAsia" w:eastAsiaTheme="minorEastAsia"/>
          <w:color w:val="auto"/>
          <w:szCs w:val="21"/>
          <w:highlight w:val="none"/>
        </w:rPr>
        <w:t>平等的磋商机会。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w:t>
      </w:r>
      <w:r>
        <w:rPr>
          <w:rFonts w:hint="eastAsia" w:cs="宋体" w:asciiTheme="minorEastAsia" w:hAnsiTheme="minorEastAsia" w:eastAsiaTheme="minorEastAsia"/>
          <w:color w:val="auto"/>
          <w:szCs w:val="21"/>
          <w:highlight w:val="none"/>
        </w:rPr>
        <w:t>投标人</w:t>
      </w:r>
      <w:r>
        <w:rPr>
          <w:rFonts w:hint="eastAsia" w:cs="Arial" w:asciiTheme="minorEastAsia" w:hAnsiTheme="minorEastAsia" w:eastAsiaTheme="minorEastAsia"/>
          <w:color w:val="auto"/>
          <w:szCs w:val="21"/>
          <w:highlight w:val="none"/>
        </w:rPr>
        <w:t>。投标人应当按照磋商文件的变动情况和磋商小组的要求重新提交投标文件，磋商过程中再提供1-2次报价。</w:t>
      </w:r>
    </w:p>
    <w:p w14:paraId="46929EAC">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5.磋商结束后，在磋商小组进行商务技术评分时，磋商小组应当要求所有实质性响应的投标人在规定时间内提交最后报价。磋商小组认为投标人的磋商报价明显低于其他通过符合性审查投标人的报价，有可能影响服务质量和不能诚信履约的，应当要求其在合理的时间内提供书面说明，必要时提交相关证明材料；投标人不能证明其报价合理性的，磋商小组应当将其作为无效标处理。</w:t>
      </w:r>
    </w:p>
    <w:p w14:paraId="07A41A47">
      <w:pPr>
        <w:spacing w:line="420" w:lineRule="exact"/>
        <w:ind w:firstLine="420" w:firstLineChars="200"/>
        <w:rPr>
          <w:rFonts w:cs="Arial" w:asciiTheme="minorEastAsia" w:hAnsiTheme="minorEastAsia" w:eastAsiaTheme="minorEastAsia"/>
          <w:color w:val="auto"/>
          <w:szCs w:val="21"/>
          <w:highlight w:val="none"/>
        </w:rPr>
      </w:pPr>
      <w:r>
        <w:rPr>
          <w:rFonts w:hint="eastAsia" w:cs="Arial" w:asciiTheme="minorEastAsia" w:hAnsiTheme="minorEastAsia" w:eastAsiaTheme="minorEastAsia"/>
          <w:color w:val="auto"/>
          <w:szCs w:val="21"/>
          <w:highlight w:val="none"/>
        </w:rPr>
        <w:t>6.磋商小组按《评标方法和标准》规定推荐成交候选人，资格复审后确定成交人，同时起草评审报告。</w:t>
      </w:r>
    </w:p>
    <w:p w14:paraId="75D93EEF">
      <w:pPr>
        <w:spacing w:line="420" w:lineRule="exact"/>
        <w:rPr>
          <w:rFonts w:ascii="宋体" w:hAnsi="宋体"/>
          <w:b/>
          <w:color w:val="auto"/>
          <w:sz w:val="24"/>
          <w:highlight w:val="none"/>
        </w:rPr>
      </w:pPr>
      <w:r>
        <w:rPr>
          <w:rFonts w:hint="eastAsia" w:ascii="宋体" w:hAnsi="宋体"/>
          <w:b/>
          <w:bCs/>
          <w:color w:val="auto"/>
          <w:sz w:val="24"/>
          <w:highlight w:val="none"/>
        </w:rPr>
        <w:t>（三）</w:t>
      </w:r>
      <w:r>
        <w:rPr>
          <w:rFonts w:hint="eastAsia" w:ascii="宋体" w:hAnsi="宋体"/>
          <w:b/>
          <w:color w:val="auto"/>
          <w:sz w:val="24"/>
          <w:highlight w:val="none"/>
        </w:rPr>
        <w:t>澄清问题的形式</w:t>
      </w:r>
    </w:p>
    <w:p w14:paraId="51C01CDA">
      <w:pPr>
        <w:snapToGrid w:val="0"/>
        <w:spacing w:line="420" w:lineRule="exact"/>
        <w:ind w:firstLine="420" w:firstLineChars="200"/>
        <w:rPr>
          <w:rFonts w:asciiTheme="minorEastAsia" w:hAnsiTheme="minorEastAsia" w:eastAsiaTheme="minorEastAsia"/>
          <w:b/>
          <w:color w:val="auto"/>
          <w:sz w:val="24"/>
          <w:highlight w:val="none"/>
        </w:rPr>
      </w:pPr>
      <w:r>
        <w:rPr>
          <w:rFonts w:hint="eastAsia" w:ascii="宋体" w:hAnsi="宋体"/>
          <w:color w:val="auto"/>
          <w:highlight w:val="none"/>
        </w:rPr>
        <w:t>对投标文件中含义不明确、同类问题表述不一致或者有明显文字和计算错误的内容，磋商小组可要求投标人作出必要的澄清、说明或者纠正。</w:t>
      </w:r>
    </w:p>
    <w:p w14:paraId="66112EDE">
      <w:pPr>
        <w:pStyle w:val="12"/>
        <w:snapToGrid w:val="0"/>
        <w:spacing w:line="42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（四）错误修正</w:t>
      </w:r>
    </w:p>
    <w:p w14:paraId="5D85F4B1">
      <w:pPr>
        <w:snapToGrid w:val="0"/>
        <w:spacing w:line="360" w:lineRule="auto"/>
        <w:ind w:firstLine="415" w:firstLineChars="198"/>
        <w:textAlignment w:val="baseline"/>
        <w:rPr>
          <w:rFonts w:ascii="Times New Roman" w:hAnsi="Times New Roman"/>
          <w:color w:val="auto"/>
          <w:szCs w:val="21"/>
          <w:highlight w:val="none"/>
        </w:rPr>
      </w:pPr>
      <w:r>
        <w:rPr>
          <w:rFonts w:ascii="Times New Roman" w:hAnsi="Times New Roman"/>
          <w:color w:val="auto"/>
          <w:szCs w:val="21"/>
          <w:highlight w:val="none"/>
        </w:rPr>
        <w:t>投标文件如果出现计算或表达上的错误，修正错误的原则如下：</w:t>
      </w:r>
    </w:p>
    <w:p w14:paraId="7B247D82">
      <w:pPr>
        <w:snapToGrid w:val="0"/>
        <w:spacing w:line="360" w:lineRule="auto"/>
        <w:ind w:firstLine="415" w:firstLineChars="198"/>
        <w:textAlignment w:val="baseline"/>
        <w:rPr>
          <w:rFonts w:ascii="Times New Roman" w:hAnsi="Times New Roman"/>
          <w:color w:val="auto"/>
          <w:szCs w:val="21"/>
          <w:highlight w:val="none"/>
        </w:rPr>
      </w:pPr>
      <w:r>
        <w:rPr>
          <w:rFonts w:hint="eastAsia" w:ascii="Times New Roman" w:hAnsi="Times New Roman"/>
          <w:color w:val="auto"/>
          <w:szCs w:val="21"/>
          <w:highlight w:val="none"/>
        </w:rPr>
        <w:t>1.投标文件中开标一览表（报价表）内容与投标文件中相应内容不一致的，以开标一览表（报价表）为准；</w:t>
      </w:r>
    </w:p>
    <w:p w14:paraId="130526AA">
      <w:pPr>
        <w:snapToGrid w:val="0"/>
        <w:spacing w:line="360" w:lineRule="auto"/>
        <w:ind w:firstLine="420" w:firstLineChars="200"/>
        <w:textAlignment w:val="baseline"/>
        <w:rPr>
          <w:rFonts w:ascii="Times New Roman" w:hAnsi="Times New Roman"/>
          <w:color w:val="auto"/>
          <w:szCs w:val="21"/>
          <w:highlight w:val="none"/>
        </w:rPr>
      </w:pPr>
      <w:r>
        <w:rPr>
          <w:rFonts w:hint="eastAsia" w:ascii="Times New Roman" w:hAnsi="Times New Roman"/>
          <w:color w:val="auto"/>
          <w:szCs w:val="21"/>
          <w:highlight w:val="none"/>
        </w:rPr>
        <w:t>2.大写金额和小写金额不一致的，以大写金额为准；</w:t>
      </w:r>
    </w:p>
    <w:p w14:paraId="52A5C79F">
      <w:pPr>
        <w:snapToGrid w:val="0"/>
        <w:spacing w:line="360" w:lineRule="auto"/>
        <w:ind w:firstLine="420" w:firstLineChars="200"/>
        <w:textAlignment w:val="baseline"/>
        <w:rPr>
          <w:rFonts w:ascii="Times New Roman" w:hAnsi="Times New Roman"/>
          <w:color w:val="auto"/>
          <w:szCs w:val="21"/>
          <w:highlight w:val="none"/>
        </w:rPr>
      </w:pPr>
      <w:r>
        <w:rPr>
          <w:rFonts w:hint="eastAsia" w:ascii="Times New Roman" w:hAnsi="Times New Roman"/>
          <w:color w:val="auto"/>
          <w:szCs w:val="21"/>
          <w:highlight w:val="none"/>
        </w:rPr>
        <w:t>3.单价金额小数点或者百分比有明显错位的，以开标一览表的总价为准，并修改单价；</w:t>
      </w:r>
    </w:p>
    <w:p w14:paraId="3883F220">
      <w:pPr>
        <w:snapToGrid w:val="0"/>
        <w:spacing w:line="360" w:lineRule="auto"/>
        <w:ind w:firstLine="420" w:firstLineChars="200"/>
        <w:textAlignment w:val="baseline"/>
        <w:rPr>
          <w:rFonts w:ascii="Times New Roman" w:hAnsi="Times New Roman"/>
          <w:color w:val="auto"/>
          <w:szCs w:val="21"/>
          <w:highlight w:val="none"/>
        </w:rPr>
      </w:pPr>
      <w:r>
        <w:rPr>
          <w:rFonts w:hint="eastAsia" w:ascii="Times New Roman" w:hAnsi="Times New Roman"/>
          <w:color w:val="auto"/>
          <w:szCs w:val="21"/>
          <w:highlight w:val="none"/>
        </w:rPr>
        <w:t>4.总价金额与按单价汇总金额不一致的，以单价金额计算结果为准。</w:t>
      </w:r>
    </w:p>
    <w:p w14:paraId="4C1AC63D">
      <w:pPr>
        <w:snapToGrid w:val="0"/>
        <w:spacing w:line="360" w:lineRule="auto"/>
        <w:ind w:firstLine="417" w:firstLineChars="198"/>
        <w:textAlignment w:val="baseline"/>
        <w:rPr>
          <w:rFonts w:ascii="Times New Roman" w:hAnsi="Times New Roman"/>
          <w:b/>
          <w:bCs/>
          <w:color w:val="auto"/>
          <w:szCs w:val="21"/>
          <w:highlight w:val="none"/>
        </w:rPr>
      </w:pPr>
      <w:r>
        <w:rPr>
          <w:rFonts w:hint="eastAsia" w:ascii="Times New Roman" w:hAnsi="Times New Roman"/>
          <w:b/>
          <w:bCs/>
          <w:color w:val="auto"/>
          <w:szCs w:val="21"/>
          <w:highlight w:val="none"/>
        </w:rPr>
        <w:t xml:space="preserve">同时出现两种以上不一致的，按照前款规定的顺序修正。 </w:t>
      </w:r>
    </w:p>
    <w:p w14:paraId="0C53E5A0">
      <w:pPr>
        <w:snapToGrid w:val="0"/>
        <w:spacing w:line="360" w:lineRule="auto"/>
        <w:ind w:firstLine="417" w:firstLineChars="198"/>
        <w:textAlignment w:val="baseline"/>
        <w:rPr>
          <w:rFonts w:ascii="Times New Roman" w:hAnsi="Times New Roman"/>
          <w:color w:val="auto"/>
          <w:szCs w:val="21"/>
          <w:highlight w:val="none"/>
        </w:rPr>
      </w:pPr>
      <w:r>
        <w:rPr>
          <w:rFonts w:ascii="Times New Roman" w:hAnsi="Times New Roman"/>
          <w:b/>
          <w:color w:val="auto"/>
          <w:szCs w:val="21"/>
          <w:highlight w:val="none"/>
        </w:rPr>
        <w:t>按上述修正错误的原则及方法调整或修正投标文件的投标报价，投标人通过电文并签章确认后，调整后的投标报价对投标人具有约束作用。如果投标人不接受修正后的报价，则其投标将作为无效投标处理。</w:t>
      </w:r>
    </w:p>
    <w:p w14:paraId="24641F61">
      <w:pPr>
        <w:pStyle w:val="12"/>
        <w:tabs>
          <w:tab w:val="left" w:pos="630"/>
        </w:tabs>
        <w:snapToGrid w:val="0"/>
        <w:spacing w:line="360" w:lineRule="auto"/>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（五）评标原则和评标方法</w:t>
      </w:r>
    </w:p>
    <w:p w14:paraId="24E1FBA3">
      <w:pPr>
        <w:pStyle w:val="12"/>
        <w:snapToGrid w:val="0"/>
        <w:spacing w:line="360" w:lineRule="auto"/>
        <w:ind w:firstLine="420" w:firstLineChars="200"/>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1.评标原则。磋商小组必须公平、公正、客观，不带任何倾向性和启发性；不得向外界透露任何与评标有关的内容；任何单位和个人不得干扰、影响评标的正常进行；磋商小组及有关工作人员不得私下与投标人接触。</w:t>
      </w:r>
    </w:p>
    <w:p w14:paraId="1366B6DB">
      <w:pPr>
        <w:pStyle w:val="12"/>
        <w:snapToGrid w:val="0"/>
        <w:spacing w:line="360" w:lineRule="auto"/>
        <w:ind w:firstLine="420" w:firstLineChars="200"/>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1"/>
          <w:szCs w:val="21"/>
          <w:highlight w:val="none"/>
        </w:rPr>
        <w:t>2.评标方法。本项目评标方法是综合评分法，具体评标内容及评分标准等详见《第四章：评标方法及评分标准》。</w:t>
      </w:r>
    </w:p>
    <w:p w14:paraId="63391277">
      <w:pPr>
        <w:pStyle w:val="12"/>
        <w:snapToGrid w:val="0"/>
        <w:spacing w:line="420" w:lineRule="exac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（六）评标过程的监控</w:t>
      </w:r>
    </w:p>
    <w:p w14:paraId="1E5CC6B2">
      <w:pPr>
        <w:pStyle w:val="12"/>
        <w:snapToGrid w:val="0"/>
        <w:spacing w:line="420" w:lineRule="exact"/>
        <w:ind w:firstLine="525" w:firstLineChars="250"/>
        <w:rPr>
          <w:rFonts w:asciiTheme="minorEastAsia" w:hAnsiTheme="minorEastAsia" w:eastAsiaTheme="minorEastAsia"/>
          <w:b/>
          <w:color w:val="auto"/>
          <w:sz w:val="28"/>
          <w:szCs w:val="28"/>
          <w:highlight w:val="none"/>
        </w:rPr>
      </w:pPr>
      <w:r>
        <w:rPr>
          <w:rFonts w:hint="eastAsia" w:hAnsi="宋体" w:eastAsia="宋体"/>
          <w:color w:val="auto"/>
          <w:sz w:val="21"/>
          <w:highlight w:val="none"/>
        </w:rPr>
        <w:t>本项目评标过程实行全程录音、录像监控。</w:t>
      </w:r>
    </w:p>
    <w:p w14:paraId="190EC936">
      <w:pPr>
        <w:pStyle w:val="12"/>
        <w:keepNext w:val="0"/>
        <w:keepLines w:val="0"/>
        <w:pageBreakBefore w:val="0"/>
        <w:widowControl w:val="0"/>
        <w:kinsoku/>
        <w:wordWrap/>
        <w:overflowPunct/>
        <w:topLinePunct w:val="0"/>
        <w:autoSpaceDE/>
        <w:autoSpaceDN/>
        <w:bidi w:val="0"/>
        <w:adjustRightInd/>
        <w:snapToGrid w:val="0"/>
        <w:spacing w:line="360" w:lineRule="auto"/>
        <w:ind w:firstLine="3373" w:firstLineChars="1200"/>
        <w:textAlignment w:val="auto"/>
        <w:outlineLvl w:val="1"/>
        <w:rPr>
          <w:rFonts w:hint="eastAsia" w:asciiTheme="minorEastAsia" w:hAnsiTheme="minorEastAsia" w:eastAsiaTheme="minorEastAsia"/>
          <w:b/>
          <w:color w:val="auto"/>
          <w:sz w:val="28"/>
          <w:szCs w:val="28"/>
          <w:highlight w:val="none"/>
        </w:rPr>
      </w:pPr>
    </w:p>
    <w:p w14:paraId="06242C59">
      <w:pPr>
        <w:pStyle w:val="12"/>
        <w:keepNext w:val="0"/>
        <w:keepLines w:val="0"/>
        <w:pageBreakBefore w:val="0"/>
        <w:widowControl w:val="0"/>
        <w:kinsoku/>
        <w:wordWrap/>
        <w:overflowPunct/>
        <w:topLinePunct w:val="0"/>
        <w:autoSpaceDE/>
        <w:autoSpaceDN/>
        <w:bidi w:val="0"/>
        <w:adjustRightInd/>
        <w:snapToGrid w:val="0"/>
        <w:spacing w:line="360" w:lineRule="auto"/>
        <w:ind w:firstLine="3373" w:firstLineChars="1200"/>
        <w:textAlignment w:val="auto"/>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六、定标</w:t>
      </w:r>
    </w:p>
    <w:p w14:paraId="506ADC8B">
      <w:pPr>
        <w:pStyle w:val="12"/>
        <w:keepNext w:val="0"/>
        <w:keepLines w:val="0"/>
        <w:pageBreakBefore w:val="0"/>
        <w:widowControl w:val="0"/>
        <w:kinsoku/>
        <w:wordWrap/>
        <w:overflowPunct/>
        <w:topLinePunct w:val="0"/>
        <w:autoSpaceDE/>
        <w:autoSpaceDN/>
        <w:bidi w:val="0"/>
        <w:adjustRightInd/>
        <w:snapToGrid w:val="0"/>
        <w:spacing w:line="360" w:lineRule="auto"/>
        <w:textAlignment w:val="auto"/>
        <w:rPr>
          <w:rFonts w:cs="宋体" w:asciiTheme="minorEastAsia" w:hAnsiTheme="minorEastAsia" w:eastAsiaTheme="minorEastAsia"/>
          <w:b/>
          <w:color w:val="auto"/>
          <w:sz w:val="21"/>
          <w:szCs w:val="21"/>
          <w:highlight w:val="none"/>
        </w:rPr>
      </w:pPr>
      <w:r>
        <w:rPr>
          <w:rFonts w:hint="eastAsia" w:cs="宋体" w:asciiTheme="minorEastAsia" w:hAnsiTheme="minorEastAsia" w:eastAsiaTheme="minorEastAsia"/>
          <w:b/>
          <w:color w:val="auto"/>
          <w:sz w:val="21"/>
          <w:szCs w:val="21"/>
          <w:highlight w:val="none"/>
        </w:rPr>
        <w:t>（一）确定中标人。</w:t>
      </w:r>
    </w:p>
    <w:p w14:paraId="048B2F67">
      <w:pPr>
        <w:pStyle w:val="12"/>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本项目由采购人事先授权评审小组确定候选中标人</w:t>
      </w:r>
      <w:r>
        <w:rPr>
          <w:rFonts w:cs="宋体" w:asciiTheme="minorEastAsia" w:hAnsiTheme="minorEastAsia" w:eastAsiaTheme="minorEastAsia"/>
          <w:color w:val="auto"/>
          <w:sz w:val="21"/>
          <w:szCs w:val="21"/>
          <w:highlight w:val="none"/>
        </w:rPr>
        <w:t>1</w:t>
      </w:r>
      <w:r>
        <w:rPr>
          <w:rFonts w:hint="eastAsia" w:cs="宋体" w:asciiTheme="minorEastAsia" w:hAnsiTheme="minorEastAsia" w:eastAsiaTheme="minorEastAsia"/>
          <w:color w:val="auto"/>
          <w:sz w:val="21"/>
          <w:szCs w:val="21"/>
          <w:highlight w:val="none"/>
        </w:rPr>
        <w:t>名。经采购人确认后，确定项目中标人，同时发布采购结果公告</w:t>
      </w:r>
      <w:r>
        <w:rPr>
          <w:rFonts w:hint="eastAsia" w:cs="宋体" w:asciiTheme="minorEastAsia" w:hAnsiTheme="minorEastAsia" w:eastAsiaTheme="minorEastAsia"/>
          <w:b/>
          <w:bCs/>
          <w:color w:val="auto"/>
          <w:sz w:val="21"/>
          <w:szCs w:val="21"/>
          <w:highlight w:val="none"/>
        </w:rPr>
        <w:t>（中标人通过政采云系统领取中标通知书）</w:t>
      </w:r>
      <w:r>
        <w:rPr>
          <w:rFonts w:hint="eastAsia" w:cs="宋体" w:asciiTheme="minorEastAsia" w:hAnsiTheme="minorEastAsia" w:eastAsiaTheme="minorEastAsia"/>
          <w:color w:val="auto"/>
          <w:sz w:val="21"/>
          <w:szCs w:val="21"/>
          <w:highlight w:val="none"/>
        </w:rPr>
        <w:t>。</w:t>
      </w:r>
    </w:p>
    <w:p w14:paraId="0DF7D8B9">
      <w:pPr>
        <w:pStyle w:val="12"/>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1.采购代理机构在评标结束后在2个工作日内将评审报告交采购人确认。</w:t>
      </w:r>
    </w:p>
    <w:p w14:paraId="393B677C">
      <w:pPr>
        <w:pStyle w:val="12"/>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2.投标人对评审结果无异议的，采购人应在收到评审报告后5个工作日内对评审结果进行确认。如有投标人对评审结果提出质疑的，采购人可在质疑处理完毕后确定中标人。</w:t>
      </w:r>
    </w:p>
    <w:p w14:paraId="73E23A5F">
      <w:pPr>
        <w:pStyle w:val="12"/>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asciiTheme="minorEastAsia" w:hAnsiTheme="minorEastAsia" w:eastAsiaTheme="minorEastAsia"/>
          <w:b/>
          <w:color w:val="auto"/>
          <w:sz w:val="28"/>
          <w:szCs w:val="28"/>
          <w:highlight w:val="none"/>
        </w:rPr>
      </w:pPr>
      <w:r>
        <w:rPr>
          <w:rFonts w:hint="eastAsia" w:cs="宋体" w:asciiTheme="minorEastAsia" w:hAnsiTheme="minorEastAsia" w:eastAsiaTheme="minorEastAsia"/>
          <w:color w:val="auto"/>
          <w:sz w:val="21"/>
          <w:szCs w:val="21"/>
          <w:highlight w:val="none"/>
        </w:rPr>
        <w:t>3.采购人依法确定中标人后2个工作日内，在相关网站上发布中标公告，同时发出《中标通知书》。</w:t>
      </w:r>
    </w:p>
    <w:p w14:paraId="4EB8972B">
      <w:pPr>
        <w:pStyle w:val="12"/>
        <w:keepNext w:val="0"/>
        <w:keepLines w:val="0"/>
        <w:pageBreakBefore w:val="0"/>
        <w:kinsoku/>
        <w:wordWrap/>
        <w:topLinePunct w:val="0"/>
        <w:bidi w:val="0"/>
        <w:snapToGrid w:val="0"/>
        <w:spacing w:line="360" w:lineRule="auto"/>
        <w:jc w:val="center"/>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七、合同授予</w:t>
      </w:r>
    </w:p>
    <w:p w14:paraId="64EBF2D3">
      <w:pPr>
        <w:keepNext w:val="0"/>
        <w:keepLines w:val="0"/>
        <w:pageBreakBefore w:val="0"/>
        <w:widowControl/>
        <w:kinsoku/>
        <w:wordWrap/>
        <w:overflowPunct w:val="0"/>
        <w:topLinePunct w:val="0"/>
        <w:autoSpaceDE w:val="0"/>
        <w:autoSpaceDN w:val="0"/>
        <w:bidi w:val="0"/>
        <w:adjustRightInd w:val="0"/>
        <w:snapToGrid w:val="0"/>
        <w:spacing w:line="360" w:lineRule="auto"/>
        <w:textAlignment w:val="baseline"/>
        <w:rPr>
          <w:rFonts w:ascii="宋体" w:hAnsi="宋体"/>
          <w:b/>
          <w:color w:val="auto"/>
          <w:sz w:val="24"/>
          <w:highlight w:val="none"/>
        </w:rPr>
      </w:pPr>
      <w:r>
        <w:rPr>
          <w:rFonts w:hint="eastAsia" w:ascii="宋体" w:hAnsi="宋体"/>
          <w:b/>
          <w:color w:val="auto"/>
          <w:sz w:val="24"/>
          <w:highlight w:val="none"/>
        </w:rPr>
        <w:t>签订合同</w:t>
      </w:r>
    </w:p>
    <w:p w14:paraId="15D935F7">
      <w:pPr>
        <w:keepNext w:val="0"/>
        <w:keepLines w:val="0"/>
        <w:pageBreakBefore w:val="0"/>
        <w:kinsoku/>
        <w:wordWrap/>
        <w:topLinePunct w:val="0"/>
        <w:bidi w:val="0"/>
        <w:snapToGrid w:val="0"/>
        <w:spacing w:line="360" w:lineRule="auto"/>
        <w:ind w:firstLine="420" w:firstLineChars="200"/>
        <w:rPr>
          <w:rFonts w:ascii="宋体" w:hAnsi="宋体"/>
          <w:color w:val="auto"/>
          <w:highlight w:val="none"/>
        </w:rPr>
      </w:pPr>
      <w:r>
        <w:rPr>
          <w:rFonts w:hint="eastAsia" w:ascii="宋体" w:hAnsi="宋体"/>
          <w:color w:val="auto"/>
          <w:highlight w:val="none"/>
        </w:rPr>
        <w:t>1.采购人与中标人应当在《中标通知书》发出之日起30日内签订政府采购合同。同时，采购代理机构对合同内容进行审查，如发现与采购结果和投标承诺内容不一致的，应予以纠正。</w:t>
      </w:r>
    </w:p>
    <w:p w14:paraId="05DC107B">
      <w:pPr>
        <w:keepNext w:val="0"/>
        <w:keepLines w:val="0"/>
        <w:pageBreakBefore w:val="0"/>
        <w:kinsoku/>
        <w:wordWrap/>
        <w:topLinePunct w:val="0"/>
        <w:bidi w:val="0"/>
        <w:snapToGrid w:val="0"/>
        <w:spacing w:line="360" w:lineRule="auto"/>
        <w:ind w:firstLine="420" w:firstLineChars="200"/>
        <w:rPr>
          <w:rFonts w:ascii="黑体" w:hAnsi="宋体" w:eastAsia="黑体"/>
          <w:color w:val="auto"/>
          <w:highlight w:val="none"/>
        </w:rPr>
      </w:pPr>
      <w:r>
        <w:rPr>
          <w:rFonts w:hint="eastAsia" w:ascii="宋体" w:hAnsi="宋体"/>
          <w:color w:val="auto"/>
          <w:highlight w:val="none"/>
        </w:rPr>
        <w:t>2.中标人拖延、拒签合同的</w:t>
      </w:r>
      <w:r>
        <w:rPr>
          <w:rFonts w:hint="eastAsia" w:ascii="宋体" w:hAnsi="宋体"/>
          <w:color w:val="auto"/>
          <w:highlight w:val="none"/>
          <w:lang w:eastAsia="zh-CN"/>
        </w:rPr>
        <w:t>，</w:t>
      </w:r>
      <w:r>
        <w:rPr>
          <w:rFonts w:hint="eastAsia" w:ascii="宋体" w:hAnsi="宋体"/>
          <w:color w:val="auto"/>
          <w:highlight w:val="none"/>
        </w:rPr>
        <w:t>将被取消中标资格。</w:t>
      </w:r>
    </w:p>
    <w:p w14:paraId="186899C9">
      <w:pPr>
        <w:pStyle w:val="12"/>
        <w:snapToGrid w:val="0"/>
        <w:spacing w:before="120" w:line="360" w:lineRule="auto"/>
        <w:jc w:val="both"/>
        <w:rPr>
          <w:rFonts w:hint="eastAsia" w:ascii="黑体" w:hAnsi="宋体" w:eastAsia="黑体"/>
          <w:color w:val="auto"/>
          <w:highlight w:val="none"/>
        </w:rPr>
      </w:pPr>
    </w:p>
    <w:p w14:paraId="6C695A0D">
      <w:pPr>
        <w:pStyle w:val="12"/>
        <w:snapToGrid w:val="0"/>
        <w:spacing w:before="120" w:line="360" w:lineRule="auto"/>
        <w:jc w:val="center"/>
        <w:rPr>
          <w:rFonts w:hint="eastAsia" w:ascii="黑体" w:hAnsi="宋体" w:eastAsia="黑体"/>
          <w:color w:val="auto"/>
          <w:highlight w:val="none"/>
        </w:rPr>
      </w:pPr>
    </w:p>
    <w:p w14:paraId="07DCAE05">
      <w:pPr>
        <w:pStyle w:val="12"/>
        <w:snapToGrid w:val="0"/>
        <w:spacing w:before="120" w:line="360" w:lineRule="auto"/>
        <w:jc w:val="center"/>
        <w:rPr>
          <w:rFonts w:hint="eastAsia" w:ascii="黑体" w:hAnsi="宋体" w:eastAsia="黑体"/>
          <w:color w:val="auto"/>
          <w:highlight w:val="none"/>
        </w:rPr>
      </w:pPr>
    </w:p>
    <w:p w14:paraId="3952C31C">
      <w:pPr>
        <w:pStyle w:val="12"/>
        <w:snapToGrid w:val="0"/>
        <w:spacing w:before="120" w:line="360" w:lineRule="auto"/>
        <w:jc w:val="center"/>
        <w:rPr>
          <w:rFonts w:hint="eastAsia" w:ascii="黑体" w:hAnsi="宋体" w:eastAsia="黑体"/>
          <w:color w:val="auto"/>
          <w:highlight w:val="none"/>
        </w:rPr>
      </w:pPr>
    </w:p>
    <w:p w14:paraId="7BC14FA0">
      <w:pPr>
        <w:pStyle w:val="12"/>
        <w:snapToGrid w:val="0"/>
        <w:spacing w:before="120" w:line="360" w:lineRule="auto"/>
        <w:jc w:val="center"/>
        <w:rPr>
          <w:rFonts w:hint="eastAsia" w:ascii="黑体" w:hAnsi="宋体" w:eastAsia="黑体"/>
          <w:color w:val="auto"/>
          <w:highlight w:val="none"/>
        </w:rPr>
      </w:pPr>
    </w:p>
    <w:p w14:paraId="492B4133">
      <w:pPr>
        <w:pStyle w:val="12"/>
        <w:snapToGrid w:val="0"/>
        <w:spacing w:before="120" w:line="360" w:lineRule="auto"/>
        <w:jc w:val="center"/>
        <w:rPr>
          <w:rFonts w:hint="eastAsia" w:ascii="黑体" w:hAnsi="宋体" w:eastAsia="黑体"/>
          <w:color w:val="auto"/>
          <w:highlight w:val="none"/>
        </w:rPr>
      </w:pPr>
    </w:p>
    <w:p w14:paraId="5C2C7E22">
      <w:pPr>
        <w:pStyle w:val="12"/>
        <w:snapToGrid w:val="0"/>
        <w:spacing w:before="120" w:line="360" w:lineRule="auto"/>
        <w:jc w:val="center"/>
        <w:rPr>
          <w:rFonts w:hint="eastAsia" w:ascii="黑体" w:hAnsi="宋体" w:eastAsia="黑体"/>
          <w:color w:val="auto"/>
          <w:highlight w:val="none"/>
        </w:rPr>
      </w:pPr>
    </w:p>
    <w:p w14:paraId="227ABC5A">
      <w:pPr>
        <w:pStyle w:val="12"/>
        <w:snapToGrid w:val="0"/>
        <w:spacing w:before="120" w:line="360" w:lineRule="auto"/>
        <w:jc w:val="center"/>
        <w:rPr>
          <w:rFonts w:hint="eastAsia" w:ascii="黑体" w:hAnsi="宋体" w:eastAsia="黑体"/>
          <w:color w:val="auto"/>
          <w:highlight w:val="none"/>
        </w:rPr>
      </w:pPr>
    </w:p>
    <w:p w14:paraId="61F4BA39">
      <w:pPr>
        <w:pStyle w:val="12"/>
        <w:snapToGrid w:val="0"/>
        <w:spacing w:before="120" w:line="360" w:lineRule="auto"/>
        <w:jc w:val="center"/>
        <w:rPr>
          <w:rFonts w:hint="eastAsia" w:ascii="黑体" w:hAnsi="宋体" w:eastAsia="黑体"/>
          <w:color w:val="auto"/>
          <w:highlight w:val="none"/>
        </w:rPr>
      </w:pPr>
    </w:p>
    <w:p w14:paraId="4D543787">
      <w:pPr>
        <w:pStyle w:val="12"/>
        <w:snapToGrid w:val="0"/>
        <w:spacing w:before="120" w:line="360" w:lineRule="auto"/>
        <w:jc w:val="center"/>
        <w:rPr>
          <w:rFonts w:hint="eastAsia" w:ascii="黑体" w:hAnsi="宋体" w:eastAsia="黑体"/>
          <w:color w:val="auto"/>
          <w:highlight w:val="none"/>
        </w:rPr>
      </w:pPr>
    </w:p>
    <w:p w14:paraId="6D23424B">
      <w:pPr>
        <w:pStyle w:val="12"/>
        <w:snapToGrid w:val="0"/>
        <w:spacing w:before="120" w:line="360" w:lineRule="auto"/>
        <w:jc w:val="center"/>
        <w:rPr>
          <w:rFonts w:hint="eastAsia" w:asciiTheme="minorEastAsia" w:hAnsiTheme="minorEastAsia" w:eastAsiaTheme="minorEastAsia"/>
          <w:b/>
          <w:color w:val="auto"/>
          <w:sz w:val="24"/>
          <w:highlight w:val="none"/>
        </w:rPr>
      </w:pPr>
      <w:r>
        <w:rPr>
          <w:rFonts w:hint="eastAsia" w:ascii="黑体" w:hAnsi="宋体" w:eastAsia="黑体"/>
          <w:color w:val="auto"/>
          <w:highlight w:val="none"/>
        </w:rPr>
        <w:t>第四章  评标方法及评分标准</w:t>
      </w:r>
    </w:p>
    <w:p w14:paraId="34298559">
      <w:pPr>
        <w:pStyle w:val="12"/>
        <w:keepNext w:val="0"/>
        <w:keepLines w:val="0"/>
        <w:pageBreakBefore w:val="0"/>
        <w:widowControl w:val="0"/>
        <w:kinsoku/>
        <w:wordWrap/>
        <w:overflowPunct/>
        <w:topLinePunct w:val="0"/>
        <w:bidi w:val="0"/>
        <w:spacing w:line="360" w:lineRule="auto"/>
        <w:ind w:firstLine="118" w:firstLineChars="49"/>
        <w:textAlignment w:val="auto"/>
        <w:outlineLvl w:val="0"/>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综合评分法</w:t>
      </w:r>
    </w:p>
    <w:p w14:paraId="125F5EA9">
      <w:pPr>
        <w:keepNext w:val="0"/>
        <w:keepLines w:val="0"/>
        <w:pageBreakBefore w:val="0"/>
        <w:widowControl w:val="0"/>
        <w:kinsoku/>
        <w:wordWrap/>
        <w:overflowPunct/>
        <w:topLinePunct w:val="0"/>
        <w:bidi w:val="0"/>
        <w:spacing w:line="360" w:lineRule="auto"/>
        <w:jc w:val="center"/>
        <w:textAlignment w:val="auto"/>
        <w:rPr>
          <w:rFonts w:asciiTheme="minorEastAsia" w:hAnsiTheme="minorEastAsia" w:eastAsiaTheme="minorEastAsia"/>
          <w:b/>
          <w:color w:val="auto"/>
          <w:sz w:val="24"/>
          <w:highlight w:val="none"/>
          <w:lang w:val="zh-CN"/>
        </w:rPr>
      </w:pPr>
      <w:r>
        <w:rPr>
          <w:rFonts w:hint="eastAsia" w:asciiTheme="minorEastAsia" w:hAnsiTheme="minorEastAsia" w:eastAsiaTheme="minorEastAsia"/>
          <w:b/>
          <w:color w:val="auto"/>
          <w:sz w:val="24"/>
          <w:highlight w:val="none"/>
          <w:lang w:val="zh-CN"/>
        </w:rPr>
        <w:t>普陀区图书馆沈家门渔港文旅驿站（城市书房）运营服务</w:t>
      </w:r>
      <w:r>
        <w:rPr>
          <w:rFonts w:hint="eastAsia" w:asciiTheme="minorEastAsia" w:hAnsiTheme="minorEastAsia" w:eastAsiaTheme="minorEastAsia"/>
          <w:b/>
          <w:color w:val="auto"/>
          <w:sz w:val="24"/>
          <w:highlight w:val="none"/>
        </w:rPr>
        <w:t>评标方法</w:t>
      </w:r>
    </w:p>
    <w:p w14:paraId="0D97A618">
      <w:pPr>
        <w:keepNext w:val="0"/>
        <w:keepLines w:val="0"/>
        <w:pageBreakBefore w:val="0"/>
        <w:widowControl w:val="0"/>
        <w:kinsoku/>
        <w:wordWrap/>
        <w:overflowPunct/>
        <w:topLinePunct w:val="0"/>
        <w:bidi w:val="0"/>
        <w:spacing w:line="360" w:lineRule="auto"/>
        <w:ind w:firstLine="42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为公正、公平、科学地选择中标人，根据《中华人民共和国政府采购法》等有关法律法规的规定，并结合本项目的实际，制定本办法。</w:t>
      </w:r>
    </w:p>
    <w:p w14:paraId="182C167D">
      <w:pPr>
        <w:keepNext w:val="0"/>
        <w:keepLines w:val="0"/>
        <w:pageBreakBefore w:val="0"/>
        <w:widowControl w:val="0"/>
        <w:kinsoku/>
        <w:wordWrap/>
        <w:overflowPunct/>
        <w:topLinePunct w:val="0"/>
        <w:bidi w:val="0"/>
        <w:spacing w:line="360" w:lineRule="auto"/>
        <w:ind w:firstLine="420" w:firstLineChars="200"/>
        <w:textAlignment w:val="auto"/>
        <w:rPr>
          <w:rFonts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本办法适用于</w:t>
      </w:r>
      <w:r>
        <w:rPr>
          <w:rFonts w:hint="eastAsia" w:asciiTheme="minorEastAsia" w:hAnsiTheme="minorEastAsia" w:eastAsiaTheme="minorEastAsia"/>
          <w:color w:val="auto"/>
          <w:szCs w:val="21"/>
          <w:highlight w:val="none"/>
          <w:lang w:val="zh-CN"/>
        </w:rPr>
        <w:t>普陀区图书馆沈家门渔港文旅驿站（城市书房）运营服务</w:t>
      </w:r>
      <w:r>
        <w:rPr>
          <w:rFonts w:hint="eastAsia" w:asciiTheme="minorEastAsia" w:hAnsiTheme="minorEastAsia" w:eastAsiaTheme="minorEastAsia"/>
          <w:color w:val="auto"/>
          <w:szCs w:val="21"/>
          <w:highlight w:val="none"/>
        </w:rPr>
        <w:t>的评标。</w:t>
      </w:r>
    </w:p>
    <w:p w14:paraId="45FEA6C2">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color w:val="auto"/>
          <w:highlight w:val="none"/>
        </w:rPr>
      </w:pPr>
      <w:r>
        <w:rPr>
          <w:rFonts w:hint="eastAsia" w:ascii="Times New Roman" w:hAnsi="Times New Roman"/>
          <w:b/>
          <w:color w:val="auto"/>
          <w:highlight w:val="none"/>
        </w:rPr>
        <w:t>中标依据：</w:t>
      </w:r>
      <w:r>
        <w:rPr>
          <w:rFonts w:hint="eastAsia" w:ascii="宋体" w:hAnsi="宋体"/>
          <w:color w:val="auto"/>
          <w:highlight w:val="none"/>
        </w:rPr>
        <w:t>在不高于最高限价的前提下，综合得分最高者为中标候选人。</w:t>
      </w:r>
    </w:p>
    <w:p w14:paraId="5040AC0C">
      <w:pPr>
        <w:keepNext w:val="0"/>
        <w:keepLines w:val="0"/>
        <w:pageBreakBefore w:val="0"/>
        <w:widowControl w:val="0"/>
        <w:kinsoku/>
        <w:wordWrap/>
        <w:overflowPunct/>
        <w:topLinePunct w:val="0"/>
        <w:bidi w:val="0"/>
        <w:spacing w:line="360" w:lineRule="auto"/>
        <w:ind w:firstLine="422" w:firstLineChars="200"/>
        <w:textAlignment w:val="auto"/>
        <w:rPr>
          <w:rFonts w:ascii="宋体" w:hAnsi="宋体"/>
          <w:b/>
          <w:color w:val="auto"/>
          <w:highlight w:val="none"/>
        </w:rPr>
      </w:pPr>
      <w:r>
        <w:rPr>
          <w:rFonts w:hint="eastAsia" w:ascii="宋体" w:hAnsi="宋体"/>
          <w:b/>
          <w:color w:val="auto"/>
          <w:highlight w:val="none"/>
        </w:rPr>
        <w:t>最高限价：预算金额。</w:t>
      </w:r>
    </w:p>
    <w:p w14:paraId="3CAE0D28">
      <w:pPr>
        <w:keepNext w:val="0"/>
        <w:keepLines w:val="0"/>
        <w:pageBreakBefore w:val="0"/>
        <w:widowControl w:val="0"/>
        <w:kinsoku/>
        <w:wordWrap/>
        <w:overflowPunct/>
        <w:topLinePunct w:val="0"/>
        <w:bidi w:val="0"/>
        <w:snapToGrid w:val="0"/>
        <w:spacing w:line="360" w:lineRule="auto"/>
        <w:ind w:left="306" w:hanging="306" w:hangingChars="145"/>
        <w:textAlignment w:val="auto"/>
        <w:rPr>
          <w:rFonts w:ascii="Times New Roman" w:hAnsi="Times New Roman"/>
          <w:b/>
          <w:color w:val="auto"/>
          <w:highlight w:val="none"/>
        </w:rPr>
      </w:pPr>
      <w:r>
        <w:rPr>
          <w:rFonts w:hint="eastAsia" w:ascii="Times New Roman" w:hAnsi="Times New Roman"/>
          <w:b/>
          <w:color w:val="auto"/>
          <w:highlight w:val="none"/>
        </w:rPr>
        <w:t>报价的计分方法：</w:t>
      </w:r>
    </w:p>
    <w:p w14:paraId="251B2C88">
      <w:pPr>
        <w:keepNext w:val="0"/>
        <w:keepLines w:val="0"/>
        <w:pageBreakBefore w:val="0"/>
        <w:widowControl w:val="0"/>
        <w:kinsoku/>
        <w:wordWrap/>
        <w:overflowPunct/>
        <w:topLinePunct w:val="0"/>
        <w:autoSpaceDE w:val="0"/>
        <w:autoSpaceDN w:val="0"/>
        <w:bidi w:val="0"/>
        <w:adjustRightInd w:val="0"/>
        <w:snapToGrid w:val="0"/>
        <w:spacing w:line="360" w:lineRule="auto"/>
        <w:ind w:firstLine="411" w:firstLineChars="196"/>
        <w:textAlignment w:val="auto"/>
        <w:rPr>
          <w:rFonts w:ascii="Times New Roman" w:hAnsi="Times New Roman"/>
          <w:color w:val="auto"/>
          <w:highlight w:val="none"/>
          <w:lang w:val="zh-CN"/>
        </w:rPr>
      </w:pPr>
      <w:r>
        <w:rPr>
          <w:rFonts w:hint="eastAsia" w:ascii="Times New Roman" w:hAnsi="Times New Roman"/>
          <w:color w:val="auto"/>
          <w:highlight w:val="none"/>
          <w:lang w:val="zh-CN"/>
        </w:rPr>
        <w:t>满足招标文件要求且投标价格最低的投标报价为评标基准价，其价格分为满分，其他投标人的价格分按下列公式计算：</w:t>
      </w:r>
    </w:p>
    <w:p w14:paraId="534B739B">
      <w:pPr>
        <w:keepNext w:val="0"/>
        <w:keepLines w:val="0"/>
        <w:pageBreakBefore w:val="0"/>
        <w:widowControl w:val="0"/>
        <w:kinsoku/>
        <w:wordWrap/>
        <w:overflowPunct/>
        <w:topLinePunct w:val="0"/>
        <w:autoSpaceDE w:val="0"/>
        <w:autoSpaceDN w:val="0"/>
        <w:bidi w:val="0"/>
        <w:adjustRightInd w:val="0"/>
        <w:snapToGrid w:val="0"/>
        <w:spacing w:line="360" w:lineRule="auto"/>
        <w:ind w:firstLine="550" w:firstLineChars="262"/>
        <w:textAlignment w:val="auto"/>
        <w:rPr>
          <w:rFonts w:ascii="Times New Roman" w:hAnsi="Times New Roman"/>
          <w:color w:val="auto"/>
          <w:highlight w:val="none"/>
          <w:lang w:val="zh-CN"/>
        </w:rPr>
      </w:pPr>
      <w:r>
        <w:rPr>
          <w:rFonts w:hint="eastAsia" w:ascii="Times New Roman" w:hAnsi="Times New Roman"/>
          <w:color w:val="auto"/>
          <w:highlight w:val="none"/>
          <w:lang w:val="zh-CN"/>
        </w:rPr>
        <w:t>价格得分＝（评标基准价</w:t>
      </w:r>
      <w:r>
        <w:rPr>
          <w:rFonts w:ascii="Times New Roman" w:hAnsi="Times New Roman"/>
          <w:color w:val="auto"/>
          <w:highlight w:val="none"/>
          <w:lang w:val="zh-CN"/>
        </w:rPr>
        <w:t>/</w:t>
      </w:r>
      <w:r>
        <w:rPr>
          <w:rFonts w:hint="eastAsia" w:ascii="Times New Roman" w:hAnsi="Times New Roman"/>
          <w:color w:val="auto"/>
          <w:highlight w:val="none"/>
          <w:lang w:val="zh-CN"/>
        </w:rPr>
        <w:t>投标报价）</w:t>
      </w:r>
      <w:r>
        <w:rPr>
          <w:rFonts w:ascii="Times New Roman" w:hAnsi="Times New Roman"/>
          <w:color w:val="auto"/>
          <w:highlight w:val="none"/>
          <w:lang w:val="zh-CN"/>
        </w:rPr>
        <w:t>×</w:t>
      </w:r>
      <w:r>
        <w:rPr>
          <w:rFonts w:hint="eastAsia" w:ascii="Times New Roman" w:hAnsi="Times New Roman"/>
          <w:color w:val="auto"/>
          <w:highlight w:val="none"/>
          <w:lang w:val="zh-CN"/>
        </w:rPr>
        <w:t>价格权重</w:t>
      </w:r>
      <w:r>
        <w:rPr>
          <w:rFonts w:ascii="Times New Roman" w:hAnsi="Times New Roman"/>
          <w:color w:val="auto"/>
          <w:highlight w:val="none"/>
          <w:lang w:val="zh-CN"/>
        </w:rPr>
        <w:t>×100</w:t>
      </w:r>
      <w:r>
        <w:rPr>
          <w:rFonts w:hint="eastAsia" w:ascii="Times New Roman" w:hAnsi="Times New Roman"/>
          <w:color w:val="auto"/>
          <w:highlight w:val="none"/>
          <w:lang w:val="zh-CN"/>
        </w:rPr>
        <w:t>。</w:t>
      </w:r>
    </w:p>
    <w:tbl>
      <w:tblPr>
        <w:tblStyle w:val="29"/>
        <w:tblW w:w="7740" w:type="dxa"/>
        <w:tblInd w:w="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gridCol w:w="2700"/>
      </w:tblGrid>
      <w:tr w14:paraId="291D3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40" w:type="dxa"/>
            <w:vAlign w:val="center"/>
          </w:tcPr>
          <w:p w14:paraId="14357256">
            <w:pPr>
              <w:keepNext w:val="0"/>
              <w:keepLines w:val="0"/>
              <w:pageBreakBefore w:val="0"/>
              <w:widowControl w:val="0"/>
              <w:kinsoku/>
              <w:wordWrap/>
              <w:overflowPunct/>
              <w:topLinePunct w:val="0"/>
              <w:bidi w:val="0"/>
              <w:spacing w:line="360" w:lineRule="auto"/>
              <w:ind w:right="-341"/>
              <w:jc w:val="center"/>
              <w:textAlignment w:val="auto"/>
              <w:rPr>
                <w:rFonts w:ascii="Times New Roman" w:hAnsi="Times New Roman"/>
                <w:color w:val="auto"/>
                <w:highlight w:val="none"/>
              </w:rPr>
            </w:pPr>
            <w:r>
              <w:rPr>
                <w:rFonts w:hint="eastAsia" w:ascii="Times New Roman" w:hAnsi="Times New Roman"/>
                <w:color w:val="auto"/>
                <w:highlight w:val="none"/>
                <w:lang w:val="zh-CN"/>
              </w:rPr>
              <w:t>评价指标和各评价权重指标：</w:t>
            </w:r>
            <w:r>
              <w:rPr>
                <w:rFonts w:hint="eastAsia" w:ascii="Times New Roman" w:hAnsi="Times New Roman"/>
                <w:color w:val="auto"/>
                <w:highlight w:val="none"/>
              </w:rPr>
              <w:t>评标指标</w:t>
            </w:r>
          </w:p>
        </w:tc>
        <w:tc>
          <w:tcPr>
            <w:tcW w:w="2700" w:type="dxa"/>
            <w:vAlign w:val="center"/>
          </w:tcPr>
          <w:p w14:paraId="1368290D">
            <w:pPr>
              <w:keepNext w:val="0"/>
              <w:keepLines w:val="0"/>
              <w:pageBreakBefore w:val="0"/>
              <w:widowControl w:val="0"/>
              <w:kinsoku/>
              <w:wordWrap/>
              <w:overflowPunct/>
              <w:topLinePunct w:val="0"/>
              <w:bidi w:val="0"/>
              <w:spacing w:line="360" w:lineRule="auto"/>
              <w:ind w:right="-341"/>
              <w:jc w:val="center"/>
              <w:textAlignment w:val="auto"/>
              <w:rPr>
                <w:rFonts w:ascii="Times New Roman" w:hAnsi="Times New Roman"/>
                <w:color w:val="auto"/>
                <w:highlight w:val="none"/>
              </w:rPr>
            </w:pPr>
            <w:r>
              <w:rPr>
                <w:rFonts w:hint="eastAsia" w:ascii="Times New Roman" w:hAnsi="Times New Roman"/>
                <w:color w:val="auto"/>
                <w:highlight w:val="none"/>
              </w:rPr>
              <w:t>权重（％）</w:t>
            </w:r>
          </w:p>
        </w:tc>
      </w:tr>
      <w:tr w14:paraId="47D30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040" w:type="dxa"/>
            <w:vAlign w:val="center"/>
          </w:tcPr>
          <w:p w14:paraId="124E4CEB">
            <w:pPr>
              <w:keepNext w:val="0"/>
              <w:keepLines w:val="0"/>
              <w:pageBreakBefore w:val="0"/>
              <w:widowControl w:val="0"/>
              <w:kinsoku/>
              <w:wordWrap/>
              <w:overflowPunct/>
              <w:topLinePunct w:val="0"/>
              <w:bidi w:val="0"/>
              <w:spacing w:line="360" w:lineRule="auto"/>
              <w:ind w:right="-341"/>
              <w:jc w:val="center"/>
              <w:textAlignment w:val="auto"/>
              <w:rPr>
                <w:rFonts w:ascii="Times New Roman" w:hAnsi="Times New Roman"/>
                <w:color w:val="auto"/>
                <w:highlight w:val="none"/>
              </w:rPr>
            </w:pPr>
            <w:r>
              <w:rPr>
                <w:rFonts w:hint="eastAsia" w:ascii="Times New Roman" w:hAnsi="Times New Roman"/>
                <w:color w:val="auto"/>
                <w:highlight w:val="none"/>
              </w:rPr>
              <w:t>商务、技术部分</w:t>
            </w:r>
          </w:p>
        </w:tc>
        <w:tc>
          <w:tcPr>
            <w:tcW w:w="2700" w:type="dxa"/>
            <w:vAlign w:val="center"/>
          </w:tcPr>
          <w:p w14:paraId="3E05AF49">
            <w:pPr>
              <w:keepNext w:val="0"/>
              <w:keepLines w:val="0"/>
              <w:pageBreakBefore w:val="0"/>
              <w:widowControl w:val="0"/>
              <w:kinsoku/>
              <w:wordWrap/>
              <w:overflowPunct/>
              <w:topLinePunct w:val="0"/>
              <w:bidi w:val="0"/>
              <w:spacing w:line="360" w:lineRule="auto"/>
              <w:ind w:right="-341" w:rightChars="0"/>
              <w:jc w:val="center"/>
              <w:textAlignment w:val="auto"/>
              <w:rPr>
                <w:rFonts w:hint="default" w:ascii="Times New Roman" w:hAnsi="Times New Roman" w:eastAsia="宋体"/>
                <w:color w:val="auto"/>
                <w:highlight w:val="none"/>
                <w:lang w:val="en-US" w:eastAsia="zh-CN"/>
              </w:rPr>
            </w:pPr>
            <w:r>
              <w:rPr>
                <w:rFonts w:hint="eastAsia" w:ascii="Times New Roman" w:hAnsi="Times New Roman" w:eastAsia="宋体" w:cs="Times New Roman"/>
                <w:color w:val="auto"/>
                <w:highlight w:val="none"/>
                <w:lang w:val="en-US" w:eastAsia="zh-CN"/>
              </w:rPr>
              <w:t>90</w:t>
            </w:r>
          </w:p>
        </w:tc>
      </w:tr>
      <w:tr w14:paraId="56ADF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040" w:type="dxa"/>
            <w:vAlign w:val="center"/>
          </w:tcPr>
          <w:p w14:paraId="7797BDC5">
            <w:pPr>
              <w:keepNext w:val="0"/>
              <w:keepLines w:val="0"/>
              <w:pageBreakBefore w:val="0"/>
              <w:widowControl w:val="0"/>
              <w:kinsoku/>
              <w:wordWrap/>
              <w:overflowPunct/>
              <w:topLinePunct w:val="0"/>
              <w:bidi w:val="0"/>
              <w:spacing w:line="360" w:lineRule="auto"/>
              <w:ind w:right="-341"/>
              <w:jc w:val="center"/>
              <w:textAlignment w:val="auto"/>
              <w:rPr>
                <w:rFonts w:ascii="Times New Roman" w:hAnsi="Times New Roman"/>
                <w:color w:val="auto"/>
                <w:highlight w:val="none"/>
              </w:rPr>
            </w:pPr>
            <w:r>
              <w:rPr>
                <w:rFonts w:hint="eastAsia" w:ascii="Times New Roman" w:hAnsi="Times New Roman"/>
                <w:color w:val="auto"/>
                <w:highlight w:val="none"/>
              </w:rPr>
              <w:t>投标报价</w:t>
            </w:r>
          </w:p>
        </w:tc>
        <w:tc>
          <w:tcPr>
            <w:tcW w:w="2700" w:type="dxa"/>
            <w:vAlign w:val="center"/>
          </w:tcPr>
          <w:p w14:paraId="3C44C91B">
            <w:pPr>
              <w:keepNext w:val="0"/>
              <w:keepLines w:val="0"/>
              <w:pageBreakBefore w:val="0"/>
              <w:widowControl w:val="0"/>
              <w:kinsoku/>
              <w:wordWrap/>
              <w:overflowPunct/>
              <w:topLinePunct w:val="0"/>
              <w:bidi w:val="0"/>
              <w:spacing w:line="360" w:lineRule="auto"/>
              <w:ind w:right="-341" w:rightChars="0"/>
              <w:jc w:val="center"/>
              <w:textAlignment w:val="auto"/>
              <w:rPr>
                <w:rFonts w:hint="eastAsia" w:ascii="Times New Roman" w:hAnsi="Times New Roman" w:eastAsia="宋体"/>
                <w:color w:val="auto"/>
                <w:highlight w:val="none"/>
                <w:lang w:val="en-US" w:eastAsia="zh-CN"/>
              </w:rPr>
            </w:pPr>
            <w:r>
              <w:rPr>
                <w:rFonts w:hint="eastAsia" w:ascii="Times New Roman" w:hAnsi="Times New Roman" w:eastAsia="宋体" w:cs="Times New Roman"/>
                <w:color w:val="auto"/>
                <w:highlight w:val="none"/>
                <w:lang w:val="en-US" w:eastAsia="zh-CN"/>
              </w:rPr>
              <w:t>10</w:t>
            </w:r>
          </w:p>
        </w:tc>
      </w:tr>
      <w:tr w14:paraId="53DA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5040" w:type="dxa"/>
            <w:vAlign w:val="center"/>
          </w:tcPr>
          <w:p w14:paraId="41CC2DBD">
            <w:pPr>
              <w:keepNext w:val="0"/>
              <w:keepLines w:val="0"/>
              <w:pageBreakBefore w:val="0"/>
              <w:widowControl w:val="0"/>
              <w:kinsoku/>
              <w:wordWrap/>
              <w:overflowPunct/>
              <w:topLinePunct w:val="0"/>
              <w:bidi w:val="0"/>
              <w:spacing w:line="360" w:lineRule="auto"/>
              <w:ind w:right="-341"/>
              <w:jc w:val="center"/>
              <w:textAlignment w:val="auto"/>
              <w:rPr>
                <w:rFonts w:ascii="Times New Roman" w:hAnsi="Times New Roman"/>
                <w:color w:val="auto"/>
                <w:highlight w:val="none"/>
              </w:rPr>
            </w:pPr>
            <w:r>
              <w:rPr>
                <w:rFonts w:hint="eastAsia" w:ascii="Times New Roman" w:hAnsi="Times New Roman"/>
                <w:color w:val="auto"/>
                <w:highlight w:val="none"/>
              </w:rPr>
              <w:t>合计</w:t>
            </w:r>
          </w:p>
        </w:tc>
        <w:tc>
          <w:tcPr>
            <w:tcW w:w="2700" w:type="dxa"/>
            <w:vAlign w:val="center"/>
          </w:tcPr>
          <w:p w14:paraId="13B47A94">
            <w:pPr>
              <w:keepNext w:val="0"/>
              <w:keepLines w:val="0"/>
              <w:pageBreakBefore w:val="0"/>
              <w:widowControl w:val="0"/>
              <w:kinsoku/>
              <w:wordWrap/>
              <w:overflowPunct/>
              <w:topLinePunct w:val="0"/>
              <w:bidi w:val="0"/>
              <w:spacing w:line="360" w:lineRule="auto"/>
              <w:ind w:right="-341" w:rightChars="0"/>
              <w:jc w:val="center"/>
              <w:textAlignment w:val="auto"/>
              <w:rPr>
                <w:rFonts w:ascii="Times New Roman" w:hAnsi="Times New Roman"/>
                <w:color w:val="auto"/>
                <w:highlight w:val="none"/>
              </w:rPr>
            </w:pPr>
            <w:r>
              <w:rPr>
                <w:rFonts w:ascii="Times New Roman" w:hAnsi="Times New Roman" w:eastAsia="宋体" w:cs="Times New Roman"/>
                <w:color w:val="auto"/>
                <w:highlight w:val="none"/>
              </w:rPr>
              <w:t>100</w:t>
            </w:r>
          </w:p>
        </w:tc>
      </w:tr>
    </w:tbl>
    <w:p w14:paraId="050ECF78">
      <w:pPr>
        <w:keepNext w:val="0"/>
        <w:keepLines w:val="0"/>
        <w:pageBreakBefore w:val="0"/>
        <w:widowControl w:val="0"/>
        <w:kinsoku/>
        <w:wordWrap/>
        <w:overflowPunct/>
        <w:topLinePunct w:val="0"/>
        <w:autoSpaceDE w:val="0"/>
        <w:autoSpaceDN w:val="0"/>
        <w:bidi w:val="0"/>
        <w:adjustRightInd w:val="0"/>
        <w:spacing w:line="360" w:lineRule="auto"/>
        <w:ind w:right="-341" w:firstLine="424" w:firstLineChars="202"/>
        <w:textAlignment w:val="auto"/>
        <w:rPr>
          <w:rFonts w:ascii="Times New Roman" w:hAnsi="Times New Roman"/>
          <w:color w:val="auto"/>
          <w:highlight w:val="none"/>
        </w:rPr>
      </w:pPr>
      <w:r>
        <w:rPr>
          <w:rFonts w:hint="eastAsia" w:ascii="Times New Roman" w:hAnsi="Times New Roman"/>
          <w:color w:val="auto"/>
          <w:highlight w:val="none"/>
        </w:rPr>
        <w:t>综合得分</w:t>
      </w:r>
      <w:r>
        <w:rPr>
          <w:rFonts w:ascii="Times New Roman" w:hAnsi="Times New Roman"/>
          <w:color w:val="auto"/>
          <w:highlight w:val="none"/>
        </w:rPr>
        <w:t>=</w:t>
      </w:r>
      <w:r>
        <w:rPr>
          <w:rFonts w:hint="eastAsia" w:ascii="Times New Roman" w:hAnsi="Times New Roman"/>
          <w:color w:val="auto"/>
          <w:highlight w:val="none"/>
        </w:rPr>
        <w:t>商务技术得分＋价格得分</w:t>
      </w:r>
      <w:r>
        <w:rPr>
          <w:rFonts w:hint="eastAsia" w:ascii="Times New Roman" w:hAnsi="Times New Roman"/>
          <w:color w:val="auto"/>
          <w:highlight w:val="none"/>
          <w:lang w:eastAsia="zh-CN"/>
        </w:rPr>
        <w:t>（</w:t>
      </w:r>
      <w:r>
        <w:rPr>
          <w:rFonts w:hint="eastAsia" w:ascii="Times New Roman" w:hAnsi="Times New Roman"/>
          <w:color w:val="auto"/>
          <w:highlight w:val="none"/>
        </w:rPr>
        <w:t>评分过程中采用四舍五入法，并保留小数</w:t>
      </w:r>
      <w:r>
        <w:rPr>
          <w:rFonts w:ascii="Times New Roman" w:hAnsi="Times New Roman"/>
          <w:color w:val="auto"/>
          <w:highlight w:val="none"/>
        </w:rPr>
        <w:t>2</w:t>
      </w:r>
      <w:r>
        <w:rPr>
          <w:rFonts w:hint="eastAsia" w:ascii="Times New Roman" w:hAnsi="Times New Roman"/>
          <w:color w:val="auto"/>
          <w:highlight w:val="none"/>
        </w:rPr>
        <w:t>位</w:t>
      </w:r>
      <w:r>
        <w:rPr>
          <w:rFonts w:hint="eastAsia" w:ascii="Times New Roman" w:hAnsi="Times New Roman"/>
          <w:color w:val="auto"/>
          <w:highlight w:val="none"/>
          <w:lang w:eastAsia="zh-CN"/>
        </w:rPr>
        <w:t>）</w:t>
      </w:r>
    </w:p>
    <w:p w14:paraId="78CCE672">
      <w:pPr>
        <w:keepNext w:val="0"/>
        <w:keepLines w:val="0"/>
        <w:pageBreakBefore w:val="0"/>
        <w:widowControl w:val="0"/>
        <w:kinsoku/>
        <w:wordWrap/>
        <w:overflowPunct/>
        <w:topLinePunct w:val="0"/>
        <w:autoSpaceDE w:val="0"/>
        <w:autoSpaceDN w:val="0"/>
        <w:bidi w:val="0"/>
        <w:adjustRightInd w:val="0"/>
        <w:spacing w:line="360" w:lineRule="auto"/>
        <w:ind w:right="-341" w:firstLine="424" w:firstLineChars="202"/>
        <w:textAlignment w:val="auto"/>
        <w:rPr>
          <w:rFonts w:ascii="Times New Roman" w:hAnsi="Times New Roman"/>
          <w:color w:val="auto"/>
          <w:highlight w:val="none"/>
        </w:rPr>
      </w:pPr>
      <w:r>
        <w:rPr>
          <w:rFonts w:hint="eastAsia" w:ascii="Times New Roman" w:hAnsi="Times New Roman"/>
          <w:color w:val="auto"/>
          <w:highlight w:val="none"/>
        </w:rPr>
        <w:t>将综合得分从高到低排序，得出投标人名次。得分相同时，按投标报价由低到高顺序排列，得分且投标报价相同的，按技术指标优劣顺序排列</w:t>
      </w:r>
    </w:p>
    <w:p w14:paraId="5D325ADE">
      <w:pPr>
        <w:keepNext w:val="0"/>
        <w:keepLines w:val="0"/>
        <w:pageBreakBefore w:val="0"/>
        <w:widowControl w:val="0"/>
        <w:tabs>
          <w:tab w:val="left" w:pos="1620"/>
        </w:tabs>
        <w:kinsoku/>
        <w:wordWrap/>
        <w:overflowPunct/>
        <w:topLinePunct w:val="0"/>
        <w:bidi w:val="0"/>
        <w:spacing w:line="360" w:lineRule="auto"/>
        <w:ind w:left="1111" w:leftChars="228" w:right="-341" w:hanging="632" w:hangingChars="300"/>
        <w:textAlignment w:val="auto"/>
        <w:rPr>
          <w:rFonts w:ascii="Times New Roman" w:hAnsi="Times New Roman"/>
          <w:b/>
          <w:color w:val="auto"/>
          <w:highlight w:val="none"/>
        </w:rPr>
      </w:pPr>
      <w:r>
        <w:rPr>
          <w:rFonts w:hint="eastAsia" w:ascii="Times New Roman" w:hAnsi="Times New Roman"/>
          <w:b/>
          <w:color w:val="auto"/>
          <w:highlight w:val="none"/>
        </w:rPr>
        <w:t>候选中标商的选取</w:t>
      </w:r>
    </w:p>
    <w:p w14:paraId="0EC87699">
      <w:pPr>
        <w:keepNext w:val="0"/>
        <w:keepLines w:val="0"/>
        <w:pageBreakBefore w:val="0"/>
        <w:widowControl w:val="0"/>
        <w:kinsoku/>
        <w:wordWrap/>
        <w:overflowPunct/>
        <w:topLinePunct w:val="0"/>
        <w:bidi w:val="0"/>
        <w:spacing w:line="360" w:lineRule="auto"/>
        <w:ind w:firstLine="420" w:firstLineChars="200"/>
        <w:textAlignment w:val="auto"/>
        <w:rPr>
          <w:rFonts w:asciiTheme="minorEastAsia" w:hAnsiTheme="minorEastAsia" w:eastAsiaTheme="minorEastAsia"/>
          <w:b/>
          <w:color w:val="auto"/>
          <w:sz w:val="24"/>
          <w:highlight w:val="none"/>
          <w:lang w:val="zh-CN"/>
        </w:rPr>
      </w:pPr>
      <w:r>
        <w:rPr>
          <w:rFonts w:hint="eastAsia" w:ascii="Times New Roman" w:hAnsi="Times New Roman"/>
          <w:color w:val="auto"/>
          <w:highlight w:val="none"/>
        </w:rPr>
        <w:t>按照综合得分名次推荐候选中标人</w:t>
      </w:r>
      <w:r>
        <w:rPr>
          <w:rFonts w:ascii="Times New Roman" w:hAnsi="Times New Roman"/>
          <w:color w:val="auto"/>
          <w:highlight w:val="none"/>
        </w:rPr>
        <w:t>1</w:t>
      </w:r>
      <w:r>
        <w:rPr>
          <w:rFonts w:hint="eastAsia" w:ascii="Times New Roman" w:hAnsi="Times New Roman"/>
          <w:color w:val="auto"/>
          <w:highlight w:val="none"/>
        </w:rPr>
        <w:t>名。</w:t>
      </w:r>
    </w:p>
    <w:p w14:paraId="60CBEAB7">
      <w:pPr>
        <w:jc w:val="center"/>
        <w:rPr>
          <w:rFonts w:hint="eastAsia" w:asciiTheme="minorEastAsia" w:hAnsiTheme="minorEastAsia" w:eastAsiaTheme="minorEastAsia"/>
          <w:b/>
          <w:color w:val="auto"/>
          <w:sz w:val="24"/>
          <w:highlight w:val="none"/>
          <w:lang w:val="zh-CN"/>
        </w:rPr>
      </w:pPr>
    </w:p>
    <w:p w14:paraId="09901812">
      <w:pPr>
        <w:jc w:val="both"/>
        <w:rPr>
          <w:rFonts w:hint="eastAsia" w:asciiTheme="minorEastAsia" w:hAnsiTheme="minorEastAsia" w:eastAsiaTheme="minorEastAsia"/>
          <w:b/>
          <w:color w:val="auto"/>
          <w:sz w:val="24"/>
          <w:highlight w:val="none"/>
          <w:lang w:val="zh-CN"/>
        </w:rPr>
      </w:pPr>
    </w:p>
    <w:p w14:paraId="291A5AB2">
      <w:pPr>
        <w:jc w:val="center"/>
        <w:rPr>
          <w:rFonts w:hint="eastAsia" w:asciiTheme="minorEastAsia" w:hAnsiTheme="minorEastAsia" w:eastAsiaTheme="minorEastAsia"/>
          <w:b/>
          <w:color w:val="auto"/>
          <w:sz w:val="24"/>
          <w:highlight w:val="none"/>
          <w:lang w:val="zh-CN"/>
        </w:rPr>
      </w:pPr>
    </w:p>
    <w:p w14:paraId="755622F5">
      <w:pPr>
        <w:jc w:val="center"/>
        <w:rPr>
          <w:rFonts w:hint="eastAsia" w:asciiTheme="minorEastAsia" w:hAnsiTheme="minorEastAsia" w:eastAsiaTheme="minorEastAsia"/>
          <w:b/>
          <w:color w:val="auto"/>
          <w:sz w:val="24"/>
          <w:highlight w:val="none"/>
          <w:lang w:val="zh-CN"/>
        </w:rPr>
      </w:pPr>
    </w:p>
    <w:p w14:paraId="53300E11">
      <w:pPr>
        <w:jc w:val="center"/>
        <w:rPr>
          <w:rFonts w:hint="eastAsia" w:asciiTheme="minorEastAsia" w:hAnsiTheme="minorEastAsia" w:eastAsiaTheme="minorEastAsia"/>
          <w:b/>
          <w:color w:val="auto"/>
          <w:sz w:val="24"/>
          <w:highlight w:val="none"/>
          <w:lang w:val="zh-CN"/>
        </w:rPr>
      </w:pPr>
    </w:p>
    <w:p w14:paraId="32D8644E">
      <w:pPr>
        <w:jc w:val="center"/>
        <w:rPr>
          <w:rFonts w:hint="eastAsia" w:asciiTheme="minorEastAsia" w:hAnsiTheme="minorEastAsia" w:eastAsiaTheme="minorEastAsia"/>
          <w:b/>
          <w:color w:val="auto"/>
          <w:sz w:val="24"/>
          <w:highlight w:val="none"/>
          <w:lang w:val="zh-CN"/>
        </w:rPr>
      </w:pPr>
    </w:p>
    <w:p w14:paraId="2A33D716">
      <w:pPr>
        <w:jc w:val="center"/>
        <w:rPr>
          <w:rFonts w:hint="eastAsia" w:asciiTheme="minorEastAsia" w:hAnsiTheme="minorEastAsia" w:eastAsiaTheme="minorEastAsia"/>
          <w:b/>
          <w:color w:val="auto"/>
          <w:sz w:val="24"/>
          <w:highlight w:val="none"/>
          <w:lang w:val="zh-CN"/>
        </w:rPr>
      </w:pPr>
    </w:p>
    <w:p w14:paraId="55FCB0D9">
      <w:pPr>
        <w:jc w:val="center"/>
        <w:rPr>
          <w:rFonts w:hint="eastAsia" w:asciiTheme="minorEastAsia" w:hAnsiTheme="minorEastAsia" w:eastAsiaTheme="minorEastAsia"/>
          <w:b/>
          <w:color w:val="auto"/>
          <w:sz w:val="24"/>
          <w:highlight w:val="none"/>
          <w:lang w:val="zh-CN"/>
        </w:rPr>
      </w:pPr>
    </w:p>
    <w:p w14:paraId="41119DA2">
      <w:pPr>
        <w:jc w:val="center"/>
        <w:rPr>
          <w:rFonts w:hint="eastAsia" w:asciiTheme="minorEastAsia" w:hAnsiTheme="minorEastAsia" w:eastAsiaTheme="minorEastAsia"/>
          <w:b/>
          <w:color w:val="auto"/>
          <w:sz w:val="24"/>
          <w:highlight w:val="none"/>
          <w:lang w:val="zh-CN"/>
        </w:rPr>
      </w:pPr>
    </w:p>
    <w:p w14:paraId="1096C794">
      <w:pPr>
        <w:jc w:val="center"/>
        <w:rPr>
          <w:rFonts w:hint="eastAsia" w:asciiTheme="minorEastAsia" w:hAnsiTheme="minorEastAsia" w:eastAsiaTheme="minorEastAsia"/>
          <w:b/>
          <w:color w:val="auto"/>
          <w:sz w:val="24"/>
          <w:highlight w:val="none"/>
          <w:lang w:val="zh-CN"/>
        </w:rPr>
      </w:pPr>
    </w:p>
    <w:p w14:paraId="2E456F52">
      <w:pPr>
        <w:jc w:val="center"/>
        <w:rPr>
          <w:rFonts w:hint="eastAsia" w:asciiTheme="minorEastAsia" w:hAnsiTheme="minorEastAsia" w:eastAsiaTheme="minorEastAsia"/>
          <w:b/>
          <w:color w:val="auto"/>
          <w:sz w:val="24"/>
          <w:highlight w:val="none"/>
          <w:lang w:val="zh-CN"/>
        </w:rPr>
      </w:pPr>
    </w:p>
    <w:p w14:paraId="511D289D">
      <w:pPr>
        <w:jc w:val="center"/>
        <w:rPr>
          <w:rFonts w:hint="eastAsia" w:asciiTheme="minorEastAsia" w:hAnsiTheme="minorEastAsia" w:eastAsiaTheme="minorEastAsia"/>
          <w:b/>
          <w:color w:val="auto"/>
          <w:sz w:val="24"/>
          <w:highlight w:val="none"/>
          <w:lang w:val="zh-CN"/>
        </w:rPr>
      </w:pPr>
    </w:p>
    <w:p w14:paraId="6FD87A87">
      <w:pPr>
        <w:jc w:val="center"/>
        <w:rPr>
          <w:rFonts w:hint="eastAsia" w:asciiTheme="minorEastAsia" w:hAnsiTheme="minorEastAsia" w:eastAsiaTheme="minorEastAsia"/>
          <w:b/>
          <w:color w:val="auto"/>
          <w:sz w:val="24"/>
          <w:highlight w:val="none"/>
          <w:lang w:val="zh-CN"/>
        </w:rPr>
      </w:pPr>
    </w:p>
    <w:p w14:paraId="0D8AACF1">
      <w:pPr>
        <w:jc w:val="center"/>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zh-CN"/>
        </w:rPr>
        <w:t>普陀区图书馆沈家门渔港文旅驿站（城市书房）运营服务</w:t>
      </w:r>
      <w:r>
        <w:rPr>
          <w:rFonts w:hint="eastAsia" w:asciiTheme="minorEastAsia" w:hAnsiTheme="minorEastAsia" w:eastAsiaTheme="minorEastAsia"/>
          <w:b/>
          <w:color w:val="auto"/>
          <w:sz w:val="24"/>
          <w:highlight w:val="none"/>
        </w:rPr>
        <w:t>评分表</w:t>
      </w:r>
    </w:p>
    <w:p w14:paraId="76318CA1">
      <w:pPr>
        <w:autoSpaceDE w:val="0"/>
        <w:autoSpaceDN w:val="0"/>
        <w:adjustRightInd w:val="0"/>
        <w:rPr>
          <w:rFonts w:hAnsi="宋体"/>
          <w:color w:val="auto"/>
          <w:szCs w:val="21"/>
          <w:highlight w:val="none"/>
        </w:rPr>
      </w:pPr>
    </w:p>
    <w:tbl>
      <w:tblPr>
        <w:tblStyle w:val="29"/>
        <w:tblW w:w="10218" w:type="dxa"/>
        <w:tblInd w:w="-8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24"/>
        <w:gridCol w:w="736"/>
        <w:gridCol w:w="6427"/>
        <w:gridCol w:w="768"/>
      </w:tblGrid>
      <w:tr w14:paraId="25C4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vAlign w:val="center"/>
          </w:tcPr>
          <w:p w14:paraId="52A3D472">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评审</w:t>
            </w:r>
          </w:p>
          <w:p w14:paraId="682861E0">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项目</w:t>
            </w:r>
          </w:p>
        </w:tc>
        <w:tc>
          <w:tcPr>
            <w:tcW w:w="1124" w:type="dxa"/>
            <w:vAlign w:val="center"/>
          </w:tcPr>
          <w:p w14:paraId="1C0D56F8">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评审内容</w:t>
            </w:r>
          </w:p>
        </w:tc>
        <w:tc>
          <w:tcPr>
            <w:tcW w:w="736" w:type="dxa"/>
            <w:vAlign w:val="center"/>
          </w:tcPr>
          <w:p w14:paraId="29243F67">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得分</w:t>
            </w:r>
          </w:p>
        </w:tc>
        <w:tc>
          <w:tcPr>
            <w:tcW w:w="6427" w:type="dxa"/>
            <w:vAlign w:val="center"/>
          </w:tcPr>
          <w:p w14:paraId="0C30E686">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评分标准</w:t>
            </w:r>
          </w:p>
        </w:tc>
        <w:tc>
          <w:tcPr>
            <w:tcW w:w="768" w:type="dxa"/>
            <w:vAlign w:val="center"/>
          </w:tcPr>
          <w:p w14:paraId="65B97C9B">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得分</w:t>
            </w:r>
          </w:p>
        </w:tc>
      </w:tr>
      <w:tr w14:paraId="2616A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163" w:type="dxa"/>
            <w:vMerge w:val="restart"/>
            <w:shd w:val="clear" w:color="auto" w:fill="auto"/>
            <w:vAlign w:val="center"/>
          </w:tcPr>
          <w:p w14:paraId="421AD028">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商务</w:t>
            </w:r>
          </w:p>
          <w:p w14:paraId="0F9C3C1E">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技术</w:t>
            </w:r>
          </w:p>
          <w:p w14:paraId="760B7EFA">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部分</w:t>
            </w:r>
          </w:p>
          <w:p w14:paraId="527ECF97">
            <w:pPr>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（90分）</w:t>
            </w:r>
          </w:p>
        </w:tc>
        <w:tc>
          <w:tcPr>
            <w:tcW w:w="1124" w:type="dxa"/>
            <w:shd w:val="clear" w:color="auto" w:fill="auto"/>
            <w:vAlign w:val="center"/>
          </w:tcPr>
          <w:p w14:paraId="5D7FB4F1">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 xml:space="preserve">成功案例 </w:t>
            </w:r>
          </w:p>
        </w:tc>
        <w:tc>
          <w:tcPr>
            <w:tcW w:w="736" w:type="dxa"/>
            <w:shd w:val="clear" w:color="auto" w:fill="auto"/>
            <w:vAlign w:val="center"/>
          </w:tcPr>
          <w:p w14:paraId="1C4EE939">
            <w:pPr>
              <w:widowControl/>
              <w:spacing w:line="240" w:lineRule="auto"/>
              <w:jc w:val="center"/>
              <w:textAlignment w:val="center"/>
              <w:rPr>
                <w:rFonts w:ascii="宋体" w:hAnsi="宋体" w:cs="宋体"/>
                <w:color w:val="auto"/>
                <w:szCs w:val="21"/>
                <w:highlight w:val="none"/>
              </w:rPr>
            </w:pPr>
            <w:r>
              <w:rPr>
                <w:rFonts w:ascii="宋体" w:hAnsi="宋体" w:cs="宋体"/>
                <w:color w:val="auto"/>
                <w:kern w:val="0"/>
                <w:szCs w:val="21"/>
                <w:highlight w:val="none"/>
              </w:rPr>
              <w:t>1</w:t>
            </w:r>
            <w:r>
              <w:rPr>
                <w:rFonts w:hint="eastAsia" w:ascii="宋体" w:hAnsi="宋体" w:cs="宋体"/>
                <w:color w:val="auto"/>
                <w:kern w:val="0"/>
                <w:szCs w:val="21"/>
                <w:highlight w:val="none"/>
              </w:rPr>
              <w:t>分</w:t>
            </w:r>
          </w:p>
        </w:tc>
        <w:tc>
          <w:tcPr>
            <w:tcW w:w="6427" w:type="dxa"/>
            <w:shd w:val="clear" w:color="auto" w:fill="FFFFFF"/>
            <w:vAlign w:val="center"/>
          </w:tcPr>
          <w:p w14:paraId="64578A8B">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投标人自 20</w:t>
            </w:r>
            <w:r>
              <w:rPr>
                <w:rFonts w:hint="eastAsia" w:cs="宋体" w:asciiTheme="minorEastAsia" w:hAnsiTheme="minorEastAsia" w:eastAsiaTheme="minorEastAsia"/>
                <w:color w:val="auto"/>
                <w:szCs w:val="21"/>
                <w:highlight w:val="none"/>
                <w:lang w:val="en-US" w:eastAsia="zh-CN"/>
              </w:rPr>
              <w:t>23</w:t>
            </w:r>
            <w:r>
              <w:rPr>
                <w:rFonts w:hint="eastAsia" w:cs="宋体" w:asciiTheme="minorEastAsia" w:hAnsiTheme="minorEastAsia" w:eastAsiaTheme="minorEastAsia"/>
                <w:color w:val="auto"/>
                <w:szCs w:val="21"/>
                <w:highlight w:val="none"/>
              </w:rPr>
              <w:t>年1月1日以来</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以合同签订时间为准</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rPr>
              <w:t>同类项目案例，每提供1个合同得 0.5分，最高1分。</w:t>
            </w:r>
          </w:p>
          <w:p w14:paraId="0E01D9A7">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（提供中标通知书（如有）、合同协议书及投标人认为需要提交的其他证明材料证实，复印件加盖公章，须提供重要页面，能够体现项目内容。）</w:t>
            </w:r>
          </w:p>
        </w:tc>
        <w:tc>
          <w:tcPr>
            <w:tcW w:w="768" w:type="dxa"/>
            <w:vAlign w:val="center"/>
          </w:tcPr>
          <w:p w14:paraId="5A01FB48">
            <w:pPr>
              <w:rPr>
                <w:rFonts w:hint="eastAsia" w:ascii="宋体" w:hAnsi="宋体" w:eastAsia="宋体" w:cs="宋体"/>
                <w:color w:val="auto"/>
                <w:szCs w:val="21"/>
                <w:highlight w:val="none"/>
                <w:lang w:val="en-US" w:eastAsia="zh-CN"/>
              </w:rPr>
            </w:pPr>
            <w:bookmarkStart w:id="5" w:name="_GoBack"/>
            <w:bookmarkEnd w:id="5"/>
          </w:p>
        </w:tc>
      </w:tr>
      <w:tr w14:paraId="382B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3" w:type="dxa"/>
            <w:vMerge w:val="continue"/>
            <w:shd w:val="clear" w:color="auto" w:fill="auto"/>
            <w:vAlign w:val="center"/>
          </w:tcPr>
          <w:p w14:paraId="439EEC5F">
            <w:pPr>
              <w:jc w:val="center"/>
              <w:textAlignment w:val="center"/>
              <w:rPr>
                <w:rFonts w:ascii="宋体" w:hAnsi="宋体" w:cs="宋体"/>
                <w:color w:val="auto"/>
                <w:szCs w:val="21"/>
                <w:highlight w:val="none"/>
              </w:rPr>
            </w:pPr>
          </w:p>
        </w:tc>
        <w:tc>
          <w:tcPr>
            <w:tcW w:w="1124" w:type="dxa"/>
            <w:vMerge w:val="restart"/>
            <w:shd w:val="clear" w:color="auto" w:fill="auto"/>
            <w:vAlign w:val="center"/>
          </w:tcPr>
          <w:p w14:paraId="5E2B3272">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项目组人员配置</w:t>
            </w:r>
          </w:p>
        </w:tc>
        <w:tc>
          <w:tcPr>
            <w:tcW w:w="736" w:type="dxa"/>
            <w:vMerge w:val="restart"/>
            <w:shd w:val="clear" w:color="auto" w:fill="auto"/>
            <w:vAlign w:val="center"/>
          </w:tcPr>
          <w:p w14:paraId="507936B9">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lang w:val="en-US" w:eastAsia="zh-CN"/>
              </w:rPr>
              <w:t>15</w:t>
            </w:r>
            <w:r>
              <w:rPr>
                <w:rFonts w:hint="eastAsia" w:ascii="宋体" w:hAnsi="宋体" w:cs="宋体"/>
                <w:color w:val="auto"/>
                <w:kern w:val="0"/>
                <w:szCs w:val="21"/>
                <w:highlight w:val="none"/>
              </w:rPr>
              <w:t>分</w:t>
            </w:r>
          </w:p>
        </w:tc>
        <w:tc>
          <w:tcPr>
            <w:tcW w:w="6427" w:type="dxa"/>
            <w:shd w:val="clear" w:color="auto" w:fill="FFFFFF"/>
            <w:vAlign w:val="center"/>
          </w:tcPr>
          <w:p w14:paraId="0399991E">
            <w:pPr>
              <w:jc w:val="left"/>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lang w:val="en-US" w:eastAsia="zh-CN"/>
              </w:rPr>
              <w:t>1</w:t>
            </w:r>
            <w:r>
              <w:rPr>
                <w:rFonts w:hint="eastAsia" w:cs="宋体" w:asciiTheme="minorEastAsia" w:hAnsiTheme="minorEastAsia" w:eastAsiaTheme="minorEastAsia"/>
                <w:b w:val="0"/>
                <w:bCs w:val="0"/>
                <w:color w:val="auto"/>
                <w:szCs w:val="21"/>
                <w:highlight w:val="none"/>
              </w:rPr>
              <w:t>.团队中具有相关专业（市场营销、工商管理、城市规划、工业设计、人文社会专业）人员的，每人得2分，最高得4分。</w:t>
            </w:r>
          </w:p>
          <w:p w14:paraId="20E99585">
            <w:pPr>
              <w:jc w:val="left"/>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rPr>
              <w:t>2.团队中拥有大型企业、团队，或大型项目管理经验的</w:t>
            </w:r>
            <w:r>
              <w:rPr>
                <w:rFonts w:hint="eastAsia" w:cs="宋体" w:asciiTheme="minorEastAsia" w:hAnsiTheme="minorEastAsia" w:eastAsiaTheme="minorEastAsia"/>
                <w:b w:val="0"/>
                <w:bCs w:val="0"/>
                <w:color w:val="auto"/>
                <w:szCs w:val="21"/>
                <w:highlight w:val="none"/>
                <w:lang w:eastAsia="zh-CN"/>
              </w:rPr>
              <w:t>人员</w:t>
            </w:r>
            <w:r>
              <w:rPr>
                <w:rFonts w:hint="eastAsia" w:cs="宋体" w:asciiTheme="minorEastAsia" w:hAnsiTheme="minorEastAsia" w:eastAsiaTheme="minorEastAsia"/>
                <w:b w:val="0"/>
                <w:bCs w:val="0"/>
                <w:color w:val="auto"/>
                <w:szCs w:val="21"/>
                <w:highlight w:val="none"/>
              </w:rPr>
              <w:t>每人得2分，最高得4分。</w:t>
            </w:r>
          </w:p>
          <w:p w14:paraId="03BE2EE4">
            <w:pPr>
              <w:jc w:val="left"/>
              <w:rPr>
                <w:rFonts w:hint="eastAsia" w:cs="宋体" w:asciiTheme="minorEastAsia" w:hAnsiTheme="minorEastAsia" w:eastAsiaTheme="minorEastAsia"/>
                <w:b w:val="0"/>
                <w:bCs w:val="0"/>
                <w:color w:val="auto"/>
                <w:szCs w:val="21"/>
                <w:highlight w:val="none"/>
              </w:rPr>
            </w:pPr>
            <w:r>
              <w:rPr>
                <w:rFonts w:hint="eastAsia" w:cs="宋体" w:asciiTheme="minorEastAsia" w:hAnsiTheme="minorEastAsia" w:eastAsiaTheme="minorEastAsia"/>
                <w:b w:val="0"/>
                <w:bCs w:val="0"/>
                <w:color w:val="auto"/>
                <w:szCs w:val="21"/>
                <w:highlight w:val="none"/>
                <w:lang w:val="en-US" w:eastAsia="zh-CN"/>
              </w:rPr>
              <w:t>3</w:t>
            </w:r>
            <w:r>
              <w:rPr>
                <w:rFonts w:hint="eastAsia" w:cs="宋体" w:asciiTheme="minorEastAsia" w:hAnsiTheme="minorEastAsia" w:eastAsiaTheme="minorEastAsia"/>
                <w:b w:val="0"/>
                <w:bCs w:val="0"/>
                <w:color w:val="auto"/>
                <w:szCs w:val="21"/>
                <w:highlight w:val="none"/>
              </w:rPr>
              <w:t>.团队有两年及以上社群运营经验的，得2分。</w:t>
            </w:r>
          </w:p>
          <w:p w14:paraId="6140668C">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（提供相关证书</w:t>
            </w:r>
            <w:r>
              <w:rPr>
                <w:rFonts w:hint="eastAsia" w:cs="宋体" w:asciiTheme="minorEastAsia" w:hAnsiTheme="minorEastAsia" w:eastAsiaTheme="minorEastAsia"/>
                <w:b/>
                <w:bCs/>
                <w:color w:val="auto"/>
                <w:szCs w:val="21"/>
                <w:highlight w:val="none"/>
                <w:lang w:val="en-US" w:eastAsia="zh-CN"/>
              </w:rPr>
              <w:t>或</w:t>
            </w:r>
            <w:r>
              <w:rPr>
                <w:rFonts w:hint="eastAsia" w:cs="宋体" w:asciiTheme="minorEastAsia" w:hAnsiTheme="minorEastAsia" w:eastAsiaTheme="minorEastAsia"/>
                <w:b/>
                <w:bCs/>
                <w:color w:val="auto"/>
                <w:szCs w:val="21"/>
                <w:highlight w:val="none"/>
              </w:rPr>
              <w:t>相关证明文件</w:t>
            </w:r>
            <w:r>
              <w:rPr>
                <w:rFonts w:hint="eastAsia" w:cs="宋体" w:asciiTheme="minorEastAsia" w:hAnsiTheme="minorEastAsia" w:eastAsiaTheme="minorEastAsia"/>
                <w:b/>
                <w:bCs/>
                <w:color w:val="auto"/>
                <w:szCs w:val="21"/>
                <w:highlight w:val="none"/>
                <w:lang w:eastAsia="zh-CN"/>
              </w:rPr>
              <w:t>，</w:t>
            </w:r>
            <w:r>
              <w:rPr>
                <w:rFonts w:hint="eastAsia" w:cs="宋体" w:asciiTheme="minorEastAsia" w:hAnsiTheme="minorEastAsia" w:eastAsiaTheme="minorEastAsia"/>
                <w:b/>
                <w:bCs/>
                <w:color w:val="auto"/>
                <w:szCs w:val="21"/>
                <w:highlight w:val="none"/>
                <w:lang w:val="en-US" w:eastAsia="zh-CN"/>
              </w:rPr>
              <w:t>2026年3月、4月、5月</w:t>
            </w:r>
            <w:r>
              <w:rPr>
                <w:rFonts w:hint="eastAsia" w:cs="宋体" w:asciiTheme="minorEastAsia" w:hAnsiTheme="minorEastAsia" w:eastAsiaTheme="minorEastAsia"/>
                <w:b/>
                <w:bCs/>
                <w:color w:val="auto"/>
                <w:szCs w:val="21"/>
                <w:highlight w:val="none"/>
              </w:rPr>
              <w:t>任意一个月的社保证明，复印件加盖公章）</w:t>
            </w:r>
          </w:p>
        </w:tc>
        <w:tc>
          <w:tcPr>
            <w:tcW w:w="768" w:type="dxa"/>
            <w:vAlign w:val="center"/>
          </w:tcPr>
          <w:p w14:paraId="62DC0A4D">
            <w:pPr>
              <w:rPr>
                <w:rFonts w:ascii="宋体" w:hAnsi="宋体" w:cs="宋体"/>
                <w:color w:val="auto"/>
                <w:szCs w:val="21"/>
                <w:highlight w:val="none"/>
              </w:rPr>
            </w:pPr>
          </w:p>
        </w:tc>
      </w:tr>
      <w:tr w14:paraId="0780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1163" w:type="dxa"/>
            <w:vMerge w:val="continue"/>
            <w:shd w:val="clear" w:color="auto" w:fill="auto"/>
            <w:vAlign w:val="center"/>
          </w:tcPr>
          <w:p w14:paraId="234B4615">
            <w:pPr>
              <w:jc w:val="center"/>
              <w:textAlignment w:val="center"/>
              <w:rPr>
                <w:rFonts w:ascii="宋体" w:hAnsi="宋体" w:cs="宋体"/>
                <w:color w:val="auto"/>
                <w:szCs w:val="21"/>
                <w:highlight w:val="none"/>
              </w:rPr>
            </w:pPr>
          </w:p>
        </w:tc>
        <w:tc>
          <w:tcPr>
            <w:tcW w:w="1124" w:type="dxa"/>
            <w:vMerge w:val="continue"/>
            <w:shd w:val="clear" w:color="auto" w:fill="auto"/>
            <w:vAlign w:val="center"/>
          </w:tcPr>
          <w:p w14:paraId="2F35FC8E">
            <w:pPr>
              <w:widowControl/>
              <w:jc w:val="center"/>
              <w:textAlignment w:val="center"/>
              <w:rPr>
                <w:rFonts w:ascii="宋体" w:hAnsi="宋体" w:cs="宋体"/>
                <w:color w:val="auto"/>
                <w:kern w:val="0"/>
                <w:szCs w:val="21"/>
                <w:highlight w:val="none"/>
              </w:rPr>
            </w:pPr>
          </w:p>
        </w:tc>
        <w:tc>
          <w:tcPr>
            <w:tcW w:w="736" w:type="dxa"/>
            <w:vMerge w:val="continue"/>
            <w:shd w:val="clear" w:color="auto" w:fill="auto"/>
            <w:vAlign w:val="center"/>
          </w:tcPr>
          <w:p w14:paraId="513504C6">
            <w:pPr>
              <w:widowControl/>
              <w:jc w:val="center"/>
              <w:textAlignment w:val="center"/>
              <w:rPr>
                <w:rFonts w:ascii="宋体" w:hAnsi="宋体" w:cs="宋体"/>
                <w:color w:val="auto"/>
                <w:kern w:val="0"/>
                <w:szCs w:val="21"/>
                <w:highlight w:val="none"/>
              </w:rPr>
            </w:pPr>
          </w:p>
        </w:tc>
        <w:tc>
          <w:tcPr>
            <w:tcW w:w="6427" w:type="dxa"/>
            <w:shd w:val="clear" w:color="auto" w:fill="FFFFFF"/>
            <w:vAlign w:val="center"/>
          </w:tcPr>
          <w:p w14:paraId="017D8B24">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本项目拟派人员满足采购人需求、素质、职责分工等情况：</w:t>
            </w:r>
          </w:p>
          <w:p w14:paraId="037DAABB">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完全满足采购人需求，职责分工明确、合理的：</w:t>
            </w:r>
            <w:r>
              <w:rPr>
                <w:rFonts w:hint="eastAsia" w:cs="宋体" w:asciiTheme="minorEastAsia" w:hAnsiTheme="minorEastAsia" w:eastAsiaTheme="minorEastAsia"/>
                <w:color w:val="auto"/>
                <w:szCs w:val="21"/>
                <w:highlight w:val="none"/>
                <w:lang w:val="en-US" w:eastAsia="zh-CN"/>
              </w:rPr>
              <w:t>5</w:t>
            </w:r>
            <w:r>
              <w:rPr>
                <w:rFonts w:hint="eastAsia" w:cs="宋体" w:asciiTheme="minorEastAsia" w:hAnsiTheme="minorEastAsia" w:eastAsiaTheme="minorEastAsia"/>
                <w:color w:val="auto"/>
                <w:szCs w:val="21"/>
                <w:highlight w:val="none"/>
              </w:rPr>
              <w:t>分；</w:t>
            </w:r>
          </w:p>
          <w:p w14:paraId="4224166A">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基本满足采购人需求，职责分工较明确的：</w:t>
            </w:r>
            <w:r>
              <w:rPr>
                <w:rFonts w:hint="eastAsia" w:cs="宋体" w:asciiTheme="minorEastAsia" w:hAnsiTheme="minorEastAsia" w:eastAsiaTheme="minorEastAsia"/>
                <w:color w:val="auto"/>
                <w:szCs w:val="21"/>
                <w:highlight w:val="none"/>
                <w:lang w:val="en-US" w:eastAsia="zh-CN"/>
              </w:rPr>
              <w:t>3</w:t>
            </w:r>
            <w:r>
              <w:rPr>
                <w:rFonts w:hint="eastAsia" w:cs="宋体" w:asciiTheme="minorEastAsia" w:hAnsiTheme="minorEastAsia" w:eastAsiaTheme="minorEastAsia"/>
                <w:color w:val="auto"/>
                <w:szCs w:val="21"/>
                <w:highlight w:val="none"/>
              </w:rPr>
              <w:t>分；</w:t>
            </w:r>
          </w:p>
          <w:p w14:paraId="0A484E2C">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能满足采购人需求，职责分工笼统的：1分；</w:t>
            </w:r>
          </w:p>
          <w:p w14:paraId="67A2F1F2">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不能满足招标文件需求的不得分。</w:t>
            </w:r>
          </w:p>
          <w:p w14:paraId="5B8C3388">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b/>
                <w:bCs/>
                <w:color w:val="auto"/>
                <w:szCs w:val="21"/>
                <w:highlight w:val="none"/>
              </w:rPr>
              <w:t>（提供人员相关证书及开标</w:t>
            </w:r>
            <w:r>
              <w:rPr>
                <w:rFonts w:hint="eastAsia" w:cs="宋体" w:asciiTheme="minorEastAsia" w:hAnsiTheme="minorEastAsia" w:eastAsiaTheme="minorEastAsia"/>
                <w:b/>
                <w:bCs/>
                <w:color w:val="auto"/>
                <w:szCs w:val="21"/>
                <w:highlight w:val="none"/>
                <w:lang w:val="en-US" w:eastAsia="zh-CN"/>
              </w:rPr>
              <w:t>2026年3月、4月、5月</w:t>
            </w:r>
            <w:r>
              <w:rPr>
                <w:rFonts w:hint="eastAsia" w:cs="宋体" w:asciiTheme="minorEastAsia" w:hAnsiTheme="minorEastAsia" w:eastAsiaTheme="minorEastAsia"/>
                <w:b/>
                <w:bCs/>
                <w:color w:val="auto"/>
                <w:szCs w:val="21"/>
                <w:highlight w:val="none"/>
              </w:rPr>
              <w:t>任意一个月的社保证明，复印件加盖公章）</w:t>
            </w:r>
          </w:p>
        </w:tc>
        <w:tc>
          <w:tcPr>
            <w:tcW w:w="768" w:type="dxa"/>
            <w:vAlign w:val="center"/>
          </w:tcPr>
          <w:p w14:paraId="43EC91CD">
            <w:pPr>
              <w:rPr>
                <w:rFonts w:ascii="宋体" w:hAnsi="宋体" w:cs="宋体"/>
                <w:color w:val="auto"/>
                <w:szCs w:val="21"/>
                <w:highlight w:val="none"/>
              </w:rPr>
            </w:pPr>
          </w:p>
        </w:tc>
      </w:tr>
      <w:tr w14:paraId="1DF7B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63" w:type="dxa"/>
            <w:vMerge w:val="continue"/>
            <w:shd w:val="clear" w:color="auto" w:fill="auto"/>
            <w:vAlign w:val="center"/>
          </w:tcPr>
          <w:p w14:paraId="32FC4728">
            <w:pPr>
              <w:jc w:val="center"/>
              <w:textAlignment w:val="center"/>
              <w:rPr>
                <w:rFonts w:ascii="宋体" w:hAnsi="宋体" w:cs="宋体"/>
                <w:color w:val="auto"/>
                <w:szCs w:val="21"/>
                <w:highlight w:val="none"/>
              </w:rPr>
            </w:pPr>
          </w:p>
        </w:tc>
        <w:tc>
          <w:tcPr>
            <w:tcW w:w="1124" w:type="dxa"/>
            <w:vMerge w:val="restart"/>
            <w:shd w:val="clear" w:color="auto" w:fill="auto"/>
            <w:vAlign w:val="center"/>
          </w:tcPr>
          <w:p w14:paraId="40EC2D25">
            <w:pPr>
              <w:autoSpaceDE w:val="0"/>
              <w:autoSpaceDN w:val="0"/>
              <w:adjustRightInd w:val="0"/>
              <w:jc w:val="center"/>
              <w:rPr>
                <w:rFonts w:hint="eastAsia" w:ascii="宋体" w:hAnsi="宋体" w:cs="宋体"/>
                <w:color w:val="auto"/>
                <w:szCs w:val="21"/>
                <w:highlight w:val="none"/>
              </w:rPr>
            </w:pPr>
            <w:r>
              <w:rPr>
                <w:rFonts w:hint="eastAsia" w:ascii="宋体" w:hAnsi="宋体" w:cs="宋体"/>
                <w:color w:val="auto"/>
                <w:szCs w:val="21"/>
                <w:highlight w:val="none"/>
              </w:rPr>
              <w:t>项目运营方案</w:t>
            </w:r>
          </w:p>
          <w:p w14:paraId="1A27F570">
            <w:pPr>
              <w:autoSpaceDE w:val="0"/>
              <w:autoSpaceDN w:val="0"/>
              <w:adjustRightIn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30分</w:t>
            </w:r>
            <w:r>
              <w:rPr>
                <w:rFonts w:hint="eastAsia" w:ascii="宋体" w:hAnsi="宋体" w:cs="宋体"/>
                <w:color w:val="auto"/>
                <w:szCs w:val="21"/>
                <w:highlight w:val="none"/>
                <w:lang w:eastAsia="zh-CN"/>
              </w:rPr>
              <w:t>）</w:t>
            </w:r>
          </w:p>
        </w:tc>
        <w:tc>
          <w:tcPr>
            <w:tcW w:w="736" w:type="dxa"/>
            <w:shd w:val="clear" w:color="auto" w:fill="auto"/>
            <w:vAlign w:val="center"/>
          </w:tcPr>
          <w:p w14:paraId="723E64D3">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1</w:t>
            </w:r>
            <w:r>
              <w:rPr>
                <w:rFonts w:ascii="宋体" w:hAnsi="宋体" w:cs="宋体"/>
                <w:color w:val="auto"/>
                <w:kern w:val="0"/>
                <w:szCs w:val="21"/>
                <w:highlight w:val="none"/>
              </w:rPr>
              <w:t>0</w:t>
            </w:r>
            <w:r>
              <w:rPr>
                <w:rFonts w:hint="eastAsia" w:ascii="宋体" w:hAnsi="宋体" w:cs="宋体"/>
                <w:color w:val="auto"/>
                <w:kern w:val="0"/>
                <w:szCs w:val="21"/>
                <w:highlight w:val="none"/>
              </w:rPr>
              <w:t>分</w:t>
            </w:r>
          </w:p>
        </w:tc>
        <w:tc>
          <w:tcPr>
            <w:tcW w:w="6427" w:type="dxa"/>
            <w:shd w:val="clear" w:color="auto" w:fill="FFFFFF"/>
            <w:vAlign w:val="center"/>
          </w:tcPr>
          <w:p w14:paraId="7097B92C">
            <w:pPr>
              <w:widowControl/>
              <w:jc w:val="left"/>
              <w:rPr>
                <w:rFonts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投标人对本项目的认识了解，</w:t>
            </w:r>
            <w:r>
              <w:rPr>
                <w:rFonts w:cs="宋体" w:asciiTheme="minorEastAsia" w:hAnsiTheme="minorEastAsia" w:eastAsiaTheme="minorEastAsia"/>
                <w:color w:val="auto"/>
                <w:kern w:val="0"/>
                <w:szCs w:val="21"/>
                <w:highlight w:val="none"/>
                <w:lang w:bidi="ar"/>
              </w:rPr>
              <w:t>本土阅读文化发展需求的认识了解</w:t>
            </w:r>
            <w:r>
              <w:rPr>
                <w:rFonts w:hint="eastAsia" w:cs="宋体" w:asciiTheme="minorEastAsia" w:hAnsiTheme="minorEastAsia" w:eastAsiaTheme="minorEastAsia"/>
                <w:color w:val="auto"/>
                <w:szCs w:val="21"/>
                <w:highlight w:val="none"/>
              </w:rPr>
              <w:t>以及开展工作必要性、工作任务理解，</w:t>
            </w:r>
            <w:r>
              <w:rPr>
                <w:rFonts w:cs="宋体" w:asciiTheme="minorEastAsia" w:hAnsiTheme="minorEastAsia" w:eastAsiaTheme="minorEastAsia"/>
                <w:color w:val="auto"/>
                <w:szCs w:val="21"/>
                <w:highlight w:val="none"/>
                <w:lang w:val="zh-CN"/>
              </w:rPr>
              <w:t>关键点的控制等符合实际服务要求</w:t>
            </w:r>
            <w:r>
              <w:rPr>
                <w:rFonts w:hint="eastAsia" w:cs="宋体" w:asciiTheme="minorEastAsia" w:hAnsiTheme="minorEastAsia" w:eastAsiaTheme="minorEastAsia"/>
                <w:color w:val="auto"/>
                <w:szCs w:val="21"/>
                <w:highlight w:val="none"/>
              </w:rPr>
              <w:t>：</w:t>
            </w:r>
          </w:p>
          <w:p w14:paraId="319D0C4F">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理解非常深刻、工作任务明确</w:t>
            </w:r>
            <w:r>
              <w:rPr>
                <w:rFonts w:hint="eastAsia" w:cs="宋体" w:asciiTheme="minorEastAsia" w:hAnsiTheme="minorEastAsia" w:eastAsiaTheme="minorEastAsia"/>
                <w:color w:val="auto"/>
                <w:szCs w:val="21"/>
                <w:highlight w:val="none"/>
                <w:lang w:val="en-US" w:eastAsia="zh-CN"/>
              </w:rPr>
              <w:t>的，得</w:t>
            </w: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分；</w:t>
            </w:r>
          </w:p>
          <w:p w14:paraId="40762BA9">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理解基本准确、工作任务部分明确的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得</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分；</w:t>
            </w:r>
          </w:p>
          <w:p w14:paraId="6B2A345E">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理解程度简单、工作任务片面的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得</w:t>
            </w:r>
            <w:r>
              <w:rPr>
                <w:rFonts w:hint="eastAsia" w:cs="宋体" w:asciiTheme="minorEastAsia" w:hAnsiTheme="minorEastAsia" w:eastAsiaTheme="minorEastAsia"/>
                <w:color w:val="auto"/>
                <w:szCs w:val="21"/>
                <w:highlight w:val="none"/>
              </w:rPr>
              <w:t>2分；</w:t>
            </w:r>
          </w:p>
          <w:p w14:paraId="756E7F54">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未提及此项不得分。</w:t>
            </w:r>
          </w:p>
        </w:tc>
        <w:tc>
          <w:tcPr>
            <w:tcW w:w="768" w:type="dxa"/>
            <w:vAlign w:val="center"/>
          </w:tcPr>
          <w:p w14:paraId="676C5D83">
            <w:pPr>
              <w:rPr>
                <w:rFonts w:ascii="宋体" w:hAnsi="宋体" w:cs="宋体"/>
                <w:color w:val="auto"/>
                <w:szCs w:val="21"/>
                <w:highlight w:val="none"/>
              </w:rPr>
            </w:pPr>
          </w:p>
        </w:tc>
      </w:tr>
      <w:tr w14:paraId="711CA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63" w:type="dxa"/>
            <w:vMerge w:val="continue"/>
            <w:shd w:val="clear" w:color="auto" w:fill="auto"/>
            <w:vAlign w:val="center"/>
          </w:tcPr>
          <w:p w14:paraId="0BF2E061">
            <w:pPr>
              <w:jc w:val="center"/>
              <w:textAlignment w:val="center"/>
              <w:rPr>
                <w:rFonts w:ascii="宋体" w:hAnsi="宋体" w:cs="宋体"/>
                <w:color w:val="auto"/>
                <w:szCs w:val="21"/>
                <w:highlight w:val="none"/>
              </w:rPr>
            </w:pPr>
          </w:p>
        </w:tc>
        <w:tc>
          <w:tcPr>
            <w:tcW w:w="1124" w:type="dxa"/>
            <w:vMerge w:val="continue"/>
            <w:shd w:val="clear" w:color="auto" w:fill="auto"/>
            <w:vAlign w:val="center"/>
          </w:tcPr>
          <w:p w14:paraId="16BC1BAF">
            <w:pPr>
              <w:autoSpaceDE w:val="0"/>
              <w:autoSpaceDN w:val="0"/>
              <w:adjustRightInd w:val="0"/>
              <w:jc w:val="center"/>
              <w:rPr>
                <w:rFonts w:ascii="宋体" w:hAnsi="宋体" w:cs="宋体"/>
                <w:color w:val="auto"/>
                <w:szCs w:val="21"/>
                <w:highlight w:val="none"/>
              </w:rPr>
            </w:pPr>
          </w:p>
        </w:tc>
        <w:tc>
          <w:tcPr>
            <w:tcW w:w="736" w:type="dxa"/>
            <w:shd w:val="clear" w:color="auto" w:fill="auto"/>
            <w:vAlign w:val="center"/>
          </w:tcPr>
          <w:p w14:paraId="148E3A28">
            <w:pPr>
              <w:widowControl/>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t>10</w:t>
            </w:r>
            <w:r>
              <w:rPr>
                <w:rFonts w:hint="eastAsia" w:ascii="宋体" w:hAnsi="宋体" w:cs="宋体"/>
                <w:color w:val="auto"/>
                <w:kern w:val="0"/>
                <w:szCs w:val="21"/>
                <w:highlight w:val="none"/>
              </w:rPr>
              <w:t>分</w:t>
            </w:r>
          </w:p>
        </w:tc>
        <w:tc>
          <w:tcPr>
            <w:tcW w:w="6427" w:type="dxa"/>
            <w:shd w:val="clear" w:color="auto" w:fill="FFFFFF"/>
            <w:vAlign w:val="center"/>
          </w:tcPr>
          <w:p w14:paraId="6D458C74">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lang w:val="en-US" w:eastAsia="zh-CN"/>
              </w:rPr>
              <w:t>投标人提供的</w:t>
            </w:r>
            <w:r>
              <w:rPr>
                <w:rFonts w:hint="eastAsia" w:cs="宋体" w:asciiTheme="minorEastAsia" w:hAnsiTheme="minorEastAsia" w:eastAsiaTheme="minorEastAsia"/>
                <w:color w:val="auto"/>
                <w:szCs w:val="21"/>
                <w:highlight w:val="none"/>
              </w:rPr>
              <w:t>项目运营方案：</w:t>
            </w:r>
          </w:p>
          <w:p w14:paraId="681ABC32">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项目运营方案全面、合理的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得</w:t>
            </w:r>
            <w:r>
              <w:rPr>
                <w:rFonts w:cs="宋体" w:asciiTheme="minorEastAsia" w:hAnsiTheme="minorEastAsia" w:eastAsiaTheme="minorEastAsia"/>
                <w:color w:val="auto"/>
                <w:szCs w:val="21"/>
                <w:highlight w:val="none"/>
              </w:rPr>
              <w:t>10</w:t>
            </w:r>
            <w:r>
              <w:rPr>
                <w:rFonts w:hint="eastAsia" w:cs="宋体" w:asciiTheme="minorEastAsia" w:hAnsiTheme="minorEastAsia" w:eastAsiaTheme="minorEastAsia"/>
                <w:color w:val="auto"/>
                <w:szCs w:val="21"/>
                <w:highlight w:val="none"/>
              </w:rPr>
              <w:t>分；</w:t>
            </w:r>
          </w:p>
          <w:p w14:paraId="0E39CBB4">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项目运营方案比较完整合理的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得</w:t>
            </w:r>
            <w:r>
              <w:rPr>
                <w:rFonts w:cs="宋体" w:asciiTheme="minorEastAsia" w:hAnsiTheme="minorEastAsia" w:eastAsiaTheme="minorEastAsia"/>
                <w:color w:val="auto"/>
                <w:szCs w:val="21"/>
                <w:highlight w:val="none"/>
              </w:rPr>
              <w:t>6</w:t>
            </w:r>
            <w:r>
              <w:rPr>
                <w:rFonts w:hint="eastAsia" w:cs="宋体" w:asciiTheme="minorEastAsia" w:hAnsiTheme="minorEastAsia" w:eastAsiaTheme="minorEastAsia"/>
                <w:color w:val="auto"/>
                <w:szCs w:val="21"/>
                <w:highlight w:val="none"/>
              </w:rPr>
              <w:t>分；</w:t>
            </w:r>
          </w:p>
          <w:p w14:paraId="712160CD">
            <w:pPr>
              <w:jc w:val="left"/>
              <w:rPr>
                <w:rFonts w:hint="eastAsia"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项目运营方案不够完整合理的</w:t>
            </w:r>
            <w:r>
              <w:rPr>
                <w:rFonts w:hint="eastAsia" w:cs="宋体" w:asciiTheme="minorEastAsia" w:hAnsiTheme="minorEastAsia" w:eastAsiaTheme="minorEastAsia"/>
                <w:color w:val="auto"/>
                <w:szCs w:val="21"/>
                <w:highlight w:val="none"/>
                <w:lang w:eastAsia="zh-CN"/>
              </w:rPr>
              <w:t>，</w:t>
            </w:r>
            <w:r>
              <w:rPr>
                <w:rFonts w:hint="eastAsia" w:cs="宋体" w:asciiTheme="minorEastAsia" w:hAnsiTheme="minorEastAsia" w:eastAsiaTheme="minorEastAsia"/>
                <w:color w:val="auto"/>
                <w:szCs w:val="21"/>
                <w:highlight w:val="none"/>
                <w:lang w:val="en-US" w:eastAsia="zh-CN"/>
              </w:rPr>
              <w:t>得</w:t>
            </w:r>
            <w:r>
              <w:rPr>
                <w:rFonts w:hint="eastAsia" w:cs="宋体" w:asciiTheme="minorEastAsia" w:hAnsiTheme="minorEastAsia" w:eastAsiaTheme="minorEastAsia"/>
                <w:color w:val="auto"/>
                <w:szCs w:val="21"/>
                <w:highlight w:val="none"/>
              </w:rPr>
              <w:t>2分；</w:t>
            </w:r>
          </w:p>
          <w:p w14:paraId="5F3733F8">
            <w:pPr>
              <w:jc w:val="lef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未提及此项不得分。</w:t>
            </w:r>
          </w:p>
        </w:tc>
        <w:tc>
          <w:tcPr>
            <w:tcW w:w="768" w:type="dxa"/>
            <w:vAlign w:val="center"/>
          </w:tcPr>
          <w:p w14:paraId="03CE2213">
            <w:pPr>
              <w:rPr>
                <w:rFonts w:ascii="宋体" w:hAnsi="宋体" w:cs="宋体"/>
                <w:color w:val="auto"/>
                <w:szCs w:val="21"/>
                <w:highlight w:val="none"/>
              </w:rPr>
            </w:pPr>
          </w:p>
        </w:tc>
      </w:tr>
      <w:tr w14:paraId="50480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1163" w:type="dxa"/>
            <w:vMerge w:val="continue"/>
            <w:shd w:val="clear" w:color="auto" w:fill="auto"/>
            <w:vAlign w:val="center"/>
          </w:tcPr>
          <w:p w14:paraId="00114DB6">
            <w:pPr>
              <w:jc w:val="center"/>
              <w:textAlignment w:val="center"/>
              <w:rPr>
                <w:rFonts w:ascii="宋体" w:hAnsi="宋体" w:cs="宋体"/>
                <w:color w:val="auto"/>
                <w:szCs w:val="21"/>
                <w:highlight w:val="none"/>
              </w:rPr>
            </w:pPr>
          </w:p>
        </w:tc>
        <w:tc>
          <w:tcPr>
            <w:tcW w:w="1124" w:type="dxa"/>
            <w:vMerge w:val="continue"/>
            <w:shd w:val="clear" w:color="auto" w:fill="auto"/>
            <w:vAlign w:val="center"/>
          </w:tcPr>
          <w:p w14:paraId="2B711E27">
            <w:pPr>
              <w:autoSpaceDE w:val="0"/>
              <w:autoSpaceDN w:val="0"/>
              <w:adjustRightInd w:val="0"/>
              <w:jc w:val="center"/>
              <w:rPr>
                <w:rFonts w:ascii="宋体" w:hAnsi="宋体" w:cs="宋体"/>
                <w:color w:val="auto"/>
                <w:szCs w:val="21"/>
                <w:highlight w:val="none"/>
              </w:rPr>
            </w:pPr>
          </w:p>
        </w:tc>
        <w:tc>
          <w:tcPr>
            <w:tcW w:w="736" w:type="dxa"/>
            <w:shd w:val="clear" w:color="auto" w:fill="auto"/>
            <w:vAlign w:val="center"/>
          </w:tcPr>
          <w:p w14:paraId="0D73CBDF">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w:t>
            </w:r>
          </w:p>
        </w:tc>
        <w:tc>
          <w:tcPr>
            <w:tcW w:w="6427" w:type="dxa"/>
            <w:shd w:val="clear" w:color="auto" w:fill="FFFFFF"/>
            <w:vAlign w:val="center"/>
          </w:tcPr>
          <w:p w14:paraId="6A3AF171">
            <w:pPr>
              <w:jc w:val="left"/>
              <w:rPr>
                <w:rFonts w:hint="eastAsia" w:ascii="宋体" w:hAnsi="宋体" w:cs="宋体"/>
                <w:color w:val="auto"/>
                <w:szCs w:val="21"/>
                <w:highlight w:val="none"/>
              </w:rPr>
            </w:pPr>
            <w:r>
              <w:rPr>
                <w:rFonts w:hint="eastAsia" w:ascii="宋体" w:hAnsi="宋体" w:cs="宋体"/>
                <w:color w:val="auto"/>
                <w:szCs w:val="21"/>
                <w:highlight w:val="none"/>
              </w:rPr>
              <w:t>针对本项目的工作重点、难点及对应措施等</w:t>
            </w:r>
            <w:r>
              <w:rPr>
                <w:rFonts w:hint="eastAsia" w:ascii="宋体" w:hAnsi="宋体" w:cs="宋体"/>
                <w:color w:val="auto"/>
                <w:szCs w:val="21"/>
                <w:highlight w:val="none"/>
                <w:lang w:val="en-US" w:eastAsia="zh-CN"/>
              </w:rPr>
              <w:t>情况</w:t>
            </w:r>
            <w:r>
              <w:rPr>
                <w:rFonts w:hint="eastAsia" w:ascii="宋体" w:hAnsi="宋体" w:cs="宋体"/>
                <w:color w:val="auto"/>
                <w:szCs w:val="21"/>
                <w:highlight w:val="none"/>
              </w:rPr>
              <w:t>：</w:t>
            </w:r>
          </w:p>
          <w:p w14:paraId="681BDE97">
            <w:pPr>
              <w:jc w:val="left"/>
              <w:rPr>
                <w:rFonts w:hint="eastAsia" w:ascii="宋体" w:hAnsi="宋体" w:cs="宋体"/>
                <w:color w:val="auto"/>
                <w:szCs w:val="21"/>
                <w:highlight w:val="none"/>
              </w:rPr>
            </w:pPr>
            <w:r>
              <w:rPr>
                <w:rFonts w:hint="eastAsia" w:ascii="宋体" w:hAnsi="宋体" w:cs="宋体"/>
                <w:color w:val="auto"/>
                <w:szCs w:val="21"/>
                <w:highlight w:val="none"/>
              </w:rPr>
              <w:t>重点、难点及对应措施等全面、合理的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得10</w:t>
            </w:r>
            <w:r>
              <w:rPr>
                <w:rFonts w:hint="eastAsia" w:ascii="宋体" w:hAnsi="宋体" w:cs="宋体"/>
                <w:color w:val="auto"/>
                <w:szCs w:val="21"/>
                <w:highlight w:val="none"/>
              </w:rPr>
              <w:t>分；</w:t>
            </w:r>
          </w:p>
          <w:p w14:paraId="56DEB2F9">
            <w:pPr>
              <w:jc w:val="left"/>
              <w:rPr>
                <w:rFonts w:hint="eastAsia" w:ascii="宋体" w:hAnsi="宋体" w:cs="宋体"/>
                <w:color w:val="auto"/>
                <w:szCs w:val="21"/>
                <w:highlight w:val="none"/>
              </w:rPr>
            </w:pPr>
            <w:r>
              <w:rPr>
                <w:rFonts w:hint="eastAsia" w:ascii="宋体" w:hAnsi="宋体" w:cs="宋体"/>
                <w:color w:val="auto"/>
                <w:szCs w:val="21"/>
                <w:highlight w:val="none"/>
              </w:rPr>
              <w:t>重点、难点及对应措施等比较完整、合理的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得6</w:t>
            </w:r>
            <w:r>
              <w:rPr>
                <w:rFonts w:hint="eastAsia" w:ascii="宋体" w:hAnsi="宋体" w:cs="宋体"/>
                <w:color w:val="auto"/>
                <w:szCs w:val="21"/>
                <w:highlight w:val="none"/>
              </w:rPr>
              <w:t>分；</w:t>
            </w:r>
          </w:p>
          <w:p w14:paraId="04C1F8BA">
            <w:pPr>
              <w:jc w:val="left"/>
              <w:rPr>
                <w:rFonts w:hint="eastAsia" w:ascii="宋体" w:hAnsi="宋体" w:cs="宋体"/>
                <w:color w:val="auto"/>
                <w:szCs w:val="21"/>
                <w:highlight w:val="none"/>
              </w:rPr>
            </w:pPr>
            <w:r>
              <w:rPr>
                <w:rFonts w:hint="eastAsia" w:ascii="宋体" w:hAnsi="宋体" w:cs="宋体"/>
                <w:color w:val="auto"/>
                <w:szCs w:val="21"/>
                <w:highlight w:val="none"/>
              </w:rPr>
              <w:t>重点、难点及对应措施等不够完整、合理的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2分；</w:t>
            </w:r>
          </w:p>
          <w:p w14:paraId="18EE3F3E">
            <w:pPr>
              <w:jc w:val="left"/>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7A2554DE">
            <w:pPr>
              <w:rPr>
                <w:rFonts w:ascii="宋体" w:hAnsi="宋体" w:cs="宋体"/>
                <w:color w:val="auto"/>
                <w:szCs w:val="21"/>
                <w:highlight w:val="none"/>
              </w:rPr>
            </w:pPr>
          </w:p>
        </w:tc>
      </w:tr>
      <w:tr w14:paraId="5DB89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163" w:type="dxa"/>
            <w:vMerge w:val="continue"/>
            <w:shd w:val="clear" w:color="auto" w:fill="auto"/>
            <w:vAlign w:val="center"/>
          </w:tcPr>
          <w:p w14:paraId="163232FD">
            <w:pPr>
              <w:jc w:val="center"/>
              <w:textAlignment w:val="center"/>
              <w:rPr>
                <w:rFonts w:ascii="宋体" w:hAnsi="宋体" w:cs="宋体"/>
                <w:color w:val="auto"/>
                <w:szCs w:val="21"/>
                <w:highlight w:val="none"/>
              </w:rPr>
            </w:pPr>
          </w:p>
        </w:tc>
        <w:tc>
          <w:tcPr>
            <w:tcW w:w="1124" w:type="dxa"/>
            <w:shd w:val="clear" w:color="auto" w:fill="auto"/>
            <w:vAlign w:val="center"/>
          </w:tcPr>
          <w:p w14:paraId="20B36BB4">
            <w:pPr>
              <w:snapToGrid w:val="0"/>
              <w:jc w:val="center"/>
              <w:rPr>
                <w:rFonts w:ascii="宋体" w:hAnsi="宋体" w:cs="宋体"/>
                <w:color w:val="auto"/>
                <w:szCs w:val="21"/>
                <w:highlight w:val="none"/>
              </w:rPr>
            </w:pPr>
            <w:r>
              <w:rPr>
                <w:rFonts w:hint="eastAsia" w:ascii="宋体" w:hAnsi="宋体" w:cs="宋体"/>
                <w:color w:val="auto"/>
                <w:szCs w:val="21"/>
                <w:highlight w:val="none"/>
              </w:rPr>
              <w:t>管理机制</w:t>
            </w:r>
          </w:p>
        </w:tc>
        <w:tc>
          <w:tcPr>
            <w:tcW w:w="736" w:type="dxa"/>
            <w:shd w:val="clear" w:color="auto" w:fill="auto"/>
            <w:vAlign w:val="center"/>
          </w:tcPr>
          <w:p w14:paraId="2CD116DF">
            <w:pPr>
              <w:widowControl/>
              <w:jc w:val="center"/>
              <w:textAlignment w:val="center"/>
              <w:rPr>
                <w:rFonts w:ascii="宋体" w:hAnsi="宋体" w:cs="宋体"/>
                <w:color w:val="auto"/>
                <w:kern w:val="0"/>
                <w:szCs w:val="21"/>
                <w:highlight w:val="none"/>
              </w:rPr>
            </w:pPr>
            <w:r>
              <w:rPr>
                <w:rFonts w:ascii="宋体" w:hAnsi="宋体" w:cs="宋体"/>
                <w:color w:val="auto"/>
                <w:kern w:val="0"/>
                <w:szCs w:val="21"/>
                <w:highlight w:val="none"/>
              </w:rPr>
              <w:t>8</w:t>
            </w:r>
            <w:r>
              <w:rPr>
                <w:rFonts w:hint="eastAsia" w:ascii="宋体" w:hAnsi="宋体" w:cs="宋体"/>
                <w:color w:val="auto"/>
                <w:kern w:val="0"/>
                <w:szCs w:val="21"/>
                <w:highlight w:val="none"/>
              </w:rPr>
              <w:t>分</w:t>
            </w:r>
          </w:p>
        </w:tc>
        <w:tc>
          <w:tcPr>
            <w:tcW w:w="6427" w:type="dxa"/>
            <w:shd w:val="clear" w:color="auto" w:fill="FFFFFF"/>
            <w:vAlign w:val="center"/>
          </w:tcPr>
          <w:p w14:paraId="24F5D7C3">
            <w:pPr>
              <w:jc w:val="left"/>
              <w:rPr>
                <w:rFonts w:hint="eastAsia" w:ascii="宋体" w:hAnsi="宋体" w:cs="新宋体"/>
                <w:color w:val="auto"/>
                <w:szCs w:val="21"/>
                <w:highlight w:val="none"/>
              </w:rPr>
            </w:pPr>
            <w:r>
              <w:rPr>
                <w:rFonts w:hint="eastAsia" w:ascii="宋体" w:hAnsi="宋体" w:cs="宋体"/>
                <w:color w:val="auto"/>
                <w:szCs w:val="21"/>
                <w:highlight w:val="none"/>
              </w:rPr>
              <w:t>管理服务组织机构设置、运作流程、激励机制、监督机制、自我约束机制和信息反馈渠道及处理机制等全面合理、高效</w:t>
            </w:r>
            <w:r>
              <w:rPr>
                <w:rFonts w:hint="eastAsia" w:ascii="宋体" w:hAnsi="宋体" w:cs="新宋体"/>
                <w:color w:val="auto"/>
                <w:szCs w:val="21"/>
                <w:highlight w:val="none"/>
              </w:rPr>
              <w:t>：</w:t>
            </w:r>
          </w:p>
          <w:p w14:paraId="373E83B4">
            <w:pPr>
              <w:jc w:val="left"/>
              <w:rPr>
                <w:rFonts w:hint="eastAsia" w:ascii="宋体" w:hAnsi="宋体" w:cs="宋体"/>
                <w:color w:val="auto"/>
                <w:szCs w:val="21"/>
                <w:highlight w:val="none"/>
              </w:rPr>
            </w:pPr>
            <w:r>
              <w:rPr>
                <w:rFonts w:hint="eastAsia" w:ascii="宋体" w:hAnsi="宋体" w:cs="宋体"/>
                <w:color w:val="auto"/>
                <w:szCs w:val="21"/>
                <w:highlight w:val="none"/>
              </w:rPr>
              <w:t>机制全面、合理、高效的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ascii="宋体" w:hAnsi="宋体" w:cs="宋体"/>
                <w:color w:val="auto"/>
                <w:szCs w:val="21"/>
                <w:highlight w:val="none"/>
              </w:rPr>
              <w:t>8</w:t>
            </w:r>
            <w:r>
              <w:rPr>
                <w:rFonts w:hint="eastAsia" w:ascii="宋体" w:hAnsi="宋体" w:cs="宋体"/>
                <w:color w:val="auto"/>
                <w:szCs w:val="21"/>
                <w:highlight w:val="none"/>
              </w:rPr>
              <w:t>分；</w:t>
            </w:r>
          </w:p>
          <w:p w14:paraId="5ED39180">
            <w:pPr>
              <w:jc w:val="left"/>
              <w:rPr>
                <w:rFonts w:hint="eastAsia" w:ascii="宋体" w:hAnsi="宋体" w:cs="宋体"/>
                <w:color w:val="auto"/>
                <w:szCs w:val="21"/>
                <w:highlight w:val="none"/>
              </w:rPr>
            </w:pPr>
            <w:r>
              <w:rPr>
                <w:rFonts w:hint="eastAsia" w:ascii="宋体" w:hAnsi="宋体" w:cs="宋体"/>
                <w:color w:val="auto"/>
                <w:szCs w:val="21"/>
                <w:highlight w:val="none"/>
              </w:rPr>
              <w:t>机制较合面、合理、高效的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ascii="宋体" w:hAnsi="宋体" w:cs="宋体"/>
                <w:color w:val="auto"/>
                <w:szCs w:val="21"/>
                <w:highlight w:val="none"/>
              </w:rPr>
              <w:t>5</w:t>
            </w:r>
            <w:r>
              <w:rPr>
                <w:rFonts w:hint="eastAsia" w:ascii="宋体" w:hAnsi="宋体" w:cs="宋体"/>
                <w:color w:val="auto"/>
                <w:szCs w:val="21"/>
                <w:highlight w:val="none"/>
              </w:rPr>
              <w:t>分；</w:t>
            </w:r>
          </w:p>
          <w:p w14:paraId="47F5A533">
            <w:pPr>
              <w:jc w:val="left"/>
              <w:rPr>
                <w:rFonts w:hint="eastAsia" w:ascii="宋体" w:hAnsi="宋体" w:cs="宋体"/>
                <w:color w:val="auto"/>
                <w:szCs w:val="21"/>
                <w:highlight w:val="none"/>
              </w:rPr>
            </w:pPr>
            <w:r>
              <w:rPr>
                <w:rFonts w:hint="eastAsia" w:ascii="宋体" w:hAnsi="宋体" w:cs="宋体"/>
                <w:color w:val="auto"/>
                <w:szCs w:val="21"/>
                <w:highlight w:val="none"/>
              </w:rPr>
              <w:t>机制不够全面、合理、高效的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2分；</w:t>
            </w:r>
          </w:p>
          <w:p w14:paraId="1DB9F3A8">
            <w:pPr>
              <w:jc w:val="left"/>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39653F74">
            <w:pPr>
              <w:rPr>
                <w:rFonts w:ascii="宋体" w:hAnsi="宋体" w:cs="宋体"/>
                <w:color w:val="auto"/>
                <w:szCs w:val="21"/>
                <w:highlight w:val="none"/>
              </w:rPr>
            </w:pPr>
          </w:p>
        </w:tc>
      </w:tr>
      <w:tr w14:paraId="4451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163" w:type="dxa"/>
            <w:vMerge w:val="continue"/>
            <w:shd w:val="clear" w:color="auto" w:fill="auto"/>
            <w:vAlign w:val="center"/>
          </w:tcPr>
          <w:p w14:paraId="4BF7BA31">
            <w:pPr>
              <w:jc w:val="center"/>
              <w:textAlignment w:val="center"/>
              <w:rPr>
                <w:rFonts w:ascii="宋体" w:hAnsi="宋体" w:cs="宋体"/>
                <w:color w:val="auto"/>
                <w:szCs w:val="21"/>
                <w:highlight w:val="none"/>
              </w:rPr>
            </w:pPr>
          </w:p>
        </w:tc>
        <w:tc>
          <w:tcPr>
            <w:tcW w:w="1124" w:type="dxa"/>
            <w:vMerge w:val="restart"/>
            <w:shd w:val="clear" w:color="auto" w:fill="auto"/>
            <w:vAlign w:val="center"/>
          </w:tcPr>
          <w:p w14:paraId="0BD1CCF1">
            <w:pPr>
              <w:snapToGrid w:val="0"/>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策划方案</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12分</w:t>
            </w:r>
            <w:r>
              <w:rPr>
                <w:rFonts w:hint="eastAsia" w:ascii="宋体" w:hAnsi="宋体" w:cs="宋体"/>
                <w:color w:val="auto"/>
                <w:szCs w:val="21"/>
                <w:highlight w:val="none"/>
                <w:lang w:eastAsia="zh-CN"/>
              </w:rPr>
              <w:t>）</w:t>
            </w:r>
          </w:p>
        </w:tc>
        <w:tc>
          <w:tcPr>
            <w:tcW w:w="736" w:type="dxa"/>
            <w:shd w:val="clear" w:color="auto" w:fill="auto"/>
            <w:vAlign w:val="center"/>
          </w:tcPr>
          <w:p w14:paraId="21F3292D">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6分</w:t>
            </w:r>
          </w:p>
        </w:tc>
        <w:tc>
          <w:tcPr>
            <w:tcW w:w="6427" w:type="dxa"/>
            <w:shd w:val="clear" w:color="auto" w:fill="FFFFFF"/>
            <w:vAlign w:val="center"/>
          </w:tcPr>
          <w:p w14:paraId="5AEB03FD">
            <w:pPr>
              <w:spacing w:after="5"/>
              <w:ind w:left="1"/>
              <w:rPr>
                <w:rFonts w:ascii="宋体" w:hAnsi="宋体" w:cs="宋体"/>
                <w:color w:val="auto"/>
                <w:szCs w:val="21"/>
                <w:highlight w:val="none"/>
              </w:rPr>
            </w:pPr>
            <w:r>
              <w:rPr>
                <w:rFonts w:hint="eastAsia" w:ascii="宋体" w:hAnsi="宋体" w:cs="宋体"/>
                <w:color w:val="auto"/>
                <w:szCs w:val="21"/>
                <w:highlight w:val="none"/>
              </w:rPr>
              <w:t>本项目开展针对读者的活动方案合理、</w:t>
            </w:r>
            <w:r>
              <w:rPr>
                <w:rFonts w:hint="eastAsia" w:ascii="宋体" w:hAnsi="宋体" w:cs="宋体"/>
                <w:color w:val="auto"/>
                <w:szCs w:val="21"/>
                <w:highlight w:val="none"/>
                <w:lang w:eastAsia="zh-Hans"/>
              </w:rPr>
              <w:t>具有创</w:t>
            </w:r>
            <w:r>
              <w:rPr>
                <w:rFonts w:hint="eastAsia" w:ascii="宋体" w:hAnsi="宋体" w:cs="宋体"/>
                <w:color w:val="auto"/>
                <w:szCs w:val="21"/>
                <w:highlight w:val="none"/>
                <w:lang w:eastAsia="zh-CN"/>
              </w:rPr>
              <w:t>新性</w:t>
            </w:r>
            <w:r>
              <w:rPr>
                <w:rFonts w:ascii="宋体" w:hAnsi="宋体" w:cs="宋体"/>
                <w:color w:val="auto"/>
                <w:szCs w:val="21"/>
                <w:highlight w:val="none"/>
                <w:lang w:eastAsia="zh-Hans"/>
              </w:rPr>
              <w:t>、</w:t>
            </w:r>
            <w:r>
              <w:rPr>
                <w:rFonts w:hint="eastAsia" w:ascii="宋体" w:hAnsi="宋体" w:cs="宋体"/>
                <w:color w:val="auto"/>
                <w:szCs w:val="21"/>
                <w:highlight w:val="none"/>
              </w:rPr>
              <w:t>创意</w:t>
            </w:r>
            <w:r>
              <w:rPr>
                <w:rFonts w:hint="eastAsia" w:ascii="宋体" w:hAnsi="宋体" w:cs="宋体"/>
                <w:color w:val="auto"/>
                <w:szCs w:val="21"/>
                <w:highlight w:val="none"/>
                <w:lang w:eastAsia="zh-Hans"/>
              </w:rPr>
              <w:t>性</w:t>
            </w:r>
            <w:r>
              <w:rPr>
                <w:rFonts w:hint="eastAsia" w:ascii="宋体" w:hAnsi="宋体" w:cs="宋体"/>
                <w:color w:val="auto"/>
                <w:szCs w:val="21"/>
                <w:highlight w:val="none"/>
              </w:rPr>
              <w:t>等：</w:t>
            </w:r>
          </w:p>
          <w:p w14:paraId="34697050">
            <w:pPr>
              <w:spacing w:after="5"/>
              <w:ind w:left="1"/>
              <w:rPr>
                <w:rFonts w:ascii="宋体" w:hAnsi="宋体" w:cs="宋体"/>
                <w:color w:val="auto"/>
                <w:szCs w:val="21"/>
                <w:highlight w:val="none"/>
              </w:rPr>
            </w:pPr>
            <w:r>
              <w:rPr>
                <w:rFonts w:hint="eastAsia" w:ascii="宋体" w:hAnsi="宋体" w:cs="宋体"/>
                <w:color w:val="auto"/>
                <w:szCs w:val="21"/>
                <w:highlight w:val="none"/>
              </w:rPr>
              <w:t>活动方案合理，极具创意的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6分；</w:t>
            </w:r>
          </w:p>
          <w:p w14:paraId="021F4CA0">
            <w:pPr>
              <w:spacing w:after="5"/>
              <w:ind w:left="1"/>
              <w:rPr>
                <w:rFonts w:ascii="宋体" w:hAnsi="宋体" w:cs="宋体"/>
                <w:color w:val="auto"/>
                <w:szCs w:val="21"/>
                <w:highlight w:val="none"/>
              </w:rPr>
            </w:pPr>
            <w:r>
              <w:rPr>
                <w:rFonts w:hint="eastAsia" w:ascii="宋体" w:hAnsi="宋体" w:cs="宋体"/>
                <w:color w:val="auto"/>
                <w:szCs w:val="21"/>
                <w:highlight w:val="none"/>
              </w:rPr>
              <w:t>活动方案基本合理，比较有创意的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4分；</w:t>
            </w:r>
          </w:p>
          <w:p w14:paraId="29F04B52">
            <w:pPr>
              <w:spacing w:after="5"/>
              <w:ind w:left="1"/>
              <w:rPr>
                <w:rFonts w:ascii="宋体" w:hAnsi="宋体" w:cs="宋体"/>
                <w:color w:val="auto"/>
                <w:szCs w:val="21"/>
                <w:highlight w:val="none"/>
              </w:rPr>
            </w:pPr>
            <w:r>
              <w:rPr>
                <w:rFonts w:hint="eastAsia" w:ascii="宋体" w:hAnsi="宋体" w:cs="宋体"/>
                <w:color w:val="auto"/>
                <w:szCs w:val="21"/>
                <w:highlight w:val="none"/>
              </w:rPr>
              <w:t>活动方案部分合理，不够有创意的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w:t>
            </w:r>
            <w:r>
              <w:rPr>
                <w:rFonts w:hint="eastAsia" w:ascii="宋体" w:hAnsi="宋体" w:cs="宋体"/>
                <w:color w:val="auto"/>
                <w:szCs w:val="21"/>
                <w:highlight w:val="none"/>
              </w:rPr>
              <w:t>2分。</w:t>
            </w:r>
          </w:p>
          <w:p w14:paraId="48D76A03">
            <w:pPr>
              <w:spacing w:after="5"/>
              <w:ind w:left="1"/>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17FBCC5D">
            <w:pPr>
              <w:rPr>
                <w:rFonts w:ascii="宋体" w:hAnsi="宋体" w:cs="宋体"/>
                <w:color w:val="auto"/>
                <w:szCs w:val="21"/>
                <w:highlight w:val="none"/>
              </w:rPr>
            </w:pPr>
          </w:p>
        </w:tc>
      </w:tr>
      <w:tr w14:paraId="49A5A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63" w:type="dxa"/>
            <w:vMerge w:val="continue"/>
            <w:shd w:val="clear" w:color="auto" w:fill="auto"/>
            <w:vAlign w:val="center"/>
          </w:tcPr>
          <w:p w14:paraId="4C2FFE7B">
            <w:pPr>
              <w:jc w:val="center"/>
              <w:textAlignment w:val="center"/>
              <w:rPr>
                <w:rFonts w:ascii="宋体" w:hAnsi="宋体" w:cs="宋体"/>
                <w:color w:val="auto"/>
                <w:szCs w:val="21"/>
                <w:highlight w:val="none"/>
              </w:rPr>
            </w:pPr>
          </w:p>
        </w:tc>
        <w:tc>
          <w:tcPr>
            <w:tcW w:w="1124" w:type="dxa"/>
            <w:vMerge w:val="continue"/>
            <w:shd w:val="clear" w:color="auto" w:fill="auto"/>
            <w:vAlign w:val="center"/>
          </w:tcPr>
          <w:p w14:paraId="256DE023">
            <w:pPr>
              <w:widowControl/>
              <w:jc w:val="center"/>
              <w:textAlignment w:val="center"/>
              <w:rPr>
                <w:rFonts w:ascii="宋体" w:hAnsi="宋体" w:cs="宋体"/>
                <w:color w:val="auto"/>
                <w:kern w:val="0"/>
                <w:szCs w:val="21"/>
                <w:highlight w:val="none"/>
              </w:rPr>
            </w:pPr>
          </w:p>
        </w:tc>
        <w:tc>
          <w:tcPr>
            <w:tcW w:w="736" w:type="dxa"/>
            <w:shd w:val="clear" w:color="auto" w:fill="auto"/>
            <w:vAlign w:val="center"/>
          </w:tcPr>
          <w:p w14:paraId="621BBDB3">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6分</w:t>
            </w:r>
          </w:p>
        </w:tc>
        <w:tc>
          <w:tcPr>
            <w:tcW w:w="6427" w:type="dxa"/>
            <w:shd w:val="clear" w:color="auto" w:fill="FFFFFF"/>
            <w:vAlign w:val="center"/>
          </w:tcPr>
          <w:p w14:paraId="7BEE3805">
            <w:pPr>
              <w:spacing w:after="5"/>
              <w:ind w:left="1"/>
              <w:rPr>
                <w:rFonts w:hint="eastAsia" w:ascii="宋体" w:hAnsi="宋体" w:cs="宋体"/>
                <w:color w:val="auto"/>
                <w:szCs w:val="21"/>
                <w:highlight w:val="none"/>
              </w:rPr>
            </w:pPr>
            <w:r>
              <w:rPr>
                <w:rFonts w:hint="eastAsia" w:ascii="宋体" w:hAnsi="宋体" w:cs="宋体"/>
                <w:color w:val="auto"/>
                <w:szCs w:val="21"/>
                <w:highlight w:val="none"/>
              </w:rPr>
              <w:t>投标人提供的策划方案整体思路专业</w:t>
            </w:r>
            <w:r>
              <w:rPr>
                <w:rFonts w:ascii="宋体" w:hAnsi="宋体" w:cs="宋体"/>
                <w:color w:val="auto"/>
                <w:szCs w:val="21"/>
                <w:highlight w:val="none"/>
              </w:rPr>
              <w:t>、</w:t>
            </w:r>
            <w:r>
              <w:rPr>
                <w:rFonts w:hint="eastAsia" w:ascii="宋体" w:hAnsi="宋体" w:cs="宋体"/>
                <w:color w:val="auto"/>
                <w:szCs w:val="21"/>
                <w:highlight w:val="none"/>
                <w:lang w:eastAsia="zh-Hans"/>
              </w:rPr>
              <w:t>具备实用价值</w:t>
            </w:r>
            <w:r>
              <w:rPr>
                <w:rFonts w:hint="eastAsia" w:ascii="宋体" w:hAnsi="宋体" w:cs="宋体"/>
                <w:color w:val="auto"/>
                <w:szCs w:val="21"/>
                <w:highlight w:val="none"/>
              </w:rPr>
              <w:t>等情况：</w:t>
            </w:r>
          </w:p>
          <w:p w14:paraId="131A3B0C">
            <w:pPr>
              <w:spacing w:after="5"/>
              <w:ind w:left="1"/>
              <w:rPr>
                <w:rFonts w:hint="eastAsia" w:ascii="宋体" w:hAnsi="宋体" w:cs="宋体"/>
                <w:color w:val="auto"/>
                <w:szCs w:val="21"/>
                <w:highlight w:val="none"/>
              </w:rPr>
            </w:pPr>
            <w:r>
              <w:rPr>
                <w:rFonts w:hint="eastAsia" w:ascii="宋体" w:hAnsi="宋体" w:cs="宋体"/>
                <w:color w:val="auto"/>
                <w:szCs w:val="21"/>
                <w:highlight w:val="none"/>
              </w:rPr>
              <w:t>策划方案整体思路专业度高</w:t>
            </w:r>
            <w:r>
              <w:rPr>
                <w:rFonts w:ascii="宋体" w:hAnsi="宋体" w:cs="宋体"/>
                <w:color w:val="auto"/>
                <w:szCs w:val="21"/>
                <w:highlight w:val="none"/>
              </w:rPr>
              <w:t>、</w:t>
            </w:r>
            <w:r>
              <w:rPr>
                <w:rFonts w:hint="eastAsia" w:ascii="宋体" w:hAnsi="宋体" w:cs="宋体"/>
                <w:color w:val="auto"/>
                <w:szCs w:val="21"/>
                <w:highlight w:val="none"/>
                <w:lang w:eastAsia="zh-Hans"/>
              </w:rPr>
              <w:t>具备实用价值</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6分；</w:t>
            </w:r>
          </w:p>
          <w:p w14:paraId="5138C42C">
            <w:pPr>
              <w:spacing w:after="5"/>
              <w:ind w:left="1"/>
              <w:rPr>
                <w:rFonts w:hint="eastAsia" w:ascii="宋体" w:hAnsi="宋体" w:cs="宋体"/>
                <w:color w:val="auto"/>
                <w:szCs w:val="21"/>
                <w:highlight w:val="none"/>
              </w:rPr>
            </w:pPr>
            <w:r>
              <w:rPr>
                <w:rFonts w:hint="eastAsia" w:ascii="宋体" w:hAnsi="宋体" w:cs="宋体"/>
                <w:color w:val="auto"/>
                <w:szCs w:val="21"/>
                <w:highlight w:val="none"/>
              </w:rPr>
              <w:t>策划方案整体思路专业度比较高</w:t>
            </w:r>
            <w:r>
              <w:rPr>
                <w:rFonts w:ascii="宋体" w:hAnsi="宋体" w:cs="宋体"/>
                <w:color w:val="auto"/>
                <w:szCs w:val="21"/>
                <w:highlight w:val="none"/>
              </w:rPr>
              <w:t>、</w:t>
            </w:r>
            <w:r>
              <w:rPr>
                <w:rFonts w:hint="eastAsia" w:ascii="宋体" w:hAnsi="宋体" w:cs="宋体"/>
                <w:color w:val="auto"/>
                <w:szCs w:val="21"/>
                <w:highlight w:val="none"/>
              </w:rPr>
              <w:t>基本</w:t>
            </w:r>
            <w:r>
              <w:rPr>
                <w:rFonts w:hint="eastAsia" w:ascii="宋体" w:hAnsi="宋体" w:cs="宋体"/>
                <w:color w:val="auto"/>
                <w:szCs w:val="21"/>
                <w:highlight w:val="none"/>
                <w:lang w:eastAsia="zh-Hans"/>
              </w:rPr>
              <w:t>具备实用价值</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4分；</w:t>
            </w:r>
          </w:p>
          <w:p w14:paraId="32204A46">
            <w:pPr>
              <w:spacing w:after="5"/>
              <w:ind w:left="1"/>
              <w:rPr>
                <w:rFonts w:hint="eastAsia" w:ascii="宋体" w:hAnsi="宋体" w:cs="宋体"/>
                <w:color w:val="auto"/>
                <w:szCs w:val="21"/>
                <w:highlight w:val="none"/>
              </w:rPr>
            </w:pPr>
            <w:r>
              <w:rPr>
                <w:rFonts w:hint="eastAsia" w:ascii="宋体" w:hAnsi="宋体" w:cs="宋体"/>
                <w:color w:val="auto"/>
                <w:szCs w:val="21"/>
                <w:highlight w:val="none"/>
              </w:rPr>
              <w:t>策划方案整体思路专业度不高</w:t>
            </w:r>
            <w:r>
              <w:rPr>
                <w:rFonts w:ascii="宋体" w:hAnsi="宋体" w:cs="宋体"/>
                <w:color w:val="auto"/>
                <w:szCs w:val="21"/>
                <w:highlight w:val="none"/>
              </w:rPr>
              <w:t>、</w:t>
            </w:r>
            <w:r>
              <w:rPr>
                <w:rFonts w:hint="eastAsia" w:ascii="宋体" w:hAnsi="宋体" w:cs="宋体"/>
                <w:color w:val="auto"/>
                <w:szCs w:val="21"/>
                <w:highlight w:val="none"/>
              </w:rPr>
              <w:t>不具备</w:t>
            </w:r>
            <w:r>
              <w:rPr>
                <w:rFonts w:hint="eastAsia" w:ascii="宋体" w:hAnsi="宋体" w:cs="宋体"/>
                <w:color w:val="auto"/>
                <w:szCs w:val="21"/>
                <w:highlight w:val="none"/>
                <w:lang w:eastAsia="zh-Hans"/>
              </w:rPr>
              <w:t>实用价值</w:t>
            </w:r>
            <w:r>
              <w:rPr>
                <w:rFonts w:hint="eastAsia" w:ascii="宋体" w:hAnsi="宋体" w:cs="宋体"/>
                <w:color w:val="auto"/>
                <w:szCs w:val="21"/>
                <w:highlight w:val="none"/>
                <w:lang w:val="en-US" w:eastAsia="zh-CN"/>
              </w:rPr>
              <w:t>的，得</w:t>
            </w:r>
            <w:r>
              <w:rPr>
                <w:rFonts w:hint="eastAsia" w:ascii="宋体" w:hAnsi="宋体" w:cs="宋体"/>
                <w:color w:val="auto"/>
                <w:szCs w:val="21"/>
                <w:highlight w:val="none"/>
              </w:rPr>
              <w:t>2分；</w:t>
            </w:r>
          </w:p>
          <w:p w14:paraId="117A8FA0">
            <w:pPr>
              <w:spacing w:after="5"/>
              <w:ind w:left="1"/>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1EA969F5">
            <w:pPr>
              <w:rPr>
                <w:rFonts w:ascii="宋体" w:hAnsi="宋体" w:cs="宋体"/>
                <w:color w:val="auto"/>
                <w:szCs w:val="21"/>
                <w:highlight w:val="none"/>
              </w:rPr>
            </w:pPr>
          </w:p>
        </w:tc>
      </w:tr>
      <w:tr w14:paraId="68EDF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63" w:type="dxa"/>
            <w:vMerge w:val="continue"/>
            <w:shd w:val="clear" w:color="auto" w:fill="auto"/>
            <w:vAlign w:val="center"/>
          </w:tcPr>
          <w:p w14:paraId="794A43BF">
            <w:pPr>
              <w:jc w:val="center"/>
              <w:textAlignment w:val="center"/>
              <w:rPr>
                <w:rFonts w:ascii="宋体" w:hAnsi="宋体" w:cs="宋体"/>
                <w:color w:val="auto"/>
                <w:szCs w:val="21"/>
                <w:highlight w:val="none"/>
              </w:rPr>
            </w:pPr>
          </w:p>
        </w:tc>
        <w:tc>
          <w:tcPr>
            <w:tcW w:w="1124" w:type="dxa"/>
            <w:shd w:val="clear" w:color="auto" w:fill="auto"/>
            <w:vAlign w:val="center"/>
          </w:tcPr>
          <w:p w14:paraId="0F114C75">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培训方案</w:t>
            </w:r>
          </w:p>
        </w:tc>
        <w:tc>
          <w:tcPr>
            <w:tcW w:w="736" w:type="dxa"/>
            <w:shd w:val="clear" w:color="auto" w:fill="auto"/>
            <w:vAlign w:val="center"/>
          </w:tcPr>
          <w:p w14:paraId="58923EA6">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分</w:t>
            </w:r>
          </w:p>
        </w:tc>
        <w:tc>
          <w:tcPr>
            <w:tcW w:w="6427" w:type="dxa"/>
            <w:shd w:val="clear" w:color="auto" w:fill="FFFFFF"/>
          </w:tcPr>
          <w:p w14:paraId="1BE3910E">
            <w:pPr>
              <w:spacing w:after="5"/>
              <w:ind w:left="1"/>
              <w:rPr>
                <w:rFonts w:ascii="宋体" w:hAnsi="宋体" w:cs="宋体"/>
                <w:color w:val="auto"/>
                <w:szCs w:val="21"/>
                <w:highlight w:val="none"/>
              </w:rPr>
            </w:pPr>
            <w:r>
              <w:rPr>
                <w:rFonts w:hint="eastAsia" w:ascii="宋体" w:hAnsi="宋体" w:cs="宋体"/>
                <w:color w:val="auto"/>
                <w:szCs w:val="21"/>
                <w:highlight w:val="none"/>
              </w:rPr>
              <w:t>投标人为本项目配置的岗位人员的岗前培训、日常培训计划方案的完整性及合理性：</w:t>
            </w:r>
          </w:p>
          <w:p w14:paraId="740B1D42">
            <w:pPr>
              <w:spacing w:after="5"/>
              <w:ind w:left="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方案全面完整</w:t>
            </w:r>
            <w:r>
              <w:rPr>
                <w:rFonts w:hint="eastAsia" w:ascii="宋体" w:hAnsi="宋体" w:cs="宋体"/>
                <w:color w:val="auto"/>
                <w:szCs w:val="21"/>
                <w:highlight w:val="none"/>
                <w:lang w:val="en-US" w:eastAsia="zh-CN"/>
              </w:rPr>
              <w:t>的，得8</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7D794311">
            <w:pPr>
              <w:spacing w:after="5"/>
              <w:ind w:left="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方案较完整</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得5</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5651BE99">
            <w:pPr>
              <w:spacing w:after="5"/>
              <w:ind w:left="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方案简单</w:t>
            </w:r>
            <w:r>
              <w:rPr>
                <w:rFonts w:hint="eastAsia" w:ascii="宋体" w:hAnsi="宋体" w:cs="宋体"/>
                <w:color w:val="auto"/>
                <w:szCs w:val="21"/>
                <w:highlight w:val="none"/>
                <w:lang w:val="en-US" w:eastAsia="zh-CN"/>
              </w:rPr>
              <w:t>的，</w:t>
            </w:r>
            <w:r>
              <w:rPr>
                <w:rFonts w:hint="eastAsia" w:ascii="宋体" w:hAnsi="宋体" w:cs="宋体"/>
                <w:color w:val="auto"/>
                <w:szCs w:val="21"/>
                <w:highlight w:val="none"/>
              </w:rPr>
              <w:t>2分</w:t>
            </w:r>
            <w:r>
              <w:rPr>
                <w:rFonts w:hint="eastAsia" w:ascii="宋体" w:hAnsi="宋体" w:cs="宋体"/>
                <w:color w:val="auto"/>
                <w:szCs w:val="21"/>
                <w:highlight w:val="none"/>
                <w:lang w:eastAsia="zh-CN"/>
              </w:rPr>
              <w:t>；</w:t>
            </w:r>
          </w:p>
          <w:p w14:paraId="07906DF8">
            <w:pPr>
              <w:spacing w:after="5"/>
              <w:ind w:left="1"/>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17AA273F">
            <w:pPr>
              <w:rPr>
                <w:rFonts w:ascii="宋体" w:hAnsi="宋体" w:cs="宋体"/>
                <w:color w:val="auto"/>
                <w:szCs w:val="21"/>
                <w:highlight w:val="none"/>
              </w:rPr>
            </w:pPr>
          </w:p>
        </w:tc>
      </w:tr>
      <w:tr w14:paraId="0044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63" w:type="dxa"/>
            <w:vMerge w:val="continue"/>
            <w:shd w:val="clear" w:color="auto" w:fill="auto"/>
            <w:vAlign w:val="center"/>
          </w:tcPr>
          <w:p w14:paraId="3108F3B1">
            <w:pPr>
              <w:jc w:val="center"/>
              <w:textAlignment w:val="center"/>
              <w:rPr>
                <w:rFonts w:ascii="宋体" w:hAnsi="宋体" w:cs="宋体"/>
                <w:color w:val="auto"/>
                <w:szCs w:val="21"/>
                <w:highlight w:val="none"/>
              </w:rPr>
            </w:pPr>
          </w:p>
        </w:tc>
        <w:tc>
          <w:tcPr>
            <w:tcW w:w="1124" w:type="dxa"/>
            <w:shd w:val="clear" w:color="auto" w:fill="auto"/>
            <w:vAlign w:val="center"/>
          </w:tcPr>
          <w:p w14:paraId="37AD5EAA">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应急方案</w:t>
            </w:r>
          </w:p>
        </w:tc>
        <w:tc>
          <w:tcPr>
            <w:tcW w:w="736" w:type="dxa"/>
            <w:shd w:val="clear" w:color="auto" w:fill="auto"/>
            <w:vAlign w:val="center"/>
          </w:tcPr>
          <w:p w14:paraId="00DEEB99">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6427" w:type="dxa"/>
            <w:shd w:val="clear" w:color="auto" w:fill="FFFFFF"/>
          </w:tcPr>
          <w:p w14:paraId="2DC0B8F7">
            <w:pPr>
              <w:spacing w:after="5"/>
              <w:ind w:left="1"/>
              <w:rPr>
                <w:rFonts w:ascii="宋体" w:hAnsi="宋体" w:cs="宋体"/>
                <w:color w:val="auto"/>
                <w:szCs w:val="21"/>
                <w:highlight w:val="none"/>
              </w:rPr>
            </w:pPr>
            <w:r>
              <w:rPr>
                <w:rFonts w:hint="eastAsia" w:ascii="宋体" w:hAnsi="宋体" w:cs="宋体"/>
                <w:color w:val="auto"/>
                <w:szCs w:val="21"/>
                <w:highlight w:val="none"/>
              </w:rPr>
              <w:t>投标人针对各类突发事件，编制应急方案，并作出应对措施安排内容：</w:t>
            </w:r>
          </w:p>
          <w:p w14:paraId="53D9CE0B">
            <w:pPr>
              <w:spacing w:after="5"/>
              <w:ind w:left="1"/>
              <w:rPr>
                <w:rFonts w:hint="eastAsia" w:ascii="宋体" w:hAnsi="宋体" w:eastAsia="宋体" w:cs="宋体"/>
                <w:color w:val="auto"/>
                <w:szCs w:val="21"/>
                <w:highlight w:val="none"/>
                <w:lang w:eastAsia="zh-CN"/>
              </w:rPr>
            </w:pPr>
            <w:r>
              <w:rPr>
                <w:rFonts w:ascii="宋体" w:hAnsi="宋体" w:cs="宋体"/>
                <w:color w:val="auto"/>
                <w:szCs w:val="21"/>
                <w:highlight w:val="none"/>
              </w:rPr>
              <w:t>考虑全面、应对得当、措施有效</w:t>
            </w:r>
            <w:r>
              <w:rPr>
                <w:rFonts w:hint="eastAsia" w:ascii="宋体" w:hAnsi="宋体" w:cs="宋体"/>
                <w:color w:val="auto"/>
                <w:szCs w:val="21"/>
                <w:highlight w:val="none"/>
              </w:rPr>
              <w:t>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得5</w:t>
            </w:r>
            <w:r>
              <w:rPr>
                <w:rFonts w:ascii="宋体" w:hAnsi="宋体" w:cs="宋体"/>
                <w:color w:val="auto"/>
                <w:szCs w:val="21"/>
                <w:highlight w:val="none"/>
              </w:rPr>
              <w:t>分</w:t>
            </w:r>
            <w:r>
              <w:rPr>
                <w:rFonts w:hint="eastAsia" w:ascii="宋体" w:hAnsi="宋体" w:cs="宋体"/>
                <w:color w:val="auto"/>
                <w:szCs w:val="21"/>
                <w:highlight w:val="none"/>
                <w:lang w:eastAsia="zh-CN"/>
              </w:rPr>
              <w:t>；</w:t>
            </w:r>
          </w:p>
          <w:p w14:paraId="32E5312F">
            <w:pPr>
              <w:spacing w:after="5"/>
              <w:ind w:left="1"/>
              <w:rPr>
                <w:rFonts w:hint="eastAsia" w:ascii="宋体" w:hAnsi="宋体" w:eastAsia="宋体" w:cs="宋体"/>
                <w:color w:val="auto"/>
                <w:szCs w:val="21"/>
                <w:highlight w:val="none"/>
                <w:lang w:eastAsia="zh-CN"/>
              </w:rPr>
            </w:pPr>
            <w:r>
              <w:rPr>
                <w:rFonts w:ascii="宋体" w:hAnsi="宋体" w:cs="宋体"/>
                <w:color w:val="auto"/>
                <w:szCs w:val="21"/>
                <w:highlight w:val="none"/>
              </w:rPr>
              <w:t>考虑</w:t>
            </w:r>
            <w:r>
              <w:rPr>
                <w:rFonts w:hint="eastAsia" w:ascii="宋体" w:hAnsi="宋体" w:cs="宋体"/>
                <w:color w:val="auto"/>
                <w:szCs w:val="21"/>
                <w:highlight w:val="none"/>
              </w:rPr>
              <w:t>较</w:t>
            </w:r>
            <w:r>
              <w:rPr>
                <w:rFonts w:ascii="宋体" w:hAnsi="宋体" w:cs="宋体"/>
                <w:color w:val="auto"/>
                <w:szCs w:val="21"/>
                <w:highlight w:val="none"/>
              </w:rPr>
              <w:t>全面、</w:t>
            </w:r>
            <w:r>
              <w:rPr>
                <w:rFonts w:hint="eastAsia" w:ascii="宋体" w:hAnsi="宋体" w:cs="宋体"/>
                <w:color w:val="auto"/>
                <w:szCs w:val="21"/>
                <w:highlight w:val="none"/>
              </w:rPr>
              <w:t>措施较有效</w:t>
            </w:r>
            <w:r>
              <w:rPr>
                <w:rFonts w:hint="eastAsia" w:ascii="宋体" w:hAnsi="宋体" w:cs="宋体"/>
                <w:color w:val="auto"/>
                <w:szCs w:val="21"/>
                <w:highlight w:val="none"/>
                <w:lang w:val="en-US" w:eastAsia="zh-CN"/>
              </w:rPr>
              <w:t>的，得3</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7AD18A96">
            <w:pPr>
              <w:spacing w:after="5"/>
              <w:ind w:left="1"/>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方案简单，</w:t>
            </w:r>
            <w:r>
              <w:rPr>
                <w:rFonts w:ascii="宋体" w:hAnsi="宋体" w:cs="宋体"/>
                <w:color w:val="auto"/>
                <w:szCs w:val="21"/>
                <w:highlight w:val="none"/>
              </w:rPr>
              <w:t>应对</w:t>
            </w:r>
            <w:r>
              <w:rPr>
                <w:rFonts w:hint="eastAsia" w:ascii="宋体" w:hAnsi="宋体" w:cs="宋体"/>
                <w:color w:val="auto"/>
                <w:szCs w:val="21"/>
                <w:highlight w:val="none"/>
                <w:lang w:eastAsia="zh-CN"/>
              </w:rPr>
              <w:t>不力</w:t>
            </w:r>
            <w:r>
              <w:rPr>
                <w:rFonts w:ascii="宋体" w:hAnsi="宋体" w:cs="宋体"/>
                <w:color w:val="auto"/>
                <w:szCs w:val="21"/>
                <w:highlight w:val="none"/>
              </w:rPr>
              <w:t>、措施</w:t>
            </w:r>
            <w:r>
              <w:rPr>
                <w:rFonts w:hint="eastAsia" w:ascii="宋体" w:hAnsi="宋体" w:cs="宋体"/>
                <w:color w:val="auto"/>
                <w:szCs w:val="21"/>
                <w:highlight w:val="none"/>
                <w:lang w:val="en-US" w:eastAsia="zh-CN"/>
              </w:rPr>
              <w:t>较差的，得1</w:t>
            </w:r>
            <w:r>
              <w:rPr>
                <w:rFonts w:hint="eastAsia" w:ascii="宋体" w:hAnsi="宋体" w:cs="宋体"/>
                <w:color w:val="auto"/>
                <w:szCs w:val="21"/>
                <w:highlight w:val="none"/>
              </w:rPr>
              <w:t>分</w:t>
            </w:r>
            <w:r>
              <w:rPr>
                <w:rFonts w:hint="eastAsia" w:ascii="宋体" w:hAnsi="宋体" w:cs="宋体"/>
                <w:color w:val="auto"/>
                <w:szCs w:val="21"/>
                <w:highlight w:val="none"/>
                <w:lang w:eastAsia="zh-CN"/>
              </w:rPr>
              <w:t>；</w:t>
            </w:r>
          </w:p>
          <w:p w14:paraId="3C641A85">
            <w:pPr>
              <w:spacing w:after="5"/>
              <w:ind w:left="1"/>
              <w:rPr>
                <w:rFonts w:ascii="宋体" w:hAnsi="宋体" w:cs="宋体"/>
                <w:color w:val="auto"/>
                <w:szCs w:val="21"/>
                <w:highlight w:val="none"/>
              </w:rPr>
            </w:pPr>
            <w:r>
              <w:rPr>
                <w:rFonts w:ascii="宋体" w:hAnsi="宋体" w:cs="宋体"/>
                <w:color w:val="auto"/>
                <w:szCs w:val="21"/>
                <w:highlight w:val="none"/>
              </w:rPr>
              <w:t>未提供此项的</w:t>
            </w:r>
            <w:r>
              <w:rPr>
                <w:rFonts w:hint="eastAsia" w:ascii="宋体" w:hAnsi="宋体" w:cs="宋体"/>
                <w:color w:val="auto"/>
                <w:szCs w:val="21"/>
                <w:highlight w:val="none"/>
              </w:rPr>
              <w:t>不得分。</w:t>
            </w:r>
          </w:p>
        </w:tc>
        <w:tc>
          <w:tcPr>
            <w:tcW w:w="768" w:type="dxa"/>
            <w:vAlign w:val="center"/>
          </w:tcPr>
          <w:p w14:paraId="580584CF">
            <w:pPr>
              <w:rPr>
                <w:rFonts w:ascii="宋体" w:hAnsi="宋体" w:cs="宋体"/>
                <w:color w:val="auto"/>
                <w:szCs w:val="21"/>
                <w:highlight w:val="none"/>
              </w:rPr>
            </w:pPr>
          </w:p>
        </w:tc>
      </w:tr>
      <w:tr w14:paraId="7012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63" w:type="dxa"/>
            <w:vMerge w:val="continue"/>
            <w:shd w:val="clear" w:color="auto" w:fill="auto"/>
            <w:vAlign w:val="center"/>
          </w:tcPr>
          <w:p w14:paraId="16D30CC3">
            <w:pPr>
              <w:jc w:val="center"/>
              <w:textAlignment w:val="center"/>
              <w:rPr>
                <w:rFonts w:ascii="宋体" w:hAnsi="宋体" w:cs="宋体"/>
                <w:color w:val="auto"/>
                <w:szCs w:val="21"/>
                <w:highlight w:val="none"/>
              </w:rPr>
            </w:pPr>
          </w:p>
        </w:tc>
        <w:tc>
          <w:tcPr>
            <w:tcW w:w="1124" w:type="dxa"/>
            <w:shd w:val="clear" w:color="auto" w:fill="auto"/>
            <w:vAlign w:val="center"/>
          </w:tcPr>
          <w:p w14:paraId="072104E9">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服务质量保证措施</w:t>
            </w:r>
          </w:p>
        </w:tc>
        <w:tc>
          <w:tcPr>
            <w:tcW w:w="736" w:type="dxa"/>
            <w:shd w:val="clear" w:color="auto" w:fill="auto"/>
            <w:vAlign w:val="center"/>
          </w:tcPr>
          <w:p w14:paraId="1344847A">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分</w:t>
            </w:r>
          </w:p>
        </w:tc>
        <w:tc>
          <w:tcPr>
            <w:tcW w:w="6427" w:type="dxa"/>
            <w:shd w:val="clear" w:color="auto" w:fill="FFFFFF"/>
          </w:tcPr>
          <w:p w14:paraId="0ACD2CF5">
            <w:pPr>
              <w:jc w:val="left"/>
              <w:rPr>
                <w:rFonts w:ascii="宋体" w:hAnsi="宋体" w:cs="宋体"/>
                <w:color w:val="auto"/>
                <w:szCs w:val="21"/>
                <w:highlight w:val="none"/>
              </w:rPr>
            </w:pPr>
            <w:r>
              <w:rPr>
                <w:rFonts w:hint="eastAsia" w:ascii="宋体" w:hAnsi="宋体" w:cs="宋体"/>
                <w:color w:val="auto"/>
                <w:szCs w:val="21"/>
                <w:highlight w:val="none"/>
              </w:rPr>
              <w:t>服务质量保证制度建设情况的完善性、保障性、可行性：制度建设全面，合理有保障的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得6</w:t>
            </w:r>
            <w:r>
              <w:rPr>
                <w:rFonts w:hint="eastAsia" w:ascii="宋体" w:hAnsi="宋体" w:cs="宋体"/>
                <w:color w:val="auto"/>
                <w:szCs w:val="21"/>
                <w:highlight w:val="none"/>
              </w:rPr>
              <w:t>分；</w:t>
            </w:r>
          </w:p>
          <w:p w14:paraId="0E2C80D7">
            <w:pPr>
              <w:jc w:val="left"/>
              <w:rPr>
                <w:rFonts w:ascii="宋体" w:hAnsi="宋体" w:cs="宋体"/>
                <w:color w:val="auto"/>
                <w:szCs w:val="21"/>
                <w:highlight w:val="none"/>
              </w:rPr>
            </w:pPr>
            <w:r>
              <w:rPr>
                <w:rFonts w:hint="eastAsia" w:ascii="宋体" w:hAnsi="宋体" w:cs="宋体"/>
                <w:color w:val="auto"/>
                <w:szCs w:val="21"/>
                <w:highlight w:val="none"/>
              </w:rPr>
              <w:t>制度建设基本合理，部分可行</w:t>
            </w:r>
            <w:r>
              <w:rPr>
                <w:rFonts w:hint="eastAsia" w:ascii="宋体" w:hAnsi="宋体" w:cs="宋体"/>
                <w:color w:val="auto"/>
                <w:szCs w:val="21"/>
                <w:highlight w:val="none"/>
                <w:lang w:val="en-US" w:eastAsia="zh-CN"/>
              </w:rPr>
              <w:t>的，得4</w:t>
            </w:r>
            <w:r>
              <w:rPr>
                <w:rFonts w:hint="eastAsia" w:ascii="宋体" w:hAnsi="宋体" w:cs="宋体"/>
                <w:color w:val="auto"/>
                <w:szCs w:val="21"/>
                <w:highlight w:val="none"/>
              </w:rPr>
              <w:t>分；</w:t>
            </w:r>
          </w:p>
          <w:p w14:paraId="2C5F276C">
            <w:pPr>
              <w:jc w:val="left"/>
              <w:rPr>
                <w:rFonts w:ascii="宋体" w:hAnsi="宋体" w:cs="宋体"/>
                <w:color w:val="auto"/>
                <w:szCs w:val="21"/>
                <w:highlight w:val="none"/>
              </w:rPr>
            </w:pPr>
            <w:r>
              <w:rPr>
                <w:rFonts w:hint="eastAsia" w:ascii="宋体" w:hAnsi="宋体" w:cs="宋体"/>
                <w:color w:val="auto"/>
                <w:szCs w:val="21"/>
                <w:highlight w:val="none"/>
              </w:rPr>
              <w:t>制度建设缺乏有效性和针对性</w:t>
            </w:r>
            <w:r>
              <w:rPr>
                <w:rFonts w:hint="eastAsia" w:ascii="宋体" w:hAnsi="宋体" w:cs="宋体"/>
                <w:color w:val="auto"/>
                <w:szCs w:val="21"/>
                <w:highlight w:val="none"/>
                <w:lang w:val="en-US" w:eastAsia="zh-CN"/>
              </w:rPr>
              <w:t>的，得</w:t>
            </w:r>
            <w:r>
              <w:rPr>
                <w:rFonts w:ascii="宋体" w:hAnsi="宋体" w:cs="宋体"/>
                <w:color w:val="auto"/>
                <w:szCs w:val="21"/>
                <w:highlight w:val="none"/>
              </w:rPr>
              <w:t>2</w:t>
            </w:r>
            <w:r>
              <w:rPr>
                <w:rFonts w:hint="eastAsia" w:ascii="宋体" w:hAnsi="宋体" w:cs="宋体"/>
                <w:color w:val="auto"/>
                <w:szCs w:val="21"/>
                <w:highlight w:val="none"/>
              </w:rPr>
              <w:t>分；</w:t>
            </w:r>
          </w:p>
          <w:p w14:paraId="7851A1BB">
            <w:pPr>
              <w:jc w:val="left"/>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2BA2F826">
            <w:pPr>
              <w:rPr>
                <w:rFonts w:ascii="宋体" w:hAnsi="宋体" w:cs="宋体"/>
                <w:color w:val="auto"/>
                <w:szCs w:val="21"/>
                <w:highlight w:val="none"/>
              </w:rPr>
            </w:pPr>
          </w:p>
        </w:tc>
      </w:tr>
      <w:tr w14:paraId="06B60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1163" w:type="dxa"/>
            <w:vMerge w:val="continue"/>
            <w:shd w:val="clear" w:color="auto" w:fill="auto"/>
            <w:vAlign w:val="center"/>
          </w:tcPr>
          <w:p w14:paraId="6BE7DA85">
            <w:pPr>
              <w:jc w:val="center"/>
              <w:textAlignment w:val="center"/>
              <w:rPr>
                <w:rFonts w:ascii="宋体" w:hAnsi="宋体" w:cs="宋体"/>
                <w:color w:val="auto"/>
                <w:szCs w:val="21"/>
                <w:highlight w:val="none"/>
              </w:rPr>
            </w:pPr>
          </w:p>
        </w:tc>
        <w:tc>
          <w:tcPr>
            <w:tcW w:w="1124" w:type="dxa"/>
            <w:shd w:val="clear" w:color="auto" w:fill="auto"/>
            <w:vAlign w:val="center"/>
          </w:tcPr>
          <w:p w14:paraId="3034463B">
            <w:pPr>
              <w:autoSpaceDE w:val="0"/>
              <w:autoSpaceDN w:val="0"/>
              <w:adjustRightInd w:val="0"/>
              <w:jc w:val="center"/>
              <w:rPr>
                <w:rFonts w:ascii="宋体" w:hAnsi="宋体" w:cs="宋体"/>
                <w:color w:val="auto"/>
                <w:kern w:val="0"/>
                <w:szCs w:val="21"/>
                <w:highlight w:val="none"/>
              </w:rPr>
            </w:pPr>
            <w:r>
              <w:rPr>
                <w:rFonts w:hint="eastAsia" w:ascii="宋体" w:hAnsi="宋体" w:cs="宋体"/>
                <w:color w:val="auto"/>
                <w:kern w:val="0"/>
                <w:szCs w:val="21"/>
                <w:highlight w:val="none"/>
              </w:rPr>
              <w:t>合理化建议</w:t>
            </w:r>
          </w:p>
        </w:tc>
        <w:tc>
          <w:tcPr>
            <w:tcW w:w="736" w:type="dxa"/>
            <w:shd w:val="clear" w:color="auto" w:fill="auto"/>
            <w:vAlign w:val="center"/>
          </w:tcPr>
          <w:p w14:paraId="67BE63BC">
            <w:pPr>
              <w:widowControl/>
              <w:jc w:val="center"/>
              <w:textAlignment w:val="center"/>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c>
          <w:tcPr>
            <w:tcW w:w="6427" w:type="dxa"/>
            <w:shd w:val="clear" w:color="auto" w:fill="FFFFFF"/>
            <w:vAlign w:val="center"/>
          </w:tcPr>
          <w:p w14:paraId="2EE01B50">
            <w:pPr>
              <w:jc w:val="left"/>
              <w:rPr>
                <w:rFonts w:ascii="宋体" w:hAnsi="宋体" w:cs="宋体"/>
                <w:color w:val="auto"/>
                <w:szCs w:val="21"/>
                <w:highlight w:val="none"/>
              </w:rPr>
            </w:pPr>
            <w:r>
              <w:rPr>
                <w:rFonts w:hint="eastAsia" w:ascii="宋体" w:hAnsi="宋体" w:cs="宋体"/>
                <w:color w:val="auto"/>
                <w:szCs w:val="21"/>
                <w:highlight w:val="none"/>
              </w:rPr>
              <w:t>投标人依据本项目服务要求提出的合理化建议。</w:t>
            </w:r>
          </w:p>
          <w:p w14:paraId="1710ACE0">
            <w:pPr>
              <w:jc w:val="left"/>
              <w:rPr>
                <w:rFonts w:ascii="宋体" w:hAnsi="宋体" w:cs="宋体"/>
                <w:color w:val="auto"/>
                <w:szCs w:val="21"/>
                <w:highlight w:val="none"/>
              </w:rPr>
            </w:pPr>
            <w:r>
              <w:rPr>
                <w:rFonts w:hint="eastAsia" w:ascii="宋体" w:hAnsi="宋体" w:cs="宋体"/>
                <w:color w:val="auto"/>
                <w:szCs w:val="21"/>
                <w:highlight w:val="none"/>
              </w:rPr>
              <w:t>建议合理，可实现性强，具有改进意义的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得5</w:t>
            </w:r>
            <w:r>
              <w:rPr>
                <w:rFonts w:hint="eastAsia" w:ascii="宋体" w:hAnsi="宋体" w:cs="宋体"/>
                <w:color w:val="auto"/>
                <w:szCs w:val="21"/>
                <w:highlight w:val="none"/>
              </w:rPr>
              <w:t>分；</w:t>
            </w:r>
          </w:p>
          <w:p w14:paraId="701C9118">
            <w:pPr>
              <w:jc w:val="left"/>
              <w:rPr>
                <w:rFonts w:ascii="宋体" w:hAnsi="宋体" w:cs="宋体"/>
                <w:color w:val="auto"/>
                <w:szCs w:val="21"/>
                <w:highlight w:val="none"/>
              </w:rPr>
            </w:pPr>
            <w:r>
              <w:rPr>
                <w:rFonts w:hint="eastAsia" w:ascii="宋体" w:hAnsi="宋体" w:cs="宋体"/>
                <w:color w:val="auto"/>
                <w:szCs w:val="21"/>
                <w:highlight w:val="none"/>
              </w:rPr>
              <w:t>建议部分有改进意义的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得3</w:t>
            </w:r>
            <w:r>
              <w:rPr>
                <w:rFonts w:hint="eastAsia" w:ascii="宋体" w:hAnsi="宋体" w:cs="宋体"/>
                <w:color w:val="auto"/>
                <w:szCs w:val="21"/>
                <w:highlight w:val="none"/>
              </w:rPr>
              <w:t>分；</w:t>
            </w:r>
          </w:p>
          <w:p w14:paraId="0BCB80CA">
            <w:pPr>
              <w:jc w:val="left"/>
              <w:rPr>
                <w:rFonts w:ascii="宋体" w:hAnsi="宋体" w:cs="宋体"/>
                <w:color w:val="auto"/>
                <w:szCs w:val="21"/>
                <w:highlight w:val="none"/>
              </w:rPr>
            </w:pPr>
            <w:r>
              <w:rPr>
                <w:rFonts w:hint="eastAsia" w:ascii="宋体" w:hAnsi="宋体" w:cs="宋体"/>
                <w:color w:val="auto"/>
                <w:szCs w:val="21"/>
                <w:highlight w:val="none"/>
              </w:rPr>
              <w:t>建议可实现性较差，几乎没有改进意义的</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得1</w:t>
            </w:r>
            <w:r>
              <w:rPr>
                <w:rFonts w:hint="eastAsia" w:ascii="宋体" w:hAnsi="宋体" w:cs="宋体"/>
                <w:color w:val="auto"/>
                <w:szCs w:val="21"/>
                <w:highlight w:val="none"/>
              </w:rPr>
              <w:t>分；</w:t>
            </w:r>
          </w:p>
          <w:p w14:paraId="7DE205B8">
            <w:pPr>
              <w:jc w:val="left"/>
              <w:rPr>
                <w:rFonts w:ascii="宋体" w:hAnsi="宋体" w:cs="宋体"/>
                <w:color w:val="auto"/>
                <w:szCs w:val="21"/>
                <w:highlight w:val="none"/>
              </w:rPr>
            </w:pPr>
            <w:r>
              <w:rPr>
                <w:rFonts w:hint="eastAsia" w:ascii="宋体" w:hAnsi="宋体" w:cs="宋体"/>
                <w:color w:val="auto"/>
                <w:szCs w:val="21"/>
                <w:highlight w:val="none"/>
              </w:rPr>
              <w:t>未提及此项不得分。</w:t>
            </w:r>
          </w:p>
        </w:tc>
        <w:tc>
          <w:tcPr>
            <w:tcW w:w="768" w:type="dxa"/>
            <w:vAlign w:val="center"/>
          </w:tcPr>
          <w:p w14:paraId="1958EFD8">
            <w:pPr>
              <w:rPr>
                <w:rFonts w:ascii="宋体" w:hAnsi="宋体" w:cs="宋体"/>
                <w:color w:val="auto"/>
                <w:szCs w:val="21"/>
                <w:highlight w:val="none"/>
              </w:rPr>
            </w:pPr>
          </w:p>
        </w:tc>
      </w:tr>
      <w:tr w14:paraId="76D6B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163" w:type="dxa"/>
            <w:vAlign w:val="center"/>
          </w:tcPr>
          <w:p w14:paraId="042740F3">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w:t>
            </w:r>
          </w:p>
          <w:p w14:paraId="264EF122">
            <w:pPr>
              <w:widowControl/>
              <w:jc w:val="center"/>
              <w:textAlignment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部分</w:t>
            </w:r>
          </w:p>
          <w:p w14:paraId="07C2F394">
            <w:pPr>
              <w:widowControl/>
              <w:jc w:val="center"/>
              <w:textAlignment w:val="center"/>
              <w:rPr>
                <w:rFonts w:ascii="宋体" w:hAnsi="宋体" w:cs="宋体"/>
                <w:b/>
                <w:bCs/>
                <w:color w:val="auto"/>
                <w:szCs w:val="21"/>
                <w:highlight w:val="none"/>
              </w:rPr>
            </w:pPr>
            <w:r>
              <w:rPr>
                <w:rFonts w:hint="eastAsia" w:ascii="宋体" w:hAnsi="宋体" w:cs="宋体"/>
                <w:b/>
                <w:bCs/>
                <w:color w:val="auto"/>
                <w:kern w:val="0"/>
                <w:szCs w:val="21"/>
                <w:highlight w:val="none"/>
              </w:rPr>
              <w:t>（10分）</w:t>
            </w:r>
          </w:p>
        </w:tc>
        <w:tc>
          <w:tcPr>
            <w:tcW w:w="1124" w:type="dxa"/>
            <w:vAlign w:val="center"/>
          </w:tcPr>
          <w:p w14:paraId="708C413C">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价格分</w:t>
            </w:r>
          </w:p>
        </w:tc>
        <w:tc>
          <w:tcPr>
            <w:tcW w:w="736" w:type="dxa"/>
            <w:vAlign w:val="center"/>
          </w:tcPr>
          <w:p w14:paraId="09F89EEF">
            <w:pPr>
              <w:widowControl/>
              <w:jc w:val="center"/>
              <w:textAlignment w:val="center"/>
              <w:rPr>
                <w:rFonts w:ascii="宋体" w:hAnsi="宋体" w:cs="宋体"/>
                <w:color w:val="auto"/>
                <w:szCs w:val="21"/>
                <w:highlight w:val="none"/>
              </w:rPr>
            </w:pPr>
            <w:r>
              <w:rPr>
                <w:rFonts w:hint="eastAsia" w:ascii="宋体" w:hAnsi="宋体" w:cs="宋体"/>
                <w:color w:val="auto"/>
                <w:kern w:val="0"/>
                <w:szCs w:val="21"/>
                <w:highlight w:val="none"/>
              </w:rPr>
              <w:t>10分</w:t>
            </w:r>
          </w:p>
        </w:tc>
        <w:tc>
          <w:tcPr>
            <w:tcW w:w="6427" w:type="dxa"/>
            <w:vAlign w:val="center"/>
          </w:tcPr>
          <w:p w14:paraId="0CFF4F82">
            <w:pPr>
              <w:widowControl/>
              <w:jc w:val="left"/>
              <w:textAlignment w:val="center"/>
              <w:rPr>
                <w:rFonts w:ascii="宋体" w:hAnsi="宋体" w:cs="宋体"/>
                <w:color w:val="auto"/>
                <w:kern w:val="0"/>
                <w:szCs w:val="21"/>
                <w:highlight w:val="none"/>
              </w:rPr>
            </w:pPr>
            <w:r>
              <w:rPr>
                <w:rFonts w:hint="eastAsia" w:ascii="宋体" w:hAnsi="宋体" w:cs="宋体"/>
                <w:color w:val="auto"/>
                <w:kern w:val="0"/>
                <w:szCs w:val="21"/>
                <w:highlight w:val="none"/>
              </w:rPr>
              <w:t>满足招标文件要求且有效投标价格最低的投标报价作为评标基准价，其价格分为满分；其他投标人的价格分统一按照下列公式计算：</w:t>
            </w:r>
          </w:p>
          <w:p w14:paraId="415E08EA">
            <w:pPr>
              <w:widowControl/>
              <w:jc w:val="left"/>
              <w:textAlignment w:val="center"/>
              <w:rPr>
                <w:rFonts w:ascii="宋体" w:hAnsi="宋体" w:cs="宋体"/>
                <w:color w:val="auto"/>
                <w:szCs w:val="21"/>
                <w:highlight w:val="none"/>
              </w:rPr>
            </w:pPr>
            <w:r>
              <w:rPr>
                <w:rFonts w:hint="eastAsia" w:ascii="宋体" w:hAnsi="宋体" w:cs="宋体"/>
                <w:color w:val="auto"/>
                <w:kern w:val="0"/>
                <w:szCs w:val="21"/>
                <w:highlight w:val="none"/>
              </w:rPr>
              <w:t>价格得分＝（评标基准价/投标报价）×价格权重×100。</w:t>
            </w:r>
          </w:p>
        </w:tc>
        <w:tc>
          <w:tcPr>
            <w:tcW w:w="768" w:type="dxa"/>
            <w:vAlign w:val="center"/>
          </w:tcPr>
          <w:p w14:paraId="07EFDA1A">
            <w:pPr>
              <w:rPr>
                <w:rFonts w:ascii="宋体" w:hAnsi="宋体" w:cs="宋体"/>
                <w:color w:val="auto"/>
                <w:szCs w:val="21"/>
                <w:highlight w:val="none"/>
              </w:rPr>
            </w:pPr>
          </w:p>
        </w:tc>
      </w:tr>
    </w:tbl>
    <w:p w14:paraId="2178A244">
      <w:pPr>
        <w:spacing w:line="360" w:lineRule="auto"/>
        <w:jc w:val="both"/>
        <w:rPr>
          <w:rFonts w:hint="eastAsia" w:ascii="黑体" w:hAnsi="宋体" w:eastAsia="黑体"/>
          <w:color w:val="auto"/>
          <w:sz w:val="30"/>
          <w:highlight w:val="none"/>
        </w:rPr>
      </w:pPr>
    </w:p>
    <w:p w14:paraId="1DC53141">
      <w:pPr>
        <w:spacing w:line="360" w:lineRule="auto"/>
        <w:ind w:right="-341"/>
        <w:jc w:val="left"/>
        <w:rPr>
          <w:rFonts w:hint="eastAsia" w:ascii="宋体" w:hAnsi="宋体" w:eastAsia="宋体" w:cs="宋体"/>
          <w:b/>
          <w:bCs/>
          <w:color w:val="auto"/>
          <w:sz w:val="21"/>
          <w:szCs w:val="21"/>
          <w:highlight w:val="none"/>
          <w:lang w:val="en-US" w:eastAsia="zh-CN"/>
        </w:rPr>
      </w:pPr>
    </w:p>
    <w:p w14:paraId="266800B8">
      <w:pPr>
        <w:spacing w:line="360" w:lineRule="auto"/>
        <w:jc w:val="center"/>
        <w:rPr>
          <w:rFonts w:hint="eastAsia" w:ascii="黑体" w:hAnsi="宋体" w:eastAsia="黑体"/>
          <w:color w:val="auto"/>
          <w:sz w:val="30"/>
          <w:highlight w:val="none"/>
        </w:rPr>
      </w:pPr>
    </w:p>
    <w:p w14:paraId="4ACC17CB">
      <w:pPr>
        <w:spacing w:line="360" w:lineRule="auto"/>
        <w:jc w:val="both"/>
        <w:rPr>
          <w:rFonts w:hint="eastAsia" w:ascii="黑体" w:hAnsi="宋体" w:eastAsia="黑体"/>
          <w:color w:val="auto"/>
          <w:sz w:val="30"/>
          <w:highlight w:val="none"/>
        </w:rPr>
      </w:pPr>
    </w:p>
    <w:p w14:paraId="00DE9B68">
      <w:pPr>
        <w:spacing w:line="360" w:lineRule="auto"/>
        <w:jc w:val="center"/>
        <w:rPr>
          <w:rFonts w:ascii="宋体" w:hAnsi="宋体"/>
          <w:b/>
          <w:color w:val="auto"/>
          <w:kern w:val="0"/>
          <w:szCs w:val="20"/>
          <w:highlight w:val="none"/>
        </w:rPr>
      </w:pPr>
      <w:r>
        <w:rPr>
          <w:rFonts w:hint="eastAsia" w:ascii="黑体" w:hAnsi="宋体" w:eastAsia="黑体"/>
          <w:color w:val="auto"/>
          <w:sz w:val="30"/>
          <w:highlight w:val="none"/>
        </w:rPr>
        <w:t>第五章  合同主要条款</w:t>
      </w:r>
    </w:p>
    <w:p w14:paraId="1C56209F">
      <w:pPr>
        <w:snapToGrid w:val="0"/>
        <w:spacing w:line="360" w:lineRule="auto"/>
        <w:jc w:val="center"/>
        <w:rPr>
          <w:rFonts w:ascii="宋体" w:hAnsi="宋体"/>
          <w:b/>
          <w:color w:val="auto"/>
          <w:sz w:val="24"/>
          <w:highlight w:val="none"/>
        </w:rPr>
      </w:pPr>
      <w:bookmarkStart w:id="2" w:name="_Hlk119311606"/>
    </w:p>
    <w:p w14:paraId="53621D0C">
      <w:pPr>
        <w:snapToGrid w:val="0"/>
        <w:spacing w:line="360" w:lineRule="auto"/>
        <w:jc w:val="center"/>
        <w:rPr>
          <w:rFonts w:ascii="宋体" w:hAnsi="宋体"/>
          <w:b/>
          <w:color w:val="auto"/>
          <w:kern w:val="0"/>
          <w:szCs w:val="22"/>
          <w:highlight w:val="none"/>
        </w:rPr>
      </w:pPr>
      <w:r>
        <w:rPr>
          <w:rFonts w:hint="eastAsia" w:ascii="宋体" w:hAnsi="宋体"/>
          <w:b/>
          <w:color w:val="auto"/>
          <w:sz w:val="24"/>
          <w:highlight w:val="none"/>
        </w:rPr>
        <w:t>采购合同</w:t>
      </w:r>
      <w:r>
        <w:rPr>
          <w:rFonts w:hint="eastAsia" w:ascii="宋体" w:hAnsi="宋体"/>
          <w:b/>
          <w:color w:val="auto"/>
          <w:sz w:val="24"/>
          <w:highlight w:val="none"/>
          <w:lang w:eastAsia="zh-CN"/>
        </w:rPr>
        <w:t>（</w:t>
      </w:r>
      <w:r>
        <w:rPr>
          <w:rFonts w:hint="eastAsia" w:ascii="宋体" w:hAnsi="宋体"/>
          <w:b/>
          <w:color w:val="auto"/>
          <w:sz w:val="24"/>
          <w:highlight w:val="none"/>
        </w:rPr>
        <w:t>仅供参考</w:t>
      </w:r>
      <w:r>
        <w:rPr>
          <w:rFonts w:hint="eastAsia" w:ascii="宋体" w:hAnsi="宋体"/>
          <w:b/>
          <w:color w:val="auto"/>
          <w:sz w:val="24"/>
          <w:highlight w:val="none"/>
          <w:lang w:eastAsia="zh-CN"/>
        </w:rPr>
        <w:t>）</w:t>
      </w:r>
    </w:p>
    <w:p w14:paraId="1E001370">
      <w:pPr>
        <w:spacing w:line="360" w:lineRule="auto"/>
        <w:ind w:firstLine="1256" w:firstLineChars="596"/>
        <w:rPr>
          <w:rFonts w:ascii="宋体" w:hAnsi="宋体" w:cs="宋体"/>
          <w:color w:val="auto"/>
          <w:szCs w:val="21"/>
          <w:highlight w:val="none"/>
        </w:rPr>
      </w:pPr>
      <w:r>
        <w:rPr>
          <w:rFonts w:hint="eastAsia" w:ascii="宋体" w:hAnsi="宋体"/>
          <w:b/>
          <w:color w:val="auto"/>
          <w:kern w:val="0"/>
          <w:szCs w:val="22"/>
          <w:highlight w:val="none"/>
        </w:rPr>
        <w:t>招标文件、中标人的投标文件及其澄清文件等，均为合同的组成</w:t>
      </w:r>
      <w:r>
        <w:rPr>
          <w:rFonts w:hint="eastAsia" w:ascii="宋体" w:hAnsi="宋体"/>
          <w:b/>
          <w:color w:val="auto"/>
          <w:kern w:val="0"/>
          <w:szCs w:val="22"/>
          <w:highlight w:val="none"/>
          <w:lang w:eastAsia="zh-CN"/>
        </w:rPr>
        <w:t>部分</w:t>
      </w:r>
      <w:r>
        <w:rPr>
          <w:rFonts w:hint="eastAsia" w:ascii="宋体" w:hAnsi="宋体"/>
          <w:b/>
          <w:color w:val="auto"/>
          <w:kern w:val="0"/>
          <w:szCs w:val="22"/>
          <w:highlight w:val="none"/>
        </w:rPr>
        <w:t>。</w:t>
      </w:r>
    </w:p>
    <w:p w14:paraId="26AED3E3">
      <w:pPr>
        <w:spacing w:line="360" w:lineRule="auto"/>
        <w:ind w:firstLine="1365" w:firstLineChars="650"/>
        <w:rPr>
          <w:rFonts w:ascii="宋体" w:hAnsi="宋体" w:eastAsia="宋体"/>
          <w:color w:val="auto"/>
          <w:highlight w:val="none"/>
        </w:rPr>
      </w:pPr>
      <w:r>
        <w:rPr>
          <w:rFonts w:hint="eastAsia" w:ascii="宋体" w:hAnsi="宋体" w:eastAsia="宋体"/>
          <w:color w:val="auto"/>
          <w:highlight w:val="none"/>
        </w:rPr>
        <w:t>此合同由</w:t>
      </w:r>
      <w:r>
        <w:rPr>
          <w:rFonts w:hint="eastAsia" w:ascii="宋体" w:hAnsi="宋体"/>
          <w:b/>
          <w:color w:val="auto"/>
          <w:highlight w:val="none"/>
          <w:lang w:eastAsia="zh-CN"/>
        </w:rPr>
        <w:t>舟山市普陀区图书馆</w:t>
      </w:r>
      <w:r>
        <w:rPr>
          <w:rFonts w:hint="eastAsia" w:ascii="宋体" w:hAnsi="宋体" w:eastAsia="宋体"/>
          <w:b/>
          <w:color w:val="auto"/>
          <w:highlight w:val="none"/>
        </w:rPr>
        <w:t>（</w:t>
      </w:r>
      <w:r>
        <w:rPr>
          <w:rFonts w:hint="eastAsia" w:ascii="宋体" w:hAnsi="宋体" w:eastAsia="宋体"/>
          <w:color w:val="auto"/>
          <w:highlight w:val="none"/>
        </w:rPr>
        <w:t>甲方）和中标人（乙方）签订。</w:t>
      </w:r>
    </w:p>
    <w:p w14:paraId="4492F225">
      <w:pPr>
        <w:spacing w:line="360" w:lineRule="auto"/>
        <w:jc w:val="center"/>
        <w:rPr>
          <w:rFonts w:hint="eastAsia" w:ascii="宋体" w:hAnsi="宋体" w:eastAsia="宋体"/>
          <w:b/>
          <w:color w:val="auto"/>
          <w:highlight w:val="none"/>
        </w:rPr>
      </w:pPr>
    </w:p>
    <w:p w14:paraId="31AFC7A5">
      <w:pPr>
        <w:spacing w:line="360" w:lineRule="auto"/>
        <w:jc w:val="center"/>
        <w:rPr>
          <w:rFonts w:ascii="宋体" w:hAnsi="宋体" w:eastAsia="宋体"/>
          <w:b/>
          <w:color w:val="auto"/>
          <w:highlight w:val="none"/>
        </w:rPr>
      </w:pPr>
      <w:r>
        <w:rPr>
          <w:rFonts w:hint="eastAsia" w:ascii="宋体" w:hAnsi="宋体"/>
          <w:b/>
          <w:color w:val="auto"/>
          <w:highlight w:val="none"/>
          <w:lang w:eastAsia="zh-CN"/>
        </w:rPr>
        <w:t>普陀区图书馆沈家门渔港文旅驿站（城市书房）运营服务</w:t>
      </w:r>
      <w:r>
        <w:rPr>
          <w:rFonts w:hint="eastAsia" w:ascii="宋体" w:hAnsi="宋体" w:eastAsia="宋体"/>
          <w:b/>
          <w:color w:val="auto"/>
          <w:highlight w:val="none"/>
        </w:rPr>
        <w:t>合同（范本）</w:t>
      </w:r>
    </w:p>
    <w:p w14:paraId="3C38958D">
      <w:pPr>
        <w:spacing w:beforeLines="50" w:after="100" w:line="360" w:lineRule="auto"/>
        <w:ind w:firstLine="435"/>
        <w:rPr>
          <w:rFonts w:hint="eastAsia" w:ascii="宋体" w:hAnsi="宋体" w:eastAsia="宋体"/>
          <w:color w:val="auto"/>
          <w:highlight w:val="none"/>
        </w:rPr>
      </w:pPr>
      <w:r>
        <w:rPr>
          <w:rFonts w:hint="eastAsia" w:ascii="宋体" w:hAnsi="宋体" w:eastAsia="宋体"/>
          <w:color w:val="auto"/>
          <w:highlight w:val="none"/>
        </w:rPr>
        <w:t>甲方：</w:t>
      </w:r>
    </w:p>
    <w:p w14:paraId="078A3458">
      <w:pPr>
        <w:spacing w:beforeLines="50" w:after="100" w:line="360" w:lineRule="auto"/>
        <w:ind w:firstLine="435"/>
        <w:rPr>
          <w:rFonts w:hint="eastAsia" w:ascii="宋体" w:hAnsi="宋体" w:eastAsia="宋体"/>
          <w:color w:val="auto"/>
          <w:highlight w:val="none"/>
        </w:rPr>
      </w:pPr>
      <w:r>
        <w:rPr>
          <w:rFonts w:hint="eastAsia" w:ascii="宋体" w:hAnsi="宋体" w:eastAsia="宋体"/>
          <w:color w:val="auto"/>
          <w:highlight w:val="none"/>
        </w:rPr>
        <w:t>乙方：</w:t>
      </w:r>
    </w:p>
    <w:p w14:paraId="38A41373">
      <w:pPr>
        <w:keepNext w:val="0"/>
        <w:keepLines w:val="0"/>
        <w:pageBreakBefore w:val="0"/>
        <w:widowControl w:val="0"/>
        <w:kinsoku/>
        <w:wordWrap/>
        <w:overflowPunct/>
        <w:topLinePunct w:val="0"/>
        <w:bidi w:val="0"/>
        <w:adjustRightInd/>
        <w:snapToGrid/>
        <w:spacing w:line="360" w:lineRule="auto"/>
        <w:ind w:firstLine="435"/>
        <w:textAlignment w:val="auto"/>
        <w:rPr>
          <w:rFonts w:ascii="宋体" w:hAnsi="宋体" w:eastAsia="宋体"/>
          <w:color w:val="auto"/>
          <w:highlight w:val="none"/>
        </w:rPr>
      </w:pPr>
      <w:r>
        <w:rPr>
          <w:rFonts w:hint="eastAsia" w:ascii="宋体" w:hAnsi="宋体" w:eastAsia="宋体"/>
          <w:color w:val="auto"/>
          <w:highlight w:val="none"/>
        </w:rPr>
        <w:t>甲、乙双方根据《</w:t>
      </w:r>
      <w:r>
        <w:rPr>
          <w:rFonts w:hint="eastAsia" w:ascii="宋体" w:hAnsi="宋体"/>
          <w:color w:val="auto"/>
          <w:highlight w:val="none"/>
          <w:lang w:eastAsia="zh-CN"/>
        </w:rPr>
        <w:t>普陀区图书馆沈家门渔港文旅驿站（城市书房）运营服务</w:t>
      </w:r>
      <w:r>
        <w:rPr>
          <w:rFonts w:hint="eastAsia" w:ascii="宋体" w:hAnsi="宋体" w:eastAsia="宋体"/>
          <w:color w:val="auto"/>
          <w:highlight w:val="none"/>
        </w:rPr>
        <w:t>》（</w:t>
      </w:r>
      <w:r>
        <w:rPr>
          <w:rFonts w:hint="eastAsia" w:ascii="宋体" w:hAnsi="宋体" w:eastAsia="宋体"/>
          <w:color w:val="auto"/>
          <w:highlight w:val="none"/>
          <w:lang w:val="en-US" w:eastAsia="zh-CN"/>
        </w:rPr>
        <w:t>项目</w:t>
      </w:r>
      <w:r>
        <w:rPr>
          <w:rFonts w:hint="eastAsia" w:ascii="宋体" w:hAnsi="宋体" w:eastAsia="宋体"/>
          <w:color w:val="auto"/>
          <w:highlight w:val="none"/>
        </w:rPr>
        <w:t>编号：</w:t>
      </w:r>
      <w:r>
        <w:rPr>
          <w:rFonts w:hint="eastAsia" w:ascii="宋体" w:hAnsi="宋体"/>
          <w:color w:val="auto"/>
          <w:highlight w:val="none"/>
          <w:lang w:eastAsia="zh-CN"/>
        </w:rPr>
        <w:t>SZGXZS2026079</w:t>
      </w:r>
      <w:r>
        <w:rPr>
          <w:rFonts w:hint="eastAsia" w:ascii="宋体" w:hAnsi="宋体" w:eastAsia="宋体"/>
          <w:color w:val="auto"/>
          <w:highlight w:val="none"/>
        </w:rPr>
        <w:t>）招标的结果和“招标文件”的要求，</w:t>
      </w:r>
      <w:r>
        <w:rPr>
          <w:rFonts w:hint="eastAsia" w:ascii="宋体" w:hAnsi="宋体" w:eastAsia="宋体"/>
          <w:bCs/>
          <w:color w:val="auto"/>
          <w:highlight w:val="none"/>
        </w:rPr>
        <w:t>并依照《中华人民共和国民法典</w:t>
      </w:r>
      <w:r>
        <w:rPr>
          <w:rFonts w:hint="eastAsia" w:ascii="宋体" w:hAnsi="宋体" w:eastAsia="宋体"/>
          <w:bCs/>
          <w:color w:val="auto"/>
          <w:highlight w:val="none"/>
          <w:lang w:eastAsia="zh-CN"/>
        </w:rPr>
        <w:t>》等</w:t>
      </w:r>
      <w:r>
        <w:rPr>
          <w:rFonts w:hint="eastAsia" w:ascii="宋体" w:hAnsi="宋体" w:eastAsia="宋体"/>
          <w:bCs/>
          <w:color w:val="auto"/>
          <w:highlight w:val="none"/>
        </w:rPr>
        <w:t>有关法律、法规的规定，同时在平等、公平、诚实和信用的原则下，</w:t>
      </w:r>
      <w:r>
        <w:rPr>
          <w:rFonts w:hint="eastAsia" w:ascii="宋体" w:hAnsi="宋体" w:eastAsia="宋体"/>
          <w:color w:val="auto"/>
          <w:highlight w:val="none"/>
        </w:rPr>
        <w:t>经双方协调一致，订立本合同：</w:t>
      </w:r>
    </w:p>
    <w:p w14:paraId="5A83113A">
      <w:pPr>
        <w:spacing w:line="360" w:lineRule="auto"/>
        <w:rPr>
          <w:rFonts w:hint="default" w:ascii="宋体" w:hAnsi="宋体" w:eastAsia="宋体" w:cs="宋体"/>
          <w:b/>
          <w:color w:val="auto"/>
          <w:szCs w:val="21"/>
          <w:highlight w:val="none"/>
          <w:lang w:val="en-US" w:eastAsia="zh-CN"/>
        </w:rPr>
      </w:pPr>
      <w:r>
        <w:rPr>
          <w:rFonts w:hint="eastAsia" w:ascii="宋体" w:hAnsi="宋体" w:eastAsia="宋体" w:cs="宋体"/>
          <w:b/>
          <w:color w:val="auto"/>
          <w:szCs w:val="21"/>
          <w:highlight w:val="none"/>
          <w:lang w:val="en-US" w:eastAsia="zh-CN"/>
        </w:rPr>
        <w:t>一、采购内容及要求</w:t>
      </w:r>
    </w:p>
    <w:p w14:paraId="2FFE4B01">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投标人需派专业的团队配合采购人开展日常工作，目前普陀区图书馆开放时间为春秋季每周二至周日，8:30-20:30，夏季每周二至周日，8:30-21:00。城市书房开设需达到每周开放时间不少于 56 小时、 双休日节假日对外开放。</w:t>
      </w:r>
    </w:p>
    <w:p w14:paraId="50C250F9">
      <w:pP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b/>
          <w:color w:val="auto"/>
          <w:szCs w:val="21"/>
          <w:highlight w:val="none"/>
          <w:lang w:val="en-US" w:eastAsia="zh-CN"/>
        </w:rPr>
        <w:t>二、</w:t>
      </w:r>
      <w:r>
        <w:rPr>
          <w:rFonts w:hint="default" w:ascii="宋体" w:hAnsi="宋体" w:eastAsia="宋体" w:cs="宋体"/>
          <w:b/>
          <w:color w:val="auto"/>
          <w:szCs w:val="21"/>
          <w:highlight w:val="none"/>
          <w:lang w:val="en-US" w:eastAsia="zh-CN"/>
        </w:rPr>
        <w:t>主要工作内容如下：</w:t>
      </w:r>
    </w:p>
    <w:p w14:paraId="416C93DD">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1.城市书房应坚守“以人为本 服务发展”理念，配备两位及以上专兼职工作人员，要求身体健康，年龄18-45周岁，具备高中及以上学历，受过基本的图书馆专业技能培训，能够熟练操作和使用自助图书借还机及相关设备，并具备良好的职业道德。</w:t>
      </w:r>
    </w:p>
    <w:p w14:paraId="2B6F4F83">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2.城市书房应明确团队管理责任人，全面负责城市书房管理及运行。明确团队工作人员具体工作职责，规范书房服务，助力文明城市创建。</w:t>
      </w:r>
    </w:p>
    <w:p w14:paraId="2F9A3B2D">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3.城市书房应该为读者免费提供学习、文化交流的空间，提供 15 个以上免费阅读座席；免费为读者提供阅览、借书、还书等流通服务；免费为读者提供便民药箱、共享雨伞、充电宝借还设备及充电设备等便捷性服务等，为读者提供温馨借阅环境。</w:t>
      </w:r>
    </w:p>
    <w:p w14:paraId="2519838A">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4.城市书房应加强品牌服务建设，打造良好服务形象，将城市书房打造成集生态旅游、文化休闲为一体的阅读服务空间和文化旅游驿站。有效提升岛城文化品位。</w:t>
      </w:r>
    </w:p>
    <w:p w14:paraId="7667FB89">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5.应在显著位置设立读者意见箱，收集读者意见建议、图书荐购信息，公开读者咨询电话，畅通投诉渠道，明确回复及整改时限，保障读者权益。</w:t>
      </w:r>
    </w:p>
    <w:p w14:paraId="28DE3210">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6.城市书房应建立健全安全管理制度，制定完善安全应急预案，做好每日书房安全巡查登记和清洁整理工作，定期不定期开展各项安全检查工作，确保书房文献资源、设施设备及读者人身和财产安全。</w:t>
      </w:r>
    </w:p>
    <w:p w14:paraId="046E83DB">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7.城市书房应在全民阅读推广中充分发挥作用，每月至少一次自主或配合图书馆开展讲座、沙龙、培训、展览、亲子交流等多种阅读推广活动，丰富读者业余文化生活。</w:t>
      </w:r>
    </w:p>
    <w:p w14:paraId="670238D2">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8.城市书房应每月上报书房大事记，做好业务数据统计，包括本月进馆人数、借阅册次，活动开展、领导和媒体到访情况等。应建立健全书房安全工作和业务工作台账，台账资料要求真实、完整、齐全，书屋每次活动以及开展计划必须提前七个工作日上报采购人，活动材料要按时存档（包括活动方案、活动推文、现场照片、活动总结等），电子及纸质台账各一份并于每月25日前上报至招标方。</w:t>
      </w:r>
    </w:p>
    <w:p w14:paraId="03514A4A">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9.如遇到重大公共卫生事件，需城市书房配合防控时，书房要坚持防控优先，充实物资，落实专人做好场馆防控，加强读者进出场馆管理和服务，扎实开展防控工作。  </w:t>
      </w:r>
    </w:p>
    <w:p w14:paraId="6F38E003">
      <w:pPr>
        <w:spacing w:line="360" w:lineRule="auto"/>
        <w:ind w:firstLine="420" w:firstLineChars="200"/>
        <w:jc w:val="left"/>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 10.配合做好采购人及相应主管部门等要求的各项任务。</w:t>
      </w:r>
    </w:p>
    <w:p w14:paraId="6D4F9A62">
      <w:pPr>
        <w:spacing w:line="360" w:lineRule="auto"/>
        <w:rPr>
          <w:rFonts w:ascii="宋体" w:hAnsi="宋体" w:eastAsia="宋体" w:cs="宋体"/>
          <w:b/>
          <w:color w:val="auto"/>
          <w:szCs w:val="21"/>
          <w:highlight w:val="none"/>
          <w:lang w:val="zh-TW"/>
        </w:rPr>
      </w:pPr>
      <w:r>
        <w:rPr>
          <w:rFonts w:hint="eastAsia" w:ascii="宋体" w:hAnsi="宋体" w:cs="宋体"/>
          <w:b/>
          <w:color w:val="auto"/>
          <w:szCs w:val="21"/>
          <w:highlight w:val="none"/>
          <w:lang w:val="en-US" w:eastAsia="zh-CN"/>
        </w:rPr>
        <w:t>三</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val="zh-TW" w:eastAsia="zh-TW"/>
        </w:rPr>
        <w:t>费用及支付方式</w:t>
      </w:r>
    </w:p>
    <w:p w14:paraId="66C48FBC">
      <w:pPr>
        <w:spacing w:line="360" w:lineRule="auto"/>
        <w:ind w:firstLine="210" w:firstLineChars="100"/>
        <w:rPr>
          <w:rFonts w:ascii="宋体" w:hAnsi="宋体" w:eastAsia="宋体" w:cs="宋体"/>
          <w:color w:val="auto"/>
          <w:szCs w:val="21"/>
          <w:highlight w:val="none"/>
          <w:lang w:val="zh-TW"/>
        </w:rPr>
      </w:pP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rPr>
        <w:t>详见招标文件</w:t>
      </w:r>
      <w:r>
        <w:rPr>
          <w:rFonts w:hint="eastAsia" w:ascii="宋体" w:hAnsi="宋体" w:eastAsia="宋体" w:cs="宋体"/>
          <w:color w:val="auto"/>
          <w:szCs w:val="21"/>
          <w:highlight w:val="none"/>
          <w:lang w:val="zh-TW"/>
        </w:rPr>
        <w:t>）</w:t>
      </w:r>
    </w:p>
    <w:p w14:paraId="3529414D">
      <w:pPr>
        <w:pStyle w:val="35"/>
        <w:spacing w:line="360" w:lineRule="auto"/>
        <w:ind w:firstLine="420"/>
        <w:rPr>
          <w:rFonts w:eastAsia="宋体"/>
          <w:b/>
          <w:bCs/>
          <w:color w:val="auto"/>
          <w:sz w:val="21"/>
          <w:szCs w:val="21"/>
          <w:highlight w:val="none"/>
          <w:lang w:val="zh-TW"/>
        </w:rPr>
      </w:pPr>
      <w:r>
        <w:rPr>
          <w:rFonts w:hint="eastAsia" w:eastAsia="宋体"/>
          <w:b/>
          <w:bCs/>
          <w:color w:val="auto"/>
          <w:sz w:val="21"/>
          <w:szCs w:val="21"/>
          <w:highlight w:val="none"/>
          <w:lang w:val="zh-TW" w:eastAsia="zh-CN"/>
        </w:rPr>
        <w:t>由甲方决定是否需要提供预付款担保（预付款担保形式可以是银行、保险公司等金融机构出具的预付款保函或其他担保措施）</w:t>
      </w:r>
      <w:r>
        <w:rPr>
          <w:rFonts w:eastAsia="宋体"/>
          <w:b/>
          <w:bCs/>
          <w:color w:val="auto"/>
          <w:sz w:val="21"/>
          <w:szCs w:val="21"/>
          <w:highlight w:val="none"/>
          <w:lang w:val="zh-TW"/>
        </w:rPr>
        <w:t>。</w:t>
      </w:r>
    </w:p>
    <w:p w14:paraId="51425200">
      <w:pPr>
        <w:snapToGrid w:val="0"/>
        <w:spacing w:line="360" w:lineRule="auto"/>
        <w:textAlignment w:val="baseline"/>
        <w:rPr>
          <w:rFonts w:ascii="宋体" w:hAnsi="宋体" w:cs="Songti SC Regular"/>
          <w:b/>
          <w:color w:val="auto"/>
          <w:sz w:val="20"/>
          <w:szCs w:val="22"/>
          <w:highlight w:val="none"/>
          <w:lang w:val="zh-TW" w:eastAsia="zh-TW"/>
        </w:rPr>
      </w:pPr>
      <w:r>
        <w:rPr>
          <w:rFonts w:hint="eastAsia" w:ascii="宋体" w:hAnsi="宋体"/>
          <w:b/>
          <w:color w:val="auto"/>
          <w:szCs w:val="22"/>
          <w:highlight w:val="none"/>
          <w:lang w:val="en-US" w:eastAsia="zh-CN"/>
        </w:rPr>
        <w:t>四、</w:t>
      </w:r>
      <w:r>
        <w:rPr>
          <w:rFonts w:hint="eastAsia" w:ascii="宋体" w:hAnsi="宋体"/>
          <w:b/>
          <w:color w:val="auto"/>
          <w:szCs w:val="22"/>
          <w:highlight w:val="none"/>
          <w:lang w:val="zh-TW"/>
        </w:rPr>
        <w:t>乙方项目组成员与合约履行期限</w:t>
      </w:r>
    </w:p>
    <w:p w14:paraId="1D295234">
      <w:pPr>
        <w:snapToGrid w:val="0"/>
        <w:spacing w:before="120" w:after="120" w:line="360" w:lineRule="auto"/>
        <w:ind w:firstLine="525" w:firstLineChars="250"/>
        <w:textAlignment w:val="baseline"/>
        <w:rPr>
          <w:rFonts w:ascii="宋体" w:hAnsi="宋体"/>
          <w:color w:val="auto"/>
          <w:sz w:val="20"/>
          <w:szCs w:val="22"/>
          <w:highlight w:val="none"/>
          <w:lang w:val="zh-TW"/>
        </w:rPr>
      </w:pPr>
      <w:r>
        <w:rPr>
          <w:rFonts w:ascii="宋体" w:hAnsi="宋体"/>
          <w:color w:val="auto"/>
          <w:szCs w:val="22"/>
          <w:highlight w:val="none"/>
        </w:rPr>
        <w:t>1</w:t>
      </w:r>
      <w:r>
        <w:rPr>
          <w:rFonts w:hint="eastAsia" w:ascii="宋体" w:hAnsi="宋体"/>
          <w:color w:val="auto"/>
          <w:szCs w:val="22"/>
          <w:highlight w:val="none"/>
        </w:rPr>
        <w:t>）</w:t>
      </w:r>
      <w:r>
        <w:rPr>
          <w:rFonts w:hint="eastAsia" w:ascii="宋体" w:hAnsi="宋体"/>
          <w:color w:val="auto"/>
          <w:szCs w:val="22"/>
          <w:highlight w:val="none"/>
          <w:lang w:val="zh-TW"/>
        </w:rPr>
        <w:t>乙方项目组成员构成</w:t>
      </w:r>
    </w:p>
    <w:p w14:paraId="325B6B6C">
      <w:pPr>
        <w:snapToGrid w:val="0"/>
        <w:spacing w:line="360" w:lineRule="auto"/>
        <w:ind w:firstLine="405" w:firstLineChars="225"/>
        <w:textAlignment w:val="baseline"/>
        <w:rPr>
          <w:rFonts w:ascii="宋体" w:hAnsi="宋体"/>
          <w:color w:val="auto"/>
          <w:sz w:val="18"/>
          <w:szCs w:val="22"/>
          <w:highlight w:val="none"/>
          <w:u w:val="single"/>
        </w:rPr>
      </w:pPr>
    </w:p>
    <w:p w14:paraId="6AB5B976">
      <w:pPr>
        <w:snapToGrid w:val="0"/>
        <w:spacing w:line="360" w:lineRule="auto"/>
        <w:ind w:firstLine="480"/>
        <w:textAlignment w:val="baseline"/>
        <w:rPr>
          <w:rFonts w:ascii="宋体" w:hAnsi="宋体" w:cs="Songti SC Regular"/>
          <w:color w:val="auto"/>
          <w:sz w:val="20"/>
          <w:szCs w:val="22"/>
          <w:highlight w:val="none"/>
        </w:rPr>
      </w:pPr>
      <w:r>
        <w:rPr>
          <w:rFonts w:ascii="宋体" w:hAnsi="宋体"/>
          <w:color w:val="auto"/>
          <w:szCs w:val="22"/>
          <w:highlight w:val="none"/>
          <w:lang w:val="zh-TW"/>
        </w:rPr>
        <w:t>2</w:t>
      </w:r>
      <w:r>
        <w:rPr>
          <w:rFonts w:hint="eastAsia" w:ascii="宋体" w:hAnsi="宋体"/>
          <w:color w:val="auto"/>
          <w:szCs w:val="22"/>
          <w:highlight w:val="none"/>
          <w:lang w:val="zh-TW"/>
        </w:rPr>
        <w:t>）乙方本次服务项目服务周期为周，不包括法定节假日。</w:t>
      </w:r>
    </w:p>
    <w:p w14:paraId="595A286D">
      <w:pPr>
        <w:snapToGrid w:val="0"/>
        <w:spacing w:line="360" w:lineRule="auto"/>
        <w:textAlignment w:val="baseline"/>
        <w:rPr>
          <w:rFonts w:ascii="宋体" w:hAnsi="宋体" w:eastAsia="PMingLiU"/>
          <w:color w:val="auto"/>
          <w:szCs w:val="22"/>
          <w:highlight w:val="none"/>
          <w:lang w:val="zh-TW" w:eastAsia="zh-TW"/>
        </w:rPr>
      </w:pPr>
      <w:bookmarkStart w:id="3" w:name="_Hlk134734378"/>
      <w:r>
        <w:rPr>
          <w:rFonts w:hint="eastAsia" w:ascii="宋体" w:hAnsi="宋体"/>
          <w:b/>
          <w:color w:val="auto"/>
          <w:szCs w:val="22"/>
          <w:highlight w:val="none"/>
          <w:lang w:val="en-US" w:eastAsia="zh-CN"/>
        </w:rPr>
        <w:t>五、</w:t>
      </w:r>
      <w:r>
        <w:rPr>
          <w:rFonts w:hint="eastAsia" w:ascii="宋体" w:hAnsi="宋体"/>
          <w:b/>
          <w:bCs/>
          <w:color w:val="auto"/>
          <w:szCs w:val="22"/>
          <w:highlight w:val="none"/>
          <w:lang w:val="zh-TW"/>
        </w:rPr>
        <w:t>委托经营管理的考核及违约</w:t>
      </w:r>
    </w:p>
    <w:bookmarkEnd w:id="3"/>
    <w:p w14:paraId="50CBE783">
      <w:pPr>
        <w:spacing w:line="360" w:lineRule="auto"/>
        <w:rPr>
          <w:rFonts w:hint="eastAsia" w:ascii="宋体" w:hAnsi="宋体" w:cs="宋体"/>
          <w:b/>
          <w:color w:val="auto"/>
          <w:szCs w:val="21"/>
          <w:highlight w:val="none"/>
          <w:lang w:val="en-US" w:eastAsia="zh-CN"/>
        </w:rPr>
      </w:pPr>
    </w:p>
    <w:p w14:paraId="1EBFB0B6">
      <w:pPr>
        <w:spacing w:line="360" w:lineRule="auto"/>
        <w:rPr>
          <w:rFonts w:ascii="宋体" w:hAnsi="宋体" w:eastAsia="宋体" w:cs="宋体"/>
          <w:b/>
          <w:color w:val="auto"/>
          <w:szCs w:val="21"/>
          <w:highlight w:val="none"/>
          <w:lang w:val="zh-TW" w:eastAsia="zh-TW"/>
        </w:rPr>
      </w:pPr>
      <w:r>
        <w:rPr>
          <w:rFonts w:hint="eastAsia" w:ascii="宋体" w:hAnsi="宋体" w:cs="宋体"/>
          <w:b/>
          <w:color w:val="auto"/>
          <w:szCs w:val="21"/>
          <w:highlight w:val="none"/>
          <w:lang w:val="en-US" w:eastAsia="zh-CN"/>
        </w:rPr>
        <w:t>六</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val="zh-TW" w:eastAsia="zh-TW"/>
        </w:rPr>
        <w:t>权利与义务</w:t>
      </w:r>
    </w:p>
    <w:p w14:paraId="4F912B52">
      <w:pPr>
        <w:spacing w:line="360" w:lineRule="auto"/>
        <w:ind w:firstLine="48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1.</w:t>
      </w:r>
      <w:r>
        <w:rPr>
          <w:rFonts w:hint="eastAsia" w:ascii="宋体" w:hAnsi="宋体" w:eastAsia="宋体" w:cs="宋体"/>
          <w:bCs/>
          <w:color w:val="auto"/>
          <w:szCs w:val="21"/>
          <w:highlight w:val="none"/>
          <w:lang w:val="zh-TW"/>
        </w:rPr>
        <w:t>乙方应按招标文件规定向甲方提供服务。</w:t>
      </w:r>
    </w:p>
    <w:p w14:paraId="30EBEF36">
      <w:pPr>
        <w:spacing w:line="360" w:lineRule="auto"/>
        <w:ind w:firstLine="48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2.</w:t>
      </w:r>
      <w:r>
        <w:rPr>
          <w:rFonts w:hint="eastAsia" w:ascii="宋体" w:hAnsi="宋体" w:eastAsia="宋体" w:cs="宋体"/>
          <w:bCs/>
          <w:color w:val="auto"/>
          <w:szCs w:val="21"/>
          <w:highlight w:val="none"/>
          <w:lang w:val="zh-TW"/>
        </w:rPr>
        <w:t>未经甲方事先书面同意，乙方不得将与本合同及有关的任何计划、图文或物料提供给任何第三方。即使向履行本合同有关的人员提供，也应注意保密并限于履行合同的必需范围。</w:t>
      </w:r>
    </w:p>
    <w:p w14:paraId="3E9B2601">
      <w:pPr>
        <w:spacing w:line="360" w:lineRule="auto"/>
        <w:ind w:firstLine="48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3.</w:t>
      </w:r>
      <w:r>
        <w:rPr>
          <w:rFonts w:hint="eastAsia" w:ascii="宋体" w:hAnsi="宋体" w:eastAsia="宋体" w:cs="宋体"/>
          <w:bCs/>
          <w:color w:val="auto"/>
          <w:szCs w:val="21"/>
          <w:highlight w:val="none"/>
          <w:lang w:val="zh-TW"/>
        </w:rPr>
        <w:t>乙方应保证提供服务过程中不会侵犯任何第三方的知识产权，否则甲方有权解除本合同，拒绝支付合同价款，并要求乙方赔偿所有损失。</w:t>
      </w:r>
    </w:p>
    <w:p w14:paraId="26DB5860">
      <w:pPr>
        <w:spacing w:line="360" w:lineRule="auto"/>
        <w:ind w:firstLine="480"/>
        <w:rPr>
          <w:rFonts w:hint="eastAsia" w:ascii="宋体" w:hAnsi="宋体" w:eastAsia="宋体" w:cs="宋体"/>
          <w:bCs/>
          <w:color w:val="auto"/>
          <w:szCs w:val="21"/>
          <w:highlight w:val="none"/>
          <w:lang w:val="zh-TW" w:eastAsia="zh-TW"/>
        </w:rPr>
      </w:pPr>
      <w:r>
        <w:rPr>
          <w:rFonts w:hint="eastAsia" w:ascii="宋体" w:hAnsi="宋体" w:eastAsia="宋体" w:cs="宋体"/>
          <w:bCs/>
          <w:color w:val="auto"/>
          <w:szCs w:val="21"/>
          <w:highlight w:val="none"/>
          <w:lang w:val="zh-TW" w:eastAsia="zh-TW"/>
        </w:rPr>
        <w:t>4.</w:t>
      </w:r>
      <w:r>
        <w:rPr>
          <w:rFonts w:hint="eastAsia" w:ascii="宋体" w:hAnsi="宋体" w:eastAsia="宋体" w:cs="宋体"/>
          <w:bCs/>
          <w:color w:val="auto"/>
          <w:szCs w:val="21"/>
          <w:highlight w:val="none"/>
          <w:lang w:val="zh-TW"/>
        </w:rPr>
        <w:t>乙方提供的服务验收不合格的，或在服务保证期内出现问题，乙方应负责免费提供后续服务，给甲方造成损失的，乙方应当赔偿。</w:t>
      </w:r>
    </w:p>
    <w:p w14:paraId="66F2D9D8">
      <w:pPr>
        <w:spacing w:line="360" w:lineRule="auto"/>
        <w:ind w:firstLine="480"/>
        <w:rPr>
          <w:rFonts w:hint="eastAsia" w:ascii="宋体" w:hAnsi="宋体" w:eastAsia="宋体" w:cs="宋体"/>
          <w:b/>
          <w:color w:val="auto"/>
          <w:szCs w:val="21"/>
          <w:highlight w:val="none"/>
          <w:lang w:val="zh-TW" w:eastAsia="zh-CN"/>
        </w:rPr>
      </w:pPr>
      <w:r>
        <w:rPr>
          <w:rFonts w:hint="eastAsia" w:ascii="宋体" w:hAnsi="宋体" w:eastAsia="宋体" w:cs="宋体"/>
          <w:bCs/>
          <w:color w:val="auto"/>
          <w:szCs w:val="21"/>
          <w:highlight w:val="none"/>
          <w:lang w:val="zh-TW" w:eastAsia="zh-TW"/>
        </w:rPr>
        <w:t>5.</w:t>
      </w:r>
      <w:r>
        <w:rPr>
          <w:rFonts w:hint="eastAsia" w:ascii="宋体" w:hAnsi="宋体" w:eastAsia="宋体" w:cs="宋体"/>
          <w:bCs/>
          <w:color w:val="auto"/>
          <w:szCs w:val="21"/>
          <w:highlight w:val="none"/>
          <w:lang w:val="zh-TW"/>
        </w:rPr>
        <w:t>在服务保证期内，乙方应对出现的质量及安全问题负责处理解决并承担一切费用</w:t>
      </w:r>
      <w:r>
        <w:rPr>
          <w:rFonts w:hint="eastAsia" w:ascii="宋体" w:hAnsi="宋体" w:eastAsia="宋体" w:cs="宋体"/>
          <w:bCs/>
          <w:color w:val="auto"/>
          <w:szCs w:val="21"/>
          <w:highlight w:val="none"/>
          <w:lang w:val="zh-TW" w:eastAsia="zh-CN"/>
        </w:rPr>
        <w:t>。</w:t>
      </w:r>
    </w:p>
    <w:p w14:paraId="7993ABE8">
      <w:pPr>
        <w:spacing w:line="360" w:lineRule="auto"/>
        <w:rPr>
          <w:rFonts w:ascii="宋体" w:hAnsi="宋体" w:eastAsia="宋体" w:cs="宋体"/>
          <w:b/>
          <w:color w:val="auto"/>
          <w:szCs w:val="21"/>
          <w:highlight w:val="none"/>
          <w:lang w:val="zh-TW" w:eastAsia="zh-TW"/>
        </w:rPr>
      </w:pPr>
      <w:r>
        <w:rPr>
          <w:rFonts w:hint="eastAsia" w:ascii="宋体" w:hAnsi="宋体" w:cs="宋体"/>
          <w:b/>
          <w:color w:val="auto"/>
          <w:szCs w:val="21"/>
          <w:highlight w:val="none"/>
          <w:lang w:val="en-US" w:eastAsia="zh-CN"/>
        </w:rPr>
        <w:t>七</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val="zh-TW" w:eastAsia="zh-TW"/>
        </w:rPr>
        <w:t>违约责任</w:t>
      </w:r>
    </w:p>
    <w:p w14:paraId="13C69E9B">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lang w:val="zh-TW" w:eastAsia="zh-TW"/>
        </w:rPr>
        <w:t>甲方无正当理由逾期付款</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TW" w:eastAsia="zh-TW"/>
        </w:rPr>
        <w:t>个月，乙方可终止合同。解除合同后费用的核算，以乙方完成且甲方确认的工作成果为准，多退少补。因地震、水灾、战争等</w:t>
      </w:r>
      <w:r>
        <w:rPr>
          <w:rFonts w:hint="eastAsia" w:ascii="宋体" w:hAnsi="宋体" w:eastAsia="宋体" w:cs="宋体"/>
          <w:color w:val="auto"/>
          <w:szCs w:val="21"/>
          <w:highlight w:val="none"/>
          <w:lang w:val="zh-TW" w:eastAsia="zh-CN"/>
        </w:rPr>
        <w:t>不可抗力</w:t>
      </w:r>
      <w:r>
        <w:rPr>
          <w:rFonts w:hint="eastAsia" w:ascii="宋体" w:hAnsi="宋体" w:eastAsia="宋体" w:cs="宋体"/>
          <w:color w:val="auto"/>
          <w:szCs w:val="21"/>
          <w:highlight w:val="none"/>
          <w:lang w:val="zh-TW" w:eastAsia="zh-TW"/>
        </w:rPr>
        <w:t>因素或因政策、法律原因造成合同无法履行除外。</w:t>
      </w:r>
    </w:p>
    <w:p w14:paraId="4BCB957A">
      <w:pPr>
        <w:spacing w:line="360" w:lineRule="auto"/>
        <w:ind w:firstLine="480"/>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TW"/>
        </w:rPr>
        <w:t>.</w:t>
      </w:r>
      <w:r>
        <w:rPr>
          <w:rFonts w:hint="eastAsia" w:ascii="宋体" w:hAnsi="宋体" w:eastAsia="宋体" w:cs="宋体"/>
          <w:color w:val="auto"/>
          <w:szCs w:val="21"/>
          <w:highlight w:val="none"/>
          <w:lang w:val="zh-TW" w:eastAsia="zh-TW"/>
        </w:rPr>
        <w:t>乙方无正当理由未按时提交成果超过</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TW" w:eastAsia="zh-TW"/>
        </w:rPr>
        <w:t>个月，甲方可终止合同。解除合同后费用的核算，以乙方完成且甲方确认的工作成果为准，多退少补。因地震、水灾、战争等</w:t>
      </w:r>
      <w:r>
        <w:rPr>
          <w:rFonts w:hint="eastAsia" w:ascii="宋体" w:hAnsi="宋体" w:eastAsia="宋体" w:cs="宋体"/>
          <w:color w:val="auto"/>
          <w:szCs w:val="21"/>
          <w:highlight w:val="none"/>
          <w:lang w:val="zh-TW" w:eastAsia="zh-CN"/>
        </w:rPr>
        <w:t>不可抗力</w:t>
      </w:r>
      <w:r>
        <w:rPr>
          <w:rFonts w:hint="eastAsia" w:ascii="宋体" w:hAnsi="宋体" w:eastAsia="宋体" w:cs="宋体"/>
          <w:color w:val="auto"/>
          <w:szCs w:val="21"/>
          <w:highlight w:val="none"/>
          <w:lang w:val="zh-TW" w:eastAsia="zh-TW"/>
        </w:rPr>
        <w:t>因素或因政策、法律原因造成合同无法履行除外。</w:t>
      </w:r>
    </w:p>
    <w:p w14:paraId="7302BAA7">
      <w:pPr>
        <w:spacing w:line="360" w:lineRule="auto"/>
        <w:rPr>
          <w:rFonts w:ascii="宋体" w:hAnsi="宋体" w:eastAsia="宋体" w:cs="宋体"/>
          <w:b/>
          <w:color w:val="auto"/>
          <w:szCs w:val="21"/>
          <w:highlight w:val="none"/>
          <w:lang w:val="zh-TW" w:eastAsia="zh-TW"/>
        </w:rPr>
      </w:pPr>
      <w:r>
        <w:rPr>
          <w:rFonts w:hint="eastAsia" w:ascii="宋体" w:hAnsi="宋体" w:cs="宋体"/>
          <w:b/>
          <w:color w:val="auto"/>
          <w:szCs w:val="21"/>
          <w:highlight w:val="none"/>
          <w:lang w:val="en-US" w:eastAsia="zh-CN"/>
        </w:rPr>
        <w:t>八</w:t>
      </w:r>
      <w:r>
        <w:rPr>
          <w:rFonts w:hint="eastAsia" w:ascii="宋体" w:hAnsi="宋体" w:eastAsia="宋体" w:cs="宋体"/>
          <w:b/>
          <w:color w:val="auto"/>
          <w:szCs w:val="21"/>
          <w:highlight w:val="none"/>
          <w:lang w:val="en-US" w:eastAsia="zh-CN"/>
        </w:rPr>
        <w:t>、</w:t>
      </w:r>
      <w:r>
        <w:rPr>
          <w:rFonts w:hint="eastAsia" w:ascii="宋体" w:hAnsi="宋体" w:eastAsia="宋体" w:cs="宋体"/>
          <w:b/>
          <w:color w:val="auto"/>
          <w:szCs w:val="21"/>
          <w:highlight w:val="none"/>
          <w:lang w:val="zh-TW" w:eastAsia="zh-TW"/>
        </w:rPr>
        <w:t>争议的解决</w:t>
      </w:r>
    </w:p>
    <w:p w14:paraId="3D6552DE">
      <w:pPr>
        <w:spacing w:line="360" w:lineRule="auto"/>
        <w:ind w:firstLine="480"/>
        <w:rPr>
          <w:rFonts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因本合同的解释或履行本合同如发生争议，甲乙双方应友好协商解决，协商不成，可以提交甲方所在地人民法院通过诉讼方式解决。</w:t>
      </w:r>
    </w:p>
    <w:p w14:paraId="43692722">
      <w:pPr>
        <w:numPr>
          <w:ilvl w:val="0"/>
          <w:numId w:val="0"/>
        </w:numPr>
        <w:spacing w:line="360" w:lineRule="auto"/>
        <w:ind w:firstLine="420" w:firstLineChars="200"/>
        <w:rPr>
          <w:rFonts w:hint="eastAsia" w:ascii="宋体" w:hAnsi="宋体" w:eastAsia="宋体" w:cs="宋体"/>
          <w:color w:val="auto"/>
          <w:szCs w:val="21"/>
          <w:highlight w:val="none"/>
          <w:lang w:val="zh-TW" w:eastAsia="zh-TW"/>
        </w:rPr>
      </w:pPr>
      <w:r>
        <w:rPr>
          <w:rFonts w:hint="eastAsia" w:ascii="宋体" w:hAnsi="宋体" w:eastAsia="宋体" w:cs="宋体"/>
          <w:color w:val="auto"/>
          <w:szCs w:val="21"/>
          <w:highlight w:val="none"/>
          <w:lang w:val="zh-TW" w:eastAsia="zh-TW"/>
        </w:rPr>
        <w:t>合同未尽事宜，双方可另行协商，并达成书面补充协议。补充协议与合同具有同样法律效力。</w:t>
      </w:r>
    </w:p>
    <w:p w14:paraId="4383525E">
      <w:pPr>
        <w:snapToGrid w:val="0"/>
        <w:spacing w:line="360" w:lineRule="auto"/>
        <w:ind w:firstLine="420" w:firstLineChars="200"/>
        <w:rPr>
          <w:rFonts w:hint="eastAsia" w:ascii="宋体" w:hAnsi="宋体" w:eastAsia="宋体"/>
          <w:color w:val="auto"/>
          <w:highlight w:val="none"/>
        </w:rPr>
      </w:pPr>
      <w:r>
        <w:rPr>
          <w:rFonts w:hint="eastAsia" w:ascii="宋体" w:hAnsi="宋体" w:eastAsia="宋体" w:cs="宋体"/>
          <w:color w:val="auto"/>
          <w:szCs w:val="21"/>
          <w:highlight w:val="none"/>
        </w:rPr>
        <w:t>本合同壹式叁份，甲、乙双方和代理机构各执壹份，具有同等的法律效力</w:t>
      </w:r>
      <w:r>
        <w:rPr>
          <w:rFonts w:hint="eastAsia" w:ascii="宋体" w:hAnsi="宋体" w:eastAsia="宋体"/>
          <w:color w:val="auto"/>
          <w:highlight w:val="none"/>
        </w:rPr>
        <w:t>。</w:t>
      </w:r>
    </w:p>
    <w:p w14:paraId="577397A8">
      <w:pPr>
        <w:snapToGrid w:val="0"/>
        <w:spacing w:line="360" w:lineRule="auto"/>
        <w:rPr>
          <w:rFonts w:hint="eastAsia" w:ascii="宋体" w:hAnsi="宋体" w:eastAsia="宋体"/>
          <w:color w:val="auto"/>
          <w:highlight w:val="none"/>
        </w:rPr>
      </w:pPr>
    </w:p>
    <w:p w14:paraId="0AD1C25B">
      <w:pPr>
        <w:snapToGrid w:val="0"/>
        <w:spacing w:line="360" w:lineRule="auto"/>
        <w:rPr>
          <w:rFonts w:hint="eastAsia" w:ascii="宋体" w:hAnsi="宋体" w:eastAsia="宋体"/>
          <w:color w:val="auto"/>
          <w:highlight w:val="none"/>
        </w:rPr>
      </w:pPr>
    </w:p>
    <w:p w14:paraId="3B7122A4">
      <w:pPr>
        <w:spacing w:line="360" w:lineRule="auto"/>
        <w:rPr>
          <w:rFonts w:ascii="宋体" w:hAnsi="宋体" w:eastAsia="宋体"/>
          <w:color w:val="auto"/>
          <w:highlight w:val="none"/>
        </w:rPr>
      </w:pPr>
      <w:r>
        <w:rPr>
          <w:rFonts w:hint="eastAsia" w:ascii="宋体" w:hAnsi="宋体" w:eastAsia="宋体"/>
          <w:color w:val="auto"/>
          <w:highlight w:val="none"/>
        </w:rPr>
        <w:t>甲方：                           乙方：</w:t>
      </w:r>
    </w:p>
    <w:p w14:paraId="4074D85F">
      <w:pPr>
        <w:spacing w:line="360" w:lineRule="auto"/>
        <w:rPr>
          <w:rFonts w:ascii="宋体" w:hAnsi="宋体" w:eastAsia="宋体"/>
          <w:color w:val="auto"/>
          <w:highlight w:val="none"/>
        </w:rPr>
      </w:pPr>
      <w:r>
        <w:rPr>
          <w:rFonts w:hint="eastAsia" w:ascii="宋体" w:hAnsi="宋体" w:eastAsia="宋体"/>
          <w:color w:val="auto"/>
          <w:highlight w:val="none"/>
        </w:rPr>
        <w:t>地址：                           地址：</w:t>
      </w:r>
    </w:p>
    <w:p w14:paraId="6E54EDE3">
      <w:pPr>
        <w:spacing w:line="360" w:lineRule="auto"/>
        <w:rPr>
          <w:rFonts w:ascii="宋体" w:hAnsi="宋体" w:eastAsia="宋体"/>
          <w:color w:val="auto"/>
          <w:highlight w:val="none"/>
        </w:rPr>
      </w:pPr>
      <w:r>
        <w:rPr>
          <w:rFonts w:hint="eastAsia" w:ascii="宋体" w:hAnsi="宋体" w:eastAsia="宋体"/>
          <w:color w:val="auto"/>
          <w:highlight w:val="none"/>
        </w:rPr>
        <w:t>法</w:t>
      </w:r>
      <w:r>
        <w:rPr>
          <w:rFonts w:hint="eastAsia" w:ascii="宋体" w:hAnsi="宋体" w:eastAsia="宋体"/>
          <w:color w:val="auto"/>
          <w:highlight w:val="none"/>
          <w:lang w:val="en-US" w:eastAsia="zh-CN"/>
        </w:rPr>
        <w:t>定</w:t>
      </w:r>
      <w:r>
        <w:rPr>
          <w:rFonts w:hint="eastAsia" w:ascii="宋体" w:hAnsi="宋体" w:eastAsia="宋体"/>
          <w:color w:val="auto"/>
          <w:highlight w:val="none"/>
        </w:rPr>
        <w:t>代表</w:t>
      </w:r>
      <w:r>
        <w:rPr>
          <w:rFonts w:hint="eastAsia" w:ascii="宋体" w:hAnsi="宋体" w:eastAsia="宋体"/>
          <w:color w:val="auto"/>
          <w:highlight w:val="none"/>
          <w:lang w:val="en-US" w:eastAsia="zh-CN"/>
        </w:rPr>
        <w:t>人</w:t>
      </w:r>
      <w:r>
        <w:rPr>
          <w:rFonts w:hint="eastAsia" w:ascii="宋体" w:hAnsi="宋体" w:eastAsia="宋体"/>
          <w:color w:val="auto"/>
          <w:highlight w:val="none"/>
        </w:rPr>
        <w:t>：                     法</w:t>
      </w:r>
      <w:r>
        <w:rPr>
          <w:rFonts w:hint="eastAsia" w:ascii="宋体" w:hAnsi="宋体" w:eastAsia="宋体"/>
          <w:color w:val="auto"/>
          <w:highlight w:val="none"/>
          <w:lang w:val="en-US" w:eastAsia="zh-CN"/>
        </w:rPr>
        <w:t>定</w:t>
      </w:r>
      <w:r>
        <w:rPr>
          <w:rFonts w:hint="eastAsia" w:ascii="宋体" w:hAnsi="宋体" w:eastAsia="宋体"/>
          <w:color w:val="auto"/>
          <w:highlight w:val="none"/>
        </w:rPr>
        <w:t>代表</w:t>
      </w:r>
      <w:r>
        <w:rPr>
          <w:rFonts w:hint="eastAsia" w:ascii="宋体" w:hAnsi="宋体" w:eastAsia="宋体"/>
          <w:color w:val="auto"/>
          <w:highlight w:val="none"/>
          <w:lang w:val="en-US" w:eastAsia="zh-CN"/>
        </w:rPr>
        <w:t>人</w:t>
      </w:r>
      <w:r>
        <w:rPr>
          <w:rFonts w:hint="eastAsia" w:ascii="宋体" w:hAnsi="宋体" w:eastAsia="宋体"/>
          <w:color w:val="auto"/>
          <w:highlight w:val="none"/>
        </w:rPr>
        <w:t>：</w:t>
      </w:r>
    </w:p>
    <w:p w14:paraId="55AF43C0">
      <w:pPr>
        <w:spacing w:line="360" w:lineRule="auto"/>
        <w:rPr>
          <w:rFonts w:ascii="宋体" w:hAnsi="宋体" w:eastAsia="宋体"/>
          <w:color w:val="auto"/>
          <w:highlight w:val="none"/>
        </w:rPr>
      </w:pPr>
      <w:r>
        <w:rPr>
          <w:rFonts w:hint="eastAsia" w:ascii="宋体" w:hAnsi="宋体" w:eastAsia="宋体"/>
          <w:color w:val="auto"/>
          <w:highlight w:val="none"/>
        </w:rPr>
        <w:t>电话：                           电话：</w:t>
      </w:r>
    </w:p>
    <w:p w14:paraId="663420F4">
      <w:pPr>
        <w:spacing w:line="360" w:lineRule="auto"/>
        <w:rPr>
          <w:rFonts w:ascii="宋体" w:hAnsi="宋体" w:eastAsia="宋体"/>
          <w:color w:val="auto"/>
          <w:highlight w:val="none"/>
        </w:rPr>
      </w:pPr>
      <w:r>
        <w:rPr>
          <w:rFonts w:hint="eastAsia" w:ascii="宋体" w:hAnsi="宋体" w:eastAsia="宋体"/>
          <w:color w:val="auto"/>
          <w:highlight w:val="none"/>
        </w:rPr>
        <w:t>邮政编码：                       邮政编码：</w:t>
      </w:r>
    </w:p>
    <w:p w14:paraId="50E3A61A">
      <w:pPr>
        <w:spacing w:line="360" w:lineRule="auto"/>
        <w:rPr>
          <w:rFonts w:ascii="宋体" w:hAnsi="宋体" w:eastAsia="宋体"/>
          <w:color w:val="auto"/>
          <w:highlight w:val="none"/>
        </w:rPr>
      </w:pPr>
      <w:r>
        <w:rPr>
          <w:rFonts w:hint="eastAsia" w:ascii="宋体" w:hAnsi="宋体" w:eastAsia="宋体"/>
          <w:color w:val="auto"/>
          <w:highlight w:val="none"/>
        </w:rPr>
        <w:t>开户银行：                       开户银行：</w:t>
      </w:r>
    </w:p>
    <w:p w14:paraId="16EDAF45">
      <w:pPr>
        <w:spacing w:line="360" w:lineRule="auto"/>
        <w:rPr>
          <w:rFonts w:ascii="宋体" w:hAnsi="宋体" w:eastAsia="宋体"/>
          <w:color w:val="auto"/>
          <w:highlight w:val="none"/>
        </w:rPr>
      </w:pPr>
      <w:r>
        <w:rPr>
          <w:rFonts w:hint="eastAsia" w:ascii="Times New Roman" w:hAnsi="Times New Roman" w:eastAsia="宋体"/>
          <w:color w:val="auto"/>
          <w:highlight w:val="none"/>
        </w:rPr>
        <w:t>账号：</w:t>
      </w:r>
      <w:r>
        <w:rPr>
          <w:rFonts w:hint="eastAsia" w:ascii="Times New Roman" w:hAnsi="Times New Roman" w:eastAsia="宋体"/>
          <w:color w:val="auto"/>
          <w:highlight w:val="none"/>
          <w:lang w:val="en-US" w:eastAsia="zh-CN"/>
        </w:rPr>
        <w:t xml:space="preserve">                           </w:t>
      </w:r>
      <w:r>
        <w:rPr>
          <w:rFonts w:hint="eastAsia" w:ascii="Times New Roman" w:hAnsi="Times New Roman" w:eastAsia="宋体"/>
          <w:color w:val="auto"/>
          <w:highlight w:val="none"/>
        </w:rPr>
        <w:t>账号：</w:t>
      </w:r>
    </w:p>
    <w:p w14:paraId="41269A1A">
      <w:pPr>
        <w:snapToGrid w:val="0"/>
        <w:spacing w:line="360" w:lineRule="auto"/>
        <w:rPr>
          <w:rFonts w:ascii="宋体" w:hAnsi="宋体" w:eastAsia="宋体" w:cs="Times New Roman"/>
          <w:color w:val="auto"/>
          <w:szCs w:val="21"/>
          <w:highlight w:val="none"/>
        </w:rPr>
      </w:pPr>
      <w:r>
        <w:rPr>
          <w:rFonts w:hint="eastAsia" w:hAnsi="宋体" w:cstheme="minorBidi"/>
          <w:color w:val="auto"/>
          <w:spacing w:val="0"/>
          <w:kern w:val="2"/>
          <w:sz w:val="21"/>
          <w:highlight w:val="none"/>
        </w:rPr>
        <w:t>日期：                           日期：</w:t>
      </w:r>
    </w:p>
    <w:p w14:paraId="3C15D20F">
      <w:pPr>
        <w:snapToGrid w:val="0"/>
        <w:spacing w:line="260" w:lineRule="exact"/>
        <w:rPr>
          <w:rFonts w:hint="eastAsia" w:ascii="宋体" w:hAnsi="宋体" w:eastAsia="宋体"/>
          <w:color w:val="auto"/>
          <w:highlight w:val="none"/>
        </w:rPr>
      </w:pPr>
    </w:p>
    <w:p w14:paraId="0F7E9290">
      <w:pPr>
        <w:snapToGrid w:val="0"/>
        <w:spacing w:line="260" w:lineRule="exact"/>
        <w:rPr>
          <w:rFonts w:hint="eastAsia" w:ascii="宋体" w:hAnsi="宋体" w:eastAsia="宋体"/>
          <w:color w:val="auto"/>
          <w:highlight w:val="none"/>
        </w:rPr>
      </w:pPr>
    </w:p>
    <w:p w14:paraId="6B1B44D0">
      <w:pPr>
        <w:snapToGrid w:val="0"/>
        <w:spacing w:line="260" w:lineRule="exact"/>
        <w:rPr>
          <w:rFonts w:hint="eastAsia" w:ascii="宋体" w:hAnsi="宋体" w:eastAsia="宋体"/>
          <w:color w:val="auto"/>
          <w:highlight w:val="none"/>
        </w:rPr>
      </w:pPr>
    </w:p>
    <w:p w14:paraId="5495B744">
      <w:pPr>
        <w:snapToGrid w:val="0"/>
        <w:spacing w:line="260" w:lineRule="exact"/>
        <w:rPr>
          <w:rFonts w:ascii="宋体" w:hAnsi="宋体"/>
          <w:color w:val="auto"/>
          <w:szCs w:val="21"/>
          <w:highlight w:val="none"/>
        </w:rPr>
      </w:pPr>
    </w:p>
    <w:p w14:paraId="1E564811">
      <w:pPr>
        <w:snapToGrid w:val="0"/>
        <w:spacing w:line="260" w:lineRule="exact"/>
        <w:rPr>
          <w:rFonts w:ascii="宋体" w:hAnsi="宋体"/>
          <w:color w:val="auto"/>
          <w:szCs w:val="21"/>
          <w:highlight w:val="none"/>
        </w:rPr>
      </w:pPr>
    </w:p>
    <w:p w14:paraId="5EE4145D">
      <w:pPr>
        <w:snapToGrid w:val="0"/>
        <w:spacing w:line="260" w:lineRule="exact"/>
        <w:rPr>
          <w:rFonts w:ascii="宋体" w:hAnsi="宋体"/>
          <w:color w:val="auto"/>
          <w:szCs w:val="21"/>
          <w:highlight w:val="none"/>
        </w:rPr>
      </w:pPr>
      <w:r>
        <w:rPr>
          <w:rFonts w:ascii="宋体" w:hAnsi="宋体"/>
          <w:color w:val="auto"/>
          <w:szCs w:val="21"/>
          <w:highlight w:val="none"/>
        </w:rPr>
        <w:t>信贷政策</w:t>
      </w:r>
    </w:p>
    <w:p w14:paraId="77F0E858">
      <w:pPr>
        <w:spacing w:line="260" w:lineRule="exact"/>
        <w:ind w:firstLine="420" w:firstLineChars="200"/>
        <w:rPr>
          <w:rFonts w:ascii="宋体" w:hAnsi="宋体"/>
          <w:color w:val="auto"/>
          <w:szCs w:val="21"/>
          <w:highlight w:val="none"/>
        </w:rPr>
      </w:pPr>
      <w:r>
        <w:rPr>
          <w:rFonts w:hint="eastAsia" w:ascii="宋体" w:hAnsi="宋体"/>
          <w:color w:val="auto"/>
          <w:szCs w:val="21"/>
          <w:highlight w:val="none"/>
          <w:lang w:eastAsia="zh-CN"/>
        </w:rPr>
        <w:t>1.</w:t>
      </w:r>
      <w:r>
        <w:rPr>
          <w:rFonts w:ascii="宋体" w:hAnsi="宋体"/>
          <w:color w:val="auto"/>
          <w:szCs w:val="21"/>
          <w:highlight w:val="none"/>
        </w:rPr>
        <w:t>为有效破解当前中小微企业面临的“融资难、融资贵”困局，充分发挥好政府采购扶持小微企业发展的政策功能，属于舟山市内的各中小企业可凭政府采购项目中标通知书等材料向舟山市政府采购信用融资合作银行申请相关融资产品，有关的合作银行详见下表：</w:t>
      </w:r>
    </w:p>
    <w:p w14:paraId="3632C0DE">
      <w:pPr>
        <w:spacing w:line="240" w:lineRule="exact"/>
        <w:contextualSpacing/>
        <w:rPr>
          <w:rFonts w:ascii="宋体" w:hAnsi="宋体"/>
          <w:color w:val="auto"/>
          <w:sz w:val="24"/>
          <w:highlight w:val="none"/>
        </w:rPr>
      </w:pPr>
    </w:p>
    <w:tbl>
      <w:tblPr>
        <w:tblStyle w:val="29"/>
        <w:tblW w:w="9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0"/>
        <w:gridCol w:w="4728"/>
        <w:gridCol w:w="1467"/>
        <w:gridCol w:w="1908"/>
      </w:tblGrid>
      <w:tr w14:paraId="62219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8" w:hRule="atLeast"/>
          <w:jc w:val="center"/>
        </w:trPr>
        <w:tc>
          <w:tcPr>
            <w:tcW w:w="9563" w:type="dxa"/>
            <w:gridSpan w:val="4"/>
            <w:vAlign w:val="center"/>
          </w:tcPr>
          <w:p w14:paraId="2DE14D5D">
            <w:pPr>
              <w:spacing w:line="240" w:lineRule="exact"/>
              <w:contextualSpacing/>
              <w:rPr>
                <w:rFonts w:ascii="宋体" w:hAnsi="宋体"/>
                <w:color w:val="auto"/>
                <w:szCs w:val="21"/>
                <w:highlight w:val="none"/>
              </w:rPr>
            </w:pPr>
            <w:r>
              <w:rPr>
                <w:rFonts w:hint="eastAsia" w:ascii="宋体" w:hAnsi="宋体"/>
                <w:color w:val="auto"/>
                <w:szCs w:val="21"/>
                <w:highlight w:val="none"/>
              </w:rPr>
              <w:t>舟山市政府采购信用融资合作银行</w:t>
            </w:r>
          </w:p>
        </w:tc>
      </w:tr>
      <w:tr w14:paraId="3922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10" w:hRule="atLeast"/>
          <w:jc w:val="center"/>
        </w:trPr>
        <w:tc>
          <w:tcPr>
            <w:tcW w:w="1460" w:type="dxa"/>
            <w:vAlign w:val="center"/>
          </w:tcPr>
          <w:p w14:paraId="7C270D48">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银行名称</w:t>
            </w:r>
          </w:p>
        </w:tc>
        <w:tc>
          <w:tcPr>
            <w:tcW w:w="4728" w:type="dxa"/>
            <w:vAlign w:val="center"/>
          </w:tcPr>
          <w:p w14:paraId="64BB23C2">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各银行介绍的产品特点</w:t>
            </w:r>
          </w:p>
        </w:tc>
        <w:tc>
          <w:tcPr>
            <w:tcW w:w="1467" w:type="dxa"/>
            <w:vAlign w:val="center"/>
          </w:tcPr>
          <w:p w14:paraId="74E86C3C">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经办人</w:t>
            </w:r>
          </w:p>
        </w:tc>
        <w:tc>
          <w:tcPr>
            <w:tcW w:w="1908" w:type="dxa"/>
            <w:vAlign w:val="center"/>
          </w:tcPr>
          <w:p w14:paraId="5588FC33">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联系方式</w:t>
            </w:r>
          </w:p>
        </w:tc>
      </w:tr>
      <w:tr w14:paraId="3754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jc w:val="center"/>
        </w:trPr>
        <w:tc>
          <w:tcPr>
            <w:tcW w:w="1460" w:type="dxa"/>
            <w:vAlign w:val="center"/>
          </w:tcPr>
          <w:p w14:paraId="4BFACFEC">
            <w:pPr>
              <w:spacing w:line="240" w:lineRule="exact"/>
              <w:contextualSpacing/>
              <w:rPr>
                <w:rFonts w:ascii="宋体" w:hAnsi="宋体"/>
                <w:color w:val="auto"/>
                <w:szCs w:val="21"/>
                <w:highlight w:val="none"/>
              </w:rPr>
            </w:pPr>
            <w:r>
              <w:rPr>
                <w:rFonts w:hint="eastAsia" w:ascii="宋体" w:hAnsi="宋体"/>
                <w:color w:val="auto"/>
                <w:szCs w:val="21"/>
                <w:highlight w:val="none"/>
              </w:rPr>
              <w:t>中国工商银行股份有限公司舟山分行</w:t>
            </w:r>
          </w:p>
        </w:tc>
        <w:tc>
          <w:tcPr>
            <w:tcW w:w="4728" w:type="dxa"/>
          </w:tcPr>
          <w:p w14:paraId="0D01A0AB">
            <w:pPr>
              <w:numPr>
                <w:ilvl w:val="0"/>
                <w:numId w:val="5"/>
              </w:numPr>
              <w:spacing w:line="240" w:lineRule="exact"/>
              <w:contextualSpacing/>
              <w:rPr>
                <w:rFonts w:ascii="宋体" w:hAnsi="宋体" w:cs="仿宋_GB2312"/>
                <w:color w:val="auto"/>
                <w:szCs w:val="21"/>
                <w:highlight w:val="none"/>
              </w:rPr>
            </w:pPr>
            <w:r>
              <w:rPr>
                <w:rFonts w:hint="eastAsia" w:ascii="宋体" w:hAnsi="宋体" w:cs="仿宋_GB2312"/>
                <w:color w:val="auto"/>
                <w:szCs w:val="21"/>
                <w:highlight w:val="none"/>
              </w:rPr>
              <w:t>融资额度高，融资金额最高可至订单金额70%，线上申请，随借随还。2.融资利率低，最低可至当期LPR利率。</w:t>
            </w:r>
          </w:p>
          <w:p w14:paraId="02F6B9E5">
            <w:pPr>
              <w:spacing w:line="240" w:lineRule="exact"/>
              <w:contextualSpacing/>
              <w:rPr>
                <w:rFonts w:ascii="宋体" w:hAnsi="宋体"/>
                <w:color w:val="auto"/>
                <w:szCs w:val="21"/>
                <w:highlight w:val="none"/>
              </w:rPr>
            </w:pPr>
            <w:r>
              <w:rPr>
                <w:rFonts w:hint="eastAsia" w:ascii="宋体" w:hAnsi="宋体" w:cs="仿宋_GB2312"/>
                <w:color w:val="auto"/>
                <w:szCs w:val="21"/>
                <w:highlight w:val="none"/>
              </w:rPr>
              <w:t>3.担保方式灵活，以政府采购合同进行融资，无需另外抵押。</w:t>
            </w:r>
          </w:p>
        </w:tc>
        <w:tc>
          <w:tcPr>
            <w:tcW w:w="1467" w:type="dxa"/>
            <w:vAlign w:val="center"/>
          </w:tcPr>
          <w:p w14:paraId="11D04B56">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柳超颖</w:t>
            </w:r>
          </w:p>
        </w:tc>
        <w:tc>
          <w:tcPr>
            <w:tcW w:w="1908" w:type="dxa"/>
            <w:vAlign w:val="center"/>
          </w:tcPr>
          <w:p w14:paraId="16A9F54B">
            <w:pPr>
              <w:spacing w:line="240" w:lineRule="exact"/>
              <w:contextualSpacing/>
              <w:rPr>
                <w:rFonts w:ascii="宋体" w:hAnsi="宋体"/>
                <w:color w:val="auto"/>
                <w:szCs w:val="21"/>
                <w:highlight w:val="none"/>
              </w:rPr>
            </w:pPr>
            <w:r>
              <w:rPr>
                <w:rFonts w:hint="eastAsia" w:ascii="宋体" w:hAnsi="宋体"/>
                <w:color w:val="auto"/>
                <w:szCs w:val="21"/>
                <w:highlight w:val="none"/>
              </w:rPr>
              <w:t>0580-2166242, 15858076468</w:t>
            </w:r>
          </w:p>
        </w:tc>
      </w:tr>
      <w:tr w14:paraId="04C2A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460" w:type="dxa"/>
            <w:vAlign w:val="center"/>
          </w:tcPr>
          <w:p w14:paraId="39B46DC1">
            <w:pPr>
              <w:spacing w:line="240" w:lineRule="exact"/>
              <w:contextualSpacing/>
              <w:rPr>
                <w:rFonts w:ascii="宋体" w:hAnsi="宋体"/>
                <w:color w:val="auto"/>
                <w:szCs w:val="21"/>
                <w:highlight w:val="none"/>
              </w:rPr>
            </w:pPr>
            <w:r>
              <w:rPr>
                <w:rFonts w:hint="eastAsia" w:ascii="宋体" w:hAnsi="宋体"/>
                <w:color w:val="auto"/>
                <w:szCs w:val="21"/>
                <w:highlight w:val="none"/>
              </w:rPr>
              <w:t>中国建设银行股份有限公司舟山分行</w:t>
            </w:r>
          </w:p>
        </w:tc>
        <w:tc>
          <w:tcPr>
            <w:tcW w:w="4728" w:type="dxa"/>
          </w:tcPr>
          <w:p w14:paraId="2F469A57">
            <w:pPr>
              <w:numPr>
                <w:ilvl w:val="0"/>
                <w:numId w:val="6"/>
              </w:numPr>
              <w:spacing w:line="240" w:lineRule="exact"/>
              <w:contextualSpacing/>
              <w:rPr>
                <w:rFonts w:ascii="宋体" w:hAnsi="宋体"/>
                <w:color w:val="auto"/>
                <w:szCs w:val="21"/>
                <w:highlight w:val="none"/>
              </w:rPr>
            </w:pPr>
            <w:r>
              <w:rPr>
                <w:rFonts w:hint="eastAsia" w:ascii="宋体" w:hAnsi="宋体"/>
                <w:color w:val="auto"/>
                <w:szCs w:val="21"/>
                <w:highlight w:val="none"/>
              </w:rPr>
              <w:t>快速便捷：全流程线上操作，通过浙江省政府采购网数据审核信用额度，建行供应链平台快速放款。</w:t>
            </w:r>
          </w:p>
          <w:p w14:paraId="445897CB">
            <w:pPr>
              <w:numPr>
                <w:ilvl w:val="0"/>
                <w:numId w:val="6"/>
              </w:numPr>
              <w:spacing w:line="240" w:lineRule="exact"/>
              <w:contextualSpacing/>
              <w:rPr>
                <w:rFonts w:ascii="宋体" w:hAnsi="宋体"/>
                <w:color w:val="auto"/>
                <w:szCs w:val="21"/>
                <w:highlight w:val="none"/>
              </w:rPr>
            </w:pPr>
            <w:r>
              <w:rPr>
                <w:rFonts w:hint="eastAsia" w:ascii="宋体" w:hAnsi="宋体"/>
                <w:color w:val="auto"/>
                <w:szCs w:val="21"/>
                <w:highlight w:val="none"/>
              </w:rPr>
              <w:t>申请额度高：单笔融资额度最高可达政府采购合同金额的90%，单户额度最高可达3000万。</w:t>
            </w:r>
          </w:p>
          <w:p w14:paraId="4D562CCD">
            <w:pPr>
              <w:numPr>
                <w:ilvl w:val="0"/>
                <w:numId w:val="6"/>
              </w:numPr>
              <w:spacing w:line="240" w:lineRule="exact"/>
              <w:contextualSpacing/>
              <w:rPr>
                <w:rFonts w:ascii="宋体" w:hAnsi="宋体"/>
                <w:color w:val="auto"/>
                <w:szCs w:val="21"/>
                <w:highlight w:val="none"/>
              </w:rPr>
            </w:pPr>
            <w:r>
              <w:rPr>
                <w:rFonts w:hint="eastAsia" w:ascii="宋体" w:hAnsi="宋体"/>
                <w:color w:val="auto"/>
                <w:szCs w:val="21"/>
                <w:highlight w:val="none"/>
              </w:rPr>
              <w:t>无需额外抵押：以浙江省政府采购网备案公示的政府采购合同进行融资，无需额外抵押担保。</w:t>
            </w:r>
          </w:p>
          <w:p w14:paraId="6CEA9134">
            <w:pPr>
              <w:numPr>
                <w:ilvl w:val="0"/>
                <w:numId w:val="6"/>
              </w:numPr>
              <w:spacing w:line="240" w:lineRule="exact"/>
              <w:contextualSpacing/>
              <w:rPr>
                <w:rFonts w:ascii="宋体" w:hAnsi="宋体"/>
                <w:color w:val="auto"/>
                <w:szCs w:val="21"/>
                <w:highlight w:val="none"/>
              </w:rPr>
            </w:pPr>
            <w:r>
              <w:rPr>
                <w:rFonts w:hint="eastAsia" w:ascii="宋体" w:hAnsi="宋体"/>
                <w:color w:val="auto"/>
                <w:szCs w:val="21"/>
                <w:highlight w:val="none"/>
              </w:rPr>
              <w:t>利率优惠：给予流动资金贷款最优惠利率。</w:t>
            </w:r>
          </w:p>
        </w:tc>
        <w:tc>
          <w:tcPr>
            <w:tcW w:w="1467" w:type="dxa"/>
            <w:vAlign w:val="center"/>
          </w:tcPr>
          <w:p w14:paraId="297B3739">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普陀片区：蔡妮妮</w:t>
            </w:r>
          </w:p>
          <w:p w14:paraId="68E01FF3">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定海片区：杨莹</w:t>
            </w:r>
          </w:p>
          <w:p w14:paraId="3AF4CA59">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自贸区片区：方晓</w:t>
            </w:r>
          </w:p>
        </w:tc>
        <w:tc>
          <w:tcPr>
            <w:tcW w:w="1908" w:type="dxa"/>
            <w:vAlign w:val="center"/>
          </w:tcPr>
          <w:p w14:paraId="5DE2B5D9">
            <w:pPr>
              <w:spacing w:line="240" w:lineRule="exact"/>
              <w:contextualSpacing/>
              <w:rPr>
                <w:rFonts w:ascii="宋体" w:hAnsi="宋体"/>
                <w:color w:val="auto"/>
                <w:szCs w:val="21"/>
                <w:highlight w:val="none"/>
              </w:rPr>
            </w:pPr>
            <w:r>
              <w:rPr>
                <w:rFonts w:hint="eastAsia" w:ascii="宋体" w:hAnsi="宋体"/>
                <w:color w:val="auto"/>
                <w:szCs w:val="21"/>
                <w:highlight w:val="none"/>
              </w:rPr>
              <w:t>普陀片区：13957201791</w:t>
            </w:r>
          </w:p>
          <w:p w14:paraId="640E9789">
            <w:pPr>
              <w:spacing w:line="240" w:lineRule="exact"/>
              <w:contextualSpacing/>
              <w:rPr>
                <w:rFonts w:ascii="宋体" w:hAnsi="宋体"/>
                <w:color w:val="auto"/>
                <w:szCs w:val="21"/>
                <w:highlight w:val="none"/>
              </w:rPr>
            </w:pPr>
            <w:r>
              <w:rPr>
                <w:rFonts w:hint="eastAsia" w:ascii="宋体" w:hAnsi="宋体"/>
                <w:color w:val="auto"/>
                <w:szCs w:val="21"/>
                <w:highlight w:val="none"/>
              </w:rPr>
              <w:t>定海片区：13655803997</w:t>
            </w:r>
          </w:p>
          <w:p w14:paraId="50F380EF">
            <w:pPr>
              <w:spacing w:line="240" w:lineRule="exact"/>
              <w:contextualSpacing/>
              <w:rPr>
                <w:rFonts w:ascii="宋体" w:hAnsi="宋体"/>
                <w:color w:val="auto"/>
                <w:szCs w:val="21"/>
                <w:highlight w:val="none"/>
              </w:rPr>
            </w:pPr>
            <w:r>
              <w:rPr>
                <w:rFonts w:hint="eastAsia" w:ascii="宋体" w:hAnsi="宋体"/>
                <w:color w:val="auto"/>
                <w:szCs w:val="21"/>
                <w:highlight w:val="none"/>
              </w:rPr>
              <w:t>自贸区片区：13587086324</w:t>
            </w:r>
          </w:p>
        </w:tc>
      </w:tr>
      <w:tr w14:paraId="01A4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4FC2E204">
            <w:pPr>
              <w:spacing w:line="240" w:lineRule="exact"/>
              <w:contextualSpacing/>
              <w:rPr>
                <w:rFonts w:ascii="宋体" w:hAnsi="宋体"/>
                <w:color w:val="auto"/>
                <w:szCs w:val="21"/>
                <w:highlight w:val="none"/>
              </w:rPr>
            </w:pPr>
            <w:r>
              <w:rPr>
                <w:rFonts w:hint="eastAsia" w:ascii="宋体" w:hAnsi="宋体"/>
                <w:color w:val="auto"/>
                <w:szCs w:val="21"/>
                <w:highlight w:val="none"/>
              </w:rPr>
              <w:t>杭州银行股份有限公司舟山市分行</w:t>
            </w:r>
          </w:p>
        </w:tc>
        <w:tc>
          <w:tcPr>
            <w:tcW w:w="4728" w:type="dxa"/>
          </w:tcPr>
          <w:p w14:paraId="0FBC4DDB">
            <w:pPr>
              <w:spacing w:line="240" w:lineRule="exact"/>
              <w:contextualSpacing/>
              <w:rPr>
                <w:rFonts w:ascii="宋体" w:hAnsi="宋体"/>
                <w:color w:val="auto"/>
                <w:szCs w:val="21"/>
                <w:highlight w:val="none"/>
              </w:rPr>
            </w:pPr>
            <w:r>
              <w:rPr>
                <w:rFonts w:hint="eastAsia" w:ascii="宋体" w:hAnsi="宋体"/>
                <w:color w:val="auto"/>
                <w:szCs w:val="21"/>
                <w:highlight w:val="none"/>
              </w:rPr>
              <w:t>“云采贷”是杭州银行为政府采购供应商提供的纯信用贷款产品。客户申请、签约、放款全流程线上化，平台注册入库并取得采购合同即可申请，融资比例最高达采购订单的80%，单户、单笔最高可达3000万，最长期限一年。</w:t>
            </w:r>
          </w:p>
        </w:tc>
        <w:tc>
          <w:tcPr>
            <w:tcW w:w="1467" w:type="dxa"/>
            <w:vAlign w:val="center"/>
          </w:tcPr>
          <w:p w14:paraId="20DBABE0">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方经理</w:t>
            </w:r>
          </w:p>
        </w:tc>
        <w:tc>
          <w:tcPr>
            <w:tcW w:w="1908" w:type="dxa"/>
            <w:vAlign w:val="center"/>
          </w:tcPr>
          <w:p w14:paraId="4C0DF092">
            <w:pPr>
              <w:spacing w:line="240" w:lineRule="exact"/>
              <w:contextualSpacing/>
              <w:rPr>
                <w:rFonts w:ascii="宋体" w:hAnsi="宋体"/>
                <w:color w:val="auto"/>
                <w:szCs w:val="21"/>
                <w:highlight w:val="none"/>
              </w:rPr>
            </w:pPr>
            <w:r>
              <w:rPr>
                <w:rFonts w:hint="eastAsia" w:ascii="宋体" w:hAnsi="宋体"/>
                <w:color w:val="auto"/>
                <w:szCs w:val="21"/>
                <w:highlight w:val="none"/>
              </w:rPr>
              <w:t>0580-2185201，18205800451</w:t>
            </w:r>
          </w:p>
        </w:tc>
      </w:tr>
      <w:tr w14:paraId="1E1FE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60" w:type="dxa"/>
            <w:vAlign w:val="center"/>
          </w:tcPr>
          <w:p w14:paraId="2AB578AB">
            <w:pPr>
              <w:spacing w:line="240" w:lineRule="exact"/>
              <w:contextualSpacing/>
              <w:rPr>
                <w:rFonts w:ascii="宋体" w:hAnsi="宋体"/>
                <w:color w:val="auto"/>
                <w:szCs w:val="21"/>
                <w:highlight w:val="none"/>
              </w:rPr>
            </w:pPr>
            <w:r>
              <w:rPr>
                <w:rFonts w:hint="eastAsia" w:ascii="宋体" w:hAnsi="宋体"/>
                <w:color w:val="auto"/>
                <w:szCs w:val="21"/>
                <w:highlight w:val="none"/>
              </w:rPr>
              <w:t>招商银行股份有限公司浙江自贸试验区舟山分行</w:t>
            </w:r>
          </w:p>
        </w:tc>
        <w:tc>
          <w:tcPr>
            <w:tcW w:w="4728" w:type="dxa"/>
          </w:tcPr>
          <w:p w14:paraId="351E1D08">
            <w:pPr>
              <w:spacing w:line="240" w:lineRule="exact"/>
              <w:rPr>
                <w:rFonts w:ascii="宋体" w:hAnsi="宋体"/>
                <w:color w:val="auto"/>
                <w:szCs w:val="21"/>
                <w:highlight w:val="none"/>
              </w:rPr>
            </w:pPr>
            <w:r>
              <w:rPr>
                <w:rFonts w:hint="eastAsia" w:ascii="宋体" w:hAnsi="宋体" w:cs="仿宋_GB2312"/>
                <w:color w:val="auto"/>
                <w:szCs w:val="21"/>
                <w:highlight w:val="none"/>
              </w:rPr>
              <w:t>小企业政采贷是招商银行为政府采购成交供应商提供的用于履行政府采购合同的专属融资产品。优势：一、额度高。根据企业上一年或近一年获得政府采购成交及成交通知的一定比例给予额度，最高可达3000万元，单笔提款金额最高至合同金额的90%。二、操作简便、模式丰富。客户通过我行一网通等渠道在线申请。支持线上用款，按日计息，随借随还，利率最低至当期LPR。三、担保方式灵活。实际控制人夫妇担保＋融资项下应收账款质押作为辅助，无需抵押，一次性签署合作协议。</w:t>
            </w:r>
          </w:p>
        </w:tc>
        <w:tc>
          <w:tcPr>
            <w:tcW w:w="1467" w:type="dxa"/>
            <w:vAlign w:val="center"/>
          </w:tcPr>
          <w:p w14:paraId="2966643A">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李玲</w:t>
            </w:r>
          </w:p>
        </w:tc>
        <w:tc>
          <w:tcPr>
            <w:tcW w:w="1908" w:type="dxa"/>
            <w:vAlign w:val="center"/>
          </w:tcPr>
          <w:p w14:paraId="463814DA">
            <w:pPr>
              <w:spacing w:line="240" w:lineRule="exact"/>
              <w:contextualSpacing/>
              <w:rPr>
                <w:rFonts w:ascii="宋体" w:hAnsi="宋体"/>
                <w:color w:val="auto"/>
                <w:szCs w:val="21"/>
                <w:highlight w:val="none"/>
              </w:rPr>
            </w:pPr>
            <w:r>
              <w:rPr>
                <w:rFonts w:hint="eastAsia" w:ascii="宋体" w:hAnsi="宋体"/>
                <w:color w:val="auto"/>
                <w:szCs w:val="21"/>
                <w:highlight w:val="none"/>
              </w:rPr>
              <w:t>0580-2061710，13957227971</w:t>
            </w:r>
          </w:p>
        </w:tc>
      </w:tr>
      <w:tr w14:paraId="04A5B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jc w:val="center"/>
        </w:trPr>
        <w:tc>
          <w:tcPr>
            <w:tcW w:w="1460" w:type="dxa"/>
            <w:vAlign w:val="center"/>
          </w:tcPr>
          <w:p w14:paraId="37AE7348">
            <w:pPr>
              <w:spacing w:line="240" w:lineRule="exact"/>
              <w:contextualSpacing/>
              <w:rPr>
                <w:rFonts w:ascii="宋体" w:hAnsi="宋体"/>
                <w:color w:val="auto"/>
                <w:szCs w:val="21"/>
                <w:highlight w:val="none"/>
              </w:rPr>
            </w:pPr>
            <w:r>
              <w:rPr>
                <w:rFonts w:hint="eastAsia" w:ascii="宋体" w:hAnsi="宋体"/>
                <w:color w:val="auto"/>
                <w:szCs w:val="21"/>
                <w:highlight w:val="none"/>
              </w:rPr>
              <w:t>温州银行股份有限公司舟山市分行</w:t>
            </w:r>
          </w:p>
        </w:tc>
        <w:tc>
          <w:tcPr>
            <w:tcW w:w="4728" w:type="dxa"/>
          </w:tcPr>
          <w:p w14:paraId="1B2D2E67">
            <w:pPr>
              <w:numPr>
                <w:ilvl w:val="0"/>
                <w:numId w:val="7"/>
              </w:numPr>
              <w:spacing w:line="240" w:lineRule="exact"/>
              <w:contextualSpacing/>
              <w:rPr>
                <w:rFonts w:ascii="宋体" w:hAnsi="宋体"/>
                <w:color w:val="auto"/>
                <w:szCs w:val="21"/>
                <w:highlight w:val="none"/>
              </w:rPr>
            </w:pPr>
            <w:r>
              <w:rPr>
                <w:rFonts w:hint="eastAsia" w:ascii="宋体" w:hAnsi="宋体"/>
                <w:color w:val="auto"/>
                <w:szCs w:val="21"/>
                <w:highlight w:val="none"/>
              </w:rPr>
              <w:t>单户授信敞口最高不超过1000万元，且最高额度核定一般不超过借款人（含实际控制人控制的其他经营实体）最近13个月合计有效中标合同金额的70%。</w:t>
            </w:r>
          </w:p>
          <w:p w14:paraId="0EA4EB6D">
            <w:pPr>
              <w:numPr>
                <w:ilvl w:val="0"/>
                <w:numId w:val="7"/>
              </w:numPr>
              <w:spacing w:line="240" w:lineRule="exact"/>
              <w:contextualSpacing/>
              <w:rPr>
                <w:rFonts w:ascii="宋体" w:hAnsi="宋体"/>
                <w:color w:val="auto"/>
                <w:szCs w:val="21"/>
                <w:highlight w:val="none"/>
              </w:rPr>
            </w:pPr>
            <w:r>
              <w:rPr>
                <w:rFonts w:hint="eastAsia" w:ascii="宋体" w:hAnsi="宋体"/>
                <w:color w:val="auto"/>
                <w:szCs w:val="21"/>
                <w:highlight w:val="none"/>
              </w:rPr>
              <w:t>单笔借款额度最高不超过1000万元，单笔业务授信额度不超过“政采云平台”提供的中标通知书承载的中标金额或本次申请授信提供的采购合同金额的80%，且用信金额不超过采购合同未付金额的80%。</w:t>
            </w:r>
          </w:p>
          <w:p w14:paraId="597D8F88">
            <w:pPr>
              <w:numPr>
                <w:ilvl w:val="0"/>
                <w:numId w:val="7"/>
              </w:numPr>
              <w:spacing w:line="240" w:lineRule="exact"/>
              <w:contextualSpacing/>
              <w:rPr>
                <w:rFonts w:ascii="宋体" w:hAnsi="宋体"/>
                <w:color w:val="auto"/>
                <w:szCs w:val="21"/>
                <w:highlight w:val="none"/>
              </w:rPr>
            </w:pPr>
            <w:r>
              <w:rPr>
                <w:rFonts w:hint="eastAsia" w:ascii="宋体" w:hAnsi="宋体"/>
                <w:color w:val="auto"/>
                <w:szCs w:val="21"/>
                <w:highlight w:val="none"/>
              </w:rPr>
              <w:t>借款人中标采购人自行采购项目并向我行发起授信申请的，单笔业务授信敞口不超500万元，且不超过借款人中标通知书承载的中标金额或本次申请授信提供的采购合同的80%。</w:t>
            </w:r>
          </w:p>
          <w:p w14:paraId="1273BB90">
            <w:pPr>
              <w:numPr>
                <w:ilvl w:val="0"/>
                <w:numId w:val="7"/>
              </w:numPr>
              <w:spacing w:line="240" w:lineRule="exact"/>
              <w:contextualSpacing/>
              <w:rPr>
                <w:rFonts w:ascii="宋体" w:hAnsi="宋体"/>
                <w:color w:val="auto"/>
                <w:szCs w:val="21"/>
                <w:highlight w:val="none"/>
              </w:rPr>
            </w:pPr>
            <w:r>
              <w:rPr>
                <w:rFonts w:hint="eastAsia" w:ascii="宋体" w:hAnsi="宋体"/>
                <w:color w:val="auto"/>
                <w:szCs w:val="21"/>
                <w:highlight w:val="none"/>
              </w:rPr>
              <w:t>符合我行采购人资质的，且负债率不超75%，配合应收账款质押登记确认的，并可出具确认函，单笔借款额度可按不超过采购合同的90%办理。</w:t>
            </w:r>
          </w:p>
        </w:tc>
        <w:tc>
          <w:tcPr>
            <w:tcW w:w="1467" w:type="dxa"/>
            <w:vAlign w:val="center"/>
          </w:tcPr>
          <w:p w14:paraId="51FBD3E1">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郑贤栋</w:t>
            </w:r>
          </w:p>
        </w:tc>
        <w:tc>
          <w:tcPr>
            <w:tcW w:w="1908" w:type="dxa"/>
            <w:vAlign w:val="center"/>
          </w:tcPr>
          <w:p w14:paraId="7CA1A605">
            <w:pPr>
              <w:spacing w:line="240" w:lineRule="exact"/>
              <w:contextualSpacing/>
              <w:rPr>
                <w:rFonts w:ascii="宋体" w:hAnsi="宋体"/>
                <w:color w:val="auto"/>
                <w:szCs w:val="21"/>
                <w:highlight w:val="none"/>
              </w:rPr>
            </w:pPr>
            <w:r>
              <w:rPr>
                <w:rFonts w:hint="eastAsia" w:ascii="宋体" w:hAnsi="宋体"/>
                <w:color w:val="auto"/>
                <w:szCs w:val="21"/>
                <w:highlight w:val="none"/>
              </w:rPr>
              <w:t>058—8866086</w:t>
            </w:r>
          </w:p>
        </w:tc>
      </w:tr>
      <w:tr w14:paraId="7605E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460" w:type="dxa"/>
            <w:vAlign w:val="center"/>
          </w:tcPr>
          <w:p w14:paraId="391A4251">
            <w:pPr>
              <w:spacing w:line="240" w:lineRule="exact"/>
              <w:contextualSpacing/>
              <w:rPr>
                <w:rFonts w:ascii="宋体" w:hAnsi="宋体"/>
                <w:color w:val="auto"/>
                <w:szCs w:val="21"/>
                <w:highlight w:val="none"/>
              </w:rPr>
            </w:pPr>
            <w:r>
              <w:rPr>
                <w:rFonts w:hint="eastAsia" w:ascii="宋体" w:hAnsi="宋体"/>
                <w:color w:val="auto"/>
                <w:szCs w:val="21"/>
                <w:highlight w:val="none"/>
              </w:rPr>
              <w:t>交通银行股份有限公司舟山分行</w:t>
            </w:r>
          </w:p>
        </w:tc>
        <w:tc>
          <w:tcPr>
            <w:tcW w:w="4728" w:type="dxa"/>
          </w:tcPr>
          <w:p w14:paraId="6ACBC113">
            <w:pPr>
              <w:spacing w:line="240" w:lineRule="exact"/>
              <w:contextualSpacing/>
              <w:rPr>
                <w:rFonts w:ascii="宋体" w:hAnsi="宋体"/>
                <w:color w:val="auto"/>
                <w:szCs w:val="21"/>
                <w:highlight w:val="none"/>
              </w:rPr>
            </w:pPr>
            <w:r>
              <w:rPr>
                <w:rFonts w:hint="eastAsia" w:ascii="宋体" w:hAnsi="宋体" w:cs="仿宋_GB2312"/>
                <w:color w:val="auto"/>
                <w:szCs w:val="21"/>
                <w:highlight w:val="none"/>
              </w:rPr>
              <w:t>交通银行政采贷，线上版本最长期限1年，融资金额一般不超过1000万；线下版本期限最长两年，额度最高2,000万，单笔提款金额最高至采购合同金额的70%。担保方式为信用（附加该笔业务项下未来应收账款质押、实际控制人及配偶个人保证），随借随还，利率最低至当期L</w:t>
            </w:r>
            <w:r>
              <w:rPr>
                <w:rFonts w:hint="eastAsia" w:ascii="宋体" w:hAnsi="宋体"/>
                <w:color w:val="auto"/>
                <w:szCs w:val="21"/>
                <w:highlight w:val="none"/>
              </w:rPr>
              <w:t>PR</w:t>
            </w:r>
            <w:r>
              <w:rPr>
                <w:rFonts w:ascii="宋体" w:hAnsi="宋体"/>
                <w:color w:val="auto"/>
                <w:szCs w:val="21"/>
                <w:highlight w:val="none"/>
              </w:rPr>
              <w:t>。</w:t>
            </w:r>
          </w:p>
        </w:tc>
        <w:tc>
          <w:tcPr>
            <w:tcW w:w="1467" w:type="dxa"/>
            <w:vAlign w:val="center"/>
          </w:tcPr>
          <w:p w14:paraId="29FC3DED">
            <w:pPr>
              <w:spacing w:line="240" w:lineRule="exact"/>
              <w:contextualSpacing/>
              <w:jc w:val="center"/>
              <w:rPr>
                <w:rFonts w:ascii="宋体" w:hAnsi="宋体"/>
                <w:color w:val="auto"/>
                <w:szCs w:val="21"/>
                <w:highlight w:val="none"/>
              </w:rPr>
            </w:pPr>
            <w:r>
              <w:rPr>
                <w:rFonts w:hint="eastAsia" w:ascii="宋体" w:hAnsi="宋体"/>
                <w:color w:val="auto"/>
                <w:szCs w:val="21"/>
                <w:highlight w:val="none"/>
              </w:rPr>
              <w:t>赵争艳</w:t>
            </w:r>
          </w:p>
        </w:tc>
        <w:tc>
          <w:tcPr>
            <w:tcW w:w="1908" w:type="dxa"/>
            <w:vAlign w:val="center"/>
          </w:tcPr>
          <w:p w14:paraId="3CD17AAA">
            <w:pPr>
              <w:spacing w:line="240" w:lineRule="exact"/>
              <w:contextualSpacing/>
              <w:rPr>
                <w:rFonts w:ascii="宋体" w:hAnsi="宋体"/>
                <w:color w:val="auto"/>
                <w:szCs w:val="21"/>
                <w:highlight w:val="none"/>
              </w:rPr>
            </w:pPr>
            <w:r>
              <w:rPr>
                <w:rFonts w:hint="eastAsia" w:ascii="宋体" w:hAnsi="宋体"/>
                <w:color w:val="auto"/>
                <w:szCs w:val="21"/>
                <w:highlight w:val="none"/>
              </w:rPr>
              <w:t>0580-2260728</w:t>
            </w:r>
          </w:p>
          <w:p w14:paraId="30571D8C">
            <w:pPr>
              <w:spacing w:line="240" w:lineRule="exact"/>
              <w:contextualSpacing/>
              <w:rPr>
                <w:rFonts w:ascii="宋体" w:hAnsi="宋体"/>
                <w:color w:val="auto"/>
                <w:szCs w:val="21"/>
                <w:highlight w:val="none"/>
              </w:rPr>
            </w:pPr>
            <w:r>
              <w:rPr>
                <w:rFonts w:hint="eastAsia" w:ascii="宋体" w:hAnsi="宋体"/>
                <w:color w:val="auto"/>
                <w:szCs w:val="21"/>
                <w:highlight w:val="none"/>
              </w:rPr>
              <w:t>13758007280</w:t>
            </w:r>
          </w:p>
        </w:tc>
      </w:tr>
      <w:tr w14:paraId="6E392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4318016F">
            <w:pPr>
              <w:spacing w:line="240" w:lineRule="exact"/>
              <w:contextualSpacing/>
              <w:rPr>
                <w:rFonts w:ascii="宋体" w:hAnsi="宋体"/>
                <w:szCs w:val="21"/>
              </w:rPr>
            </w:pPr>
            <w:r>
              <w:rPr>
                <w:rFonts w:hint="eastAsia" w:ascii="宋体" w:hAnsi="宋体"/>
                <w:szCs w:val="21"/>
              </w:rPr>
              <w:t>中信银行股份有限公司舟山分行</w:t>
            </w:r>
          </w:p>
        </w:tc>
        <w:tc>
          <w:tcPr>
            <w:tcW w:w="4728" w:type="dxa"/>
          </w:tcPr>
          <w:p w14:paraId="5327814C">
            <w:pPr>
              <w:spacing w:line="240" w:lineRule="exact"/>
              <w:contextualSpacing/>
              <w:rPr>
                <w:rFonts w:ascii="宋体" w:hAnsi="宋体"/>
                <w:szCs w:val="21"/>
              </w:rPr>
            </w:pPr>
            <w:r>
              <w:rPr>
                <w:rFonts w:hint="eastAsia" w:ascii="宋体" w:hAnsi="宋体"/>
                <w:szCs w:val="21"/>
              </w:rPr>
              <w:t>中信银行“政采e贷”产品特点：根据政府采购成交通知书或合同，以政府财政支付资金为主要还款来源，为成交小微企业提供流动资金贷款。产品实现预授信、贷款申请、应收账款质押、授信审批、自助提款等环节的线上化、自动化处理，操作便利，授信额度最高不超过1000万元，贷款期限最长1年，利率低。</w:t>
            </w:r>
          </w:p>
        </w:tc>
        <w:tc>
          <w:tcPr>
            <w:tcW w:w="1467" w:type="dxa"/>
            <w:vAlign w:val="center"/>
          </w:tcPr>
          <w:p w14:paraId="06DB967E">
            <w:pPr>
              <w:spacing w:line="240" w:lineRule="exact"/>
              <w:contextualSpacing/>
              <w:jc w:val="center"/>
              <w:rPr>
                <w:rFonts w:ascii="宋体" w:hAnsi="宋体"/>
                <w:szCs w:val="21"/>
              </w:rPr>
            </w:pPr>
            <w:r>
              <w:rPr>
                <w:rFonts w:ascii="宋体" w:hAnsi="宋体"/>
                <w:szCs w:val="21"/>
              </w:rPr>
              <w:t>黄丽</w:t>
            </w:r>
          </w:p>
        </w:tc>
        <w:tc>
          <w:tcPr>
            <w:tcW w:w="1908" w:type="dxa"/>
            <w:vAlign w:val="center"/>
          </w:tcPr>
          <w:p w14:paraId="39846196">
            <w:pPr>
              <w:spacing w:line="240" w:lineRule="exact"/>
              <w:contextualSpacing/>
              <w:rPr>
                <w:rFonts w:ascii="宋体" w:hAnsi="宋体"/>
                <w:szCs w:val="21"/>
              </w:rPr>
            </w:pPr>
            <w:r>
              <w:rPr>
                <w:rFonts w:ascii="宋体" w:hAnsi="宋体"/>
                <w:szCs w:val="21"/>
              </w:rPr>
              <w:t>13905808032</w:t>
            </w:r>
          </w:p>
        </w:tc>
      </w:tr>
      <w:tr w14:paraId="38B65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448C1D8B">
            <w:pPr>
              <w:spacing w:line="240" w:lineRule="exact"/>
              <w:contextualSpacing/>
              <w:rPr>
                <w:rFonts w:ascii="宋体" w:hAnsi="宋体"/>
                <w:szCs w:val="21"/>
              </w:rPr>
            </w:pPr>
            <w:r>
              <w:rPr>
                <w:rFonts w:hint="eastAsia" w:ascii="宋体" w:hAnsi="宋体"/>
                <w:szCs w:val="21"/>
              </w:rPr>
              <w:t>泰隆银行舟山市分行</w:t>
            </w:r>
          </w:p>
        </w:tc>
        <w:tc>
          <w:tcPr>
            <w:tcW w:w="4728" w:type="dxa"/>
          </w:tcPr>
          <w:p w14:paraId="3F4447C4">
            <w:pPr>
              <w:spacing w:line="240" w:lineRule="exact"/>
              <w:contextualSpacing/>
              <w:rPr>
                <w:rFonts w:ascii="宋体" w:hAnsi="宋体"/>
                <w:szCs w:val="21"/>
              </w:rPr>
            </w:pPr>
            <w:r>
              <w:rPr>
                <w:rFonts w:hint="eastAsia" w:ascii="宋体" w:hAnsi="宋体"/>
                <w:szCs w:val="21"/>
              </w:rPr>
              <w:t>符合我行基本准入，期限对照订单最长不超过1年，额度最高1000万，担保方式享受信用贷款执行，可由成交企业或其实际控制人出面申请，利率最低可至当期LPR ，对于合同期限确实超过一年的，可享受无还本续贷至合同付款日。</w:t>
            </w:r>
          </w:p>
        </w:tc>
        <w:tc>
          <w:tcPr>
            <w:tcW w:w="1467" w:type="dxa"/>
            <w:vAlign w:val="center"/>
          </w:tcPr>
          <w:p w14:paraId="6A77CDE6">
            <w:pPr>
              <w:spacing w:line="240" w:lineRule="exact"/>
              <w:contextualSpacing/>
              <w:jc w:val="center"/>
              <w:rPr>
                <w:rFonts w:ascii="宋体" w:hAnsi="宋体"/>
                <w:szCs w:val="21"/>
              </w:rPr>
            </w:pPr>
            <w:r>
              <w:rPr>
                <w:rFonts w:hint="eastAsia" w:ascii="宋体" w:hAnsi="宋体"/>
                <w:szCs w:val="21"/>
              </w:rPr>
              <w:t>胡亢宇</w:t>
            </w:r>
          </w:p>
        </w:tc>
        <w:tc>
          <w:tcPr>
            <w:tcW w:w="1908" w:type="dxa"/>
            <w:vAlign w:val="center"/>
          </w:tcPr>
          <w:p w14:paraId="7BE5B380">
            <w:pPr>
              <w:spacing w:line="240" w:lineRule="exact"/>
              <w:contextualSpacing/>
              <w:rPr>
                <w:rFonts w:ascii="宋体" w:hAnsi="宋体"/>
                <w:szCs w:val="21"/>
              </w:rPr>
            </w:pPr>
            <w:r>
              <w:rPr>
                <w:rFonts w:hint="eastAsia" w:ascii="宋体" w:hAnsi="宋体"/>
                <w:szCs w:val="21"/>
              </w:rPr>
              <w:t>17605868703</w:t>
            </w:r>
          </w:p>
        </w:tc>
      </w:tr>
      <w:tr w14:paraId="12A5F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7DFD531A">
            <w:pPr>
              <w:spacing w:line="240" w:lineRule="exact"/>
              <w:contextualSpacing/>
              <w:rPr>
                <w:rFonts w:ascii="宋体" w:hAnsi="宋体"/>
                <w:szCs w:val="21"/>
              </w:rPr>
            </w:pPr>
            <w:r>
              <w:rPr>
                <w:rFonts w:hint="eastAsia" w:ascii="宋体" w:hAnsi="宋体"/>
                <w:szCs w:val="21"/>
              </w:rPr>
              <w:t>中国农业银行股份有限公司舟山分行</w:t>
            </w:r>
          </w:p>
        </w:tc>
        <w:tc>
          <w:tcPr>
            <w:tcW w:w="4728" w:type="dxa"/>
          </w:tcPr>
          <w:p w14:paraId="6861C103">
            <w:pPr>
              <w:spacing w:line="240" w:lineRule="exact"/>
              <w:contextualSpacing/>
              <w:rPr>
                <w:rFonts w:ascii="宋体" w:hAnsi="宋体"/>
                <w:szCs w:val="21"/>
              </w:rPr>
            </w:pPr>
            <w:r>
              <w:rPr>
                <w:rFonts w:hint="eastAsia" w:ascii="宋体" w:hAnsi="宋体"/>
                <w:szCs w:val="21"/>
              </w:rPr>
              <w:t>“政采贷”业务原则上不超过政府采购合同实有金额的80%，单户借款额度不超过500万元。借款到期日不晚于合同约定付款日后90天，原则上不超过1年，最长可放宽至2年。应收账款形成前，可采用信用方式用信并追加供应商法定代表人或实际控制人连带责任保证担保；应收账款形成后，信用方式用信需变更为应收账款质押担保。</w:t>
            </w:r>
          </w:p>
        </w:tc>
        <w:tc>
          <w:tcPr>
            <w:tcW w:w="1467" w:type="dxa"/>
            <w:vAlign w:val="center"/>
          </w:tcPr>
          <w:p w14:paraId="08D46D52">
            <w:pPr>
              <w:spacing w:line="240" w:lineRule="exact"/>
              <w:contextualSpacing/>
              <w:jc w:val="center"/>
              <w:rPr>
                <w:rFonts w:ascii="宋体" w:hAnsi="宋体"/>
                <w:szCs w:val="21"/>
              </w:rPr>
            </w:pPr>
            <w:r>
              <w:rPr>
                <w:rFonts w:hint="eastAsia" w:ascii="宋体" w:hAnsi="宋体"/>
                <w:szCs w:val="21"/>
              </w:rPr>
              <w:t>苏华瞻</w:t>
            </w:r>
          </w:p>
        </w:tc>
        <w:tc>
          <w:tcPr>
            <w:tcW w:w="1908" w:type="dxa"/>
            <w:vAlign w:val="center"/>
          </w:tcPr>
          <w:p w14:paraId="52B8F46E">
            <w:pPr>
              <w:spacing w:line="240" w:lineRule="exact"/>
              <w:contextualSpacing/>
              <w:jc w:val="center"/>
              <w:rPr>
                <w:rFonts w:ascii="宋体" w:hAnsi="宋体"/>
                <w:szCs w:val="21"/>
              </w:rPr>
            </w:pPr>
            <w:r>
              <w:rPr>
                <w:rFonts w:hint="eastAsia" w:ascii="宋体" w:hAnsi="宋体"/>
                <w:szCs w:val="21"/>
              </w:rPr>
              <w:t>13967228926</w:t>
            </w:r>
          </w:p>
        </w:tc>
      </w:tr>
      <w:tr w14:paraId="0A765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460" w:type="dxa"/>
            <w:vAlign w:val="center"/>
          </w:tcPr>
          <w:p w14:paraId="5224AD74">
            <w:pPr>
              <w:spacing w:line="240" w:lineRule="exact"/>
              <w:contextualSpacing/>
              <w:rPr>
                <w:rFonts w:ascii="宋体" w:hAnsi="宋体"/>
                <w:szCs w:val="21"/>
              </w:rPr>
            </w:pPr>
            <w:r>
              <w:rPr>
                <w:rFonts w:hint="eastAsia" w:ascii="宋体" w:hAnsi="宋体"/>
                <w:szCs w:val="21"/>
              </w:rPr>
              <w:t>中国邮政储蓄银行股份有限公司舟山市分行</w:t>
            </w:r>
          </w:p>
        </w:tc>
        <w:tc>
          <w:tcPr>
            <w:tcW w:w="4728" w:type="dxa"/>
          </w:tcPr>
          <w:p w14:paraId="12E381C9">
            <w:pPr>
              <w:tabs>
                <w:tab w:val="left" w:pos="0"/>
              </w:tabs>
              <w:spacing w:line="240" w:lineRule="exact"/>
              <w:rPr>
                <w:rFonts w:ascii="宋体" w:hAnsi="宋体"/>
                <w:szCs w:val="21"/>
              </w:rPr>
            </w:pPr>
            <w:r>
              <w:rPr>
                <w:rFonts w:hint="eastAsia" w:ascii="宋体" w:hAnsi="宋体"/>
                <w:szCs w:val="21"/>
              </w:rPr>
              <w:t>符合我行基本准入，授信额度使用期最高为2年，单户授信最高为500万，担保方式享受信用贷款执行，利率最低可至当期LPR ，有无还本续贷，12月份线上产品可以自主自贷。</w:t>
            </w:r>
          </w:p>
        </w:tc>
        <w:tc>
          <w:tcPr>
            <w:tcW w:w="1467" w:type="dxa"/>
            <w:vAlign w:val="center"/>
          </w:tcPr>
          <w:p w14:paraId="27374CF7">
            <w:pPr>
              <w:spacing w:line="240" w:lineRule="exact"/>
              <w:contextualSpacing/>
              <w:jc w:val="center"/>
              <w:rPr>
                <w:rFonts w:ascii="宋体" w:hAnsi="宋体"/>
                <w:szCs w:val="21"/>
              </w:rPr>
            </w:pPr>
            <w:r>
              <w:rPr>
                <w:rFonts w:hint="eastAsia" w:ascii="宋体" w:hAnsi="宋体"/>
                <w:szCs w:val="21"/>
              </w:rPr>
              <w:t>蒋志燕</w:t>
            </w:r>
          </w:p>
        </w:tc>
        <w:tc>
          <w:tcPr>
            <w:tcW w:w="1908" w:type="dxa"/>
            <w:vAlign w:val="center"/>
          </w:tcPr>
          <w:p w14:paraId="64B1F442">
            <w:pPr>
              <w:spacing w:line="240" w:lineRule="exact"/>
              <w:contextualSpacing/>
              <w:rPr>
                <w:rFonts w:ascii="宋体" w:hAnsi="宋体"/>
                <w:szCs w:val="21"/>
              </w:rPr>
            </w:pPr>
            <w:r>
              <w:rPr>
                <w:rFonts w:hint="eastAsia" w:ascii="宋体" w:hAnsi="宋体"/>
                <w:szCs w:val="21"/>
              </w:rPr>
              <w:t>13732527321</w:t>
            </w:r>
          </w:p>
        </w:tc>
      </w:tr>
    </w:tbl>
    <w:p w14:paraId="37E6CA2B">
      <w:pPr>
        <w:spacing w:line="260" w:lineRule="exact"/>
        <w:ind w:firstLine="555"/>
        <w:rPr>
          <w:rFonts w:ascii="宋体" w:hAnsi="宋体"/>
          <w:szCs w:val="21"/>
        </w:rPr>
      </w:pPr>
      <w:r>
        <w:rPr>
          <w:rFonts w:ascii="宋体" w:hAnsi="宋体"/>
          <w:szCs w:val="21"/>
        </w:rPr>
        <w:t>2.一般步骤</w:t>
      </w:r>
    </w:p>
    <w:p w14:paraId="623ED93E">
      <w:pPr>
        <w:spacing w:line="260" w:lineRule="exact"/>
        <w:ind w:firstLine="555"/>
        <w:rPr>
          <w:rFonts w:ascii="宋体" w:hAnsi="宋体"/>
          <w:szCs w:val="21"/>
        </w:rPr>
      </w:pPr>
      <w:r>
        <w:rPr>
          <w:rFonts w:ascii="宋体" w:hAnsi="宋体"/>
          <w:szCs w:val="21"/>
        </w:rPr>
        <w:t>（1）供应商先与银行对接，办理融资前期手续；</w:t>
      </w:r>
    </w:p>
    <w:p w14:paraId="7CD64A1A">
      <w:pPr>
        <w:spacing w:line="260" w:lineRule="exact"/>
        <w:ind w:firstLine="555"/>
        <w:rPr>
          <w:rFonts w:ascii="宋体" w:hAnsi="宋体"/>
          <w:szCs w:val="21"/>
        </w:rPr>
      </w:pPr>
      <w:r>
        <w:rPr>
          <w:rFonts w:ascii="宋体" w:hAnsi="宋体"/>
          <w:szCs w:val="21"/>
        </w:rPr>
        <w:t>（2）供应商中标后，凭中标通知书等材料，向相关合作银行发出融资申请；</w:t>
      </w:r>
    </w:p>
    <w:p w14:paraId="058E4B00">
      <w:pPr>
        <w:spacing w:line="260" w:lineRule="exact"/>
        <w:ind w:firstLine="555"/>
        <w:rPr>
          <w:rFonts w:ascii="宋体" w:hAnsi="宋体"/>
          <w:szCs w:val="21"/>
        </w:rPr>
      </w:pPr>
      <w:r>
        <w:rPr>
          <w:rFonts w:ascii="宋体" w:hAnsi="宋体"/>
          <w:szCs w:val="21"/>
        </w:rPr>
        <w:t>（3）银行、供应商线</w:t>
      </w:r>
      <w:r>
        <w:rPr>
          <w:rFonts w:hint="eastAsia" w:ascii="宋体" w:hAnsi="宋体"/>
          <w:szCs w:val="21"/>
        </w:rPr>
        <w:t>上</w:t>
      </w:r>
      <w:r>
        <w:rPr>
          <w:rFonts w:ascii="宋体" w:hAnsi="宋体"/>
          <w:szCs w:val="21"/>
        </w:rPr>
        <w:t>办理审批、放贷事宜。</w:t>
      </w:r>
    </w:p>
    <w:p w14:paraId="7EC54B3D">
      <w:pPr>
        <w:spacing w:line="260" w:lineRule="exact"/>
        <w:ind w:firstLine="555"/>
        <w:rPr>
          <w:rFonts w:ascii="宋体" w:hAnsi="宋体"/>
          <w:szCs w:val="21"/>
        </w:rPr>
      </w:pPr>
      <w:r>
        <w:rPr>
          <w:rFonts w:ascii="宋体" w:hAnsi="宋体"/>
          <w:szCs w:val="21"/>
        </w:rPr>
        <w:t>3.注意事项</w:t>
      </w:r>
    </w:p>
    <w:p w14:paraId="31DF661C">
      <w:pPr>
        <w:spacing w:line="260" w:lineRule="exact"/>
        <w:ind w:firstLine="555"/>
        <w:rPr>
          <w:rFonts w:ascii="宋体" w:hAnsi="宋体"/>
          <w:szCs w:val="21"/>
        </w:rPr>
      </w:pPr>
      <w:r>
        <w:rPr>
          <w:rFonts w:ascii="宋体" w:hAnsi="宋体"/>
          <w:szCs w:val="21"/>
        </w:rPr>
        <w:t>（1）</w:t>
      </w:r>
      <w:r>
        <w:rPr>
          <w:rFonts w:hint="eastAsia" w:ascii="宋体" w:hAnsi="宋体"/>
          <w:szCs w:val="21"/>
        </w:rPr>
        <w:t>中标人</w:t>
      </w:r>
      <w:r>
        <w:rPr>
          <w:rFonts w:ascii="宋体" w:hAnsi="宋体"/>
          <w:szCs w:val="21"/>
        </w:rPr>
        <w:t>需确保政府采购合同的收款账户与融资银行开户账户一致。</w:t>
      </w:r>
    </w:p>
    <w:p w14:paraId="2AF8C3BD">
      <w:pPr>
        <w:spacing w:line="260" w:lineRule="exact"/>
        <w:ind w:firstLine="555"/>
        <w:rPr>
          <w:rFonts w:ascii="宋体" w:hAnsi="宋体"/>
          <w:szCs w:val="21"/>
        </w:rPr>
      </w:pPr>
      <w:r>
        <w:rPr>
          <w:rFonts w:ascii="宋体" w:hAnsi="宋体"/>
          <w:szCs w:val="21"/>
        </w:rPr>
        <w:t>（2）用于政府采购信用融资的政府采购合同，应当包含如下条款：“第</w:t>
      </w:r>
      <w:r>
        <w:rPr>
          <w:rFonts w:hint="eastAsia" w:ascii="宋体" w:hAnsi="宋体"/>
          <w:szCs w:val="21"/>
          <w:u w:val="single"/>
          <w:lang w:val="en-US" w:eastAsia="zh-CN"/>
        </w:rPr>
        <w:t xml:space="preserve">  </w:t>
      </w:r>
      <w:r>
        <w:rPr>
          <w:rFonts w:ascii="宋体" w:hAnsi="宋体"/>
          <w:szCs w:val="21"/>
        </w:rPr>
        <w:t>条：政府采购合同贷款</w:t>
      </w:r>
    </w:p>
    <w:p w14:paraId="41BA8C30">
      <w:pPr>
        <w:spacing w:line="260" w:lineRule="exact"/>
        <w:ind w:firstLine="555"/>
        <w:rPr>
          <w:rFonts w:ascii="宋体" w:hAnsi="宋体"/>
          <w:szCs w:val="21"/>
        </w:rPr>
      </w:pPr>
      <w:r>
        <w:rPr>
          <w:rFonts w:ascii="宋体" w:hAnsi="宋体"/>
          <w:szCs w:val="21"/>
        </w:rPr>
        <w:t>本合同同时用于乙方向银行（金融机构）申请政府采购信用贷款。</w:t>
      </w:r>
    </w:p>
    <w:p w14:paraId="41A7D89E">
      <w:pPr>
        <w:spacing w:line="260" w:lineRule="exact"/>
        <w:ind w:firstLine="555"/>
        <w:rPr>
          <w:rFonts w:ascii="宋体" w:hAnsi="宋体"/>
          <w:szCs w:val="21"/>
        </w:rPr>
      </w:pPr>
      <w:r>
        <w:rPr>
          <w:rFonts w:ascii="宋体" w:hAnsi="宋体"/>
          <w:szCs w:val="21"/>
        </w:rPr>
        <w:t>本合同一经签订，原则上不得更改乙方收款账户信息。确须更改的，乙方应取得原合同收款账户开户银行书面同意，否则修改后的合同不予备案，采购资金不予支付。”</w:t>
      </w:r>
    </w:p>
    <w:p w14:paraId="44E33054">
      <w:pPr>
        <w:spacing w:line="260" w:lineRule="exact"/>
        <w:rPr>
          <w:rFonts w:ascii="宋体" w:hAnsi="宋体"/>
          <w:szCs w:val="21"/>
        </w:rPr>
      </w:pPr>
    </w:p>
    <w:bookmarkEnd w:id="2"/>
    <w:p w14:paraId="604BA791">
      <w:pPr>
        <w:spacing w:line="240" w:lineRule="exact"/>
        <w:rPr>
          <w:rFonts w:ascii="宋体" w:hAnsi="宋体"/>
          <w:szCs w:val="21"/>
        </w:rPr>
      </w:pPr>
    </w:p>
    <w:p w14:paraId="5B02924B">
      <w:pPr>
        <w:rPr>
          <w:rFonts w:ascii="宋体"/>
          <w:szCs w:val="21"/>
        </w:rPr>
      </w:pPr>
    </w:p>
    <w:p w14:paraId="0FE472B5">
      <w:pPr>
        <w:ind w:firstLine="555"/>
        <w:rPr>
          <w:rFonts w:asciiTheme="minorEastAsia" w:hAnsiTheme="minorEastAsia" w:eastAsiaTheme="minorEastAsia"/>
          <w:szCs w:val="21"/>
        </w:rPr>
      </w:pPr>
    </w:p>
    <w:p w14:paraId="31ECE1F3">
      <w:pPr>
        <w:pStyle w:val="12"/>
        <w:tabs>
          <w:tab w:val="left" w:pos="2472"/>
        </w:tabs>
        <w:snapToGrid w:val="0"/>
        <w:spacing w:before="156" w:line="640" w:lineRule="exact"/>
        <w:rPr>
          <w:rFonts w:ascii="黑体" w:hAnsi="宋体" w:eastAsia="黑体"/>
        </w:rPr>
      </w:pPr>
    </w:p>
    <w:p w14:paraId="2ED0437E">
      <w:pPr>
        <w:pStyle w:val="12"/>
        <w:tabs>
          <w:tab w:val="left" w:pos="2472"/>
        </w:tabs>
        <w:snapToGrid w:val="0"/>
        <w:spacing w:before="156" w:line="640" w:lineRule="exact"/>
        <w:jc w:val="center"/>
        <w:rPr>
          <w:rFonts w:ascii="黑体" w:hAnsi="宋体" w:eastAsia="黑体"/>
        </w:rPr>
      </w:pPr>
    </w:p>
    <w:p w14:paraId="7DED6D31">
      <w:pPr>
        <w:pStyle w:val="12"/>
        <w:tabs>
          <w:tab w:val="left" w:pos="2472"/>
        </w:tabs>
        <w:snapToGrid w:val="0"/>
        <w:spacing w:before="156" w:line="640" w:lineRule="exact"/>
        <w:jc w:val="center"/>
        <w:rPr>
          <w:rFonts w:ascii="黑体" w:hAnsi="宋体" w:eastAsia="黑体"/>
        </w:rPr>
      </w:pPr>
    </w:p>
    <w:p w14:paraId="13AFB200">
      <w:pPr>
        <w:pStyle w:val="12"/>
        <w:tabs>
          <w:tab w:val="left" w:pos="2472"/>
        </w:tabs>
        <w:snapToGrid w:val="0"/>
        <w:spacing w:before="156" w:line="640" w:lineRule="exact"/>
        <w:jc w:val="center"/>
        <w:rPr>
          <w:rFonts w:ascii="黑体" w:hAnsi="宋体" w:eastAsia="黑体"/>
        </w:rPr>
      </w:pPr>
    </w:p>
    <w:p w14:paraId="09E4C5AA">
      <w:pPr>
        <w:pStyle w:val="12"/>
        <w:tabs>
          <w:tab w:val="left" w:pos="2472"/>
        </w:tabs>
        <w:snapToGrid w:val="0"/>
        <w:spacing w:before="156" w:line="640" w:lineRule="exact"/>
        <w:jc w:val="center"/>
        <w:rPr>
          <w:rFonts w:ascii="黑体" w:hAnsi="宋体" w:eastAsia="黑体"/>
        </w:rPr>
      </w:pPr>
    </w:p>
    <w:p w14:paraId="69518D8C">
      <w:pPr>
        <w:pStyle w:val="12"/>
        <w:tabs>
          <w:tab w:val="left" w:pos="2472"/>
        </w:tabs>
        <w:snapToGrid w:val="0"/>
        <w:spacing w:before="156" w:line="640" w:lineRule="exact"/>
        <w:jc w:val="center"/>
        <w:rPr>
          <w:rFonts w:ascii="黑体" w:hAnsi="宋体" w:eastAsia="黑体"/>
        </w:rPr>
      </w:pPr>
      <w:r>
        <w:rPr>
          <w:rFonts w:hint="eastAsia" w:ascii="黑体" w:hAnsi="宋体" w:eastAsia="黑体"/>
        </w:rPr>
        <w:t>第六章　投标文件格式</w:t>
      </w:r>
    </w:p>
    <w:p w14:paraId="54F9F618">
      <w:pPr>
        <w:snapToGrid w:val="0"/>
        <w:spacing w:before="156" w:beforeLines="50" w:after="50"/>
        <w:rPr>
          <w:rFonts w:ascii="宋体" w:hAnsi="宋体"/>
          <w:b/>
          <w:sz w:val="24"/>
        </w:rPr>
      </w:pPr>
    </w:p>
    <w:p w14:paraId="3D0F9C97">
      <w:pPr>
        <w:snapToGrid w:val="0"/>
        <w:spacing w:before="156" w:beforeLines="50" w:after="50"/>
        <w:rPr>
          <w:rFonts w:ascii="宋体" w:hAnsi="宋体"/>
          <w:b/>
          <w:sz w:val="24"/>
        </w:rPr>
      </w:pPr>
    </w:p>
    <w:p w14:paraId="00436E66">
      <w:pPr>
        <w:snapToGrid w:val="0"/>
        <w:spacing w:before="156" w:beforeLines="50" w:after="50"/>
        <w:rPr>
          <w:rFonts w:ascii="宋体" w:hAnsi="宋体"/>
          <w:sz w:val="24"/>
        </w:rPr>
      </w:pPr>
      <w:r>
        <w:rPr>
          <w:rFonts w:hint="eastAsia" w:ascii="宋体" w:hAnsi="宋体"/>
          <w:b/>
          <w:sz w:val="24"/>
        </w:rPr>
        <w:t>一、备份文件包装封面（格式供参考）</w:t>
      </w:r>
      <w:r>
        <w:rPr>
          <w:rFonts w:hint="eastAsia" w:ascii="宋体" w:hAnsi="宋体"/>
          <w:sz w:val="24"/>
        </w:rPr>
        <w:t>：</w:t>
      </w:r>
    </w:p>
    <w:p w14:paraId="0DC9C873">
      <w:pPr>
        <w:pStyle w:val="53"/>
      </w:pPr>
    </w:p>
    <w:p w14:paraId="29C900D0">
      <w:pPr>
        <w:snapToGrid w:val="0"/>
        <w:spacing w:before="156" w:beforeLines="50" w:after="50"/>
        <w:jc w:val="center"/>
        <w:rPr>
          <w:rFonts w:ascii="宋体" w:hAnsi="宋体"/>
          <w:b/>
          <w:sz w:val="44"/>
        </w:rPr>
      </w:pPr>
      <w:r>
        <w:rPr>
          <w:rFonts w:hint="eastAsia" w:ascii="宋体" w:hAnsi="宋体"/>
          <w:b/>
          <w:sz w:val="44"/>
        </w:rPr>
        <w:t>响 应 文 件</w:t>
      </w:r>
    </w:p>
    <w:p w14:paraId="4E2FFE73">
      <w:pPr>
        <w:snapToGrid w:val="0"/>
        <w:spacing w:before="312" w:beforeLines="100" w:after="312" w:afterLines="100"/>
        <w:ind w:firstLine="1124" w:firstLineChars="400"/>
        <w:rPr>
          <w:rFonts w:ascii="宋体" w:hAnsi="宋体"/>
          <w:b/>
          <w:sz w:val="28"/>
        </w:rPr>
      </w:pPr>
      <w:r>
        <w:rPr>
          <w:rFonts w:hint="eastAsia" w:ascii="宋体" w:hAnsi="宋体"/>
          <w:b/>
          <w:sz w:val="28"/>
        </w:rPr>
        <w:t>项目名称：</w:t>
      </w:r>
      <w:r>
        <w:rPr>
          <w:rFonts w:hint="eastAsia" w:ascii="宋体" w:hAnsi="宋体"/>
          <w:b/>
          <w:sz w:val="28"/>
          <w:u w:val="single"/>
          <w:lang w:val="en-US" w:eastAsia="zh-CN"/>
        </w:rPr>
        <w:t xml:space="preserve">                           </w:t>
      </w:r>
      <w:r>
        <w:rPr>
          <w:rFonts w:hint="eastAsia" w:ascii="宋体" w:hAnsi="宋体"/>
          <w:b/>
          <w:sz w:val="28"/>
        </w:rPr>
        <w:t xml:space="preserve"> </w:t>
      </w:r>
    </w:p>
    <w:p w14:paraId="2273E93D">
      <w:pPr>
        <w:snapToGrid w:val="0"/>
        <w:spacing w:before="312" w:beforeLines="100" w:after="312" w:afterLines="100"/>
        <w:ind w:firstLine="562" w:firstLineChars="200"/>
        <w:rPr>
          <w:rFonts w:hint="default" w:ascii="宋体" w:hAnsi="宋体" w:eastAsia="宋体"/>
          <w:b/>
          <w:sz w:val="28"/>
          <w:u w:val="single"/>
          <w:lang w:val="en-US" w:eastAsia="zh-CN"/>
        </w:rPr>
      </w:pPr>
      <w:r>
        <w:rPr>
          <w:rFonts w:hint="eastAsia" w:ascii="宋体" w:hAnsi="宋体"/>
          <w:b/>
          <w:sz w:val="28"/>
        </w:rPr>
        <w:t xml:space="preserve">    项目编号：</w:t>
      </w:r>
      <w:r>
        <w:rPr>
          <w:rFonts w:hint="eastAsia" w:ascii="宋体" w:hAnsi="宋体"/>
          <w:b/>
          <w:sz w:val="28"/>
          <w:u w:val="single"/>
          <w:lang w:val="en-US" w:eastAsia="zh-CN"/>
        </w:rPr>
        <w:t xml:space="preserve">                           </w:t>
      </w:r>
    </w:p>
    <w:p w14:paraId="6F18AC3F">
      <w:pPr>
        <w:pStyle w:val="8"/>
        <w:snapToGrid w:val="0"/>
        <w:spacing w:before="312" w:beforeLines="100" w:after="312" w:afterLines="100"/>
        <w:ind w:firstLine="1195" w:firstLineChars="425"/>
        <w:rPr>
          <w:rFonts w:ascii="宋体" w:hAnsi="宋体"/>
          <w:b/>
          <w:sz w:val="28"/>
        </w:rPr>
      </w:pPr>
      <w:r>
        <w:rPr>
          <w:rFonts w:hint="eastAsia" w:ascii="宋体" w:hAnsi="宋体"/>
          <w:b/>
          <w:sz w:val="28"/>
        </w:rPr>
        <w:t>投标文件名称：投标文件</w:t>
      </w:r>
    </w:p>
    <w:p w14:paraId="1820120A">
      <w:pPr>
        <w:pStyle w:val="8"/>
        <w:snapToGrid w:val="0"/>
        <w:spacing w:before="312" w:beforeLines="100" w:after="312" w:afterLines="100"/>
        <w:ind w:firstLine="1169" w:firstLineChars="416"/>
        <w:rPr>
          <w:rFonts w:ascii="宋体" w:hAnsi="宋体"/>
          <w:b/>
          <w:sz w:val="28"/>
        </w:rPr>
      </w:pPr>
      <w:r>
        <w:rPr>
          <w:rFonts w:hint="eastAsia" w:ascii="宋体" w:hAnsi="宋体"/>
          <w:b/>
          <w:sz w:val="28"/>
        </w:rPr>
        <w:t>投标人名称：</w:t>
      </w:r>
      <w:r>
        <w:rPr>
          <w:rFonts w:hint="eastAsia" w:ascii="宋体" w:hAnsi="宋体"/>
          <w:b/>
          <w:sz w:val="28"/>
          <w:u w:val="single"/>
        </w:rPr>
        <w:t xml:space="preserve">                            </w:t>
      </w:r>
      <w:r>
        <w:rPr>
          <w:rFonts w:hint="eastAsia" w:ascii="宋体" w:hAnsi="宋体"/>
          <w:b/>
          <w:sz w:val="28"/>
        </w:rPr>
        <w:t>（加盖公章）</w:t>
      </w:r>
    </w:p>
    <w:p w14:paraId="671E39E2">
      <w:pPr>
        <w:pStyle w:val="8"/>
        <w:snapToGrid w:val="0"/>
        <w:spacing w:before="312" w:beforeLines="100" w:after="312" w:afterLines="100"/>
        <w:ind w:firstLine="1169" w:firstLineChars="416"/>
        <w:rPr>
          <w:rFonts w:hint="default" w:ascii="宋体" w:hAnsi="宋体" w:eastAsia="宋体"/>
          <w:b/>
          <w:sz w:val="28"/>
          <w:u w:val="single"/>
          <w:lang w:val="en-US" w:eastAsia="zh-CN"/>
        </w:rPr>
      </w:pPr>
      <w:r>
        <w:rPr>
          <w:rFonts w:hint="eastAsia" w:ascii="宋体" w:hAnsi="宋体"/>
          <w:b/>
          <w:sz w:val="28"/>
        </w:rPr>
        <w:t>投标人地址：</w:t>
      </w:r>
      <w:r>
        <w:rPr>
          <w:rFonts w:hint="eastAsia" w:ascii="宋体" w:hAnsi="宋体"/>
          <w:b/>
          <w:sz w:val="28"/>
          <w:u w:val="single"/>
          <w:lang w:val="en-US" w:eastAsia="zh-CN"/>
        </w:rPr>
        <w:t xml:space="preserve">                            </w:t>
      </w:r>
    </w:p>
    <w:p w14:paraId="1E8EC189">
      <w:pPr>
        <w:pStyle w:val="8"/>
        <w:snapToGrid w:val="0"/>
        <w:spacing w:before="312" w:beforeLines="100" w:after="312" w:afterLines="100"/>
        <w:ind w:firstLine="1124" w:firstLineChars="400"/>
        <w:rPr>
          <w:rFonts w:hint="default" w:ascii="宋体" w:hAnsi="宋体" w:eastAsia="宋体"/>
          <w:b/>
          <w:sz w:val="28"/>
          <w:u w:val="single"/>
          <w:lang w:val="en-US" w:eastAsia="zh-CN"/>
        </w:rPr>
      </w:pPr>
      <w:r>
        <w:rPr>
          <w:rFonts w:hint="eastAsia" w:ascii="宋体" w:hAnsi="宋体"/>
          <w:b/>
          <w:sz w:val="28"/>
        </w:rPr>
        <w:t>投标联系人：</w:t>
      </w:r>
      <w:r>
        <w:rPr>
          <w:rFonts w:hint="eastAsia" w:ascii="宋体" w:hAnsi="宋体"/>
          <w:b/>
          <w:sz w:val="28"/>
          <w:u w:val="single"/>
          <w:lang w:val="en-US" w:eastAsia="zh-CN"/>
        </w:rPr>
        <w:t xml:space="preserve">              </w:t>
      </w:r>
      <w:r>
        <w:rPr>
          <w:rFonts w:hint="eastAsia" w:ascii="宋体" w:hAnsi="宋体"/>
          <w:b/>
          <w:sz w:val="28"/>
        </w:rPr>
        <w:t>电话</w:t>
      </w:r>
      <w:r>
        <w:rPr>
          <w:rFonts w:hint="eastAsia" w:ascii="宋体" w:hAnsi="宋体"/>
          <w:b/>
          <w:sz w:val="28"/>
          <w:lang w:eastAsia="zh-CN"/>
        </w:rPr>
        <w:t>：</w:t>
      </w:r>
      <w:r>
        <w:rPr>
          <w:rFonts w:hint="eastAsia" w:ascii="宋体" w:hAnsi="宋体"/>
          <w:b/>
          <w:sz w:val="28"/>
          <w:u w:val="single"/>
          <w:lang w:val="en-US" w:eastAsia="zh-CN"/>
        </w:rPr>
        <w:t xml:space="preserve">               </w:t>
      </w:r>
    </w:p>
    <w:p w14:paraId="23BF4E16">
      <w:pPr>
        <w:pStyle w:val="8"/>
        <w:snapToGrid w:val="0"/>
        <w:spacing w:before="312" w:beforeLines="100" w:after="312" w:afterLines="100"/>
        <w:ind w:firstLine="1124" w:firstLineChars="400"/>
        <w:rPr>
          <w:rFonts w:ascii="宋体" w:hAnsi="宋体"/>
          <w:b/>
          <w:sz w:val="28"/>
        </w:rPr>
      </w:pPr>
      <w:r>
        <w:rPr>
          <w:rFonts w:hint="eastAsia" w:ascii="宋体" w:hAnsi="宋体"/>
          <w:b/>
          <w:sz w:val="28"/>
        </w:rPr>
        <w:t>启封时间：在20     年  月  日  时  分之前不得启封</w:t>
      </w:r>
    </w:p>
    <w:p w14:paraId="14DDAA0F">
      <w:pPr>
        <w:snapToGrid w:val="0"/>
        <w:spacing w:before="156" w:beforeLines="50" w:after="50"/>
        <w:ind w:firstLine="4080" w:firstLineChars="1700"/>
        <w:rPr>
          <w:rFonts w:ascii="宋体" w:hAnsi="宋体"/>
          <w:sz w:val="24"/>
        </w:rPr>
      </w:pPr>
    </w:p>
    <w:p w14:paraId="103D1897">
      <w:pPr>
        <w:snapToGrid w:val="0"/>
        <w:spacing w:before="156" w:beforeLines="50" w:after="50"/>
        <w:ind w:firstLine="645"/>
        <w:jc w:val="center"/>
        <w:rPr>
          <w:rFonts w:ascii="宋体" w:hAnsi="宋体"/>
          <w:b/>
          <w:sz w:val="28"/>
          <w:szCs w:val="28"/>
        </w:rPr>
      </w:pPr>
      <w:r>
        <w:rPr>
          <w:rFonts w:hint="eastAsia" w:ascii="宋体" w:hAnsi="宋体"/>
          <w:sz w:val="24"/>
        </w:rPr>
        <w:t xml:space="preserve">                                 年   月   日</w:t>
      </w:r>
    </w:p>
    <w:p w14:paraId="2C920182">
      <w:pPr>
        <w:snapToGrid w:val="0"/>
        <w:spacing w:before="50" w:after="50"/>
        <w:ind w:left="424" w:leftChars="202"/>
        <w:rPr>
          <w:rFonts w:ascii="宋体" w:hAnsi="宋体"/>
          <w:b/>
          <w:sz w:val="28"/>
          <w:szCs w:val="28"/>
        </w:rPr>
      </w:pPr>
    </w:p>
    <w:p w14:paraId="6912CEB1">
      <w:pPr>
        <w:snapToGrid w:val="0"/>
        <w:spacing w:before="50" w:after="50"/>
        <w:ind w:left="424" w:leftChars="202"/>
        <w:rPr>
          <w:rFonts w:ascii="宋体" w:hAnsi="宋体"/>
          <w:b/>
          <w:sz w:val="28"/>
          <w:szCs w:val="28"/>
        </w:rPr>
      </w:pPr>
    </w:p>
    <w:p w14:paraId="5D10DF23">
      <w:pPr>
        <w:snapToGrid w:val="0"/>
        <w:spacing w:before="50" w:after="50"/>
        <w:ind w:left="424" w:leftChars="202"/>
        <w:rPr>
          <w:rFonts w:ascii="宋体" w:hAnsi="宋体"/>
          <w:b/>
          <w:sz w:val="28"/>
          <w:szCs w:val="28"/>
        </w:rPr>
      </w:pPr>
    </w:p>
    <w:p w14:paraId="6A01130E">
      <w:pPr>
        <w:snapToGrid w:val="0"/>
        <w:spacing w:before="50" w:after="50"/>
        <w:ind w:left="424" w:leftChars="202"/>
        <w:rPr>
          <w:rFonts w:ascii="宋体" w:hAnsi="宋体"/>
          <w:b/>
          <w:sz w:val="28"/>
          <w:szCs w:val="28"/>
        </w:rPr>
      </w:pPr>
    </w:p>
    <w:p w14:paraId="16152753">
      <w:pPr>
        <w:snapToGrid w:val="0"/>
        <w:spacing w:before="50" w:after="50"/>
        <w:ind w:left="424" w:leftChars="202"/>
        <w:rPr>
          <w:rFonts w:ascii="宋体" w:hAnsi="宋体"/>
          <w:b/>
          <w:sz w:val="28"/>
          <w:szCs w:val="28"/>
        </w:rPr>
      </w:pPr>
    </w:p>
    <w:p w14:paraId="76606BF3">
      <w:pPr>
        <w:snapToGrid w:val="0"/>
        <w:spacing w:before="50" w:after="50"/>
        <w:ind w:left="424" w:leftChars="202"/>
        <w:rPr>
          <w:rFonts w:ascii="宋体" w:hAnsi="宋体"/>
          <w:b/>
          <w:sz w:val="28"/>
          <w:szCs w:val="28"/>
        </w:rPr>
      </w:pPr>
    </w:p>
    <w:p w14:paraId="3E0F6420">
      <w:pPr>
        <w:snapToGrid w:val="0"/>
        <w:spacing w:before="50" w:after="50"/>
        <w:ind w:left="424" w:leftChars="202"/>
        <w:rPr>
          <w:rFonts w:ascii="宋体" w:hAnsi="宋体"/>
          <w:b/>
          <w:sz w:val="28"/>
          <w:szCs w:val="28"/>
        </w:rPr>
      </w:pPr>
    </w:p>
    <w:p w14:paraId="16D38D72">
      <w:pPr>
        <w:snapToGrid w:val="0"/>
        <w:spacing w:before="50" w:after="50"/>
        <w:ind w:left="424" w:leftChars="202"/>
        <w:rPr>
          <w:rFonts w:ascii="宋体" w:hAnsi="宋体"/>
          <w:b/>
          <w:sz w:val="28"/>
          <w:szCs w:val="28"/>
        </w:rPr>
      </w:pPr>
    </w:p>
    <w:p w14:paraId="069CE4B6">
      <w:pPr>
        <w:snapToGrid w:val="0"/>
        <w:spacing w:before="50" w:after="50"/>
        <w:ind w:left="424" w:leftChars="202"/>
        <w:rPr>
          <w:rFonts w:ascii="宋体" w:hAnsi="宋体"/>
          <w:b/>
          <w:sz w:val="28"/>
          <w:szCs w:val="28"/>
        </w:rPr>
      </w:pPr>
    </w:p>
    <w:p w14:paraId="3805823E">
      <w:pPr>
        <w:snapToGrid w:val="0"/>
        <w:spacing w:before="50" w:after="50"/>
        <w:ind w:left="424" w:leftChars="202"/>
        <w:rPr>
          <w:rFonts w:ascii="宋体" w:hAnsi="宋体"/>
          <w:b/>
          <w:sz w:val="28"/>
          <w:szCs w:val="28"/>
        </w:rPr>
      </w:pPr>
    </w:p>
    <w:p w14:paraId="657BF774">
      <w:pPr>
        <w:snapToGrid w:val="0"/>
        <w:spacing w:before="50" w:after="50"/>
        <w:rPr>
          <w:rFonts w:ascii="宋体" w:hAnsi="宋体"/>
          <w:b/>
          <w:sz w:val="28"/>
          <w:szCs w:val="28"/>
        </w:rPr>
      </w:pPr>
    </w:p>
    <w:p w14:paraId="5F93EF14">
      <w:pPr>
        <w:pStyle w:val="2"/>
        <w:rPr>
          <w:rFonts w:ascii="宋体" w:hAnsi="宋体"/>
          <w:b/>
          <w:sz w:val="28"/>
          <w:szCs w:val="28"/>
        </w:rPr>
      </w:pPr>
    </w:p>
    <w:p w14:paraId="59D816EA">
      <w:pPr>
        <w:pStyle w:val="3"/>
      </w:pPr>
    </w:p>
    <w:p w14:paraId="0581C972">
      <w:pPr>
        <w:snapToGrid w:val="0"/>
        <w:spacing w:before="50" w:after="50"/>
        <w:jc w:val="center"/>
        <w:rPr>
          <w:rFonts w:ascii="宋体" w:hAnsi="宋体"/>
          <w:b/>
          <w:sz w:val="24"/>
        </w:rPr>
      </w:pPr>
      <w:r>
        <w:rPr>
          <w:rFonts w:hint="eastAsia" w:ascii="宋体" w:hAnsi="宋体"/>
          <w:b/>
          <w:sz w:val="28"/>
          <w:szCs w:val="28"/>
        </w:rPr>
        <w:t>二、第一次开标一览表</w:t>
      </w:r>
    </w:p>
    <w:p w14:paraId="02237D57">
      <w:pPr>
        <w:spacing w:line="360" w:lineRule="auto"/>
        <w:rPr>
          <w:rFonts w:asciiTheme="minorEastAsia" w:hAnsiTheme="minorEastAsia" w:eastAsiaTheme="minorEastAsia"/>
          <w:szCs w:val="28"/>
        </w:rPr>
      </w:pPr>
    </w:p>
    <w:p w14:paraId="01990B0C">
      <w:pPr>
        <w:spacing w:line="360" w:lineRule="auto"/>
        <w:rPr>
          <w:rFonts w:asciiTheme="minorEastAsia" w:hAnsiTheme="minorEastAsia" w:eastAsiaTheme="minorEastAsia"/>
          <w:szCs w:val="28"/>
        </w:rPr>
      </w:pPr>
      <w:r>
        <w:rPr>
          <w:rFonts w:hint="eastAsia" w:asciiTheme="minorEastAsia" w:hAnsiTheme="minorEastAsia" w:eastAsiaTheme="minorEastAsia"/>
          <w:szCs w:val="28"/>
        </w:rPr>
        <w:t>项目名称：</w:t>
      </w:r>
    </w:p>
    <w:p w14:paraId="548CF44A">
      <w:pPr>
        <w:pStyle w:val="3"/>
        <w:ind w:firstLine="0" w:firstLineChars="0"/>
        <w:rPr>
          <w:rFonts w:asciiTheme="minorEastAsia" w:hAnsiTheme="minorEastAsia" w:eastAsiaTheme="minorEastAsia"/>
          <w:sz w:val="21"/>
          <w:szCs w:val="21"/>
        </w:rPr>
      </w:pPr>
      <w:r>
        <w:rPr>
          <w:rFonts w:hint="eastAsia" w:asciiTheme="minorEastAsia" w:hAnsiTheme="minorEastAsia" w:eastAsiaTheme="minorEastAsia"/>
          <w:sz w:val="21"/>
          <w:szCs w:val="21"/>
        </w:rPr>
        <w:t>项目编号：</w:t>
      </w:r>
    </w:p>
    <w:p w14:paraId="4A505310">
      <w:pPr>
        <w:pStyle w:val="3"/>
        <w:ind w:firstLine="0" w:firstLineChars="0"/>
      </w:pPr>
      <w:r>
        <w:rPr>
          <w:rFonts w:hint="eastAsia" w:asciiTheme="minorEastAsia" w:hAnsiTheme="minorEastAsia" w:eastAsiaTheme="minorEastAsia"/>
          <w:sz w:val="21"/>
          <w:szCs w:val="21"/>
        </w:rPr>
        <w:t xml:space="preserve">                           </w:t>
      </w:r>
      <w:bookmarkStart w:id="4" w:name="_Hlk132144746"/>
      <w:r>
        <w:rPr>
          <w:rFonts w:hint="eastAsia" w:asciiTheme="minorEastAsia" w:hAnsiTheme="minorEastAsia" w:eastAsiaTheme="minorEastAsia"/>
          <w:sz w:val="21"/>
          <w:szCs w:val="21"/>
        </w:rPr>
        <w:t xml:space="preserve">                                    单位：人民币元</w:t>
      </w:r>
      <w:bookmarkEnd w:id="4"/>
    </w:p>
    <w:tbl>
      <w:tblPr>
        <w:tblStyle w:val="29"/>
        <w:tblW w:w="95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004"/>
        <w:gridCol w:w="2448"/>
        <w:gridCol w:w="3595"/>
        <w:gridCol w:w="2462"/>
      </w:tblGrid>
      <w:tr w14:paraId="241341D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95"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02FF42E1">
            <w:pPr>
              <w:jc w:val="center"/>
              <w:rPr>
                <w:rFonts w:ascii="宋体" w:hAnsi="宋体"/>
                <w:b/>
                <w:szCs w:val="21"/>
              </w:rPr>
            </w:pPr>
            <w:r>
              <w:rPr>
                <w:rFonts w:hint="eastAsia" w:ascii="宋体" w:hAnsi="宋体"/>
                <w:b/>
                <w:szCs w:val="21"/>
              </w:rPr>
              <w:t>序号</w:t>
            </w:r>
          </w:p>
        </w:tc>
        <w:tc>
          <w:tcPr>
            <w:tcW w:w="2448" w:type="dxa"/>
            <w:tcBorders>
              <w:top w:val="single" w:color="auto" w:sz="4" w:space="0"/>
              <w:left w:val="single" w:color="auto" w:sz="4" w:space="0"/>
              <w:bottom w:val="single" w:color="auto" w:sz="4" w:space="0"/>
              <w:right w:val="single" w:color="auto" w:sz="4" w:space="0"/>
            </w:tcBorders>
            <w:vAlign w:val="center"/>
          </w:tcPr>
          <w:p w14:paraId="0C439A98">
            <w:pPr>
              <w:ind w:left="424" w:leftChars="202" w:firstLine="422" w:firstLineChars="200"/>
              <w:rPr>
                <w:rFonts w:ascii="宋体" w:hAnsi="宋体"/>
                <w:b/>
                <w:szCs w:val="21"/>
              </w:rPr>
            </w:pPr>
            <w:r>
              <w:rPr>
                <w:rFonts w:hint="eastAsia" w:ascii="宋体" w:hAnsi="宋体"/>
                <w:b/>
                <w:szCs w:val="21"/>
              </w:rPr>
              <w:t>名称</w:t>
            </w:r>
          </w:p>
        </w:tc>
        <w:tc>
          <w:tcPr>
            <w:tcW w:w="3595" w:type="dxa"/>
            <w:tcBorders>
              <w:top w:val="single" w:color="auto" w:sz="4" w:space="0"/>
              <w:left w:val="single" w:color="auto" w:sz="4" w:space="0"/>
              <w:bottom w:val="single" w:color="auto" w:sz="4" w:space="0"/>
              <w:right w:val="single" w:color="auto" w:sz="4" w:space="0"/>
            </w:tcBorders>
            <w:vAlign w:val="center"/>
          </w:tcPr>
          <w:p w14:paraId="6F76E533">
            <w:pPr>
              <w:jc w:val="center"/>
              <w:rPr>
                <w:rFonts w:hint="default" w:ascii="宋体" w:hAnsi="宋体" w:eastAsia="宋体"/>
                <w:b/>
                <w:szCs w:val="21"/>
                <w:lang w:val="en-US" w:eastAsia="zh-CN"/>
              </w:rPr>
            </w:pPr>
            <w:r>
              <w:rPr>
                <w:rFonts w:hint="eastAsia" w:ascii="宋体" w:hAnsi="宋体"/>
                <w:b/>
                <w:szCs w:val="21"/>
              </w:rPr>
              <w:t xml:space="preserve"> 投标报价</w:t>
            </w:r>
            <w:r>
              <w:rPr>
                <w:rFonts w:hint="eastAsia" w:ascii="宋体" w:hAnsi="宋体"/>
                <w:b/>
                <w:color w:val="auto"/>
                <w:szCs w:val="21"/>
                <w:lang w:eastAsia="zh-CN"/>
              </w:rPr>
              <w:t>（</w:t>
            </w:r>
            <w:r>
              <w:rPr>
                <w:rFonts w:hint="eastAsia" w:ascii="宋体" w:hAnsi="宋体"/>
                <w:b/>
                <w:color w:val="auto"/>
                <w:szCs w:val="21"/>
                <w:lang w:val="en-US" w:eastAsia="zh-CN"/>
              </w:rPr>
              <w:t>3年）</w:t>
            </w:r>
          </w:p>
        </w:tc>
        <w:tc>
          <w:tcPr>
            <w:tcW w:w="2462" w:type="dxa"/>
            <w:tcBorders>
              <w:top w:val="single" w:color="auto" w:sz="4" w:space="0"/>
              <w:left w:val="single" w:color="auto" w:sz="4" w:space="0"/>
              <w:bottom w:val="single" w:color="auto" w:sz="4" w:space="0"/>
              <w:right w:val="single" w:color="auto" w:sz="4" w:space="0"/>
            </w:tcBorders>
            <w:vAlign w:val="center"/>
          </w:tcPr>
          <w:p w14:paraId="122AB6E6">
            <w:pPr>
              <w:ind w:left="424" w:leftChars="202"/>
              <w:jc w:val="center"/>
              <w:rPr>
                <w:rFonts w:ascii="宋体" w:hAnsi="宋体"/>
                <w:b/>
                <w:szCs w:val="21"/>
              </w:rPr>
            </w:pPr>
            <w:r>
              <w:rPr>
                <w:rFonts w:hint="eastAsia" w:ascii="宋体" w:hAnsi="宋体" w:cs="宋体"/>
                <w:b/>
                <w:szCs w:val="21"/>
              </w:rPr>
              <w:t>备注</w:t>
            </w:r>
          </w:p>
        </w:tc>
      </w:tr>
      <w:tr w14:paraId="241125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54"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178A795E">
            <w:pPr>
              <w:autoSpaceDE w:val="0"/>
              <w:autoSpaceDN w:val="0"/>
              <w:adjustRightInd w:val="0"/>
              <w:spacing w:line="400" w:lineRule="exact"/>
              <w:ind w:left="424" w:leftChars="202"/>
              <w:rPr>
                <w:rFonts w:ascii="宋体" w:hAnsi="宋体"/>
                <w:szCs w:val="21"/>
                <w:lang w:val="zh-CN"/>
              </w:rPr>
            </w:pPr>
          </w:p>
        </w:tc>
        <w:tc>
          <w:tcPr>
            <w:tcW w:w="2448" w:type="dxa"/>
            <w:tcBorders>
              <w:top w:val="single" w:color="auto" w:sz="4" w:space="0"/>
              <w:left w:val="single" w:color="auto" w:sz="4" w:space="0"/>
              <w:bottom w:val="single" w:color="auto" w:sz="4" w:space="0"/>
              <w:right w:val="single" w:color="auto" w:sz="4" w:space="0"/>
            </w:tcBorders>
            <w:vAlign w:val="center"/>
          </w:tcPr>
          <w:p w14:paraId="5AF79EF1">
            <w:pPr>
              <w:ind w:left="424" w:leftChars="202"/>
              <w:jc w:val="center"/>
              <w:rPr>
                <w:rFonts w:ascii="宋体" w:hAnsi="宋体"/>
                <w:szCs w:val="21"/>
              </w:rPr>
            </w:pPr>
          </w:p>
        </w:tc>
        <w:tc>
          <w:tcPr>
            <w:tcW w:w="3595" w:type="dxa"/>
            <w:tcBorders>
              <w:top w:val="single" w:color="auto" w:sz="4" w:space="0"/>
              <w:left w:val="single" w:color="auto" w:sz="4" w:space="0"/>
              <w:bottom w:val="single" w:color="auto" w:sz="4" w:space="0"/>
              <w:right w:val="single" w:color="auto" w:sz="4" w:space="0"/>
            </w:tcBorders>
            <w:vAlign w:val="center"/>
          </w:tcPr>
          <w:p w14:paraId="7F0426A5">
            <w:pPr>
              <w:ind w:left="424" w:leftChars="202"/>
              <w:jc w:val="center"/>
              <w:rPr>
                <w:rFonts w:hint="default" w:ascii="宋体" w:hAnsi="宋体" w:eastAsia="宋体"/>
                <w:szCs w:val="21"/>
                <w:lang w:val="en-US" w:eastAsia="zh-CN"/>
              </w:rPr>
            </w:pPr>
          </w:p>
        </w:tc>
        <w:tc>
          <w:tcPr>
            <w:tcW w:w="2462" w:type="dxa"/>
            <w:tcBorders>
              <w:top w:val="single" w:color="auto" w:sz="4" w:space="0"/>
              <w:left w:val="single" w:color="auto" w:sz="4" w:space="0"/>
              <w:bottom w:val="single" w:color="auto" w:sz="4" w:space="0"/>
              <w:right w:val="single" w:color="auto" w:sz="4" w:space="0"/>
            </w:tcBorders>
            <w:vAlign w:val="center"/>
          </w:tcPr>
          <w:p w14:paraId="4115DA9B">
            <w:pPr>
              <w:jc w:val="both"/>
              <w:rPr>
                <w:rFonts w:ascii="宋体" w:hAnsi="宋体"/>
                <w:szCs w:val="21"/>
              </w:rPr>
            </w:pPr>
          </w:p>
        </w:tc>
      </w:tr>
      <w:tr w14:paraId="0ADA41F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trHeight w:val="554" w:hRule="atLeast"/>
          <w:jc w:val="center"/>
        </w:trPr>
        <w:tc>
          <w:tcPr>
            <w:tcW w:w="1004" w:type="dxa"/>
            <w:tcBorders>
              <w:top w:val="single" w:color="auto" w:sz="4" w:space="0"/>
              <w:left w:val="single" w:color="auto" w:sz="4" w:space="0"/>
              <w:bottom w:val="single" w:color="auto" w:sz="4" w:space="0"/>
              <w:right w:val="single" w:color="auto" w:sz="4" w:space="0"/>
            </w:tcBorders>
            <w:vAlign w:val="center"/>
          </w:tcPr>
          <w:p w14:paraId="74FB3BA6">
            <w:pPr>
              <w:autoSpaceDE w:val="0"/>
              <w:autoSpaceDN w:val="0"/>
              <w:adjustRightInd w:val="0"/>
              <w:spacing w:line="400" w:lineRule="exact"/>
              <w:ind w:left="424" w:leftChars="202"/>
              <w:rPr>
                <w:rFonts w:ascii="宋体" w:hAnsi="宋体"/>
                <w:szCs w:val="21"/>
                <w:lang w:val="zh-CN"/>
              </w:rPr>
            </w:pPr>
            <w:r>
              <w:rPr>
                <w:rFonts w:hint="eastAsia" w:ascii="宋体" w:hAnsi="宋体"/>
                <w:szCs w:val="21"/>
                <w:lang w:val="zh-CN"/>
              </w:rPr>
              <w:t>合计</w:t>
            </w:r>
          </w:p>
        </w:tc>
        <w:tc>
          <w:tcPr>
            <w:tcW w:w="8505" w:type="dxa"/>
            <w:gridSpan w:val="3"/>
            <w:tcBorders>
              <w:top w:val="single" w:color="auto" w:sz="4" w:space="0"/>
              <w:left w:val="single" w:color="auto" w:sz="4" w:space="0"/>
              <w:bottom w:val="single" w:color="auto" w:sz="4" w:space="0"/>
              <w:right w:val="single" w:color="auto" w:sz="4" w:space="0"/>
            </w:tcBorders>
            <w:vAlign w:val="center"/>
          </w:tcPr>
          <w:p w14:paraId="33205B0A">
            <w:pPr>
              <w:rPr>
                <w:rFonts w:ascii="宋体" w:hAnsi="宋体"/>
                <w:szCs w:val="21"/>
              </w:rPr>
            </w:pPr>
            <w:r>
              <w:rPr>
                <w:rFonts w:hint="eastAsia" w:ascii="宋体" w:hAnsi="宋体"/>
                <w:szCs w:val="21"/>
              </w:rPr>
              <w:t>大写：</w:t>
            </w:r>
          </w:p>
        </w:tc>
      </w:tr>
    </w:tbl>
    <w:p w14:paraId="3F9143F5">
      <w:pPr>
        <w:spacing w:line="440" w:lineRule="exact"/>
        <w:ind w:firstLine="102" w:firstLineChars="49"/>
        <w:rPr>
          <w:rFonts w:ascii="宋体" w:hAnsi="宋体"/>
          <w:szCs w:val="21"/>
        </w:rPr>
      </w:pPr>
      <w:r>
        <w:rPr>
          <w:rFonts w:hint="eastAsia" w:ascii="宋体" w:hAnsi="宋体"/>
          <w:szCs w:val="21"/>
        </w:rPr>
        <w:t>说明：</w:t>
      </w:r>
    </w:p>
    <w:p w14:paraId="0336453F">
      <w:pPr>
        <w:snapToGrid w:val="0"/>
        <w:spacing w:line="360" w:lineRule="auto"/>
        <w:ind w:right="-340" w:firstLine="420" w:firstLineChars="200"/>
        <w:rPr>
          <w:rFonts w:ascii="宋体" w:hAnsi="Times New Roman"/>
          <w:szCs w:val="22"/>
        </w:rPr>
      </w:pPr>
      <w:r>
        <w:rPr>
          <w:rFonts w:hint="eastAsia" w:ascii="宋体" w:hAnsi="宋体"/>
          <w:szCs w:val="22"/>
        </w:rPr>
        <w:t xml:space="preserve"> 项目费用包括项目实施所需的一切费用。</w:t>
      </w:r>
    </w:p>
    <w:p w14:paraId="74CEE598">
      <w:pPr>
        <w:pStyle w:val="12"/>
        <w:spacing w:before="156" w:line="360" w:lineRule="auto"/>
        <w:rPr>
          <w:rFonts w:hint="eastAsia" w:asciiTheme="minorEastAsia" w:hAnsiTheme="minorEastAsia" w:eastAsiaTheme="minorEastAsia"/>
          <w:sz w:val="21"/>
          <w:szCs w:val="28"/>
        </w:rPr>
      </w:pPr>
    </w:p>
    <w:p w14:paraId="0EF9CF45">
      <w:pPr>
        <w:pStyle w:val="12"/>
        <w:spacing w:before="156" w:line="360" w:lineRule="auto"/>
        <w:rPr>
          <w:rFonts w:hint="eastAsia" w:asciiTheme="minorEastAsia" w:hAnsiTheme="minorEastAsia" w:eastAsiaTheme="minorEastAsia"/>
          <w:sz w:val="21"/>
          <w:szCs w:val="28"/>
        </w:rPr>
      </w:pPr>
    </w:p>
    <w:p w14:paraId="46231C4D">
      <w:pPr>
        <w:pStyle w:val="12"/>
        <w:spacing w:before="156" w:line="360" w:lineRule="auto"/>
        <w:rPr>
          <w:rFonts w:asciiTheme="minorEastAsia" w:hAnsiTheme="minorEastAsia" w:eastAsiaTheme="minorEastAsia"/>
          <w:sz w:val="21"/>
          <w:szCs w:val="28"/>
        </w:rPr>
      </w:pPr>
      <w:r>
        <w:rPr>
          <w:rFonts w:hint="eastAsia" w:asciiTheme="minorEastAsia" w:hAnsiTheme="minorEastAsia" w:eastAsiaTheme="minorEastAsia"/>
          <w:sz w:val="21"/>
          <w:szCs w:val="28"/>
        </w:rPr>
        <w:t>投标人名称（盖章）：</w:t>
      </w:r>
    </w:p>
    <w:p w14:paraId="60D193A1">
      <w:pPr>
        <w:pStyle w:val="12"/>
        <w:spacing w:before="156" w:line="360" w:lineRule="auto"/>
        <w:rPr>
          <w:rFonts w:asciiTheme="minorEastAsia" w:hAnsiTheme="minorEastAsia" w:eastAsiaTheme="minorEastAsia"/>
          <w:sz w:val="21"/>
          <w:szCs w:val="28"/>
        </w:rPr>
      </w:pPr>
      <w:r>
        <w:rPr>
          <w:rFonts w:hint="eastAsia" w:asciiTheme="minorEastAsia" w:hAnsiTheme="minorEastAsia" w:eastAsiaTheme="minorEastAsia"/>
          <w:sz w:val="21"/>
          <w:szCs w:val="28"/>
        </w:rPr>
        <w:t>日期：年月日</w:t>
      </w:r>
    </w:p>
    <w:p w14:paraId="69F23883">
      <w:pPr>
        <w:pStyle w:val="12"/>
        <w:spacing w:before="156" w:line="360" w:lineRule="auto"/>
        <w:rPr>
          <w:rFonts w:asciiTheme="minorEastAsia" w:hAnsiTheme="minorEastAsia" w:eastAsiaTheme="minorEastAsia"/>
        </w:rPr>
      </w:pPr>
    </w:p>
    <w:p w14:paraId="7CCA6934">
      <w:pPr>
        <w:tabs>
          <w:tab w:val="left" w:pos="2340"/>
          <w:tab w:val="left" w:pos="2520"/>
          <w:tab w:val="left" w:pos="2700"/>
          <w:tab w:val="left" w:pos="3060"/>
        </w:tabs>
        <w:spacing w:line="360" w:lineRule="auto"/>
        <w:ind w:left="424" w:leftChars="202" w:firstLine="102" w:firstLineChars="49"/>
        <w:rPr>
          <w:rFonts w:ascii="宋体"/>
        </w:rPr>
      </w:pPr>
    </w:p>
    <w:p w14:paraId="62D32368">
      <w:pPr>
        <w:tabs>
          <w:tab w:val="left" w:pos="2340"/>
          <w:tab w:val="left" w:pos="2520"/>
          <w:tab w:val="left" w:pos="2700"/>
          <w:tab w:val="left" w:pos="3060"/>
        </w:tabs>
        <w:spacing w:line="360" w:lineRule="auto"/>
        <w:ind w:left="424" w:leftChars="202" w:firstLine="102" w:firstLineChars="49"/>
        <w:rPr>
          <w:rFonts w:ascii="宋体"/>
        </w:rPr>
      </w:pPr>
    </w:p>
    <w:p w14:paraId="1CE89175">
      <w:pPr>
        <w:tabs>
          <w:tab w:val="left" w:pos="2340"/>
          <w:tab w:val="left" w:pos="2520"/>
          <w:tab w:val="left" w:pos="2700"/>
          <w:tab w:val="left" w:pos="3060"/>
        </w:tabs>
        <w:spacing w:line="360" w:lineRule="auto"/>
        <w:ind w:left="424" w:leftChars="202" w:firstLine="99" w:firstLineChars="49"/>
        <w:rPr>
          <w:rFonts w:ascii="宋体" w:hAnsi="宋体"/>
          <w:b/>
          <w:spacing w:val="-4"/>
          <w:szCs w:val="21"/>
        </w:rPr>
      </w:pPr>
    </w:p>
    <w:p w14:paraId="061C26C2">
      <w:pPr>
        <w:pStyle w:val="53"/>
        <w:ind w:left="424" w:leftChars="202"/>
      </w:pPr>
    </w:p>
    <w:p w14:paraId="73949AAE">
      <w:pPr>
        <w:pStyle w:val="2"/>
        <w:ind w:left="424" w:leftChars="202"/>
      </w:pPr>
    </w:p>
    <w:p w14:paraId="0AA9ED2A">
      <w:pPr>
        <w:pStyle w:val="2"/>
        <w:ind w:left="424" w:leftChars="202"/>
      </w:pPr>
    </w:p>
    <w:p w14:paraId="716C2C6B">
      <w:pPr>
        <w:pStyle w:val="2"/>
        <w:ind w:left="424" w:leftChars="202"/>
      </w:pPr>
    </w:p>
    <w:p w14:paraId="666B3711">
      <w:pPr>
        <w:pStyle w:val="2"/>
        <w:ind w:left="424" w:leftChars="202"/>
      </w:pPr>
    </w:p>
    <w:p w14:paraId="01010319">
      <w:pPr>
        <w:snapToGrid w:val="0"/>
        <w:spacing w:before="120" w:line="312" w:lineRule="auto"/>
        <w:ind w:right="-341"/>
        <w:rPr>
          <w:rFonts w:hAnsi="宋体"/>
          <w:b/>
          <w:sz w:val="32"/>
        </w:rPr>
      </w:pPr>
    </w:p>
    <w:p w14:paraId="615455A6">
      <w:pPr>
        <w:pStyle w:val="2"/>
        <w:rPr>
          <w:rFonts w:hAnsi="宋体"/>
          <w:b/>
          <w:sz w:val="32"/>
        </w:rPr>
      </w:pPr>
    </w:p>
    <w:p w14:paraId="660E3525">
      <w:pPr>
        <w:pStyle w:val="3"/>
      </w:pPr>
    </w:p>
    <w:p w14:paraId="7515E651">
      <w:pPr>
        <w:snapToGrid w:val="0"/>
        <w:spacing w:before="120" w:line="312" w:lineRule="auto"/>
        <w:ind w:right="-341"/>
        <w:jc w:val="center"/>
        <w:rPr>
          <w:rFonts w:hAnsi="宋体"/>
          <w:b/>
          <w:sz w:val="32"/>
        </w:rPr>
      </w:pPr>
      <w:r>
        <w:rPr>
          <w:rFonts w:hint="eastAsia" w:hAnsi="宋体"/>
          <w:b/>
          <w:sz w:val="32"/>
        </w:rPr>
        <w:t>三、投标报价明细表</w:t>
      </w:r>
    </w:p>
    <w:p w14:paraId="65BA7793">
      <w:pPr>
        <w:snapToGrid w:val="0"/>
        <w:rPr>
          <w:rFonts w:hAnsi="宋体"/>
          <w:b/>
          <w:sz w:val="28"/>
        </w:rPr>
      </w:pPr>
    </w:p>
    <w:p w14:paraId="3FA3923B">
      <w:pPr>
        <w:snapToGrid w:val="0"/>
        <w:rPr>
          <w:rFonts w:ascii="Times New Roman" w:hAnsi="Times New Roman"/>
          <w:szCs w:val="21"/>
        </w:rPr>
      </w:pPr>
      <w:r>
        <w:rPr>
          <w:rFonts w:hint="eastAsia" w:ascii="Times New Roman" w:hAnsi="Times New Roman"/>
          <w:szCs w:val="21"/>
        </w:rPr>
        <w:t xml:space="preserve">项目名称： </w:t>
      </w:r>
      <w:r>
        <w:rPr>
          <w:rFonts w:ascii="Times New Roman" w:hAnsi="Times New Roman"/>
          <w:szCs w:val="21"/>
        </w:rPr>
        <w:t xml:space="preserve">                                               </w:t>
      </w:r>
      <w:r>
        <w:rPr>
          <w:rFonts w:hint="eastAsia" w:ascii="Times New Roman" w:hAnsi="Times New Roman"/>
          <w:szCs w:val="21"/>
        </w:rPr>
        <w:t>金额单位：人民币（元）</w:t>
      </w:r>
    </w:p>
    <w:p w14:paraId="5A40D175">
      <w:pPr>
        <w:snapToGrid w:val="0"/>
        <w:spacing w:before="156" w:beforeLines="50" w:after="120"/>
        <w:rPr>
          <w:rFonts w:ascii="Times New Roman" w:hAnsi="Times New Roman"/>
          <w:szCs w:val="21"/>
        </w:rPr>
      </w:pPr>
      <w:r>
        <w:rPr>
          <w:rFonts w:hint="eastAsia" w:ascii="Times New Roman" w:hAnsi="Times New Roman"/>
          <w:szCs w:val="21"/>
        </w:rPr>
        <w:t>项目编号：</w:t>
      </w:r>
    </w:p>
    <w:tbl>
      <w:tblPr>
        <w:tblStyle w:val="29"/>
        <w:tblW w:w="9540"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8"/>
        <w:gridCol w:w="2020"/>
        <w:gridCol w:w="1080"/>
        <w:gridCol w:w="1440"/>
        <w:gridCol w:w="10"/>
        <w:gridCol w:w="1430"/>
        <w:gridCol w:w="1262"/>
        <w:gridCol w:w="1440"/>
      </w:tblGrid>
      <w:tr w14:paraId="04ED06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8" w:type="dxa"/>
            <w:tcBorders>
              <w:top w:val="single" w:color="auto" w:sz="4" w:space="0"/>
              <w:bottom w:val="single" w:color="auto" w:sz="4" w:space="0"/>
              <w:right w:val="single" w:color="auto" w:sz="4" w:space="0"/>
            </w:tcBorders>
            <w:vAlign w:val="center"/>
          </w:tcPr>
          <w:p w14:paraId="2AE2F39E">
            <w:pPr>
              <w:tabs>
                <w:tab w:val="left" w:pos="1418"/>
              </w:tabs>
              <w:snapToGrid w:val="0"/>
              <w:spacing w:before="50" w:after="50"/>
              <w:jc w:val="center"/>
              <w:rPr>
                <w:rFonts w:ascii="Times New Roman" w:hAnsi="Times New Roman"/>
                <w:spacing w:val="20"/>
              </w:rPr>
            </w:pPr>
            <w:r>
              <w:rPr>
                <w:rFonts w:hint="eastAsia" w:ascii="Times New Roman" w:hAnsi="Times New Roman"/>
              </w:rPr>
              <w:t>序号</w:t>
            </w:r>
          </w:p>
        </w:tc>
        <w:tc>
          <w:tcPr>
            <w:tcW w:w="2020" w:type="dxa"/>
            <w:tcBorders>
              <w:top w:val="single" w:color="auto" w:sz="4" w:space="0"/>
              <w:left w:val="single" w:color="auto" w:sz="4" w:space="0"/>
              <w:bottom w:val="single" w:color="auto" w:sz="4" w:space="0"/>
              <w:right w:val="single" w:color="auto" w:sz="4" w:space="0"/>
            </w:tcBorders>
            <w:vAlign w:val="center"/>
          </w:tcPr>
          <w:p w14:paraId="75E2E729">
            <w:pPr>
              <w:tabs>
                <w:tab w:val="left" w:pos="1418"/>
              </w:tabs>
              <w:snapToGrid w:val="0"/>
              <w:spacing w:before="50" w:after="50"/>
              <w:jc w:val="center"/>
              <w:rPr>
                <w:rFonts w:ascii="Times New Roman" w:hAnsi="Times New Roman"/>
                <w:spacing w:val="20"/>
              </w:rPr>
            </w:pPr>
            <w:r>
              <w:rPr>
                <w:rFonts w:hint="eastAsia" w:ascii="Times New Roman" w:hAnsi="Times New Roman"/>
              </w:rPr>
              <w:t>名称</w:t>
            </w:r>
          </w:p>
        </w:tc>
        <w:tc>
          <w:tcPr>
            <w:tcW w:w="1080" w:type="dxa"/>
            <w:tcBorders>
              <w:top w:val="single" w:color="auto" w:sz="4" w:space="0"/>
              <w:left w:val="single" w:color="auto" w:sz="4" w:space="0"/>
              <w:bottom w:val="single" w:color="auto" w:sz="4" w:space="0"/>
              <w:right w:val="single" w:color="auto" w:sz="4" w:space="0"/>
            </w:tcBorders>
            <w:vAlign w:val="center"/>
          </w:tcPr>
          <w:p w14:paraId="69A449F3">
            <w:pPr>
              <w:tabs>
                <w:tab w:val="left" w:pos="1418"/>
              </w:tabs>
              <w:snapToGrid w:val="0"/>
              <w:spacing w:before="50" w:after="50"/>
              <w:jc w:val="center"/>
              <w:rPr>
                <w:rFonts w:ascii="Times New Roman" w:hAnsi="Times New Roman"/>
                <w:spacing w:val="-20"/>
                <w:kern w:val="0"/>
              </w:rPr>
            </w:pPr>
          </w:p>
        </w:tc>
        <w:tc>
          <w:tcPr>
            <w:tcW w:w="1440" w:type="dxa"/>
            <w:tcBorders>
              <w:top w:val="single" w:color="auto" w:sz="4" w:space="0"/>
              <w:left w:val="single" w:color="auto" w:sz="4" w:space="0"/>
              <w:bottom w:val="single" w:color="auto" w:sz="4" w:space="0"/>
              <w:right w:val="single" w:color="auto" w:sz="4" w:space="0"/>
            </w:tcBorders>
            <w:vAlign w:val="center"/>
          </w:tcPr>
          <w:p w14:paraId="1C92F1E2">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vAlign w:val="center"/>
          </w:tcPr>
          <w:p w14:paraId="17AA7125">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vAlign w:val="center"/>
          </w:tcPr>
          <w:p w14:paraId="18A26510">
            <w:pPr>
              <w:tabs>
                <w:tab w:val="left" w:pos="1418"/>
              </w:tabs>
              <w:snapToGrid w:val="0"/>
              <w:spacing w:before="50" w:after="50"/>
              <w:jc w:val="center"/>
              <w:rPr>
                <w:rFonts w:ascii="Times New Roman" w:hAnsi="Times New Roman"/>
                <w:spacing w:val="20"/>
              </w:rPr>
            </w:pPr>
            <w:r>
              <w:rPr>
                <w:rFonts w:hint="eastAsia" w:ascii="Times New Roman" w:hAnsi="Times New Roman"/>
              </w:rPr>
              <w:t>单价</w:t>
            </w:r>
          </w:p>
        </w:tc>
        <w:tc>
          <w:tcPr>
            <w:tcW w:w="1440" w:type="dxa"/>
            <w:tcBorders>
              <w:top w:val="single" w:color="auto" w:sz="4" w:space="0"/>
              <w:left w:val="single" w:color="auto" w:sz="4" w:space="0"/>
              <w:bottom w:val="single" w:color="auto" w:sz="4" w:space="0"/>
            </w:tcBorders>
            <w:vAlign w:val="center"/>
          </w:tcPr>
          <w:p w14:paraId="760AFAAE">
            <w:pPr>
              <w:tabs>
                <w:tab w:val="left" w:pos="1418"/>
              </w:tabs>
              <w:snapToGrid w:val="0"/>
              <w:spacing w:before="50" w:after="50"/>
              <w:jc w:val="center"/>
              <w:rPr>
                <w:rFonts w:ascii="Times New Roman" w:hAnsi="Times New Roman"/>
                <w:spacing w:val="20"/>
              </w:rPr>
            </w:pPr>
            <w:r>
              <w:rPr>
                <w:rFonts w:hint="eastAsia" w:ascii="Times New Roman" w:hAnsi="Times New Roman"/>
              </w:rPr>
              <w:t>合价</w:t>
            </w:r>
          </w:p>
        </w:tc>
      </w:tr>
      <w:tr w14:paraId="72CC6F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8" w:type="dxa"/>
            <w:tcBorders>
              <w:top w:val="single" w:color="auto" w:sz="4" w:space="0"/>
              <w:bottom w:val="single" w:color="auto" w:sz="4" w:space="0"/>
              <w:right w:val="single" w:color="auto" w:sz="4" w:space="0"/>
            </w:tcBorders>
          </w:tcPr>
          <w:p w14:paraId="2B51825B">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48F75AA5">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50A4E32A">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032642BD">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10E35FB0">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3B099587">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7779871A">
            <w:pPr>
              <w:tabs>
                <w:tab w:val="left" w:pos="1418"/>
              </w:tabs>
              <w:snapToGrid w:val="0"/>
              <w:spacing w:before="50" w:after="50"/>
              <w:jc w:val="center"/>
              <w:rPr>
                <w:rFonts w:ascii="Times New Roman" w:hAnsi="Times New Roman"/>
                <w:spacing w:val="20"/>
              </w:rPr>
            </w:pPr>
          </w:p>
        </w:tc>
      </w:tr>
      <w:tr w14:paraId="53111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5176ABCC">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4B5A9224">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249735B4">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17CEF9BF">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5CA9476D">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16A8BF71">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7E873121">
            <w:pPr>
              <w:tabs>
                <w:tab w:val="left" w:pos="1418"/>
              </w:tabs>
              <w:snapToGrid w:val="0"/>
              <w:spacing w:before="50" w:after="50"/>
              <w:jc w:val="center"/>
              <w:rPr>
                <w:rFonts w:ascii="Times New Roman" w:hAnsi="Times New Roman"/>
                <w:spacing w:val="20"/>
              </w:rPr>
            </w:pPr>
          </w:p>
        </w:tc>
      </w:tr>
      <w:tr w14:paraId="621D7E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4E0BDAA2">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6B786320">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7A4F9E54">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1076850F">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0C440F9C">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6D14E13A">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6D5D4711">
            <w:pPr>
              <w:tabs>
                <w:tab w:val="left" w:pos="1418"/>
              </w:tabs>
              <w:snapToGrid w:val="0"/>
              <w:spacing w:before="50" w:after="50"/>
              <w:jc w:val="center"/>
              <w:rPr>
                <w:rFonts w:ascii="Times New Roman" w:hAnsi="Times New Roman"/>
                <w:spacing w:val="20"/>
              </w:rPr>
            </w:pPr>
          </w:p>
        </w:tc>
      </w:tr>
      <w:tr w14:paraId="464E6B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004C15C6">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591FF506">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263D2B1D">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61F62B3D">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142C657F">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22ECEB6C">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7D2CDAE2">
            <w:pPr>
              <w:tabs>
                <w:tab w:val="left" w:pos="1418"/>
              </w:tabs>
              <w:snapToGrid w:val="0"/>
              <w:spacing w:before="50" w:after="50"/>
              <w:jc w:val="center"/>
              <w:rPr>
                <w:rFonts w:ascii="Times New Roman" w:hAnsi="Times New Roman"/>
                <w:spacing w:val="20"/>
              </w:rPr>
            </w:pPr>
          </w:p>
        </w:tc>
      </w:tr>
      <w:tr w14:paraId="6EFA38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0D5E83CF">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012FCB8B">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27386812">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4A5C6FE8">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4355EC88">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11B8242A">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222B5044">
            <w:pPr>
              <w:tabs>
                <w:tab w:val="left" w:pos="1418"/>
              </w:tabs>
              <w:snapToGrid w:val="0"/>
              <w:spacing w:before="50" w:after="50"/>
              <w:jc w:val="center"/>
              <w:rPr>
                <w:rFonts w:ascii="Times New Roman" w:hAnsi="Times New Roman"/>
                <w:spacing w:val="20"/>
              </w:rPr>
            </w:pPr>
          </w:p>
        </w:tc>
      </w:tr>
      <w:tr w14:paraId="4F6607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5A0624D3">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441605BA">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0154E6A7">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8C9590B">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6A9DFD96">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7D4A9A18">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27A7820A">
            <w:pPr>
              <w:tabs>
                <w:tab w:val="left" w:pos="1418"/>
              </w:tabs>
              <w:snapToGrid w:val="0"/>
              <w:spacing w:before="50" w:after="50"/>
              <w:jc w:val="center"/>
              <w:rPr>
                <w:rFonts w:ascii="Times New Roman" w:hAnsi="Times New Roman"/>
                <w:spacing w:val="20"/>
              </w:rPr>
            </w:pPr>
          </w:p>
        </w:tc>
      </w:tr>
      <w:tr w14:paraId="0B6BF9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8" w:type="dxa"/>
            <w:tcBorders>
              <w:top w:val="single" w:color="auto" w:sz="4" w:space="0"/>
              <w:bottom w:val="single" w:color="auto" w:sz="4" w:space="0"/>
              <w:right w:val="single" w:color="auto" w:sz="4" w:space="0"/>
            </w:tcBorders>
          </w:tcPr>
          <w:p w14:paraId="695D5839">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01CF51C5">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56249E93">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381769D9">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4FD2E723">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4FCC66FC">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25E7E09C">
            <w:pPr>
              <w:tabs>
                <w:tab w:val="left" w:pos="1418"/>
              </w:tabs>
              <w:snapToGrid w:val="0"/>
              <w:spacing w:before="50" w:after="50"/>
              <w:jc w:val="center"/>
              <w:rPr>
                <w:rFonts w:ascii="Times New Roman" w:hAnsi="Times New Roman"/>
                <w:spacing w:val="20"/>
              </w:rPr>
            </w:pPr>
          </w:p>
        </w:tc>
      </w:tr>
      <w:tr w14:paraId="0C877F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69" w:hRule="atLeast"/>
        </w:trPr>
        <w:tc>
          <w:tcPr>
            <w:tcW w:w="858" w:type="dxa"/>
            <w:tcBorders>
              <w:top w:val="single" w:color="auto" w:sz="4" w:space="0"/>
              <w:bottom w:val="single" w:color="auto" w:sz="4" w:space="0"/>
              <w:right w:val="single" w:color="auto" w:sz="4" w:space="0"/>
            </w:tcBorders>
          </w:tcPr>
          <w:p w14:paraId="15C43F6E">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615E1278">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25FA94D8">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1312668B">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6217B0DC">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56A55A5B">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6384CC5D">
            <w:pPr>
              <w:tabs>
                <w:tab w:val="left" w:pos="1418"/>
              </w:tabs>
              <w:snapToGrid w:val="0"/>
              <w:spacing w:before="50" w:after="50"/>
              <w:jc w:val="center"/>
              <w:rPr>
                <w:rFonts w:ascii="Times New Roman" w:hAnsi="Times New Roman"/>
                <w:spacing w:val="20"/>
              </w:rPr>
            </w:pPr>
          </w:p>
        </w:tc>
      </w:tr>
      <w:tr w14:paraId="7F80B2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351" w:hRule="atLeast"/>
        </w:trPr>
        <w:tc>
          <w:tcPr>
            <w:tcW w:w="858" w:type="dxa"/>
            <w:tcBorders>
              <w:top w:val="single" w:color="auto" w:sz="4" w:space="0"/>
              <w:bottom w:val="single" w:color="auto" w:sz="4" w:space="0"/>
              <w:right w:val="single" w:color="auto" w:sz="4" w:space="0"/>
            </w:tcBorders>
          </w:tcPr>
          <w:p w14:paraId="366C7A8D">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71E4CEC4">
            <w:pPr>
              <w:tabs>
                <w:tab w:val="left" w:pos="1418"/>
              </w:tabs>
              <w:snapToGrid w:val="0"/>
              <w:spacing w:before="50" w:after="50"/>
              <w:jc w:val="center"/>
              <w:rPr>
                <w:rFonts w:ascii="Times New Roman" w:hAnsi="Times New Roman"/>
                <w:spacing w:val="20"/>
              </w:rPr>
            </w:pPr>
            <w:r>
              <w:rPr>
                <w:rFonts w:ascii="Times New Roman" w:hAnsi="Times New Roman"/>
                <w:spacing w:val="20"/>
              </w:rPr>
              <w:t>……</w:t>
            </w:r>
          </w:p>
        </w:tc>
        <w:tc>
          <w:tcPr>
            <w:tcW w:w="1080" w:type="dxa"/>
            <w:tcBorders>
              <w:top w:val="single" w:color="auto" w:sz="4" w:space="0"/>
              <w:left w:val="single" w:color="auto" w:sz="4" w:space="0"/>
              <w:bottom w:val="single" w:color="auto" w:sz="4" w:space="0"/>
              <w:right w:val="single" w:color="auto" w:sz="4" w:space="0"/>
            </w:tcBorders>
          </w:tcPr>
          <w:p w14:paraId="5F3A434F">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59B6D1D4">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0CFDB5AC">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51D15CE9">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5B72235B">
            <w:pPr>
              <w:tabs>
                <w:tab w:val="left" w:pos="1418"/>
              </w:tabs>
              <w:snapToGrid w:val="0"/>
              <w:spacing w:before="50" w:after="50"/>
              <w:jc w:val="center"/>
              <w:rPr>
                <w:rFonts w:ascii="Times New Roman" w:hAnsi="Times New Roman"/>
                <w:spacing w:val="20"/>
              </w:rPr>
            </w:pPr>
          </w:p>
        </w:tc>
      </w:tr>
      <w:tr w14:paraId="7CD7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5" w:hRule="atLeast"/>
        </w:trPr>
        <w:tc>
          <w:tcPr>
            <w:tcW w:w="858" w:type="dxa"/>
            <w:tcBorders>
              <w:top w:val="single" w:color="auto" w:sz="4" w:space="0"/>
              <w:bottom w:val="single" w:color="auto" w:sz="4" w:space="0"/>
              <w:right w:val="single" w:color="auto" w:sz="4" w:space="0"/>
            </w:tcBorders>
          </w:tcPr>
          <w:p w14:paraId="35842D8D">
            <w:pPr>
              <w:tabs>
                <w:tab w:val="left" w:pos="1418"/>
              </w:tabs>
              <w:snapToGrid w:val="0"/>
              <w:spacing w:before="50" w:after="50"/>
              <w:jc w:val="center"/>
              <w:rPr>
                <w:rFonts w:ascii="Times New Roman" w:hAnsi="Times New Roman"/>
                <w:spacing w:val="20"/>
              </w:rPr>
            </w:pPr>
          </w:p>
        </w:tc>
        <w:tc>
          <w:tcPr>
            <w:tcW w:w="2020" w:type="dxa"/>
            <w:tcBorders>
              <w:top w:val="single" w:color="auto" w:sz="4" w:space="0"/>
              <w:left w:val="single" w:color="auto" w:sz="4" w:space="0"/>
              <w:bottom w:val="single" w:color="auto" w:sz="4" w:space="0"/>
              <w:right w:val="single" w:color="auto" w:sz="4" w:space="0"/>
            </w:tcBorders>
          </w:tcPr>
          <w:p w14:paraId="2FCF6E1F">
            <w:pPr>
              <w:tabs>
                <w:tab w:val="left" w:pos="1418"/>
              </w:tabs>
              <w:snapToGrid w:val="0"/>
              <w:spacing w:before="50" w:after="50"/>
              <w:jc w:val="center"/>
              <w:rPr>
                <w:rFonts w:ascii="Times New Roman" w:hAnsi="Times New Roman"/>
                <w:spacing w:val="20"/>
              </w:rPr>
            </w:pPr>
          </w:p>
        </w:tc>
        <w:tc>
          <w:tcPr>
            <w:tcW w:w="1080" w:type="dxa"/>
            <w:tcBorders>
              <w:top w:val="single" w:color="auto" w:sz="4" w:space="0"/>
              <w:left w:val="single" w:color="auto" w:sz="4" w:space="0"/>
              <w:bottom w:val="single" w:color="auto" w:sz="4" w:space="0"/>
              <w:right w:val="single" w:color="auto" w:sz="4" w:space="0"/>
            </w:tcBorders>
          </w:tcPr>
          <w:p w14:paraId="74AEA636">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right w:val="single" w:color="auto" w:sz="4" w:space="0"/>
            </w:tcBorders>
          </w:tcPr>
          <w:p w14:paraId="1227B6EA">
            <w:pPr>
              <w:tabs>
                <w:tab w:val="left" w:pos="1418"/>
              </w:tabs>
              <w:snapToGrid w:val="0"/>
              <w:spacing w:before="50" w:after="50"/>
              <w:jc w:val="center"/>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2F7AAA6C">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103E444B">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5F52C792">
            <w:pPr>
              <w:tabs>
                <w:tab w:val="left" w:pos="1418"/>
              </w:tabs>
              <w:snapToGrid w:val="0"/>
              <w:spacing w:before="50" w:after="50"/>
              <w:jc w:val="center"/>
              <w:rPr>
                <w:rFonts w:ascii="Times New Roman" w:hAnsi="Times New Roman"/>
                <w:spacing w:val="20"/>
              </w:rPr>
            </w:pPr>
          </w:p>
        </w:tc>
      </w:tr>
      <w:tr w14:paraId="4473D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540" w:type="dxa"/>
            <w:gridSpan w:val="8"/>
            <w:tcBorders>
              <w:top w:val="single" w:color="auto" w:sz="4" w:space="0"/>
              <w:bottom w:val="single" w:color="auto" w:sz="4" w:space="0"/>
            </w:tcBorders>
          </w:tcPr>
          <w:p w14:paraId="50B7342A">
            <w:pPr>
              <w:tabs>
                <w:tab w:val="left" w:pos="1418"/>
              </w:tabs>
              <w:snapToGrid w:val="0"/>
              <w:spacing w:before="50" w:after="50"/>
              <w:jc w:val="center"/>
              <w:rPr>
                <w:rFonts w:ascii="Times New Roman" w:hAnsi="Times New Roman"/>
                <w:spacing w:val="20"/>
              </w:rPr>
            </w:pPr>
          </w:p>
        </w:tc>
      </w:tr>
      <w:tr w14:paraId="2256D6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2ACF4A45">
            <w:pPr>
              <w:tabs>
                <w:tab w:val="left" w:pos="1418"/>
              </w:tabs>
              <w:snapToGrid w:val="0"/>
              <w:spacing w:before="50" w:after="50"/>
              <w:jc w:val="center"/>
              <w:rPr>
                <w:rFonts w:ascii="Times New Roman" w:hAnsi="Times New Roman"/>
                <w:spacing w:val="20"/>
              </w:rPr>
            </w:pPr>
          </w:p>
        </w:tc>
        <w:tc>
          <w:tcPr>
            <w:tcW w:w="4540" w:type="dxa"/>
            <w:gridSpan w:val="3"/>
            <w:tcBorders>
              <w:top w:val="single" w:color="auto" w:sz="4" w:space="0"/>
              <w:left w:val="single" w:color="auto" w:sz="4" w:space="0"/>
              <w:bottom w:val="single" w:color="auto" w:sz="4" w:space="0"/>
              <w:right w:val="single" w:color="auto" w:sz="4" w:space="0"/>
            </w:tcBorders>
          </w:tcPr>
          <w:p w14:paraId="268285EB">
            <w:pPr>
              <w:tabs>
                <w:tab w:val="left" w:pos="1418"/>
              </w:tabs>
              <w:snapToGrid w:val="0"/>
              <w:spacing w:before="50" w:after="50"/>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50335E63">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22BFDC6D">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686CF8E7">
            <w:pPr>
              <w:tabs>
                <w:tab w:val="left" w:pos="1418"/>
              </w:tabs>
              <w:snapToGrid w:val="0"/>
              <w:spacing w:before="50" w:after="50"/>
              <w:jc w:val="center"/>
              <w:rPr>
                <w:rFonts w:ascii="Times New Roman" w:hAnsi="Times New Roman"/>
                <w:spacing w:val="20"/>
              </w:rPr>
            </w:pPr>
          </w:p>
        </w:tc>
      </w:tr>
      <w:tr w14:paraId="2FF18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8" w:type="dxa"/>
            <w:tcBorders>
              <w:top w:val="single" w:color="auto" w:sz="4" w:space="0"/>
              <w:bottom w:val="single" w:color="auto" w:sz="4" w:space="0"/>
              <w:right w:val="single" w:color="auto" w:sz="4" w:space="0"/>
            </w:tcBorders>
          </w:tcPr>
          <w:p w14:paraId="4630CCFC">
            <w:pPr>
              <w:tabs>
                <w:tab w:val="left" w:pos="1418"/>
              </w:tabs>
              <w:snapToGrid w:val="0"/>
              <w:spacing w:before="50" w:after="50"/>
              <w:jc w:val="center"/>
              <w:rPr>
                <w:rFonts w:ascii="Times New Roman" w:hAnsi="Times New Roman"/>
                <w:spacing w:val="20"/>
              </w:rPr>
            </w:pPr>
          </w:p>
        </w:tc>
        <w:tc>
          <w:tcPr>
            <w:tcW w:w="4540" w:type="dxa"/>
            <w:gridSpan w:val="3"/>
            <w:tcBorders>
              <w:top w:val="single" w:color="auto" w:sz="4" w:space="0"/>
              <w:left w:val="single" w:color="auto" w:sz="4" w:space="0"/>
              <w:bottom w:val="single" w:color="auto" w:sz="4" w:space="0"/>
              <w:right w:val="single" w:color="auto" w:sz="4" w:space="0"/>
            </w:tcBorders>
          </w:tcPr>
          <w:p w14:paraId="05FD5BBC">
            <w:pPr>
              <w:tabs>
                <w:tab w:val="left" w:pos="1418"/>
              </w:tabs>
              <w:snapToGrid w:val="0"/>
              <w:spacing w:before="50" w:after="50"/>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11B46C73">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786686B7">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546AFBE7">
            <w:pPr>
              <w:tabs>
                <w:tab w:val="left" w:pos="1418"/>
              </w:tabs>
              <w:snapToGrid w:val="0"/>
              <w:spacing w:before="50" w:after="50"/>
              <w:jc w:val="center"/>
              <w:rPr>
                <w:rFonts w:ascii="Times New Roman" w:hAnsi="Times New Roman"/>
                <w:spacing w:val="20"/>
              </w:rPr>
            </w:pPr>
          </w:p>
        </w:tc>
      </w:tr>
      <w:tr w14:paraId="68DCBD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858" w:type="dxa"/>
            <w:tcBorders>
              <w:top w:val="single" w:color="auto" w:sz="4" w:space="0"/>
              <w:bottom w:val="single" w:color="auto" w:sz="4" w:space="0"/>
              <w:right w:val="single" w:color="auto" w:sz="4" w:space="0"/>
            </w:tcBorders>
          </w:tcPr>
          <w:p w14:paraId="0228FC5A">
            <w:pPr>
              <w:tabs>
                <w:tab w:val="left" w:pos="1418"/>
              </w:tabs>
              <w:snapToGrid w:val="0"/>
              <w:spacing w:before="50" w:after="50"/>
              <w:jc w:val="center"/>
              <w:rPr>
                <w:rFonts w:ascii="Times New Roman" w:hAnsi="Times New Roman"/>
                <w:spacing w:val="20"/>
              </w:rPr>
            </w:pPr>
          </w:p>
        </w:tc>
        <w:tc>
          <w:tcPr>
            <w:tcW w:w="4540" w:type="dxa"/>
            <w:gridSpan w:val="3"/>
            <w:tcBorders>
              <w:top w:val="single" w:color="auto" w:sz="4" w:space="0"/>
              <w:left w:val="single" w:color="auto" w:sz="4" w:space="0"/>
              <w:bottom w:val="single" w:color="auto" w:sz="4" w:space="0"/>
              <w:right w:val="single" w:color="auto" w:sz="4" w:space="0"/>
            </w:tcBorders>
          </w:tcPr>
          <w:p w14:paraId="39A604BF">
            <w:pPr>
              <w:tabs>
                <w:tab w:val="left" w:pos="1418"/>
              </w:tabs>
              <w:snapToGrid w:val="0"/>
              <w:spacing w:before="50" w:after="50"/>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5FC4AED9">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7B67E5F7">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54DF10F9">
            <w:pPr>
              <w:tabs>
                <w:tab w:val="left" w:pos="1418"/>
              </w:tabs>
              <w:snapToGrid w:val="0"/>
              <w:spacing w:before="50" w:after="50"/>
              <w:jc w:val="center"/>
              <w:rPr>
                <w:rFonts w:ascii="Times New Roman" w:hAnsi="Times New Roman"/>
                <w:spacing w:val="20"/>
              </w:rPr>
            </w:pPr>
          </w:p>
        </w:tc>
      </w:tr>
      <w:tr w14:paraId="140982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52" w:hRule="atLeast"/>
        </w:trPr>
        <w:tc>
          <w:tcPr>
            <w:tcW w:w="858" w:type="dxa"/>
            <w:tcBorders>
              <w:top w:val="single" w:color="auto" w:sz="4" w:space="0"/>
              <w:bottom w:val="single" w:color="auto" w:sz="4" w:space="0"/>
              <w:right w:val="single" w:color="auto" w:sz="4" w:space="0"/>
            </w:tcBorders>
          </w:tcPr>
          <w:p w14:paraId="3B5AED04">
            <w:pPr>
              <w:tabs>
                <w:tab w:val="left" w:pos="1418"/>
              </w:tabs>
              <w:snapToGrid w:val="0"/>
              <w:spacing w:before="50" w:after="50"/>
              <w:jc w:val="center"/>
              <w:rPr>
                <w:rFonts w:ascii="Times New Roman" w:hAnsi="Times New Roman"/>
                <w:spacing w:val="20"/>
              </w:rPr>
            </w:pPr>
          </w:p>
        </w:tc>
        <w:tc>
          <w:tcPr>
            <w:tcW w:w="4540" w:type="dxa"/>
            <w:gridSpan w:val="3"/>
            <w:tcBorders>
              <w:top w:val="single" w:color="auto" w:sz="4" w:space="0"/>
              <w:left w:val="single" w:color="auto" w:sz="4" w:space="0"/>
              <w:bottom w:val="single" w:color="auto" w:sz="4" w:space="0"/>
              <w:right w:val="single" w:color="auto" w:sz="4" w:space="0"/>
            </w:tcBorders>
          </w:tcPr>
          <w:p w14:paraId="6E41EB47">
            <w:pPr>
              <w:tabs>
                <w:tab w:val="left" w:pos="1418"/>
              </w:tabs>
              <w:snapToGrid w:val="0"/>
              <w:spacing w:before="50" w:after="50"/>
              <w:rPr>
                <w:rFonts w:ascii="Times New Roman" w:hAnsi="Times New Roman"/>
                <w:spacing w:val="20"/>
              </w:rPr>
            </w:pPr>
          </w:p>
        </w:tc>
        <w:tc>
          <w:tcPr>
            <w:tcW w:w="1440" w:type="dxa"/>
            <w:gridSpan w:val="2"/>
            <w:tcBorders>
              <w:top w:val="single" w:color="auto" w:sz="4" w:space="0"/>
              <w:left w:val="single" w:color="auto" w:sz="4" w:space="0"/>
              <w:bottom w:val="single" w:color="auto" w:sz="4" w:space="0"/>
              <w:right w:val="single" w:color="auto" w:sz="4" w:space="0"/>
            </w:tcBorders>
          </w:tcPr>
          <w:p w14:paraId="6C5EC0E1">
            <w:pPr>
              <w:tabs>
                <w:tab w:val="left" w:pos="1418"/>
              </w:tabs>
              <w:snapToGrid w:val="0"/>
              <w:spacing w:before="50" w:after="50"/>
              <w:jc w:val="center"/>
              <w:rPr>
                <w:rFonts w:ascii="Times New Roman" w:hAnsi="Times New Roman"/>
                <w:spacing w:val="20"/>
              </w:rPr>
            </w:pPr>
          </w:p>
        </w:tc>
        <w:tc>
          <w:tcPr>
            <w:tcW w:w="1262" w:type="dxa"/>
            <w:tcBorders>
              <w:top w:val="single" w:color="auto" w:sz="4" w:space="0"/>
              <w:left w:val="single" w:color="auto" w:sz="4" w:space="0"/>
              <w:bottom w:val="single" w:color="auto" w:sz="4" w:space="0"/>
              <w:right w:val="single" w:color="auto" w:sz="4" w:space="0"/>
            </w:tcBorders>
          </w:tcPr>
          <w:p w14:paraId="27A7326E">
            <w:pPr>
              <w:tabs>
                <w:tab w:val="left" w:pos="1418"/>
              </w:tabs>
              <w:snapToGrid w:val="0"/>
              <w:spacing w:before="50" w:after="50"/>
              <w:jc w:val="center"/>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34A0A5EE">
            <w:pPr>
              <w:tabs>
                <w:tab w:val="left" w:pos="1418"/>
              </w:tabs>
              <w:snapToGrid w:val="0"/>
              <w:spacing w:before="50" w:after="50"/>
              <w:jc w:val="center"/>
              <w:rPr>
                <w:rFonts w:ascii="Times New Roman" w:hAnsi="Times New Roman"/>
                <w:spacing w:val="20"/>
              </w:rPr>
            </w:pPr>
          </w:p>
        </w:tc>
      </w:tr>
      <w:tr w14:paraId="688935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58" w:type="dxa"/>
            <w:tcBorders>
              <w:top w:val="single" w:color="auto" w:sz="4" w:space="0"/>
              <w:bottom w:val="single" w:color="auto" w:sz="4" w:space="0"/>
              <w:right w:val="single" w:color="auto" w:sz="4" w:space="0"/>
            </w:tcBorders>
          </w:tcPr>
          <w:p w14:paraId="7F7E02FD">
            <w:pPr>
              <w:tabs>
                <w:tab w:val="left" w:pos="1418"/>
              </w:tabs>
              <w:snapToGrid w:val="0"/>
              <w:spacing w:before="50" w:after="50"/>
              <w:jc w:val="center"/>
              <w:rPr>
                <w:rFonts w:ascii="Times New Roman" w:hAnsi="Times New Roman"/>
                <w:spacing w:val="20"/>
              </w:rPr>
            </w:pPr>
          </w:p>
        </w:tc>
        <w:tc>
          <w:tcPr>
            <w:tcW w:w="4550" w:type="dxa"/>
            <w:gridSpan w:val="4"/>
            <w:tcBorders>
              <w:top w:val="single" w:color="auto" w:sz="4" w:space="0"/>
              <w:left w:val="single" w:color="auto" w:sz="4" w:space="0"/>
              <w:bottom w:val="single" w:color="auto" w:sz="4" w:space="0"/>
              <w:right w:val="single" w:color="auto" w:sz="4" w:space="0"/>
            </w:tcBorders>
          </w:tcPr>
          <w:p w14:paraId="4BC9ED9A">
            <w:pPr>
              <w:tabs>
                <w:tab w:val="left" w:pos="1418"/>
              </w:tabs>
              <w:snapToGrid w:val="0"/>
              <w:spacing w:before="50" w:after="50"/>
              <w:rPr>
                <w:rFonts w:ascii="Times New Roman" w:hAnsi="Times New Roman"/>
                <w:spacing w:val="20"/>
              </w:rPr>
            </w:pPr>
          </w:p>
        </w:tc>
        <w:tc>
          <w:tcPr>
            <w:tcW w:w="2692" w:type="dxa"/>
            <w:gridSpan w:val="2"/>
            <w:tcBorders>
              <w:top w:val="single" w:color="auto" w:sz="4" w:space="0"/>
              <w:left w:val="single" w:color="auto" w:sz="4" w:space="0"/>
              <w:bottom w:val="single" w:color="auto" w:sz="4" w:space="0"/>
              <w:right w:val="single" w:color="auto" w:sz="4" w:space="0"/>
            </w:tcBorders>
          </w:tcPr>
          <w:p w14:paraId="4D308163">
            <w:pPr>
              <w:tabs>
                <w:tab w:val="left" w:pos="1418"/>
              </w:tabs>
              <w:snapToGrid w:val="0"/>
              <w:spacing w:before="50" w:after="50"/>
              <w:ind w:left="8"/>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789CAC0D">
            <w:pPr>
              <w:tabs>
                <w:tab w:val="left" w:pos="1418"/>
              </w:tabs>
              <w:snapToGrid w:val="0"/>
              <w:spacing w:before="50" w:after="50"/>
              <w:jc w:val="center"/>
              <w:rPr>
                <w:rFonts w:ascii="Times New Roman" w:hAnsi="Times New Roman"/>
                <w:spacing w:val="20"/>
              </w:rPr>
            </w:pPr>
          </w:p>
        </w:tc>
      </w:tr>
      <w:tr w14:paraId="574860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858" w:type="dxa"/>
            <w:tcBorders>
              <w:top w:val="single" w:color="auto" w:sz="4" w:space="0"/>
              <w:bottom w:val="single" w:color="auto" w:sz="4" w:space="0"/>
              <w:right w:val="single" w:color="auto" w:sz="4" w:space="0"/>
            </w:tcBorders>
          </w:tcPr>
          <w:p w14:paraId="0EA91FA8">
            <w:pPr>
              <w:tabs>
                <w:tab w:val="left" w:pos="1418"/>
              </w:tabs>
              <w:snapToGrid w:val="0"/>
              <w:spacing w:before="50" w:after="50"/>
              <w:jc w:val="center"/>
              <w:rPr>
                <w:rFonts w:ascii="Times New Roman" w:hAnsi="Times New Roman"/>
                <w:spacing w:val="20"/>
              </w:rPr>
            </w:pPr>
          </w:p>
        </w:tc>
        <w:tc>
          <w:tcPr>
            <w:tcW w:w="4550" w:type="dxa"/>
            <w:gridSpan w:val="4"/>
            <w:tcBorders>
              <w:top w:val="single" w:color="auto" w:sz="4" w:space="0"/>
              <w:left w:val="single" w:color="auto" w:sz="4" w:space="0"/>
              <w:bottom w:val="single" w:color="auto" w:sz="4" w:space="0"/>
              <w:right w:val="single" w:color="auto" w:sz="4" w:space="0"/>
            </w:tcBorders>
          </w:tcPr>
          <w:p w14:paraId="00A72C5C">
            <w:pPr>
              <w:tabs>
                <w:tab w:val="left" w:pos="1418"/>
              </w:tabs>
              <w:snapToGrid w:val="0"/>
              <w:spacing w:before="50" w:after="50"/>
              <w:rPr>
                <w:rFonts w:ascii="Times New Roman" w:hAnsi="Times New Roman"/>
                <w:spacing w:val="20"/>
              </w:rPr>
            </w:pPr>
          </w:p>
        </w:tc>
        <w:tc>
          <w:tcPr>
            <w:tcW w:w="2692" w:type="dxa"/>
            <w:gridSpan w:val="2"/>
            <w:tcBorders>
              <w:top w:val="single" w:color="auto" w:sz="4" w:space="0"/>
              <w:left w:val="single" w:color="auto" w:sz="4" w:space="0"/>
              <w:bottom w:val="single" w:color="auto" w:sz="4" w:space="0"/>
              <w:right w:val="single" w:color="auto" w:sz="4" w:space="0"/>
            </w:tcBorders>
          </w:tcPr>
          <w:p w14:paraId="0CF0229D">
            <w:pPr>
              <w:tabs>
                <w:tab w:val="left" w:pos="1418"/>
              </w:tabs>
              <w:snapToGrid w:val="0"/>
              <w:spacing w:before="50" w:after="50"/>
              <w:ind w:left="8"/>
              <w:rPr>
                <w:rFonts w:ascii="Times New Roman" w:hAnsi="Times New Roman"/>
                <w:spacing w:val="20"/>
              </w:rPr>
            </w:pPr>
          </w:p>
        </w:tc>
        <w:tc>
          <w:tcPr>
            <w:tcW w:w="1440" w:type="dxa"/>
            <w:tcBorders>
              <w:top w:val="single" w:color="auto" w:sz="4" w:space="0"/>
              <w:left w:val="single" w:color="auto" w:sz="4" w:space="0"/>
              <w:bottom w:val="single" w:color="auto" w:sz="4" w:space="0"/>
            </w:tcBorders>
          </w:tcPr>
          <w:p w14:paraId="233D6544">
            <w:pPr>
              <w:tabs>
                <w:tab w:val="left" w:pos="1418"/>
              </w:tabs>
              <w:snapToGrid w:val="0"/>
              <w:spacing w:before="50" w:after="50"/>
              <w:jc w:val="center"/>
              <w:rPr>
                <w:rFonts w:ascii="Times New Roman" w:hAnsi="Times New Roman"/>
                <w:spacing w:val="20"/>
              </w:rPr>
            </w:pPr>
          </w:p>
        </w:tc>
      </w:tr>
      <w:tr w14:paraId="1BD46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4" w:hRule="atLeast"/>
        </w:trPr>
        <w:tc>
          <w:tcPr>
            <w:tcW w:w="9540" w:type="dxa"/>
            <w:gridSpan w:val="8"/>
            <w:tcBorders>
              <w:top w:val="single" w:color="auto" w:sz="4" w:space="0"/>
              <w:bottom w:val="single" w:color="auto" w:sz="4" w:space="0"/>
            </w:tcBorders>
            <w:vAlign w:val="top"/>
          </w:tcPr>
          <w:p w14:paraId="0601567F">
            <w:pPr>
              <w:tabs>
                <w:tab w:val="left" w:pos="1418"/>
              </w:tabs>
              <w:snapToGrid w:val="0"/>
              <w:spacing w:before="50" w:after="50"/>
              <w:jc w:val="both"/>
              <w:rPr>
                <w:rFonts w:hint="eastAsia" w:ascii="宋体" w:hAnsi="宋体" w:eastAsia="宋体"/>
                <w:spacing w:val="20"/>
                <w:lang w:val="en-US" w:eastAsia="zh-CN"/>
              </w:rPr>
            </w:pPr>
            <w:r>
              <w:rPr>
                <w:rFonts w:hint="eastAsia" w:ascii="Times New Roman" w:hAnsi="Times New Roman" w:eastAsia="宋体" w:cs="Times New Roman"/>
                <w:spacing w:val="20"/>
                <w:lang w:val="en-US" w:eastAsia="zh-CN"/>
              </w:rPr>
              <w:t>合计（小写）</w:t>
            </w:r>
          </w:p>
        </w:tc>
      </w:tr>
      <w:tr w14:paraId="498518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540" w:type="dxa"/>
            <w:gridSpan w:val="8"/>
            <w:tcBorders>
              <w:top w:val="single" w:color="auto" w:sz="4" w:space="0"/>
              <w:bottom w:val="single" w:color="auto" w:sz="4" w:space="0"/>
            </w:tcBorders>
            <w:vAlign w:val="top"/>
          </w:tcPr>
          <w:p w14:paraId="0B42E673">
            <w:pPr>
              <w:tabs>
                <w:tab w:val="left" w:pos="1418"/>
              </w:tabs>
              <w:snapToGrid w:val="0"/>
              <w:spacing w:before="50" w:after="50"/>
              <w:jc w:val="both"/>
              <w:rPr>
                <w:rFonts w:hint="eastAsia" w:ascii="宋体" w:hAnsi="宋体"/>
                <w:spacing w:val="20"/>
              </w:rPr>
            </w:pPr>
            <w:r>
              <w:rPr>
                <w:rFonts w:hint="eastAsia" w:ascii="Times New Roman" w:hAnsi="Times New Roman" w:eastAsia="宋体" w:cs="Times New Roman"/>
                <w:spacing w:val="20"/>
              </w:rPr>
              <w:t>合计（大写）</w:t>
            </w:r>
          </w:p>
        </w:tc>
      </w:tr>
    </w:tbl>
    <w:p w14:paraId="61FB43A6">
      <w:pPr>
        <w:snapToGrid w:val="0"/>
        <w:rPr>
          <w:rFonts w:ascii="宋体" w:hAnsi="宋体"/>
        </w:rPr>
      </w:pPr>
    </w:p>
    <w:p w14:paraId="3FC47EE8">
      <w:pPr>
        <w:snapToGrid w:val="0"/>
        <w:spacing w:before="50" w:after="50"/>
        <w:rPr>
          <w:rFonts w:ascii="宋体" w:hAnsi="宋体"/>
        </w:rPr>
      </w:pPr>
      <w:r>
        <w:rPr>
          <w:rFonts w:hint="eastAsia" w:ascii="宋体" w:hAnsi="宋体"/>
        </w:rPr>
        <w:t>投标人名称（盖章）：</w:t>
      </w:r>
    </w:p>
    <w:p w14:paraId="1E2D9BEC">
      <w:pPr>
        <w:snapToGrid w:val="0"/>
        <w:spacing w:before="50" w:after="50"/>
        <w:rPr>
          <w:rFonts w:ascii="宋体" w:hAnsi="宋体"/>
        </w:rPr>
      </w:pPr>
    </w:p>
    <w:p w14:paraId="5300BA33">
      <w:pPr>
        <w:snapToGrid w:val="0"/>
        <w:spacing w:before="50" w:after="50"/>
        <w:rPr>
          <w:rFonts w:ascii="宋体" w:hAnsi="宋体"/>
        </w:rPr>
      </w:pPr>
    </w:p>
    <w:p w14:paraId="5CFC0F0E">
      <w:pPr>
        <w:snapToGrid w:val="0"/>
        <w:spacing w:before="50" w:after="50"/>
        <w:rPr>
          <w:rFonts w:ascii="宋体" w:hAnsi="宋体"/>
          <w:spacing w:val="20"/>
        </w:rPr>
      </w:pPr>
      <w:r>
        <w:rPr>
          <w:rFonts w:hint="eastAsia" w:ascii="宋体" w:hAnsi="宋体"/>
          <w:spacing w:val="20"/>
        </w:rPr>
        <w:t>日期：</w:t>
      </w:r>
    </w:p>
    <w:p w14:paraId="6283AA68">
      <w:pPr>
        <w:snapToGrid w:val="0"/>
        <w:spacing w:before="50" w:after="50"/>
        <w:rPr>
          <w:rFonts w:ascii="宋体" w:hAnsi="宋体"/>
        </w:rPr>
      </w:pPr>
    </w:p>
    <w:p w14:paraId="463A7916">
      <w:pPr>
        <w:widowControl/>
        <w:ind w:left="424" w:leftChars="202"/>
        <w:jc w:val="left"/>
        <w:rPr>
          <w:kern w:val="0"/>
        </w:rPr>
      </w:pPr>
    </w:p>
    <w:p w14:paraId="27A6A6F0">
      <w:pPr>
        <w:snapToGrid w:val="0"/>
        <w:spacing w:before="50" w:after="50"/>
        <w:rPr>
          <w:rFonts w:ascii="宋体" w:hAnsi="宋体"/>
        </w:rPr>
      </w:pPr>
    </w:p>
    <w:p w14:paraId="056BE970">
      <w:pPr>
        <w:snapToGrid w:val="0"/>
        <w:spacing w:line="312" w:lineRule="auto"/>
        <w:ind w:right="-341"/>
        <w:rPr>
          <w:rFonts w:ascii="宋体" w:hAnsi="宋体"/>
        </w:rPr>
      </w:pPr>
    </w:p>
    <w:p w14:paraId="7651CF37">
      <w:pPr>
        <w:pStyle w:val="2"/>
        <w:sectPr>
          <w:footerReference r:id="rId3" w:type="default"/>
          <w:pgSz w:w="11906" w:h="16838"/>
          <w:pgMar w:top="1440" w:right="1701" w:bottom="1440" w:left="1701" w:header="851" w:footer="851" w:gutter="0"/>
          <w:cols w:space="720" w:num="1"/>
          <w:docGrid w:type="lines" w:linePitch="312" w:charSpace="0"/>
        </w:sectPr>
      </w:pPr>
    </w:p>
    <w:p w14:paraId="42999977">
      <w:pPr>
        <w:numPr>
          <w:ilvl w:val="0"/>
          <w:numId w:val="8"/>
        </w:numPr>
        <w:snapToGrid w:val="0"/>
        <w:spacing w:line="360" w:lineRule="auto"/>
        <w:ind w:left="585" w:leftChars="0" w:right="-341" w:rightChars="0"/>
        <w:rPr>
          <w:rFonts w:hint="eastAsia" w:ascii="Times New Roman" w:hAnsi="Times New Roman" w:eastAsia="宋体" w:cs="Times New Roman"/>
          <w:b/>
          <w:color w:val="auto"/>
          <w:sz w:val="28"/>
          <w:szCs w:val="28"/>
          <w:lang w:val="en-US" w:eastAsia="zh-CN"/>
        </w:rPr>
      </w:pPr>
      <w:r>
        <w:rPr>
          <w:rFonts w:hint="eastAsia" w:hAnsi="宋体" w:eastAsia="宋体"/>
          <w:b/>
          <w:spacing w:val="20"/>
          <w:sz w:val="28"/>
        </w:rPr>
        <w:t xml:space="preserve"> </w:t>
      </w:r>
      <w:r>
        <w:rPr>
          <w:rFonts w:hint="eastAsia" w:ascii="Times New Roman" w:hAnsi="Times New Roman" w:eastAsia="宋体" w:cs="Times New Roman"/>
          <w:b/>
          <w:color w:val="auto"/>
          <w:sz w:val="28"/>
          <w:szCs w:val="28"/>
          <w:lang w:val="en-US" w:eastAsia="zh-CN"/>
        </w:rPr>
        <w:t xml:space="preserve">       </w:t>
      </w:r>
    </w:p>
    <w:p w14:paraId="5F55D466">
      <w:pPr>
        <w:numPr>
          <w:ilvl w:val="0"/>
          <w:numId w:val="0"/>
        </w:numPr>
        <w:snapToGrid w:val="0"/>
        <w:spacing w:line="360" w:lineRule="auto"/>
        <w:ind w:right="-341" w:rightChars="0"/>
        <w:jc w:val="center"/>
        <w:rPr>
          <w:rFonts w:hint="eastAsia" w:ascii="Times New Roman" w:hAnsi="Times New Roman" w:eastAsia="宋体" w:cs="Times New Roman"/>
          <w:b/>
          <w:color w:val="auto"/>
          <w:sz w:val="28"/>
          <w:szCs w:val="28"/>
        </w:rPr>
      </w:pPr>
      <w:r>
        <w:rPr>
          <w:rFonts w:hint="eastAsia" w:ascii="Times New Roman" w:hAnsi="Times New Roman" w:eastAsia="宋体" w:cs="Times New Roman"/>
          <w:b/>
          <w:color w:val="auto"/>
          <w:sz w:val="28"/>
          <w:szCs w:val="28"/>
        </w:rPr>
        <w:t>关于符合本国产品标准的声明函</w:t>
      </w:r>
    </w:p>
    <w:p w14:paraId="33F4EF26">
      <w:pPr>
        <w:adjustRightInd w:val="0"/>
        <w:snapToGrid w:val="0"/>
        <w:spacing w:line="360" w:lineRule="auto"/>
        <w:jc w:val="center"/>
        <w:rPr>
          <w:rFonts w:hint="eastAsia" w:ascii="宋体" w:hAnsi="宋体" w:eastAsia="宋体" w:cs="宋体"/>
          <w:b/>
          <w:color w:val="auto"/>
          <w:spacing w:val="6"/>
          <w:sz w:val="21"/>
          <w:szCs w:val="21"/>
          <w:highlight w:val="none"/>
        </w:rPr>
      </w:pPr>
      <w:r>
        <w:rPr>
          <w:rFonts w:hint="eastAsia" w:ascii="宋体" w:hAnsi="宋体" w:eastAsia="宋体" w:cs="宋体"/>
          <w:b/>
          <w:color w:val="auto"/>
          <w:spacing w:val="-6"/>
          <w:sz w:val="21"/>
          <w:szCs w:val="21"/>
          <w:highlight w:val="none"/>
        </w:rPr>
        <w:t>（若</w:t>
      </w:r>
      <w:r>
        <w:rPr>
          <w:rFonts w:hint="eastAsia" w:ascii="宋体" w:hAnsi="宋体" w:eastAsia="宋体" w:cs="宋体"/>
          <w:b/>
          <w:color w:val="auto"/>
          <w:spacing w:val="-6"/>
          <w:sz w:val="21"/>
          <w:szCs w:val="21"/>
          <w:highlight w:val="none"/>
          <w:lang w:val="en-US" w:eastAsia="zh-CN"/>
        </w:rPr>
        <w:t>符合本国产品标准</w:t>
      </w:r>
      <w:r>
        <w:rPr>
          <w:rFonts w:hint="eastAsia" w:ascii="宋体" w:hAnsi="宋体" w:eastAsia="宋体" w:cs="宋体"/>
          <w:b/>
          <w:color w:val="auto"/>
          <w:spacing w:val="-6"/>
          <w:sz w:val="21"/>
          <w:szCs w:val="21"/>
          <w:highlight w:val="none"/>
        </w:rPr>
        <w:t>）</w:t>
      </w:r>
    </w:p>
    <w:p w14:paraId="17E5A429">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本公司（单位）郑重声明，根据《国务院办公厅关于在政府采购中实施本国产品标准及相关政策的通知》（国办发〔2025〕34号）的规定，本公司（单位）提供的以下产品属于本国产品。具体情况如下：</w:t>
      </w:r>
    </w:p>
    <w:p w14:paraId="658A2B73">
      <w:pPr>
        <w:pStyle w:val="25"/>
        <w:numPr>
          <w:ilvl w:val="0"/>
          <w:numId w:val="0"/>
        </w:numPr>
        <w:shd w:val="clear" w:color="auto" w:fill="FFFFFF"/>
        <w:adjustRightInd w:val="0"/>
        <w:snapToGrid w:val="0"/>
        <w:spacing w:before="0" w:beforeAutospacing="0" w:after="0" w:afterAutospacing="0" w:line="360" w:lineRule="auto"/>
        <w:ind w:firstLine="420"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，生产厂为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（厂名）</w:t>
      </w:r>
      <w:r>
        <w:rPr>
          <w:rFonts w:hint="eastAsia" w:ascii="宋体" w:hAnsi="宋体" w:eastAsia="宋体" w:cs="宋体"/>
          <w:color w:val="auto"/>
          <w:spacing w:val="6"/>
          <w:sz w:val="21"/>
          <w:szCs w:val="21"/>
          <w:highlight w:val="none"/>
        </w:rPr>
        <w:t>，厂址为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（生产厂址）</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的中国境内生产的组件成本占比≥</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（规定比例</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具体详见注释③</w:t>
      </w:r>
      <w:r>
        <w:rPr>
          <w:rFonts w:hint="eastAsia"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rPr>
        <w:t>。</w:t>
      </w: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（关键组件</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具体详见注释④</w:t>
      </w:r>
      <w:r>
        <w:rPr>
          <w:rFonts w:hint="eastAsia"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rPr>
        <w:t>在中国境内生产。</w:t>
      </w:r>
      <w:r>
        <w:rPr>
          <w:rFonts w:hint="eastAsia" w:ascii="宋体" w:hAnsi="宋体" w:eastAsia="宋体" w:cs="宋体"/>
          <w:color w:val="auto"/>
          <w:sz w:val="21"/>
          <w:szCs w:val="21"/>
          <w:highlight w:val="none"/>
          <w:lang w:eastAsia="zh-CN"/>
        </w:rPr>
        <w:t>异构多机协同探测平台</w:t>
      </w:r>
      <w:r>
        <w:rPr>
          <w:rFonts w:hint="eastAsia" w:ascii="宋体" w:hAnsi="宋体" w:eastAsia="宋体" w:cs="宋体"/>
          <w:color w:val="auto"/>
          <w:spacing w:val="6"/>
          <w:sz w:val="21"/>
          <w:szCs w:val="21"/>
          <w:highlight w:val="none"/>
        </w:rPr>
        <w:t>的</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b/>
          <w:bCs/>
          <w:color w:val="auto"/>
          <w:spacing w:val="6"/>
          <w:sz w:val="21"/>
          <w:szCs w:val="21"/>
          <w:highlight w:val="none"/>
        </w:rPr>
        <w:t>（关键工序</w:t>
      </w:r>
      <w:r>
        <w:rPr>
          <w:rFonts w:hint="eastAsia" w:ascii="宋体" w:hAnsi="宋体" w:eastAsia="宋体" w:cs="宋体"/>
          <w:b/>
          <w:bCs/>
          <w:color w:val="auto"/>
          <w:spacing w:val="6"/>
          <w:sz w:val="21"/>
          <w:szCs w:val="21"/>
          <w:highlight w:val="none"/>
          <w:lang w:eastAsia="zh-CN"/>
        </w:rPr>
        <w:t>，</w:t>
      </w:r>
      <w:r>
        <w:rPr>
          <w:rFonts w:hint="eastAsia" w:ascii="宋体" w:hAnsi="宋体" w:eastAsia="宋体" w:cs="宋体"/>
          <w:b/>
          <w:bCs/>
          <w:color w:val="auto"/>
          <w:spacing w:val="6"/>
          <w:sz w:val="21"/>
          <w:szCs w:val="21"/>
          <w:highlight w:val="none"/>
          <w:lang w:val="en-US" w:eastAsia="zh-CN"/>
        </w:rPr>
        <w:t>具体详见注释⑤</w:t>
      </w:r>
      <w:r>
        <w:rPr>
          <w:rFonts w:hint="eastAsia" w:ascii="宋体" w:hAnsi="宋体" w:eastAsia="宋体" w:cs="宋体"/>
          <w:b/>
          <w:bCs/>
          <w:color w:val="auto"/>
          <w:spacing w:val="6"/>
          <w:sz w:val="21"/>
          <w:szCs w:val="21"/>
          <w:highlight w:val="none"/>
        </w:rPr>
        <w:t>）</w:t>
      </w:r>
      <w:r>
        <w:rPr>
          <w:rFonts w:hint="eastAsia" w:ascii="宋体" w:hAnsi="宋体" w:eastAsia="宋体" w:cs="宋体"/>
          <w:color w:val="auto"/>
          <w:spacing w:val="6"/>
          <w:sz w:val="21"/>
          <w:szCs w:val="21"/>
          <w:highlight w:val="none"/>
        </w:rPr>
        <w:t>在中国境内完成</w:t>
      </w:r>
      <w:r>
        <w:rPr>
          <w:rFonts w:hint="eastAsia" w:ascii="宋体" w:hAnsi="宋体" w:eastAsia="宋体" w:cs="宋体"/>
          <w:color w:val="auto"/>
          <w:spacing w:val="6"/>
          <w:sz w:val="21"/>
          <w:szCs w:val="21"/>
          <w:highlight w:val="none"/>
          <w:lang w:eastAsia="zh-CN"/>
        </w:rPr>
        <w:t>。</w:t>
      </w:r>
    </w:p>
    <w:p w14:paraId="1E00FF52">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lang w:val="en-US" w:eastAsia="zh-CN"/>
        </w:rPr>
      </w:pPr>
      <w:r>
        <w:rPr>
          <w:rFonts w:hint="eastAsia" w:ascii="宋体" w:hAnsi="宋体" w:eastAsia="宋体" w:cs="宋体"/>
          <w:color w:val="auto"/>
          <w:spacing w:val="6"/>
          <w:sz w:val="21"/>
          <w:szCs w:val="21"/>
          <w:highlight w:val="none"/>
        </w:rPr>
        <w:t>本公司（单位）对上述声明内容的真实性负责。如有虚假，愿承担相应法律责任。</w:t>
      </w:r>
    </w:p>
    <w:p w14:paraId="734B8879">
      <w:pPr>
        <w:pStyle w:val="25"/>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lang w:val="en-US" w:eastAsia="zh-CN"/>
        </w:rPr>
        <w:t>公司（</w:t>
      </w:r>
      <w:r>
        <w:rPr>
          <w:rFonts w:hint="eastAsia" w:ascii="宋体" w:hAnsi="宋体" w:eastAsia="宋体" w:cs="宋体"/>
          <w:color w:val="auto"/>
          <w:spacing w:val="6"/>
          <w:sz w:val="21"/>
          <w:szCs w:val="21"/>
          <w:highlight w:val="none"/>
        </w:rPr>
        <w:t>单位</w:t>
      </w:r>
      <w:r>
        <w:rPr>
          <w:rFonts w:hint="eastAsia" w:ascii="宋体" w:hAnsi="宋体" w:eastAsia="宋体" w:cs="宋体"/>
          <w:color w:val="auto"/>
          <w:spacing w:val="6"/>
          <w:sz w:val="21"/>
          <w:szCs w:val="21"/>
          <w:highlight w:val="none"/>
          <w:lang w:val="en-US" w:eastAsia="zh-CN"/>
        </w:rPr>
        <w:t>）</w:t>
      </w:r>
      <w:r>
        <w:rPr>
          <w:rFonts w:hint="eastAsia" w:ascii="宋体" w:hAnsi="宋体" w:eastAsia="宋体" w:cs="宋体"/>
          <w:color w:val="auto"/>
          <w:spacing w:val="6"/>
          <w:sz w:val="21"/>
          <w:szCs w:val="21"/>
          <w:highlight w:val="none"/>
        </w:rPr>
        <w:t>名称（盖章）：</w:t>
      </w:r>
    </w:p>
    <w:p w14:paraId="6F2876DC">
      <w:pPr>
        <w:pStyle w:val="25"/>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b w:val="0"/>
          <w:bCs w:val="0"/>
          <w:color w:val="auto"/>
          <w:spacing w:val="6"/>
          <w:sz w:val="21"/>
          <w:szCs w:val="21"/>
          <w:highlight w:val="none"/>
        </w:rPr>
      </w:pPr>
      <w:r>
        <w:rPr>
          <w:rFonts w:hint="eastAsia" w:ascii="宋体" w:hAnsi="宋体" w:eastAsia="宋体" w:cs="宋体"/>
          <w:color w:val="auto"/>
          <w:spacing w:val="6"/>
          <w:sz w:val="21"/>
          <w:szCs w:val="21"/>
          <w:highlight w:val="none"/>
        </w:rPr>
        <w:t>日期：</w:t>
      </w:r>
      <w:r>
        <w:rPr>
          <w:rFonts w:hint="eastAsia" w:ascii="宋体" w:hAnsi="宋体" w:eastAsia="宋体" w:cs="宋体"/>
          <w:color w:val="auto"/>
          <w:spacing w:val="6"/>
          <w:sz w:val="21"/>
          <w:szCs w:val="21"/>
          <w:highlight w:val="none"/>
          <w:lang w:val="en-US" w:eastAsia="zh-CN"/>
        </w:rPr>
        <w:t xml:space="preserve">    年  月  日</w:t>
      </w:r>
    </w:p>
    <w:p w14:paraId="4A7F06F8">
      <w:pPr>
        <w:pStyle w:val="25"/>
        <w:shd w:val="clear" w:color="auto" w:fill="FFFFFF"/>
        <w:adjustRightInd w:val="0"/>
        <w:snapToGrid w:val="0"/>
        <w:spacing w:before="0" w:beforeAutospacing="0" w:after="0" w:afterAutospacing="0" w:line="360" w:lineRule="auto"/>
        <w:ind w:left="0" w:leftChars="0" w:firstLine="0" w:firstLineChars="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注释：</w:t>
      </w:r>
    </w:p>
    <w:p w14:paraId="376E6B31">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①产品如有型号，请在“产品名称”栏一并填写。</w:t>
      </w:r>
    </w:p>
    <w:p w14:paraId="4A3C832B">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lang w:eastAsia="zh-CN"/>
        </w:rPr>
      </w:pPr>
      <w:r>
        <w:rPr>
          <w:rFonts w:hint="eastAsia" w:ascii="宋体" w:hAnsi="宋体" w:eastAsia="宋体" w:cs="宋体"/>
          <w:b w:val="0"/>
          <w:bCs w:val="0"/>
          <w:color w:val="auto"/>
          <w:spacing w:val="6"/>
          <w:sz w:val="21"/>
          <w:szCs w:val="21"/>
          <w:highlight w:val="none"/>
        </w:rPr>
        <w:t>②生产厂名与厂址应与生产厂营业执照载明的相关信息保持一致</w:t>
      </w:r>
      <w:r>
        <w:rPr>
          <w:rFonts w:hint="eastAsia" w:ascii="宋体" w:hAnsi="宋体" w:eastAsia="宋体" w:cs="宋体"/>
          <w:b w:val="0"/>
          <w:bCs w:val="0"/>
          <w:color w:val="auto"/>
          <w:spacing w:val="6"/>
          <w:sz w:val="21"/>
          <w:szCs w:val="21"/>
          <w:highlight w:val="none"/>
          <w:lang w:eastAsia="zh-CN"/>
        </w:rPr>
        <w:t>。</w:t>
      </w:r>
    </w:p>
    <w:p w14:paraId="5CE2EBE7">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③该产品的中国境内生产的组件成本占比相关要求实施前，“规定比例”栏可不填，下同。</w:t>
      </w:r>
    </w:p>
    <w:p w14:paraId="584DF474">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rPr>
      </w:pPr>
      <w:r>
        <w:rPr>
          <w:rFonts w:hint="eastAsia" w:ascii="宋体" w:hAnsi="宋体" w:eastAsia="宋体" w:cs="宋体"/>
          <w:b w:val="0"/>
          <w:bCs w:val="0"/>
          <w:color w:val="auto"/>
          <w:spacing w:val="6"/>
          <w:sz w:val="21"/>
          <w:szCs w:val="21"/>
          <w:highlight w:val="none"/>
        </w:rPr>
        <w:t>④该产品的关键组件要求实施前，“关键组件”栏可不填，下同。</w:t>
      </w:r>
    </w:p>
    <w:p w14:paraId="62C05CED">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b w:val="0"/>
          <w:bCs w:val="0"/>
          <w:color w:val="auto"/>
          <w:spacing w:val="6"/>
          <w:sz w:val="21"/>
          <w:szCs w:val="21"/>
          <w:highlight w:val="none"/>
          <w:lang w:eastAsia="zh-CN"/>
        </w:rPr>
      </w:pPr>
      <w:r>
        <w:rPr>
          <w:rFonts w:hint="eastAsia" w:ascii="宋体" w:hAnsi="宋体" w:eastAsia="宋体" w:cs="宋体"/>
          <w:b w:val="0"/>
          <w:bCs w:val="0"/>
          <w:color w:val="auto"/>
          <w:spacing w:val="6"/>
          <w:sz w:val="21"/>
          <w:szCs w:val="21"/>
          <w:highlight w:val="none"/>
        </w:rPr>
        <w:t>⑤该产品的关键工序要求实施前，“关键工序”栏可不填，下同</w:t>
      </w:r>
      <w:r>
        <w:rPr>
          <w:rFonts w:hint="eastAsia" w:ascii="宋体" w:hAnsi="宋体" w:eastAsia="宋体" w:cs="宋体"/>
          <w:b w:val="0"/>
          <w:bCs w:val="0"/>
          <w:color w:val="auto"/>
          <w:spacing w:val="6"/>
          <w:sz w:val="21"/>
          <w:szCs w:val="21"/>
          <w:highlight w:val="none"/>
          <w:lang w:eastAsia="zh-CN"/>
        </w:rPr>
        <w:t>。</w:t>
      </w:r>
    </w:p>
    <w:p w14:paraId="639AA3AB">
      <w:pPr>
        <w:pStyle w:val="25"/>
        <w:shd w:val="clear" w:color="auto" w:fill="FFFFFF"/>
        <w:adjustRightInd w:val="0"/>
        <w:snapToGrid w:val="0"/>
        <w:spacing w:before="0" w:beforeAutospacing="0" w:after="0" w:afterAutospacing="0" w:line="360" w:lineRule="auto"/>
        <w:ind w:firstLine="444" w:firstLineChars="200"/>
        <w:rPr>
          <w:rFonts w:hint="eastAsia" w:ascii="仿宋" w:hAnsi="仿宋" w:eastAsia="仿宋" w:cs="仿宋"/>
          <w:color w:val="auto"/>
          <w:spacing w:val="6"/>
          <w:szCs w:val="21"/>
          <w:highlight w:val="none"/>
        </w:rPr>
      </w:pPr>
      <w:r>
        <w:rPr>
          <w:rFonts w:hint="eastAsia" w:ascii="宋体" w:hAnsi="宋体" w:eastAsia="宋体" w:cs="宋体"/>
          <w:b w:val="0"/>
          <w:bCs w:val="0"/>
          <w:color w:val="auto"/>
          <w:spacing w:val="6"/>
          <w:sz w:val="21"/>
          <w:szCs w:val="21"/>
          <w:highlight w:val="none"/>
          <w:lang w:val="en-US" w:eastAsia="zh-CN"/>
        </w:rPr>
        <w:t>⑥在中国境内生产的产品即视为符合本国产品标准，享受政府采购本国产品支持政策。</w:t>
      </w:r>
    </w:p>
    <w:p w14:paraId="0AA95437">
      <w:pPr>
        <w:pStyle w:val="25"/>
        <w:shd w:val="clear" w:color="auto" w:fill="FFFFFF"/>
        <w:adjustRightInd w:val="0"/>
        <w:snapToGrid w:val="0"/>
        <w:spacing w:before="0" w:beforeAutospacing="0" w:after="0" w:afterAutospacing="0" w:line="360" w:lineRule="auto"/>
        <w:ind w:left="0" w:leftChars="0" w:firstLine="0" w:firstLineChars="0"/>
        <w:jc w:val="center"/>
        <w:rPr>
          <w:rFonts w:hint="eastAsia" w:ascii="Times New Roman" w:hAnsi="Times New Roman" w:eastAsia="宋体" w:cs="Times New Roman"/>
          <w:b/>
          <w:color w:val="auto"/>
          <w:kern w:val="2"/>
          <w:sz w:val="24"/>
          <w:szCs w:val="24"/>
          <w:lang w:val="en-US" w:eastAsia="zh-CN" w:bidi="ar-SA"/>
        </w:rPr>
      </w:pPr>
      <w:r>
        <w:rPr>
          <w:rFonts w:hint="eastAsia" w:ascii="Times New Roman" w:hAnsi="Times New Roman" w:eastAsia="宋体" w:cs="Times New Roman"/>
          <w:b/>
          <w:color w:val="auto"/>
          <w:kern w:val="2"/>
          <w:sz w:val="24"/>
          <w:szCs w:val="24"/>
          <w:lang w:val="en-US" w:eastAsia="zh-CN" w:bidi="ar-SA"/>
        </w:rPr>
        <w:t>中国境内生产的组件成本核算基本规则</w:t>
      </w:r>
    </w:p>
    <w:p w14:paraId="453FC21F">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2966E4B9">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一、产品的一级组件是指直接组成产品的组件。产品的二级组件是指直接组成产品一级组件的组件。一级组件不可分解的，视同二级组件。</w:t>
      </w:r>
    </w:p>
    <w:p w14:paraId="0DE4F294">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lang w:eastAsia="zh-CN"/>
        </w:rPr>
      </w:pPr>
      <w:r>
        <w:rPr>
          <w:rFonts w:hint="eastAsia" w:ascii="宋体" w:hAnsi="宋体" w:eastAsia="宋体" w:cs="宋体"/>
          <w:color w:val="auto"/>
          <w:spacing w:val="6"/>
          <w:sz w:val="21"/>
          <w:szCs w:val="21"/>
          <w:highlight w:val="none"/>
        </w:rPr>
        <w:t>二、二级组件在中国境内生产的，其全部成本计入中国境内生产的组件成本；二级组件不在中国境内生产的，其成本不计入中国境内生产的组件成本</w:t>
      </w:r>
      <w:r>
        <w:rPr>
          <w:rFonts w:hint="eastAsia" w:ascii="宋体" w:hAnsi="宋体" w:eastAsia="宋体" w:cs="宋体"/>
          <w:color w:val="auto"/>
          <w:spacing w:val="6"/>
          <w:sz w:val="21"/>
          <w:szCs w:val="21"/>
          <w:highlight w:val="none"/>
          <w:lang w:eastAsia="zh-CN"/>
        </w:rPr>
        <w:t>。</w:t>
      </w:r>
    </w:p>
    <w:p w14:paraId="6ADD75AD">
      <w:pPr>
        <w:pStyle w:val="25"/>
        <w:shd w:val="clear" w:color="auto" w:fill="FFFFFF"/>
        <w:adjustRightInd w:val="0"/>
        <w:snapToGrid w:val="0"/>
        <w:spacing w:before="0" w:beforeAutospacing="0" w:after="0" w:afterAutospacing="0" w:line="360" w:lineRule="auto"/>
        <w:ind w:firstLine="444" w:firstLineChars="200"/>
        <w:rPr>
          <w:rFonts w:hint="eastAsia" w:ascii="宋体" w:hAnsi="宋体" w:eastAsia="宋体" w:cs="宋体"/>
          <w:color w:val="auto"/>
          <w:spacing w:val="6"/>
          <w:sz w:val="21"/>
          <w:szCs w:val="21"/>
          <w:highlight w:val="none"/>
        </w:rPr>
      </w:pPr>
      <w:r>
        <w:rPr>
          <w:rFonts w:hint="eastAsia" w:ascii="宋体" w:hAnsi="宋体" w:eastAsia="宋体" w:cs="宋体"/>
          <w:color w:val="auto"/>
          <w:spacing w:val="6"/>
          <w:sz w:val="21"/>
          <w:szCs w:val="21"/>
          <w:highlight w:val="none"/>
        </w:rPr>
        <w:t>三、产品总成本和组件成本以相关会计核算数据、采购合同、进货记录等为基础进行计算。</w:t>
      </w:r>
    </w:p>
    <w:p w14:paraId="50472D86">
      <w:pPr>
        <w:pStyle w:val="25"/>
        <w:shd w:val="clear" w:color="auto" w:fill="FFFFFF"/>
        <w:adjustRightInd w:val="0"/>
        <w:snapToGrid w:val="0"/>
        <w:spacing w:before="0" w:beforeAutospacing="0" w:after="0" w:afterAutospacing="0" w:line="360" w:lineRule="auto"/>
        <w:ind w:firstLine="444" w:firstLineChars="200"/>
        <w:rPr>
          <w:rFonts w:ascii="仿宋" w:hAnsi="仿宋" w:eastAsia="仿宋" w:cs="仿宋"/>
          <w:b/>
          <w:color w:val="auto"/>
          <w:spacing w:val="-6"/>
          <w:szCs w:val="21"/>
          <w:highlight w:val="none"/>
        </w:rPr>
      </w:pPr>
      <w:r>
        <w:rPr>
          <w:rFonts w:hint="eastAsia" w:ascii="宋体" w:hAnsi="宋体" w:eastAsia="宋体" w:cs="宋体"/>
          <w:color w:val="auto"/>
          <w:spacing w:val="6"/>
          <w:sz w:val="21"/>
          <w:szCs w:val="21"/>
          <w:highlight w:val="none"/>
        </w:rPr>
        <w:t>四、需要对成本核算规则予以进一步明确的其他有关事项，由财政部会同有关部门另行规定</w:t>
      </w:r>
      <w:r>
        <w:rPr>
          <w:rFonts w:hint="eastAsia" w:ascii="宋体" w:hAnsi="宋体" w:eastAsia="宋体" w:cs="宋体"/>
          <w:color w:val="auto"/>
          <w:spacing w:val="6"/>
          <w:sz w:val="21"/>
          <w:szCs w:val="21"/>
          <w:highlight w:val="none"/>
          <w:lang w:eastAsia="zh-CN"/>
        </w:rPr>
        <w:t>。</w:t>
      </w:r>
      <w:r>
        <w:rPr>
          <w:rFonts w:hint="eastAsia" w:ascii="仿宋" w:hAnsi="仿宋" w:eastAsia="仿宋" w:cs="仿宋"/>
          <w:bCs/>
          <w:color w:val="auto"/>
          <w:spacing w:val="-6"/>
          <w:szCs w:val="21"/>
          <w:highlight w:val="none"/>
        </w:rPr>
        <w:br w:type="page"/>
      </w:r>
    </w:p>
    <w:p w14:paraId="4B18A44C">
      <w:pPr>
        <w:spacing w:line="360" w:lineRule="auto"/>
        <w:jc w:val="center"/>
        <w:rPr>
          <w:rFonts w:hint="eastAsia" w:ascii="Times New Roman" w:hAnsi="Times New Roman" w:eastAsia="宋体" w:cs="Times New Roman"/>
          <w:b/>
          <w:color w:val="auto"/>
          <w:sz w:val="28"/>
          <w:szCs w:val="28"/>
          <w:lang w:val="en-US" w:eastAsia="zh-CN"/>
        </w:rPr>
      </w:pPr>
    </w:p>
    <w:p w14:paraId="3322D879">
      <w:pPr>
        <w:spacing w:line="360" w:lineRule="auto"/>
        <w:jc w:val="center"/>
        <w:rPr>
          <w:rFonts w:hint="eastAsia" w:ascii="Times New Roman" w:hAnsi="Times New Roman" w:eastAsia="宋体" w:cs="Times New Roman"/>
          <w:b/>
          <w:color w:val="auto"/>
          <w:sz w:val="28"/>
          <w:szCs w:val="28"/>
          <w:lang w:val="en-US" w:eastAsia="zh-CN"/>
        </w:rPr>
      </w:pPr>
    </w:p>
    <w:p w14:paraId="3F6005E8">
      <w:pPr>
        <w:spacing w:line="360" w:lineRule="auto"/>
        <w:jc w:val="center"/>
        <w:rPr>
          <w:rFonts w:hint="eastAsia" w:ascii="宋体" w:hAnsi="宋体" w:eastAsia="宋体" w:cs="宋体"/>
          <w:b/>
          <w:color w:val="auto"/>
          <w:spacing w:val="-6"/>
          <w:sz w:val="21"/>
          <w:szCs w:val="21"/>
          <w:highlight w:val="none"/>
        </w:rPr>
      </w:pPr>
      <w:r>
        <w:rPr>
          <w:rFonts w:hint="eastAsia" w:ascii="Times New Roman" w:hAnsi="Times New Roman" w:eastAsia="宋体" w:cs="Times New Roman"/>
          <w:b/>
          <w:color w:val="auto"/>
          <w:sz w:val="28"/>
          <w:szCs w:val="28"/>
          <w:lang w:val="en-US" w:eastAsia="zh-CN"/>
        </w:rPr>
        <w:t>关于本国产品成本比例的声明函</w:t>
      </w:r>
    </w:p>
    <w:p w14:paraId="370E1CCE">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b/>
          <w:color w:val="auto"/>
          <w:spacing w:val="-6"/>
          <w:sz w:val="21"/>
          <w:szCs w:val="21"/>
          <w:highlight w:val="none"/>
        </w:rPr>
        <w:t>（当采购项目或者采购包中含有多种产品</w:t>
      </w:r>
      <w:r>
        <w:rPr>
          <w:rFonts w:hint="eastAsia" w:ascii="宋体" w:hAnsi="宋体" w:eastAsia="宋体" w:cs="宋体"/>
          <w:b/>
          <w:color w:val="auto"/>
          <w:spacing w:val="-6"/>
          <w:sz w:val="21"/>
          <w:szCs w:val="21"/>
          <w:highlight w:val="none"/>
          <w:lang w:val="en-US" w:eastAsia="zh-CN"/>
        </w:rPr>
        <w:t>时</w:t>
      </w:r>
      <w:r>
        <w:rPr>
          <w:rFonts w:hint="eastAsia" w:ascii="宋体" w:hAnsi="宋体" w:eastAsia="宋体" w:cs="宋体"/>
          <w:b/>
          <w:color w:val="auto"/>
          <w:spacing w:val="-6"/>
          <w:sz w:val="21"/>
          <w:szCs w:val="21"/>
          <w:highlight w:val="none"/>
        </w:rPr>
        <w:t>）</w:t>
      </w:r>
    </w:p>
    <w:p w14:paraId="7A4B51A0">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p>
    <w:p w14:paraId="3CAC4999">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本公司（单位）郑重声明，根据《国务院办公厅关于在政府采购中实施本国产品标准及相关政策的通知》（国办发〔2025〕34号）的规定，本公司（单位）提供的符合本国产品标准的产品成本之和占提供的全部产品成本之和的比例达到</w:t>
      </w:r>
      <w:r>
        <w:rPr>
          <w:rFonts w:hint="eastAsia" w:ascii="宋体" w:hAnsi="宋体" w:eastAsia="宋体" w:cs="宋体"/>
          <w:color w:val="auto"/>
          <w:spacing w:val="6"/>
          <w:kern w:val="0"/>
          <w:sz w:val="21"/>
          <w:szCs w:val="21"/>
          <w:highlight w:val="none"/>
          <w:u w:val="single"/>
          <w:lang w:val="en-US" w:eastAsia="zh-CN" w:bidi="ar-SA"/>
        </w:rPr>
        <w:t xml:space="preserve">    </w:t>
      </w:r>
      <w:r>
        <w:rPr>
          <w:rFonts w:hint="eastAsia" w:ascii="宋体" w:hAnsi="宋体" w:eastAsia="宋体" w:cs="宋体"/>
          <w:color w:val="auto"/>
          <w:spacing w:val="6"/>
          <w:kern w:val="0"/>
          <w:sz w:val="21"/>
          <w:szCs w:val="21"/>
          <w:highlight w:val="none"/>
          <w:lang w:val="en-US" w:eastAsia="zh-CN" w:bidi="ar-SA"/>
        </w:rPr>
        <w:t>%。</w:t>
      </w:r>
    </w:p>
    <w:p w14:paraId="591511FF">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本公司（单位）对上述声明内容的真实性负责。如有虚假，愿承担相应法律责任。</w:t>
      </w:r>
    </w:p>
    <w:p w14:paraId="4F4B051B">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p>
    <w:p w14:paraId="4336F033">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公司（单位）名称（盖章）：</w:t>
      </w:r>
    </w:p>
    <w:p w14:paraId="6125195F">
      <w:pPr>
        <w:keepNext w:val="0"/>
        <w:keepLines w:val="0"/>
        <w:pageBreakBefore w:val="0"/>
        <w:widowControl w:val="0"/>
        <w:kinsoku/>
        <w:wordWrap/>
        <w:overflowPunct/>
        <w:topLinePunct w:val="0"/>
        <w:autoSpaceDE/>
        <w:autoSpaceDN/>
        <w:bidi w:val="0"/>
        <w:adjustRightInd w:val="0"/>
        <w:snapToGrid w:val="0"/>
        <w:spacing w:line="360" w:lineRule="auto"/>
        <w:ind w:firstLine="444" w:firstLineChars="200"/>
        <w:jc w:val="both"/>
        <w:textAlignment w:val="auto"/>
        <w:rPr>
          <w:rFonts w:hint="eastAsia" w:ascii="宋体" w:hAnsi="宋体" w:eastAsia="宋体" w:cs="宋体"/>
          <w:color w:val="auto"/>
          <w:spacing w:val="6"/>
          <w:kern w:val="0"/>
          <w:sz w:val="21"/>
          <w:szCs w:val="21"/>
          <w:highlight w:val="none"/>
          <w:lang w:val="en-US" w:eastAsia="zh-CN" w:bidi="ar-SA"/>
        </w:rPr>
      </w:pPr>
      <w:r>
        <w:rPr>
          <w:rFonts w:hint="eastAsia" w:ascii="宋体" w:hAnsi="宋体" w:eastAsia="宋体" w:cs="宋体"/>
          <w:color w:val="auto"/>
          <w:spacing w:val="6"/>
          <w:kern w:val="0"/>
          <w:sz w:val="21"/>
          <w:szCs w:val="21"/>
          <w:highlight w:val="none"/>
          <w:lang w:val="en-US" w:eastAsia="zh-CN" w:bidi="ar-SA"/>
        </w:rPr>
        <w:t>日期：    年  月  日</w:t>
      </w:r>
    </w:p>
    <w:p w14:paraId="5028F1B2">
      <w:pPr>
        <w:pStyle w:val="35"/>
        <w:rPr>
          <w:rFonts w:ascii="Times New Roman" w:hAnsi="Times New Roman" w:eastAsia="宋体" w:cs="Times New Roman"/>
          <w:b/>
          <w:color w:val="auto"/>
          <w:sz w:val="32"/>
        </w:rPr>
      </w:pPr>
    </w:p>
    <w:p w14:paraId="36F7389D">
      <w:pPr>
        <w:snapToGrid w:val="0"/>
        <w:spacing w:before="120" w:line="312" w:lineRule="auto"/>
        <w:ind w:right="-341"/>
        <w:rPr>
          <w:rFonts w:ascii="Times New Roman" w:hAnsi="Times New Roman" w:eastAsia="宋体" w:cs="Times New Roman"/>
          <w:b/>
          <w:color w:val="auto"/>
          <w:sz w:val="32"/>
        </w:rPr>
      </w:pPr>
    </w:p>
    <w:p w14:paraId="3127CE31">
      <w:pPr>
        <w:pStyle w:val="12"/>
        <w:snapToGrid w:val="0"/>
        <w:spacing w:before="156"/>
        <w:rPr>
          <w:rFonts w:hAnsi="宋体" w:eastAsia="宋体"/>
          <w:b/>
          <w:spacing w:val="20"/>
          <w:sz w:val="28"/>
        </w:rPr>
      </w:pPr>
    </w:p>
    <w:p w14:paraId="3A977837">
      <w:pPr>
        <w:pStyle w:val="12"/>
        <w:snapToGrid w:val="0"/>
        <w:spacing w:before="156"/>
        <w:rPr>
          <w:rFonts w:hAnsi="宋体" w:eastAsia="宋体"/>
          <w:b/>
          <w:spacing w:val="20"/>
          <w:sz w:val="28"/>
        </w:rPr>
      </w:pPr>
    </w:p>
    <w:p w14:paraId="6F8D49A5">
      <w:pPr>
        <w:pStyle w:val="12"/>
        <w:snapToGrid w:val="0"/>
        <w:spacing w:before="156"/>
        <w:rPr>
          <w:rFonts w:hAnsi="宋体" w:eastAsia="宋体"/>
          <w:b/>
          <w:spacing w:val="20"/>
          <w:sz w:val="28"/>
        </w:rPr>
      </w:pPr>
    </w:p>
    <w:p w14:paraId="41517CA9">
      <w:pPr>
        <w:pStyle w:val="12"/>
        <w:snapToGrid w:val="0"/>
        <w:spacing w:before="156"/>
        <w:rPr>
          <w:rFonts w:hAnsi="宋体" w:eastAsia="宋体"/>
          <w:b/>
          <w:spacing w:val="20"/>
          <w:sz w:val="28"/>
        </w:rPr>
      </w:pPr>
    </w:p>
    <w:p w14:paraId="6E3D5456">
      <w:pPr>
        <w:pStyle w:val="12"/>
        <w:snapToGrid w:val="0"/>
        <w:spacing w:before="156"/>
        <w:rPr>
          <w:rFonts w:hAnsi="宋体" w:eastAsia="宋体"/>
          <w:b/>
          <w:spacing w:val="20"/>
          <w:sz w:val="28"/>
        </w:rPr>
      </w:pPr>
    </w:p>
    <w:p w14:paraId="08CB2E00">
      <w:pPr>
        <w:pStyle w:val="12"/>
        <w:snapToGrid w:val="0"/>
        <w:spacing w:before="156"/>
        <w:rPr>
          <w:rFonts w:hAnsi="宋体" w:eastAsia="宋体"/>
          <w:b/>
          <w:spacing w:val="20"/>
          <w:sz w:val="28"/>
        </w:rPr>
      </w:pPr>
    </w:p>
    <w:p w14:paraId="3E6199B6">
      <w:pPr>
        <w:pStyle w:val="12"/>
        <w:snapToGrid w:val="0"/>
        <w:spacing w:before="156"/>
        <w:rPr>
          <w:rFonts w:hAnsi="宋体" w:eastAsia="宋体"/>
          <w:b/>
          <w:spacing w:val="20"/>
          <w:sz w:val="28"/>
        </w:rPr>
      </w:pPr>
    </w:p>
    <w:p w14:paraId="09331938">
      <w:pPr>
        <w:pStyle w:val="12"/>
        <w:snapToGrid w:val="0"/>
        <w:spacing w:before="156"/>
        <w:rPr>
          <w:rFonts w:hAnsi="宋体" w:eastAsia="宋体"/>
          <w:b/>
          <w:spacing w:val="20"/>
          <w:sz w:val="28"/>
        </w:rPr>
      </w:pPr>
    </w:p>
    <w:p w14:paraId="117FC203">
      <w:pPr>
        <w:pStyle w:val="12"/>
        <w:snapToGrid w:val="0"/>
        <w:spacing w:before="156"/>
        <w:rPr>
          <w:rFonts w:hAnsi="宋体" w:eastAsia="宋体"/>
          <w:b/>
          <w:spacing w:val="20"/>
          <w:sz w:val="28"/>
        </w:rPr>
      </w:pPr>
    </w:p>
    <w:p w14:paraId="365A1991">
      <w:pPr>
        <w:pStyle w:val="12"/>
        <w:snapToGrid w:val="0"/>
        <w:spacing w:before="156"/>
        <w:rPr>
          <w:rFonts w:hAnsi="宋体" w:eastAsia="宋体"/>
          <w:b/>
          <w:spacing w:val="20"/>
          <w:sz w:val="28"/>
        </w:rPr>
      </w:pPr>
    </w:p>
    <w:p w14:paraId="3601CC07">
      <w:pPr>
        <w:pStyle w:val="12"/>
        <w:snapToGrid w:val="0"/>
        <w:spacing w:before="156"/>
        <w:rPr>
          <w:rFonts w:hAnsi="宋体" w:eastAsia="宋体"/>
          <w:b/>
          <w:spacing w:val="20"/>
          <w:sz w:val="28"/>
        </w:rPr>
      </w:pPr>
    </w:p>
    <w:p w14:paraId="68E19CE6">
      <w:pPr>
        <w:pStyle w:val="12"/>
        <w:snapToGrid w:val="0"/>
        <w:spacing w:before="156"/>
        <w:rPr>
          <w:rFonts w:hAnsi="宋体" w:eastAsia="宋体"/>
          <w:b/>
          <w:spacing w:val="20"/>
          <w:sz w:val="28"/>
        </w:rPr>
      </w:pPr>
    </w:p>
    <w:p w14:paraId="47EE6C95">
      <w:pPr>
        <w:pStyle w:val="12"/>
        <w:snapToGrid w:val="0"/>
        <w:spacing w:before="156"/>
        <w:rPr>
          <w:rFonts w:hAnsi="宋体" w:eastAsia="宋体"/>
          <w:b/>
          <w:spacing w:val="20"/>
          <w:sz w:val="28"/>
        </w:rPr>
      </w:pPr>
    </w:p>
    <w:p w14:paraId="34B4F3A6">
      <w:pPr>
        <w:pStyle w:val="12"/>
        <w:snapToGrid w:val="0"/>
        <w:spacing w:before="156"/>
        <w:rPr>
          <w:rFonts w:hAnsi="宋体" w:eastAsia="宋体"/>
          <w:b/>
          <w:spacing w:val="20"/>
          <w:sz w:val="28"/>
        </w:rPr>
      </w:pPr>
    </w:p>
    <w:p w14:paraId="64A2B335">
      <w:pPr>
        <w:pStyle w:val="12"/>
        <w:snapToGrid w:val="0"/>
        <w:spacing w:before="156"/>
        <w:rPr>
          <w:rFonts w:hAnsi="宋体" w:eastAsia="宋体"/>
          <w:b/>
          <w:spacing w:val="20"/>
          <w:sz w:val="28"/>
        </w:rPr>
      </w:pPr>
    </w:p>
    <w:p w14:paraId="3C049EA7">
      <w:pPr>
        <w:snapToGrid w:val="0"/>
        <w:spacing w:before="120" w:beforeLines="50" w:after="50"/>
        <w:jc w:val="center"/>
        <w:rPr>
          <w:rFonts w:ascii="宋体" w:hAnsi="宋体"/>
          <w:b/>
          <w:sz w:val="30"/>
          <w:szCs w:val="30"/>
        </w:rPr>
      </w:pPr>
      <w:r>
        <w:rPr>
          <w:rFonts w:hint="eastAsia" w:asciiTheme="minorEastAsia" w:hAnsiTheme="minorEastAsia" w:eastAsiaTheme="minorEastAsia"/>
          <w:b/>
          <w:sz w:val="28"/>
          <w:szCs w:val="28"/>
          <w:lang w:val="en-US" w:eastAsia="zh-CN"/>
        </w:rPr>
        <w:t>五</w:t>
      </w:r>
      <w:r>
        <w:rPr>
          <w:rFonts w:ascii="宋体" w:hAnsi="宋体"/>
          <w:b/>
          <w:bCs/>
          <w:sz w:val="28"/>
          <w:szCs w:val="28"/>
        </w:rPr>
        <w:t>、</w:t>
      </w:r>
      <w:r>
        <w:rPr>
          <w:rFonts w:hint="eastAsia" w:ascii="宋体" w:hAnsi="宋体"/>
          <w:b/>
          <w:sz w:val="30"/>
          <w:szCs w:val="30"/>
        </w:rPr>
        <w:t>声明函</w:t>
      </w:r>
    </w:p>
    <w:p w14:paraId="1B3EDACD">
      <w:pPr>
        <w:snapToGrid w:val="0"/>
        <w:spacing w:before="120" w:beforeLines="50" w:after="50" w:line="360" w:lineRule="auto"/>
        <w:rPr>
          <w:rFonts w:hint="eastAsia" w:ascii="宋体" w:hAnsi="宋体"/>
          <w:szCs w:val="21"/>
        </w:rPr>
      </w:pPr>
    </w:p>
    <w:p w14:paraId="2CE1FCE3">
      <w:pPr>
        <w:snapToGrid w:val="0"/>
        <w:spacing w:beforeLines="50" w:after="50" w:line="360" w:lineRule="auto"/>
        <w:rPr>
          <w:rFonts w:ascii="Times New Roman" w:hAnsi="Times New Roman" w:eastAsia="宋体" w:cs="Times New Roman"/>
          <w:color w:val="auto"/>
          <w:szCs w:val="21"/>
        </w:rPr>
      </w:pPr>
      <w:r>
        <w:rPr>
          <w:rFonts w:hint="eastAsia" w:ascii="Times New Roman" w:hAnsi="Times New Roman" w:eastAsia="宋体" w:cs="Times New Roman"/>
          <w:color w:val="auto"/>
          <w:szCs w:val="21"/>
        </w:rPr>
        <w:t>致：</w:t>
      </w:r>
      <w:r>
        <w:rPr>
          <w:rFonts w:ascii="Times New Roman" w:hAnsi="Times New Roman" w:eastAsia="宋体" w:cs="Times New Roman"/>
          <w:color w:val="auto"/>
          <w:szCs w:val="21"/>
        </w:rPr>
        <w:t>_</w:t>
      </w:r>
      <w:r>
        <w:rPr>
          <w:rFonts w:hint="eastAsia" w:ascii="Times New Roman" w:hAnsi="Times New Roman" w:eastAsia="宋体" w:cs="Times New Roman"/>
          <w:color w:val="auto"/>
          <w:u w:val="single"/>
        </w:rPr>
        <w:t>深圳市国信招标有限公司</w:t>
      </w:r>
      <w:r>
        <w:rPr>
          <w:rFonts w:ascii="Times New Roman" w:hAnsi="Times New Roman" w:eastAsia="宋体" w:cs="Times New Roman"/>
          <w:color w:val="auto"/>
        </w:rPr>
        <w:t>_</w:t>
      </w:r>
      <w:r>
        <w:rPr>
          <w:rFonts w:hint="eastAsia" w:ascii="Times New Roman" w:hAnsi="Times New Roman" w:eastAsia="宋体" w:cs="Times New Roman"/>
          <w:color w:val="auto"/>
          <w:szCs w:val="21"/>
        </w:rPr>
        <w:t>：</w:t>
      </w:r>
    </w:p>
    <w:p w14:paraId="44EE4865">
      <w:pPr>
        <w:spacing w:after="120" w:line="360" w:lineRule="auto"/>
        <w:ind w:firstLine="480"/>
        <w:rPr>
          <w:rFonts w:ascii="Times New Roman" w:hAnsi="Times New Roman" w:eastAsia="宋体" w:cs="Times New Roman"/>
          <w:color w:val="auto"/>
          <w:szCs w:val="21"/>
        </w:rPr>
      </w:pPr>
      <w:r>
        <w:rPr>
          <w:rFonts w:hint="eastAsia" w:ascii="Times New Roman" w:hAnsi="Times New Roman" w:eastAsia="宋体" w:cs="Times New Roman"/>
          <w:color w:val="auto"/>
          <w:szCs w:val="21"/>
        </w:rPr>
        <w:t>我方在参加政府采购活动前三年内，具有良好的商业信誉，依法缴纳税收和社会保障资金</w:t>
      </w:r>
      <w:r>
        <w:rPr>
          <w:rFonts w:hint="eastAsia" w:ascii="Times New Roman" w:hAnsi="Times New Roman" w:eastAsia="宋体" w:cs="Times New Roman"/>
          <w:color w:val="auto"/>
          <w:szCs w:val="21"/>
          <w:lang w:eastAsia="zh-CN"/>
        </w:rPr>
        <w:t>；至开标之日止，未被“信用中国”（www.creditchina.gov.cn）、中国政府采购网（www.ccgp.gov.cn）列入失信被执行人、重大税收违法案件当事人名单、政府采购严重违法失信行为记录名单；</w:t>
      </w:r>
      <w:r>
        <w:rPr>
          <w:rFonts w:hint="eastAsia" w:ascii="Times New Roman" w:hAnsi="Times New Roman" w:eastAsia="宋体" w:cs="Times New Roman"/>
          <w:color w:val="auto"/>
          <w:szCs w:val="21"/>
        </w:rPr>
        <w:t>在经营活动中没有重大违法记录（没有因违法经营受到刑事处罚，没有被责令停产停业、被吊销许可证或者执照、被处以较大数额罚款等行政处罚，没有因违法经营被禁止参加政府采购活动的期限未满情形）</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具备本项目履行合同所必需的设备和专业技术能力</w:t>
      </w:r>
      <w:r>
        <w:rPr>
          <w:rFonts w:hint="eastAsia" w:ascii="Times New Roman" w:hAnsi="Times New Roman" w:eastAsia="宋体" w:cs="Times New Roman"/>
          <w:color w:val="auto"/>
          <w:szCs w:val="21"/>
          <w:lang w:eastAsia="zh-CN"/>
        </w:rPr>
        <w:t>；</w:t>
      </w:r>
      <w:r>
        <w:rPr>
          <w:rFonts w:hint="eastAsia" w:ascii="Times New Roman" w:hAnsi="Times New Roman" w:eastAsia="宋体" w:cs="Times New Roman"/>
          <w:color w:val="auto"/>
          <w:szCs w:val="21"/>
        </w:rPr>
        <w:t>如有虚假，采购人可取消我方任何资格（投标</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中标</w:t>
      </w:r>
      <w:r>
        <w:rPr>
          <w:rFonts w:ascii="Times New Roman" w:hAnsi="Times New Roman" w:eastAsia="宋体" w:cs="Times New Roman"/>
          <w:color w:val="auto"/>
          <w:szCs w:val="21"/>
        </w:rPr>
        <w:t>/</w:t>
      </w:r>
      <w:r>
        <w:rPr>
          <w:rFonts w:hint="eastAsia" w:ascii="Times New Roman" w:hAnsi="Times New Roman" w:eastAsia="宋体" w:cs="Times New Roman"/>
          <w:color w:val="auto"/>
          <w:szCs w:val="21"/>
        </w:rPr>
        <w:t>签订合同），我方对此无任何异议。</w:t>
      </w:r>
    </w:p>
    <w:p w14:paraId="02E30289">
      <w:pPr>
        <w:spacing w:after="120" w:line="360" w:lineRule="auto"/>
        <w:ind w:firstLine="480"/>
        <w:rPr>
          <w:rFonts w:ascii="Times New Roman" w:hAnsi="Times New Roman" w:eastAsia="宋体" w:cs="Times New Roman"/>
          <w:color w:val="auto"/>
          <w:szCs w:val="21"/>
        </w:rPr>
      </w:pPr>
      <w:r>
        <w:rPr>
          <w:rFonts w:hint="eastAsia" w:ascii="Times New Roman" w:hAnsi="Times New Roman" w:eastAsia="宋体" w:cs="Times New Roman"/>
          <w:color w:val="auto"/>
          <w:szCs w:val="21"/>
        </w:rPr>
        <w:t>特此声明！</w:t>
      </w:r>
    </w:p>
    <w:p w14:paraId="73772F86">
      <w:pPr>
        <w:spacing w:after="120"/>
        <w:ind w:firstLine="480"/>
        <w:rPr>
          <w:rFonts w:ascii="Times New Roman" w:hAnsi="Times New Roman" w:eastAsia="宋体" w:cs="Times New Roman"/>
          <w:color w:val="auto"/>
        </w:rPr>
      </w:pPr>
    </w:p>
    <w:p w14:paraId="53C4F6DC">
      <w:pPr>
        <w:snapToGrid w:val="0"/>
        <w:spacing w:beforeLines="50"/>
        <w:ind w:firstLine="200"/>
        <w:rPr>
          <w:rFonts w:ascii="Times New Roman" w:hAnsi="Times New Roman" w:eastAsia="宋体" w:cs="Times New Roman"/>
          <w:color w:val="auto"/>
        </w:rPr>
      </w:pPr>
    </w:p>
    <w:p w14:paraId="4299F89D">
      <w:pPr>
        <w:snapToGrid w:val="0"/>
        <w:spacing w:before="50" w:after="50"/>
        <w:rPr>
          <w:rFonts w:ascii="Times New Roman" w:hAnsi="Times New Roman" w:eastAsia="宋体" w:cs="Times New Roman"/>
          <w:color w:val="auto"/>
        </w:rPr>
      </w:pPr>
    </w:p>
    <w:p w14:paraId="033CED46">
      <w:pPr>
        <w:snapToGrid w:val="0"/>
        <w:ind w:left="2" w:right="-817" w:rightChars="-389"/>
        <w:rPr>
          <w:rFonts w:ascii="Times New Roman" w:hAnsi="Times New Roman" w:eastAsia="宋体" w:cs="Times New Roman"/>
          <w:color w:val="auto"/>
        </w:rPr>
      </w:pPr>
    </w:p>
    <w:p w14:paraId="6560F72A">
      <w:pPr>
        <w:snapToGrid w:val="0"/>
        <w:spacing w:before="50" w:line="312" w:lineRule="auto"/>
        <w:jc w:val="left"/>
        <w:rPr>
          <w:rFonts w:hint="eastAsia" w:ascii="Times New Roman" w:hAnsi="Times New Roman" w:eastAsia="宋体" w:cs="Times New Roman"/>
          <w:color w:val="auto"/>
        </w:rPr>
      </w:pPr>
    </w:p>
    <w:p w14:paraId="72F298AF">
      <w:pPr>
        <w:snapToGrid w:val="0"/>
        <w:spacing w:before="50" w:line="312" w:lineRule="auto"/>
        <w:jc w:val="left"/>
        <w:rPr>
          <w:rFonts w:hint="eastAsia" w:ascii="Times New Roman" w:hAnsi="Times New Roman" w:eastAsia="宋体" w:cs="Times New Roman"/>
          <w:color w:val="auto"/>
        </w:rPr>
      </w:pPr>
      <w:r>
        <w:rPr>
          <w:rFonts w:hint="eastAsia" w:ascii="Times New Roman" w:hAnsi="Times New Roman" w:eastAsia="宋体" w:cs="Times New Roman"/>
          <w:color w:val="auto"/>
        </w:rPr>
        <w:t>投标人名称（盖章）：</w:t>
      </w:r>
    </w:p>
    <w:p w14:paraId="6920C5AD">
      <w:pPr>
        <w:snapToGrid w:val="0"/>
        <w:spacing w:before="120" w:line="312" w:lineRule="auto"/>
        <w:ind w:right="-341"/>
        <w:rPr>
          <w:rFonts w:hint="eastAsia" w:ascii="Times New Roman" w:hAnsi="Times New Roman" w:eastAsia="宋体" w:cs="Times New Roman"/>
          <w:color w:val="auto"/>
        </w:rPr>
      </w:pPr>
    </w:p>
    <w:p w14:paraId="0E3219DC">
      <w:pPr>
        <w:snapToGrid w:val="0"/>
        <w:spacing w:before="120"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日期</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_____</w:t>
      </w:r>
      <w:r>
        <w:rPr>
          <w:rFonts w:hint="eastAsia" w:ascii="Times New Roman" w:hAnsi="Times New Roman" w:eastAsia="宋体" w:cs="Times New Roman"/>
          <w:color w:val="auto"/>
        </w:rPr>
        <w:t>年</w:t>
      </w:r>
      <w:r>
        <w:rPr>
          <w:rFonts w:ascii="Times New Roman" w:hAnsi="Times New Roman" w:eastAsia="宋体" w:cs="Times New Roman"/>
          <w:color w:val="auto"/>
        </w:rPr>
        <w:t>___</w:t>
      </w:r>
      <w:r>
        <w:rPr>
          <w:rFonts w:hint="eastAsia" w:ascii="Times New Roman" w:hAnsi="Times New Roman" w:eastAsia="宋体" w:cs="Times New Roman"/>
          <w:color w:val="auto"/>
        </w:rPr>
        <w:t>月</w:t>
      </w:r>
      <w:r>
        <w:rPr>
          <w:rFonts w:ascii="Times New Roman" w:hAnsi="Times New Roman" w:eastAsia="宋体" w:cs="Times New Roman"/>
          <w:color w:val="auto"/>
        </w:rPr>
        <w:t>___</w:t>
      </w:r>
      <w:r>
        <w:rPr>
          <w:rFonts w:hint="eastAsia" w:ascii="Times New Roman" w:hAnsi="Times New Roman" w:eastAsia="宋体" w:cs="Times New Roman"/>
          <w:color w:val="auto"/>
        </w:rPr>
        <w:t>日</w:t>
      </w:r>
    </w:p>
    <w:p w14:paraId="6C37305D">
      <w:pPr>
        <w:pStyle w:val="12"/>
        <w:snapToGrid w:val="0"/>
        <w:spacing w:before="156"/>
        <w:rPr>
          <w:rFonts w:hAnsi="宋体"/>
          <w:b/>
        </w:rPr>
      </w:pPr>
    </w:p>
    <w:p w14:paraId="68573650">
      <w:pPr>
        <w:pStyle w:val="12"/>
        <w:snapToGrid w:val="0"/>
        <w:spacing w:before="156"/>
        <w:rPr>
          <w:rFonts w:hAnsi="宋体"/>
          <w:b/>
        </w:rPr>
      </w:pPr>
    </w:p>
    <w:p w14:paraId="5A9B32FC">
      <w:pPr>
        <w:pStyle w:val="12"/>
        <w:snapToGrid w:val="0"/>
        <w:spacing w:before="156"/>
        <w:rPr>
          <w:rFonts w:hAnsi="宋体"/>
          <w:b/>
        </w:rPr>
      </w:pPr>
    </w:p>
    <w:p w14:paraId="504719C3">
      <w:pPr>
        <w:pStyle w:val="12"/>
        <w:snapToGrid w:val="0"/>
        <w:spacing w:before="156"/>
        <w:rPr>
          <w:rFonts w:hAnsi="宋体"/>
          <w:b/>
        </w:rPr>
      </w:pPr>
    </w:p>
    <w:p w14:paraId="2C083C5B">
      <w:pPr>
        <w:pStyle w:val="12"/>
        <w:snapToGrid w:val="0"/>
        <w:spacing w:before="156"/>
        <w:rPr>
          <w:rFonts w:hAnsi="宋体"/>
          <w:b/>
        </w:rPr>
      </w:pPr>
    </w:p>
    <w:p w14:paraId="72B4B99E">
      <w:pPr>
        <w:pStyle w:val="12"/>
        <w:snapToGrid w:val="0"/>
        <w:spacing w:before="156"/>
        <w:rPr>
          <w:rFonts w:hAnsi="宋体"/>
          <w:b/>
        </w:rPr>
      </w:pPr>
    </w:p>
    <w:p w14:paraId="0315CE29">
      <w:pPr>
        <w:pStyle w:val="12"/>
        <w:snapToGrid w:val="0"/>
        <w:spacing w:before="156"/>
        <w:rPr>
          <w:rFonts w:hAnsi="宋体"/>
          <w:b/>
        </w:rPr>
      </w:pPr>
    </w:p>
    <w:p w14:paraId="67E84BB7">
      <w:pPr>
        <w:pStyle w:val="12"/>
        <w:snapToGrid w:val="0"/>
        <w:spacing w:before="156"/>
        <w:rPr>
          <w:rFonts w:hAnsi="宋体"/>
          <w:b/>
        </w:rPr>
      </w:pPr>
    </w:p>
    <w:p w14:paraId="2856101B">
      <w:pPr>
        <w:pStyle w:val="12"/>
        <w:snapToGrid w:val="0"/>
        <w:spacing w:before="156"/>
        <w:rPr>
          <w:rFonts w:hAnsi="宋体"/>
          <w:b/>
        </w:rPr>
      </w:pPr>
    </w:p>
    <w:p w14:paraId="5A753DBA">
      <w:pPr>
        <w:rPr>
          <w:b/>
          <w:bCs/>
          <w:sz w:val="30"/>
          <w:szCs w:val="30"/>
        </w:rPr>
      </w:pPr>
    </w:p>
    <w:p w14:paraId="0C31222A">
      <w:pPr>
        <w:jc w:val="both"/>
        <w:rPr>
          <w:b/>
          <w:bCs/>
          <w:sz w:val="30"/>
          <w:szCs w:val="30"/>
        </w:rPr>
      </w:pPr>
    </w:p>
    <w:p w14:paraId="0927A0A9">
      <w:pPr>
        <w:jc w:val="center"/>
        <w:rPr>
          <w:sz w:val="30"/>
          <w:szCs w:val="30"/>
        </w:rPr>
      </w:pPr>
      <w:r>
        <w:rPr>
          <w:rFonts w:hint="eastAsia"/>
          <w:b/>
          <w:bCs/>
          <w:sz w:val="30"/>
          <w:szCs w:val="30"/>
          <w:lang w:val="en-US" w:eastAsia="zh-CN"/>
        </w:rPr>
        <w:t>六</w:t>
      </w:r>
      <w:r>
        <w:rPr>
          <w:rFonts w:hint="eastAsia"/>
          <w:b/>
          <w:bCs/>
          <w:sz w:val="30"/>
          <w:szCs w:val="30"/>
        </w:rPr>
        <w:t>、廉政承诺书</w:t>
      </w:r>
    </w:p>
    <w:p w14:paraId="6D603203">
      <w:pPr>
        <w:rPr>
          <w:b/>
          <w:bCs/>
          <w:sz w:val="28"/>
          <w:szCs w:val="28"/>
        </w:rPr>
      </w:pPr>
    </w:p>
    <w:p w14:paraId="6E80D773">
      <w:pPr>
        <w:rPr>
          <w:b/>
          <w:bCs/>
          <w:sz w:val="24"/>
        </w:rPr>
      </w:pPr>
      <w:r>
        <w:rPr>
          <w:rFonts w:hint="eastAsia"/>
          <w:b/>
          <w:bCs/>
          <w:sz w:val="24"/>
        </w:rPr>
        <w:t>致：深圳市国信招标有限公司：</w:t>
      </w:r>
    </w:p>
    <w:p w14:paraId="61894709">
      <w:pPr>
        <w:spacing w:line="360" w:lineRule="auto"/>
        <w:ind w:firstLine="420" w:firstLineChars="200"/>
        <w:rPr>
          <w:rFonts w:ascii="宋体" w:hAnsi="宋体" w:cs="仿宋"/>
          <w:szCs w:val="21"/>
        </w:rPr>
      </w:pPr>
      <w:r>
        <w:rPr>
          <w:rFonts w:hint="eastAsia" w:ascii="宋体" w:hAnsi="宋体" w:cs="仿宋"/>
          <w:szCs w:val="21"/>
        </w:rPr>
        <w:t>我单位响应你单位</w:t>
      </w:r>
      <w:r>
        <w:rPr>
          <w:rFonts w:hint="eastAsia" w:ascii="宋体" w:hAnsi="宋体" w:cs="仿宋"/>
          <w:szCs w:val="21"/>
          <w:u w:val="single"/>
        </w:rPr>
        <w:t xml:space="preserve">        </w:t>
      </w:r>
      <w:r>
        <w:rPr>
          <w:rFonts w:hint="eastAsia" w:ascii="宋体" w:hAnsi="宋体" w:cs="仿宋"/>
          <w:szCs w:val="21"/>
        </w:rPr>
        <w:t>项目招标要求参加投标，在这次投标过程中和中标后，我们将严格遵守国家法律法规要求，并郑重承诺</w:t>
      </w:r>
      <w:r>
        <w:rPr>
          <w:rFonts w:hint="eastAsia" w:ascii="宋体" w:hAnsi="宋体" w:cs="仿宋"/>
          <w:szCs w:val="21"/>
          <w:lang w:eastAsia="zh-CN"/>
        </w:rPr>
        <w:t>：</w:t>
      </w:r>
    </w:p>
    <w:p w14:paraId="662E094C">
      <w:pPr>
        <w:spacing w:line="360" w:lineRule="auto"/>
        <w:ind w:firstLine="420" w:firstLineChars="200"/>
        <w:rPr>
          <w:rFonts w:ascii="宋体" w:hAnsi="宋体" w:cs="仿宋"/>
          <w:szCs w:val="21"/>
        </w:rPr>
      </w:pPr>
      <w:r>
        <w:rPr>
          <w:rFonts w:hint="eastAsia" w:ascii="宋体" w:hAnsi="宋体" w:cs="仿宋"/>
          <w:szCs w:val="21"/>
        </w:rPr>
        <w:t>一、不向项目有关人员及部门赠送礼金礼物、有价证券、回扣以及中介费、介绍费、咨询费等好处费。</w:t>
      </w:r>
    </w:p>
    <w:p w14:paraId="0449361A">
      <w:pPr>
        <w:spacing w:line="360" w:lineRule="auto"/>
        <w:ind w:firstLine="420" w:firstLineChars="200"/>
        <w:rPr>
          <w:rFonts w:ascii="宋体" w:hAnsi="宋体" w:cs="仿宋"/>
          <w:szCs w:val="21"/>
        </w:rPr>
      </w:pPr>
      <w:r>
        <w:rPr>
          <w:rFonts w:hint="eastAsia" w:ascii="宋体" w:hAnsi="宋体" w:cs="仿宋"/>
          <w:szCs w:val="21"/>
        </w:rPr>
        <w:t>二、不为项目有关人员及部门报销应由你方单位或个人支付的费用</w:t>
      </w:r>
      <w:r>
        <w:rPr>
          <w:rFonts w:hint="eastAsia" w:ascii="宋体" w:hAnsi="宋体" w:cs="仿宋"/>
          <w:szCs w:val="21"/>
          <w:lang w:eastAsia="zh-CN"/>
        </w:rPr>
        <w:t>；</w:t>
      </w:r>
    </w:p>
    <w:p w14:paraId="218A5FA4">
      <w:pPr>
        <w:spacing w:line="360" w:lineRule="auto"/>
        <w:ind w:firstLine="420" w:firstLineChars="200"/>
        <w:rPr>
          <w:rFonts w:ascii="宋体" w:hAnsi="宋体" w:cs="仿宋"/>
          <w:szCs w:val="21"/>
        </w:rPr>
      </w:pPr>
      <w:r>
        <w:rPr>
          <w:rFonts w:hint="eastAsia" w:ascii="宋体" w:hAnsi="宋体" w:cs="仿宋"/>
          <w:szCs w:val="21"/>
        </w:rPr>
        <w:t>三、不向项目有关人员及部门提供有可能影响公正的宴请和健身娱乐等活动</w:t>
      </w:r>
      <w:r>
        <w:rPr>
          <w:rFonts w:hint="eastAsia" w:ascii="宋体" w:hAnsi="宋体" w:cs="仿宋"/>
          <w:szCs w:val="21"/>
          <w:lang w:eastAsia="zh-CN"/>
        </w:rPr>
        <w:t>；</w:t>
      </w:r>
    </w:p>
    <w:p w14:paraId="0295FA43">
      <w:pPr>
        <w:spacing w:line="360" w:lineRule="auto"/>
        <w:ind w:firstLine="420" w:firstLineChars="200"/>
        <w:rPr>
          <w:rFonts w:ascii="宋体" w:hAnsi="宋体" w:cs="仿宋"/>
          <w:szCs w:val="21"/>
        </w:rPr>
      </w:pPr>
      <w:r>
        <w:rPr>
          <w:rFonts w:hint="eastAsia" w:ascii="宋体" w:hAnsi="宋体" w:cs="仿宋"/>
          <w:szCs w:val="21"/>
        </w:rPr>
        <w:t>四、不为项目有关人员及部门出国</w:t>
      </w:r>
      <w:r>
        <w:rPr>
          <w:rFonts w:hint="eastAsia" w:ascii="宋体" w:hAnsi="宋体" w:cs="仿宋"/>
          <w:szCs w:val="21"/>
          <w:lang w:eastAsia="zh-CN"/>
        </w:rPr>
        <w:t>（</w:t>
      </w:r>
      <w:r>
        <w:rPr>
          <w:rFonts w:hint="eastAsia" w:ascii="宋体" w:hAnsi="宋体" w:cs="仿宋"/>
          <w:szCs w:val="21"/>
        </w:rPr>
        <w:t>境</w:t>
      </w:r>
      <w:r>
        <w:rPr>
          <w:rFonts w:hint="eastAsia" w:ascii="宋体" w:hAnsi="宋体" w:cs="仿宋"/>
          <w:szCs w:val="21"/>
          <w:lang w:eastAsia="zh-CN"/>
        </w:rPr>
        <w:t>）</w:t>
      </w:r>
      <w:r>
        <w:rPr>
          <w:rFonts w:hint="eastAsia" w:ascii="宋体" w:hAnsi="宋体" w:cs="仿宋"/>
          <w:szCs w:val="21"/>
        </w:rPr>
        <w:t>、旅游等提供方便；</w:t>
      </w:r>
    </w:p>
    <w:p w14:paraId="0EDBC43A">
      <w:pPr>
        <w:spacing w:line="360" w:lineRule="auto"/>
        <w:ind w:firstLine="420" w:firstLineChars="200"/>
        <w:rPr>
          <w:rFonts w:ascii="宋体" w:hAnsi="宋体" w:cs="仿宋"/>
          <w:szCs w:val="21"/>
        </w:rPr>
      </w:pPr>
      <w:r>
        <w:rPr>
          <w:rFonts w:hint="eastAsia" w:ascii="宋体" w:hAnsi="宋体" w:cs="仿宋"/>
          <w:szCs w:val="21"/>
        </w:rPr>
        <w:t>五、不为项目有关人员个人装修住房、婚丧嫁娶、配偶子女工作安排等提供好处</w:t>
      </w:r>
      <w:r>
        <w:rPr>
          <w:rFonts w:hint="eastAsia" w:ascii="宋体" w:hAnsi="宋体" w:cs="仿宋"/>
          <w:szCs w:val="21"/>
          <w:lang w:eastAsia="zh-CN"/>
        </w:rPr>
        <w:t>；</w:t>
      </w:r>
    </w:p>
    <w:p w14:paraId="36BF10CD">
      <w:pPr>
        <w:spacing w:line="360" w:lineRule="auto"/>
        <w:ind w:firstLine="420" w:firstLineChars="200"/>
        <w:rPr>
          <w:rFonts w:ascii="宋体" w:hAnsi="宋体" w:cs="仿宋"/>
          <w:szCs w:val="21"/>
        </w:rPr>
      </w:pPr>
      <w:r>
        <w:rPr>
          <w:rFonts w:hint="eastAsia" w:ascii="宋体" w:hAnsi="宋体" w:cs="仿宋"/>
          <w:szCs w:val="21"/>
        </w:rPr>
        <w:t>六、严格遵守政府采购法、民法典等法律，诚实守信，合法经营，坚决抵制各种违法违纪行为。</w:t>
      </w:r>
    </w:p>
    <w:p w14:paraId="571CB345">
      <w:pPr>
        <w:spacing w:line="360" w:lineRule="auto"/>
        <w:ind w:firstLine="420" w:firstLineChars="200"/>
        <w:rPr>
          <w:rFonts w:ascii="宋体" w:hAnsi="宋体" w:cs="仿宋"/>
          <w:szCs w:val="21"/>
        </w:rPr>
      </w:pPr>
      <w:r>
        <w:rPr>
          <w:rFonts w:hint="eastAsia" w:ascii="宋体" w:hAnsi="宋体" w:cs="仿宋"/>
          <w:szCs w:val="21"/>
        </w:rPr>
        <w:t>如违反上述承诺，你单位有权立即取消我单位投标、中标资格，有权拒绝我单位在一定时期内进入你单位进行项目建设或其他经营活动，并通报政府采购监管部门，由此引起的相应损失均由我单位承担。</w:t>
      </w:r>
    </w:p>
    <w:p w14:paraId="0540F81B">
      <w:pPr>
        <w:rPr>
          <w:rFonts w:ascii="宋体" w:hAnsi="宋体"/>
          <w:szCs w:val="21"/>
        </w:rPr>
      </w:pPr>
    </w:p>
    <w:p w14:paraId="7CF62DF0">
      <w:pPr>
        <w:rPr>
          <w:rFonts w:ascii="宋体" w:hAnsi="宋体" w:cs="仿宋"/>
          <w:szCs w:val="21"/>
        </w:rPr>
      </w:pPr>
    </w:p>
    <w:p w14:paraId="00E86C04">
      <w:pPr>
        <w:snapToGrid w:val="0"/>
        <w:spacing w:before="50" w:line="312" w:lineRule="auto"/>
        <w:jc w:val="left"/>
        <w:rPr>
          <w:rFonts w:ascii="宋体" w:hAnsi="宋体"/>
          <w:b/>
          <w:spacing w:val="20"/>
          <w:sz w:val="28"/>
        </w:rPr>
      </w:pPr>
      <w:r>
        <w:rPr>
          <w:rFonts w:hint="eastAsia" w:ascii="宋体" w:hAnsi="宋体"/>
        </w:rPr>
        <w:t>投标人名称（盖章）：                      日期：</w:t>
      </w:r>
    </w:p>
    <w:p w14:paraId="663A0C05">
      <w:pPr>
        <w:pStyle w:val="12"/>
        <w:snapToGrid w:val="0"/>
        <w:spacing w:before="156"/>
        <w:rPr>
          <w:rFonts w:hAnsi="宋体" w:eastAsia="宋体"/>
          <w:b/>
          <w:spacing w:val="20"/>
          <w:sz w:val="28"/>
        </w:rPr>
      </w:pPr>
    </w:p>
    <w:p w14:paraId="5CDDAA36">
      <w:pPr>
        <w:pStyle w:val="12"/>
        <w:snapToGrid w:val="0"/>
        <w:spacing w:before="156"/>
        <w:rPr>
          <w:rFonts w:hAnsi="宋体" w:eastAsia="宋体"/>
          <w:b/>
          <w:spacing w:val="20"/>
          <w:sz w:val="28"/>
        </w:rPr>
      </w:pPr>
    </w:p>
    <w:p w14:paraId="3DEA722B">
      <w:pPr>
        <w:pStyle w:val="12"/>
        <w:snapToGrid w:val="0"/>
        <w:spacing w:before="120"/>
        <w:rPr>
          <w:rFonts w:asciiTheme="minorEastAsia" w:hAnsiTheme="minorEastAsia" w:eastAsiaTheme="minorEastAsia"/>
          <w:b/>
          <w:sz w:val="28"/>
        </w:rPr>
      </w:pPr>
    </w:p>
    <w:p w14:paraId="628E3411">
      <w:pPr>
        <w:pStyle w:val="12"/>
        <w:snapToGrid w:val="0"/>
        <w:spacing w:before="120"/>
        <w:rPr>
          <w:rFonts w:asciiTheme="minorEastAsia" w:hAnsiTheme="minorEastAsia" w:eastAsiaTheme="minorEastAsia"/>
          <w:b/>
          <w:sz w:val="28"/>
        </w:rPr>
      </w:pPr>
    </w:p>
    <w:p w14:paraId="2E113EB6">
      <w:pPr>
        <w:pStyle w:val="12"/>
        <w:snapToGrid w:val="0"/>
        <w:spacing w:before="120"/>
        <w:rPr>
          <w:rFonts w:asciiTheme="minorEastAsia" w:hAnsiTheme="minorEastAsia" w:eastAsiaTheme="minorEastAsia"/>
          <w:b/>
          <w:sz w:val="28"/>
        </w:rPr>
      </w:pPr>
    </w:p>
    <w:p w14:paraId="63834C65">
      <w:pPr>
        <w:pStyle w:val="12"/>
        <w:snapToGrid w:val="0"/>
        <w:spacing w:before="120"/>
        <w:rPr>
          <w:rFonts w:asciiTheme="minorEastAsia" w:hAnsiTheme="minorEastAsia" w:eastAsiaTheme="minorEastAsia"/>
          <w:b/>
          <w:sz w:val="28"/>
        </w:rPr>
      </w:pPr>
    </w:p>
    <w:p w14:paraId="406BF8BA">
      <w:pPr>
        <w:pStyle w:val="12"/>
        <w:snapToGrid w:val="0"/>
        <w:spacing w:before="120"/>
        <w:rPr>
          <w:rFonts w:asciiTheme="minorEastAsia" w:hAnsiTheme="minorEastAsia" w:eastAsiaTheme="minorEastAsia"/>
          <w:b/>
          <w:sz w:val="28"/>
        </w:rPr>
      </w:pPr>
    </w:p>
    <w:p w14:paraId="60E25175">
      <w:pPr>
        <w:pStyle w:val="12"/>
        <w:snapToGrid w:val="0"/>
        <w:spacing w:before="120"/>
        <w:rPr>
          <w:rFonts w:asciiTheme="minorEastAsia" w:hAnsiTheme="minorEastAsia" w:eastAsiaTheme="minorEastAsia"/>
          <w:b/>
          <w:sz w:val="28"/>
        </w:rPr>
      </w:pPr>
    </w:p>
    <w:p w14:paraId="51AC02FE">
      <w:pPr>
        <w:pStyle w:val="12"/>
        <w:snapToGrid w:val="0"/>
        <w:spacing w:before="120"/>
        <w:rPr>
          <w:rFonts w:asciiTheme="minorEastAsia" w:hAnsiTheme="minorEastAsia" w:eastAsiaTheme="minorEastAsia"/>
          <w:b/>
          <w:sz w:val="28"/>
        </w:rPr>
      </w:pPr>
    </w:p>
    <w:p w14:paraId="27512B74">
      <w:pPr>
        <w:pStyle w:val="12"/>
        <w:snapToGrid w:val="0"/>
        <w:spacing w:before="120"/>
        <w:rPr>
          <w:rFonts w:asciiTheme="minorEastAsia" w:hAnsiTheme="minorEastAsia" w:eastAsiaTheme="minorEastAsia"/>
          <w:b/>
          <w:sz w:val="28"/>
        </w:rPr>
      </w:pPr>
    </w:p>
    <w:p w14:paraId="68CFD22D">
      <w:pPr>
        <w:pStyle w:val="12"/>
        <w:snapToGrid w:val="0"/>
        <w:spacing w:before="120"/>
        <w:rPr>
          <w:rFonts w:asciiTheme="minorEastAsia" w:hAnsiTheme="minorEastAsia" w:eastAsiaTheme="minorEastAsia"/>
          <w:b/>
          <w:sz w:val="28"/>
        </w:rPr>
      </w:pPr>
    </w:p>
    <w:p w14:paraId="08F3A352">
      <w:pPr>
        <w:pStyle w:val="12"/>
        <w:snapToGrid w:val="0"/>
        <w:spacing w:before="120"/>
        <w:rPr>
          <w:rFonts w:asciiTheme="minorEastAsia" w:hAnsiTheme="minorEastAsia" w:eastAsiaTheme="minorEastAsia"/>
          <w:b/>
          <w:sz w:val="28"/>
        </w:rPr>
      </w:pPr>
    </w:p>
    <w:p w14:paraId="2F114651">
      <w:pPr>
        <w:snapToGrid w:val="0"/>
        <w:spacing w:line="360" w:lineRule="auto"/>
        <w:ind w:right="-341"/>
        <w:rPr>
          <w:rFonts w:hint="eastAsia" w:ascii="Times New Roman" w:hAnsi="Times New Roman" w:eastAsia="宋体" w:cs="Times New Roman"/>
          <w:b/>
          <w:color w:val="auto"/>
          <w:sz w:val="28"/>
          <w:szCs w:val="28"/>
          <w:lang w:val="en-US" w:eastAsia="zh-CN"/>
        </w:rPr>
      </w:pPr>
    </w:p>
    <w:p w14:paraId="1DABDE51">
      <w:pPr>
        <w:snapToGrid w:val="0"/>
        <w:spacing w:line="360" w:lineRule="auto"/>
        <w:ind w:right="-341"/>
        <w:jc w:val="center"/>
        <w:rPr>
          <w:rFonts w:ascii="宋体" w:hAnsi="宋体" w:cs="宋体"/>
          <w:b/>
          <w:kern w:val="0"/>
          <w:sz w:val="28"/>
          <w:szCs w:val="28"/>
        </w:rPr>
      </w:pPr>
      <w:r>
        <w:rPr>
          <w:rFonts w:hint="eastAsia" w:ascii="Times New Roman" w:hAnsi="Times New Roman"/>
          <w:b/>
          <w:sz w:val="28"/>
          <w:szCs w:val="28"/>
          <w:lang w:val="en-US" w:eastAsia="zh-CN"/>
        </w:rPr>
        <w:t>七</w:t>
      </w:r>
      <w:r>
        <w:rPr>
          <w:rFonts w:hint="eastAsia" w:ascii="Times New Roman" w:hAnsi="Times New Roman"/>
          <w:b/>
          <w:sz w:val="28"/>
          <w:szCs w:val="28"/>
        </w:rPr>
        <w:t>、</w:t>
      </w:r>
      <w:r>
        <w:rPr>
          <w:rFonts w:hint="eastAsia" w:ascii="宋体" w:hAnsi="宋体" w:cs="宋体"/>
          <w:b/>
          <w:kern w:val="0"/>
          <w:sz w:val="28"/>
          <w:szCs w:val="28"/>
        </w:rPr>
        <w:t>中小企业声明函（工程、服务）</w:t>
      </w:r>
    </w:p>
    <w:p w14:paraId="775BF381">
      <w:pPr>
        <w:snapToGrid w:val="0"/>
        <w:spacing w:line="360" w:lineRule="auto"/>
        <w:ind w:right="-341"/>
        <w:rPr>
          <w:rFonts w:ascii="宋体" w:hAnsi="宋体" w:cs="宋体"/>
          <w:kern w:val="0"/>
          <w:szCs w:val="21"/>
        </w:rPr>
      </w:pPr>
    </w:p>
    <w:p w14:paraId="028541D5">
      <w:pPr>
        <w:snapToGrid w:val="0"/>
        <w:spacing w:line="360" w:lineRule="auto"/>
        <w:ind w:right="-341"/>
        <w:rPr>
          <w:rFonts w:ascii="宋体" w:hAnsi="宋体" w:cs="宋体"/>
          <w:kern w:val="0"/>
          <w:szCs w:val="21"/>
        </w:rPr>
      </w:pPr>
    </w:p>
    <w:p w14:paraId="09049C65">
      <w:pPr>
        <w:snapToGrid w:val="0"/>
        <w:spacing w:line="360" w:lineRule="auto"/>
        <w:ind w:right="-341" w:firstLine="420" w:firstLineChars="200"/>
        <w:rPr>
          <w:rFonts w:ascii="宋体" w:hAnsi="宋体" w:cs="宋体"/>
          <w:kern w:val="0"/>
          <w:szCs w:val="21"/>
        </w:rPr>
      </w:pPr>
      <w:r>
        <w:rPr>
          <w:rFonts w:hint="eastAsia" w:ascii="宋体" w:hAnsi="宋体" w:cs="宋体"/>
          <w:kern w:val="0"/>
          <w:szCs w:val="21"/>
        </w:rPr>
        <w:t>本公司（联合体）郑重声明，根据《政府采购促进中小企业发展管理办法》（财库﹝2020﹞46号）的规定，本公司（联合体）参加（单位名称）的（项目名称）采购活动，服务全部由符合政策要求的中小企业承接。相关企业（含联合体中的中小企业、签订分包意向协议的中小企业）的具体情况如下：</w:t>
      </w:r>
    </w:p>
    <w:p w14:paraId="419230CD">
      <w:pPr>
        <w:snapToGrid w:val="0"/>
        <w:spacing w:line="360" w:lineRule="auto"/>
        <w:ind w:right="-341" w:firstLine="420" w:firstLineChars="200"/>
        <w:rPr>
          <w:rFonts w:ascii="宋体" w:hAnsi="宋体" w:cs="宋体"/>
          <w:kern w:val="0"/>
          <w:szCs w:val="21"/>
        </w:rPr>
      </w:pPr>
      <w:r>
        <w:rPr>
          <w:rFonts w:hint="eastAsia" w:ascii="宋体" w:hAnsi="宋体" w:cs="宋体"/>
          <w:kern w:val="0"/>
          <w:szCs w:val="21"/>
        </w:rPr>
        <w:t>1.（标的名称），属于（采购文件中明确的所属行业）；承建（承接）企业为（企业名称），从业人员人，营业收入为万元，资产总额为万元，属于（中型企业、小型企业、微型企业）；</w:t>
      </w:r>
    </w:p>
    <w:p w14:paraId="56A6C280">
      <w:pPr>
        <w:snapToGrid w:val="0"/>
        <w:spacing w:line="360" w:lineRule="auto"/>
        <w:ind w:right="-341" w:firstLine="420" w:firstLineChars="200"/>
        <w:rPr>
          <w:rFonts w:ascii="宋体" w:hAnsi="宋体" w:cs="宋体"/>
          <w:kern w:val="0"/>
          <w:szCs w:val="21"/>
        </w:rPr>
      </w:pPr>
      <w:r>
        <w:rPr>
          <w:rFonts w:hint="eastAsia" w:ascii="宋体" w:hAnsi="宋体" w:cs="宋体"/>
          <w:kern w:val="0"/>
          <w:szCs w:val="21"/>
        </w:rPr>
        <w:t>2.（标的名称），属于（采购文件中明确的所属行业）；承建（承接）企业为（企业名称），从业人员人，营业收入为万元，资产总额为万元，属于（中型企业、小型企业、微型企业）；</w:t>
      </w:r>
    </w:p>
    <w:p w14:paraId="68BEC319">
      <w:pPr>
        <w:snapToGrid w:val="0"/>
        <w:spacing w:line="360" w:lineRule="auto"/>
        <w:ind w:right="-341"/>
        <w:rPr>
          <w:rFonts w:ascii="宋体" w:hAnsi="宋体" w:cs="宋体"/>
          <w:kern w:val="0"/>
          <w:szCs w:val="21"/>
        </w:rPr>
      </w:pPr>
      <w:r>
        <w:rPr>
          <w:rFonts w:hint="eastAsia" w:ascii="宋体" w:hAnsi="宋体" w:cs="宋体"/>
          <w:kern w:val="0"/>
          <w:szCs w:val="21"/>
        </w:rPr>
        <w:t>……</w:t>
      </w:r>
    </w:p>
    <w:p w14:paraId="700993D5">
      <w:pPr>
        <w:snapToGrid w:val="0"/>
        <w:spacing w:line="360" w:lineRule="auto"/>
        <w:ind w:right="-341" w:firstLine="420" w:firstLineChars="200"/>
        <w:rPr>
          <w:rFonts w:ascii="宋体" w:hAnsi="宋体" w:cs="宋体"/>
          <w:kern w:val="0"/>
          <w:szCs w:val="21"/>
        </w:rPr>
      </w:pPr>
      <w:r>
        <w:rPr>
          <w:rFonts w:hint="eastAsia" w:ascii="宋体" w:hAnsi="宋体" w:cs="宋体"/>
          <w:kern w:val="0"/>
          <w:szCs w:val="21"/>
        </w:rPr>
        <w:t>以上企业，不属于大企业的分支机构，不存在控股股东为大企业的情形，也不存在与大企业的负责人为同一人的情形。</w:t>
      </w:r>
    </w:p>
    <w:p w14:paraId="34F4C295">
      <w:pPr>
        <w:snapToGrid w:val="0"/>
        <w:spacing w:line="360" w:lineRule="auto"/>
        <w:ind w:right="-341" w:firstLine="420" w:firstLineChars="200"/>
        <w:rPr>
          <w:rFonts w:ascii="宋体" w:hAnsi="宋体" w:cs="宋体"/>
          <w:kern w:val="0"/>
          <w:szCs w:val="21"/>
        </w:rPr>
      </w:pPr>
      <w:r>
        <w:rPr>
          <w:rFonts w:hint="eastAsia" w:ascii="宋体" w:hAnsi="宋体" w:cs="宋体"/>
          <w:kern w:val="0"/>
          <w:szCs w:val="21"/>
        </w:rPr>
        <w:t>本企业对上述声明内容的真实性负责。如有虚假，将依法承担相应责任。</w:t>
      </w:r>
    </w:p>
    <w:p w14:paraId="215E802D">
      <w:pPr>
        <w:snapToGrid w:val="0"/>
        <w:spacing w:line="360" w:lineRule="auto"/>
        <w:ind w:right="-341"/>
        <w:rPr>
          <w:rFonts w:ascii="宋体" w:hAnsi="宋体" w:cs="宋体"/>
          <w:kern w:val="0"/>
          <w:szCs w:val="21"/>
        </w:rPr>
      </w:pPr>
    </w:p>
    <w:p w14:paraId="00B7CBF4">
      <w:pPr>
        <w:snapToGrid w:val="0"/>
        <w:spacing w:line="360" w:lineRule="auto"/>
        <w:ind w:right="-341"/>
        <w:rPr>
          <w:rFonts w:ascii="宋体" w:hAnsi="宋体" w:cs="宋体"/>
          <w:kern w:val="0"/>
          <w:szCs w:val="21"/>
        </w:rPr>
      </w:pPr>
      <w:r>
        <w:rPr>
          <w:rFonts w:hint="eastAsia" w:ascii="宋体" w:hAnsi="宋体" w:cs="宋体"/>
          <w:kern w:val="0"/>
          <w:szCs w:val="21"/>
        </w:rPr>
        <w:t>企业名称（盖章）：</w:t>
      </w:r>
    </w:p>
    <w:p w14:paraId="0525DE8E">
      <w:pPr>
        <w:snapToGrid w:val="0"/>
        <w:spacing w:line="360" w:lineRule="auto"/>
        <w:ind w:right="-341"/>
        <w:jc w:val="left"/>
        <w:rPr>
          <w:rFonts w:ascii="宋体" w:hAnsi="宋体" w:cs="宋体"/>
          <w:kern w:val="0"/>
          <w:szCs w:val="21"/>
        </w:rPr>
      </w:pPr>
    </w:p>
    <w:p w14:paraId="3B50C741">
      <w:pPr>
        <w:spacing w:line="360" w:lineRule="auto"/>
        <w:ind w:firstLine="630" w:firstLineChars="300"/>
        <w:rPr>
          <w:rFonts w:ascii="宋体" w:hAnsi="宋体" w:cs="宋体"/>
          <w:kern w:val="0"/>
          <w:szCs w:val="21"/>
        </w:rPr>
      </w:pPr>
      <w:r>
        <w:rPr>
          <w:rFonts w:hint="eastAsia" w:ascii="宋体" w:hAnsi="宋体" w:cs="宋体"/>
          <w:kern w:val="0"/>
          <w:szCs w:val="21"/>
        </w:rPr>
        <w:t>日期：</w:t>
      </w:r>
    </w:p>
    <w:p w14:paraId="04C94116">
      <w:pPr>
        <w:pStyle w:val="2"/>
        <w:rPr>
          <w:rFonts w:ascii="宋体" w:hAnsi="宋体" w:cs="宋体"/>
          <w:kern w:val="0"/>
          <w:szCs w:val="21"/>
        </w:rPr>
      </w:pPr>
    </w:p>
    <w:p w14:paraId="649BA94C">
      <w:pPr>
        <w:pStyle w:val="2"/>
        <w:rPr>
          <w:rFonts w:ascii="宋体" w:hAnsi="宋体" w:cs="宋体"/>
          <w:kern w:val="0"/>
          <w:szCs w:val="21"/>
        </w:rPr>
      </w:pPr>
    </w:p>
    <w:p w14:paraId="580CEA5D">
      <w:pPr>
        <w:pStyle w:val="28"/>
        <w:ind w:left="0" w:leftChars="0" w:firstLine="0" w:firstLineChars="0"/>
        <w:rPr>
          <w:b/>
          <w:bCs/>
        </w:rPr>
      </w:pPr>
      <w:r>
        <w:rPr>
          <w:b/>
          <w:bCs/>
        </w:rPr>
        <w:t>注</w:t>
      </w:r>
      <w:r>
        <w:rPr>
          <w:rFonts w:hint="eastAsia"/>
          <w:b/>
          <w:bCs/>
          <w:lang w:eastAsia="zh-CN"/>
        </w:rPr>
        <w:t>：</w:t>
      </w:r>
      <w:r>
        <w:rPr>
          <w:b/>
          <w:bCs/>
        </w:rPr>
        <w:t>如出现以下三种相关情形为无效投标</w:t>
      </w:r>
      <w:r>
        <w:rPr>
          <w:rFonts w:hint="eastAsia"/>
          <w:b/>
          <w:bCs/>
          <w:lang w:eastAsia="zh-CN"/>
        </w:rPr>
        <w:t>（</w:t>
      </w:r>
      <w:r>
        <w:rPr>
          <w:b/>
          <w:bCs/>
        </w:rPr>
        <w:t>响应</w:t>
      </w:r>
      <w:r>
        <w:rPr>
          <w:rFonts w:hint="eastAsia"/>
          <w:b/>
          <w:bCs/>
          <w:lang w:eastAsia="zh-CN"/>
        </w:rPr>
        <w:t>）</w:t>
      </w:r>
      <w:r>
        <w:rPr>
          <w:b/>
          <w:bCs/>
        </w:rPr>
        <w:t>文件</w:t>
      </w:r>
      <w:r>
        <w:rPr>
          <w:rFonts w:hint="eastAsia"/>
          <w:b/>
          <w:bCs/>
          <w:lang w:eastAsia="zh-CN"/>
        </w:rPr>
        <w:t>：</w:t>
      </w:r>
    </w:p>
    <w:p w14:paraId="41DB7DC0">
      <w:pPr>
        <w:pStyle w:val="28"/>
        <w:ind w:left="0" w:leftChars="0" w:firstLine="0" w:firstLineChars="0"/>
        <w:rPr>
          <w:b/>
          <w:bCs/>
        </w:rPr>
      </w:pPr>
      <w:r>
        <w:rPr>
          <w:rFonts w:hint="eastAsia"/>
          <w:b/>
          <w:bCs/>
          <w:lang w:eastAsia="zh-CN"/>
        </w:rPr>
        <w:t>（1）</w:t>
      </w:r>
      <w:r>
        <w:rPr>
          <w:b/>
          <w:bCs/>
        </w:rPr>
        <w:t>《中小企业声明函》填写大型、中型、小型、微型等四种类型时划型错误</w:t>
      </w:r>
      <w:r>
        <w:rPr>
          <w:rFonts w:hint="eastAsia"/>
          <w:b/>
          <w:bCs/>
          <w:lang w:eastAsia="zh-CN"/>
        </w:rPr>
        <w:t>；</w:t>
      </w:r>
    </w:p>
    <w:p w14:paraId="627DC94F">
      <w:pPr>
        <w:pStyle w:val="28"/>
        <w:ind w:left="0" w:leftChars="0" w:firstLine="0" w:firstLineChars="0"/>
        <w:rPr>
          <w:b/>
          <w:bCs/>
        </w:rPr>
      </w:pPr>
      <w:r>
        <w:rPr>
          <w:rFonts w:hint="eastAsia"/>
          <w:b/>
          <w:bCs/>
          <w:lang w:eastAsia="zh-CN"/>
        </w:rPr>
        <w:t>（2）</w:t>
      </w:r>
      <w:r>
        <w:rPr>
          <w:b/>
          <w:bCs/>
        </w:rPr>
        <w:t>《中小企业声明函》填写行业错误或者未填写行业，或者错填为“采购文件确定的行业”等类似瑕疵</w:t>
      </w:r>
      <w:r>
        <w:rPr>
          <w:rFonts w:hint="eastAsia"/>
          <w:b/>
          <w:bCs/>
          <w:lang w:eastAsia="zh-CN"/>
        </w:rPr>
        <w:t>；</w:t>
      </w:r>
    </w:p>
    <w:p w14:paraId="5ABE0746">
      <w:pPr>
        <w:pStyle w:val="28"/>
        <w:ind w:left="0" w:leftChars="0" w:firstLine="0" w:firstLineChars="0"/>
        <w:rPr>
          <w:b/>
          <w:bCs/>
        </w:rPr>
      </w:pPr>
      <w:r>
        <w:rPr>
          <w:rFonts w:hint="eastAsia"/>
          <w:b/>
          <w:bCs/>
          <w:lang w:eastAsia="zh-CN"/>
        </w:rPr>
        <w:t>（3）</w:t>
      </w:r>
      <w:r>
        <w:rPr>
          <w:b/>
          <w:bCs/>
        </w:rPr>
        <w:t>《中小企业声明函》中的制造厂商使用他人授权品牌或者授权他人实际生产。</w:t>
      </w:r>
    </w:p>
    <w:p w14:paraId="235DCB5B">
      <w:pPr>
        <w:pStyle w:val="2"/>
        <w:rPr>
          <w:rFonts w:ascii="宋体" w:hAnsi="宋体" w:cs="宋体"/>
          <w:b/>
          <w:bCs/>
          <w:kern w:val="0"/>
          <w:szCs w:val="21"/>
        </w:rPr>
        <w:sectPr>
          <w:pgSz w:w="11906" w:h="16838"/>
          <w:pgMar w:top="1304" w:right="1531" w:bottom="1304" w:left="1531" w:header="567" w:footer="1304" w:gutter="0"/>
          <w:cols w:space="720" w:num="1"/>
          <w:docGrid w:linePitch="286" w:charSpace="0"/>
        </w:sectPr>
      </w:pPr>
    </w:p>
    <w:p w14:paraId="0114D1F7">
      <w:pPr>
        <w:snapToGrid w:val="0"/>
        <w:spacing w:line="360" w:lineRule="auto"/>
        <w:ind w:right="-341"/>
        <w:rPr>
          <w:rFonts w:ascii="Times New Roman" w:hAnsi="Times New Roman"/>
          <w:szCs w:val="22"/>
        </w:rPr>
      </w:pPr>
    </w:p>
    <w:p w14:paraId="5A17CBC5">
      <w:pPr>
        <w:spacing w:after="120"/>
        <w:rPr>
          <w:rFonts w:ascii="Times New Roman" w:hAnsi="Times New Roman"/>
          <w:szCs w:val="22"/>
        </w:rPr>
      </w:pPr>
    </w:p>
    <w:p w14:paraId="65486B97">
      <w:pPr>
        <w:ind w:firstLine="480"/>
        <w:rPr>
          <w:rFonts w:ascii="Times New Roman" w:hAnsi="Times New Roman"/>
          <w:b/>
          <w:bCs/>
          <w:szCs w:val="21"/>
        </w:rPr>
      </w:pPr>
      <w:r>
        <w:rPr>
          <w:rFonts w:hint="eastAsia" w:ascii="Times New Roman" w:hAnsi="Times New Roman"/>
          <w:b/>
          <w:bCs/>
          <w:szCs w:val="21"/>
        </w:rPr>
        <w:t>提供由省级以上监狱管理局、戒毒管理局</w:t>
      </w:r>
      <w:r>
        <w:rPr>
          <w:rFonts w:hint="eastAsia" w:ascii="Times New Roman" w:hAnsi="Times New Roman"/>
          <w:b/>
          <w:bCs/>
          <w:szCs w:val="21"/>
          <w:lang w:eastAsia="zh-CN"/>
        </w:rPr>
        <w:t>（</w:t>
      </w:r>
      <w:r>
        <w:rPr>
          <w:rFonts w:hint="eastAsia" w:ascii="Times New Roman" w:hAnsi="Times New Roman"/>
          <w:b/>
          <w:bCs/>
          <w:szCs w:val="21"/>
        </w:rPr>
        <w:t>含新疆生产建设兵团</w:t>
      </w:r>
      <w:r>
        <w:rPr>
          <w:rFonts w:hint="eastAsia" w:ascii="Times New Roman" w:hAnsi="Times New Roman"/>
          <w:b/>
          <w:bCs/>
          <w:szCs w:val="21"/>
          <w:lang w:eastAsia="zh-CN"/>
        </w:rPr>
        <w:t>）</w:t>
      </w:r>
      <w:r>
        <w:rPr>
          <w:rFonts w:hint="eastAsia" w:ascii="Times New Roman" w:hAnsi="Times New Roman"/>
          <w:b/>
          <w:bCs/>
          <w:szCs w:val="21"/>
        </w:rPr>
        <w:t>出具的属于监狱企业的证明文件。（如有）</w:t>
      </w:r>
    </w:p>
    <w:p w14:paraId="1FAF461C">
      <w:pPr>
        <w:spacing w:line="360" w:lineRule="auto"/>
        <w:ind w:firstLine="480"/>
        <w:rPr>
          <w:rFonts w:ascii="Times New Roman" w:hAnsi="Times New Roman"/>
          <w:szCs w:val="21"/>
        </w:rPr>
      </w:pPr>
    </w:p>
    <w:p w14:paraId="09550D65">
      <w:pPr>
        <w:spacing w:line="360" w:lineRule="auto"/>
        <w:ind w:firstLine="480"/>
        <w:rPr>
          <w:rFonts w:ascii="Times New Roman" w:hAnsi="Times New Roman"/>
          <w:szCs w:val="21"/>
        </w:rPr>
      </w:pPr>
    </w:p>
    <w:p w14:paraId="3D86FA52">
      <w:pPr>
        <w:spacing w:line="360" w:lineRule="auto"/>
        <w:ind w:firstLine="480"/>
        <w:rPr>
          <w:rFonts w:ascii="Times New Roman" w:hAnsi="Times New Roman"/>
          <w:szCs w:val="21"/>
        </w:rPr>
      </w:pPr>
    </w:p>
    <w:p w14:paraId="240403EE">
      <w:pPr>
        <w:spacing w:line="360" w:lineRule="auto"/>
        <w:ind w:firstLine="480"/>
        <w:rPr>
          <w:rFonts w:ascii="Times New Roman" w:hAnsi="Times New Roman"/>
          <w:szCs w:val="21"/>
        </w:rPr>
      </w:pPr>
    </w:p>
    <w:p w14:paraId="2EA8C148">
      <w:pPr>
        <w:spacing w:line="360" w:lineRule="auto"/>
        <w:ind w:firstLine="480"/>
        <w:rPr>
          <w:rFonts w:ascii="Times New Roman" w:hAnsi="Times New Roman"/>
          <w:szCs w:val="21"/>
        </w:rPr>
      </w:pPr>
    </w:p>
    <w:p w14:paraId="12ADB32C">
      <w:pPr>
        <w:spacing w:line="360" w:lineRule="auto"/>
        <w:ind w:firstLine="480"/>
        <w:rPr>
          <w:rFonts w:ascii="Times New Roman" w:hAnsi="Times New Roman"/>
          <w:szCs w:val="21"/>
        </w:rPr>
      </w:pPr>
    </w:p>
    <w:p w14:paraId="6237B268">
      <w:pPr>
        <w:spacing w:line="360" w:lineRule="auto"/>
        <w:ind w:firstLine="480"/>
        <w:rPr>
          <w:rFonts w:ascii="Times New Roman" w:hAnsi="Times New Roman"/>
          <w:szCs w:val="21"/>
        </w:rPr>
      </w:pPr>
    </w:p>
    <w:p w14:paraId="560350D1">
      <w:pPr>
        <w:spacing w:line="360" w:lineRule="auto"/>
        <w:ind w:firstLine="480"/>
        <w:rPr>
          <w:rFonts w:ascii="Times New Roman" w:hAnsi="Times New Roman"/>
          <w:szCs w:val="21"/>
        </w:rPr>
      </w:pPr>
    </w:p>
    <w:p w14:paraId="3EC75036">
      <w:pPr>
        <w:spacing w:line="360" w:lineRule="auto"/>
        <w:ind w:firstLine="480"/>
        <w:rPr>
          <w:rFonts w:ascii="Times New Roman" w:hAnsi="Times New Roman"/>
          <w:szCs w:val="21"/>
        </w:rPr>
      </w:pPr>
    </w:p>
    <w:p w14:paraId="739B3DB5">
      <w:pPr>
        <w:spacing w:line="360" w:lineRule="auto"/>
        <w:ind w:firstLine="480"/>
        <w:rPr>
          <w:rFonts w:ascii="Times New Roman" w:hAnsi="Times New Roman"/>
          <w:szCs w:val="21"/>
        </w:rPr>
      </w:pPr>
    </w:p>
    <w:p w14:paraId="49D0314E">
      <w:pPr>
        <w:spacing w:line="360" w:lineRule="auto"/>
        <w:ind w:firstLine="480"/>
        <w:rPr>
          <w:rFonts w:ascii="Times New Roman" w:hAnsi="Times New Roman"/>
          <w:szCs w:val="21"/>
        </w:rPr>
      </w:pPr>
    </w:p>
    <w:p w14:paraId="32D95410">
      <w:pPr>
        <w:spacing w:line="360" w:lineRule="auto"/>
        <w:ind w:firstLine="105" w:firstLineChars="50"/>
        <w:rPr>
          <w:rFonts w:ascii="Times New Roman" w:hAnsi="Times New Roman"/>
          <w:szCs w:val="21"/>
        </w:rPr>
      </w:pPr>
    </w:p>
    <w:p w14:paraId="0DE40E16">
      <w:pPr>
        <w:spacing w:line="360" w:lineRule="auto"/>
        <w:rPr>
          <w:rFonts w:ascii="Times New Roman" w:hAnsi="Times New Roman"/>
          <w:b/>
          <w:sz w:val="24"/>
        </w:rPr>
      </w:pPr>
    </w:p>
    <w:p w14:paraId="0BF27525">
      <w:pPr>
        <w:spacing w:line="360" w:lineRule="auto"/>
        <w:jc w:val="center"/>
        <w:rPr>
          <w:rFonts w:ascii="Times New Roman" w:hAnsi="Times New Roman"/>
          <w:b/>
          <w:sz w:val="24"/>
        </w:rPr>
      </w:pPr>
    </w:p>
    <w:p w14:paraId="7D659368">
      <w:pPr>
        <w:spacing w:line="360" w:lineRule="auto"/>
        <w:jc w:val="center"/>
        <w:rPr>
          <w:rFonts w:ascii="Times New Roman" w:hAnsi="Times New Roman"/>
          <w:b/>
          <w:sz w:val="24"/>
        </w:rPr>
      </w:pPr>
    </w:p>
    <w:p w14:paraId="0C8B6734">
      <w:pPr>
        <w:spacing w:line="360" w:lineRule="auto"/>
        <w:jc w:val="center"/>
        <w:rPr>
          <w:rFonts w:ascii="Times New Roman" w:hAnsi="Times New Roman"/>
          <w:b/>
          <w:sz w:val="24"/>
        </w:rPr>
      </w:pPr>
    </w:p>
    <w:p w14:paraId="46BB08D2">
      <w:pPr>
        <w:spacing w:line="360" w:lineRule="auto"/>
        <w:jc w:val="center"/>
        <w:rPr>
          <w:rFonts w:ascii="Times New Roman" w:hAnsi="Times New Roman"/>
          <w:b/>
          <w:sz w:val="24"/>
        </w:rPr>
      </w:pPr>
    </w:p>
    <w:p w14:paraId="6916F653">
      <w:pPr>
        <w:spacing w:line="360" w:lineRule="auto"/>
        <w:jc w:val="center"/>
        <w:rPr>
          <w:rFonts w:ascii="Times New Roman" w:hAnsi="Times New Roman"/>
          <w:b/>
          <w:sz w:val="24"/>
        </w:rPr>
      </w:pPr>
    </w:p>
    <w:p w14:paraId="6FE08BE5">
      <w:pPr>
        <w:spacing w:line="360" w:lineRule="auto"/>
        <w:jc w:val="center"/>
        <w:rPr>
          <w:rFonts w:ascii="Times New Roman" w:hAnsi="Times New Roman"/>
          <w:b/>
          <w:sz w:val="24"/>
        </w:rPr>
      </w:pPr>
    </w:p>
    <w:p w14:paraId="22C2B656">
      <w:pPr>
        <w:spacing w:line="360" w:lineRule="auto"/>
        <w:jc w:val="center"/>
        <w:rPr>
          <w:rFonts w:ascii="Times New Roman" w:hAnsi="Times New Roman"/>
          <w:b/>
          <w:sz w:val="24"/>
        </w:rPr>
      </w:pPr>
    </w:p>
    <w:p w14:paraId="28CF717C">
      <w:pPr>
        <w:spacing w:line="360" w:lineRule="auto"/>
        <w:jc w:val="center"/>
        <w:rPr>
          <w:rFonts w:ascii="Times New Roman" w:hAnsi="Times New Roman"/>
          <w:b/>
          <w:sz w:val="24"/>
        </w:rPr>
      </w:pPr>
    </w:p>
    <w:p w14:paraId="64C0A658">
      <w:pPr>
        <w:spacing w:line="360" w:lineRule="auto"/>
        <w:jc w:val="center"/>
        <w:rPr>
          <w:rFonts w:ascii="Times New Roman" w:hAnsi="Times New Roman"/>
          <w:b/>
          <w:sz w:val="24"/>
        </w:rPr>
      </w:pPr>
    </w:p>
    <w:p w14:paraId="50579B31">
      <w:pPr>
        <w:spacing w:line="360" w:lineRule="auto"/>
        <w:jc w:val="center"/>
        <w:rPr>
          <w:rFonts w:ascii="Times New Roman" w:hAnsi="Times New Roman"/>
          <w:b/>
          <w:sz w:val="24"/>
        </w:rPr>
      </w:pPr>
    </w:p>
    <w:p w14:paraId="6CCA9AE8">
      <w:pPr>
        <w:spacing w:line="360" w:lineRule="auto"/>
        <w:jc w:val="center"/>
        <w:rPr>
          <w:rFonts w:ascii="Times New Roman" w:hAnsi="Times New Roman"/>
          <w:b/>
          <w:sz w:val="24"/>
        </w:rPr>
      </w:pPr>
    </w:p>
    <w:p w14:paraId="050B6D99">
      <w:pPr>
        <w:spacing w:line="360" w:lineRule="auto"/>
        <w:jc w:val="center"/>
        <w:rPr>
          <w:rFonts w:ascii="Times New Roman" w:hAnsi="Times New Roman"/>
          <w:b/>
          <w:sz w:val="24"/>
        </w:rPr>
      </w:pPr>
    </w:p>
    <w:p w14:paraId="10547FC9">
      <w:pPr>
        <w:spacing w:line="360" w:lineRule="auto"/>
        <w:jc w:val="center"/>
        <w:rPr>
          <w:rFonts w:ascii="Times New Roman" w:hAnsi="Times New Roman"/>
          <w:b/>
          <w:sz w:val="24"/>
        </w:rPr>
      </w:pPr>
    </w:p>
    <w:p w14:paraId="6CCC996B">
      <w:pPr>
        <w:spacing w:line="360" w:lineRule="auto"/>
        <w:jc w:val="center"/>
        <w:rPr>
          <w:rFonts w:ascii="Times New Roman" w:hAnsi="Times New Roman"/>
          <w:b/>
          <w:sz w:val="24"/>
        </w:rPr>
      </w:pPr>
    </w:p>
    <w:p w14:paraId="10299BB0">
      <w:pPr>
        <w:spacing w:line="360" w:lineRule="auto"/>
        <w:jc w:val="center"/>
        <w:rPr>
          <w:rFonts w:ascii="Times New Roman" w:hAnsi="Times New Roman"/>
          <w:b/>
          <w:sz w:val="24"/>
        </w:rPr>
      </w:pPr>
    </w:p>
    <w:p w14:paraId="578AEDB2">
      <w:pPr>
        <w:spacing w:line="360" w:lineRule="auto"/>
        <w:jc w:val="center"/>
        <w:rPr>
          <w:rFonts w:ascii="Times New Roman" w:hAnsi="Times New Roman"/>
          <w:b/>
          <w:sz w:val="24"/>
        </w:rPr>
      </w:pPr>
    </w:p>
    <w:p w14:paraId="012C0861">
      <w:pPr>
        <w:spacing w:line="360" w:lineRule="auto"/>
        <w:jc w:val="center"/>
        <w:rPr>
          <w:rFonts w:ascii="Times New Roman" w:hAnsi="Times New Roman"/>
          <w:b/>
          <w:sz w:val="24"/>
        </w:rPr>
      </w:pPr>
    </w:p>
    <w:p w14:paraId="226A20EF">
      <w:pPr>
        <w:spacing w:line="360" w:lineRule="auto"/>
        <w:jc w:val="center"/>
        <w:rPr>
          <w:rFonts w:ascii="Times New Roman" w:hAnsi="Times New Roman"/>
          <w:b/>
          <w:sz w:val="24"/>
        </w:rPr>
      </w:pPr>
    </w:p>
    <w:p w14:paraId="72770465">
      <w:pPr>
        <w:spacing w:line="360" w:lineRule="auto"/>
        <w:jc w:val="center"/>
        <w:rPr>
          <w:rFonts w:ascii="Times New Roman" w:hAnsi="Times New Roman"/>
          <w:b/>
          <w:sz w:val="24"/>
        </w:rPr>
      </w:pPr>
    </w:p>
    <w:p w14:paraId="3428C139">
      <w:pPr>
        <w:spacing w:line="360" w:lineRule="auto"/>
        <w:jc w:val="center"/>
        <w:rPr>
          <w:rFonts w:ascii="Times New Roman" w:hAnsi="Times New Roman"/>
          <w:b/>
          <w:sz w:val="24"/>
        </w:rPr>
      </w:pPr>
      <w:r>
        <w:rPr>
          <w:rFonts w:hint="eastAsia" w:ascii="Times New Roman" w:hAnsi="Times New Roman"/>
          <w:b/>
          <w:sz w:val="24"/>
        </w:rPr>
        <w:t>残疾人福利性单位声明函</w:t>
      </w:r>
    </w:p>
    <w:p w14:paraId="54AAD951">
      <w:pPr>
        <w:spacing w:line="360" w:lineRule="auto"/>
        <w:ind w:firstLine="2835" w:firstLineChars="1350"/>
        <w:rPr>
          <w:rFonts w:ascii="Times New Roman" w:hAnsi="Times New Roman"/>
          <w:szCs w:val="21"/>
        </w:rPr>
      </w:pPr>
      <w:r>
        <w:rPr>
          <w:rFonts w:hint="eastAsia" w:ascii="Times New Roman" w:hAnsi="Times New Roman"/>
          <w:szCs w:val="21"/>
        </w:rPr>
        <w:t>【非残疾人福利性单位不用提供】</w:t>
      </w:r>
    </w:p>
    <w:p w14:paraId="456B755D">
      <w:pPr>
        <w:spacing w:line="360" w:lineRule="auto"/>
        <w:rPr>
          <w:rFonts w:ascii="Times New Roman" w:hAnsi="Times New Roman"/>
          <w:szCs w:val="21"/>
        </w:rPr>
      </w:pPr>
    </w:p>
    <w:p w14:paraId="5CE1F5FE">
      <w:pPr>
        <w:spacing w:line="360" w:lineRule="auto"/>
        <w:ind w:firstLine="420" w:firstLineChars="200"/>
        <w:rPr>
          <w:rFonts w:ascii="Times New Roman" w:hAnsi="Times New Roman"/>
          <w:szCs w:val="21"/>
        </w:rPr>
      </w:pPr>
      <w:r>
        <w:rPr>
          <w:rFonts w:hint="eastAsia" w:ascii="Times New Roman" w:hAnsi="Times New Roman"/>
          <w:szCs w:val="21"/>
        </w:rPr>
        <w:t>本单位郑重声明，根据《财政部民政部中国残疾人联合会关于促进残疾人就业政府采购政策的通知》（财库〔</w:t>
      </w:r>
      <w:r>
        <w:rPr>
          <w:rFonts w:ascii="Times New Roman" w:hAnsi="Times New Roman"/>
          <w:szCs w:val="21"/>
        </w:rPr>
        <w:t>2017</w:t>
      </w:r>
      <w:r>
        <w:rPr>
          <w:rFonts w:hint="eastAsia" w:ascii="Times New Roman" w:hAnsi="Times New Roman"/>
          <w:szCs w:val="21"/>
        </w:rPr>
        <w:t>〕</w:t>
      </w:r>
      <w:r>
        <w:rPr>
          <w:rFonts w:ascii="Times New Roman" w:hAnsi="Times New Roman"/>
          <w:szCs w:val="21"/>
        </w:rPr>
        <w:t>141</w:t>
      </w:r>
      <w:r>
        <w:rPr>
          <w:rFonts w:hint="eastAsia" w:ascii="Times New Roman" w:hAnsi="Times New Roman"/>
          <w:szCs w:val="21"/>
        </w:rPr>
        <w:t>号）的规定，本单位为符合条件的残疾人福利性单位，且本单位参加（采购人名称）单位的（项目名称）项目采购活动提供本单位制造的货物（由本单位承担工程</w:t>
      </w:r>
      <w:r>
        <w:rPr>
          <w:rFonts w:ascii="Times New Roman" w:hAnsi="Times New Roman"/>
          <w:szCs w:val="21"/>
        </w:rPr>
        <w:t>/</w:t>
      </w:r>
      <w:r>
        <w:rPr>
          <w:rFonts w:hint="eastAsia" w:ascii="Times New Roman" w:hAnsi="Times New Roman"/>
          <w:szCs w:val="21"/>
        </w:rPr>
        <w:t>提供服务），或者提供其他残疾人福利性单位制造的货物（不包括使用非残疾人福利性单位注册商标的货物）。</w:t>
      </w:r>
    </w:p>
    <w:p w14:paraId="1CC98112">
      <w:pPr>
        <w:spacing w:line="360" w:lineRule="auto"/>
        <w:ind w:firstLine="420" w:firstLineChars="200"/>
        <w:rPr>
          <w:rFonts w:ascii="Times New Roman" w:hAnsi="Times New Roman"/>
          <w:szCs w:val="21"/>
        </w:rPr>
      </w:pPr>
      <w:r>
        <w:rPr>
          <w:rFonts w:hint="eastAsia" w:ascii="Times New Roman" w:hAnsi="Times New Roman"/>
          <w:szCs w:val="21"/>
        </w:rPr>
        <w:t>本单位对上述声明的真实性负责。如有虚假，将依法承担相应责任。</w:t>
      </w:r>
    </w:p>
    <w:p w14:paraId="50257373">
      <w:pPr>
        <w:spacing w:line="360" w:lineRule="auto"/>
        <w:rPr>
          <w:rFonts w:ascii="Times New Roman" w:hAnsi="Times New Roman"/>
          <w:szCs w:val="21"/>
        </w:rPr>
      </w:pPr>
    </w:p>
    <w:p w14:paraId="28D5CD5E">
      <w:pPr>
        <w:spacing w:line="360" w:lineRule="auto"/>
        <w:rPr>
          <w:rFonts w:ascii="Times New Roman" w:hAnsi="Times New Roman"/>
          <w:szCs w:val="21"/>
        </w:rPr>
      </w:pPr>
    </w:p>
    <w:p w14:paraId="30A8FD14">
      <w:pPr>
        <w:spacing w:line="360" w:lineRule="auto"/>
        <w:rPr>
          <w:rFonts w:ascii="Times New Roman" w:hAnsi="Times New Roman"/>
          <w:szCs w:val="21"/>
        </w:rPr>
      </w:pPr>
      <w:r>
        <w:rPr>
          <w:rFonts w:hint="eastAsia" w:ascii="Times New Roman" w:hAnsi="Times New Roman"/>
          <w:szCs w:val="21"/>
        </w:rPr>
        <w:t>投标人名称（盖章）：</w:t>
      </w:r>
    </w:p>
    <w:p w14:paraId="6EAFA79C">
      <w:pPr>
        <w:spacing w:line="360" w:lineRule="auto"/>
        <w:rPr>
          <w:rFonts w:ascii="Times New Roman" w:hAnsi="Times New Roman"/>
          <w:szCs w:val="21"/>
        </w:rPr>
      </w:pPr>
      <w:r>
        <w:rPr>
          <w:rFonts w:hint="eastAsia" w:ascii="Times New Roman" w:hAnsi="Times New Roman"/>
          <w:szCs w:val="21"/>
        </w:rPr>
        <w:t>日期：年月日</w:t>
      </w:r>
    </w:p>
    <w:p w14:paraId="71929D09">
      <w:pPr>
        <w:spacing w:line="360" w:lineRule="auto"/>
        <w:ind w:firstLine="480"/>
        <w:rPr>
          <w:rFonts w:ascii="Times New Roman" w:hAnsi="Times New Roman"/>
          <w:szCs w:val="21"/>
        </w:rPr>
      </w:pPr>
      <w:r>
        <w:rPr>
          <w:rFonts w:hint="eastAsia" w:ascii="Times New Roman" w:hAnsi="Times New Roman"/>
          <w:szCs w:val="21"/>
        </w:rPr>
        <w:t>说明：投标人为残疾人福利性</w:t>
      </w:r>
      <w:r>
        <w:rPr>
          <w:rFonts w:hint="eastAsia" w:ascii="Times New Roman" w:hAnsi="Times New Roman"/>
          <w:szCs w:val="21"/>
          <w:lang w:eastAsia="zh-CN"/>
        </w:rPr>
        <w:t>单位</w:t>
      </w:r>
      <w:r>
        <w:rPr>
          <w:rFonts w:hint="eastAsia" w:ascii="Times New Roman" w:hAnsi="Times New Roman"/>
          <w:szCs w:val="21"/>
        </w:rPr>
        <w:t>提供此函。</w:t>
      </w:r>
    </w:p>
    <w:p w14:paraId="660DC7AA">
      <w:pPr>
        <w:snapToGrid w:val="0"/>
        <w:spacing w:line="360" w:lineRule="auto"/>
        <w:ind w:right="-341"/>
        <w:rPr>
          <w:rFonts w:ascii="Times New Roman" w:hAnsi="Times New Roman"/>
          <w:szCs w:val="22"/>
        </w:rPr>
      </w:pPr>
    </w:p>
    <w:p w14:paraId="0A7FBE73">
      <w:pPr>
        <w:snapToGrid w:val="0"/>
        <w:spacing w:line="360" w:lineRule="auto"/>
        <w:ind w:right="-341"/>
        <w:rPr>
          <w:rFonts w:ascii="Times New Roman" w:hAnsi="Times New Roman"/>
          <w:szCs w:val="22"/>
        </w:rPr>
      </w:pPr>
    </w:p>
    <w:p w14:paraId="4B3C020C">
      <w:pPr>
        <w:snapToGrid w:val="0"/>
        <w:spacing w:before="120" w:line="312" w:lineRule="auto"/>
        <w:ind w:right="-341"/>
        <w:jc w:val="center"/>
        <w:rPr>
          <w:rFonts w:ascii="Times New Roman" w:hAnsi="Times New Roman"/>
          <w:szCs w:val="22"/>
        </w:rPr>
      </w:pPr>
    </w:p>
    <w:p w14:paraId="71A5A529">
      <w:pPr>
        <w:snapToGrid w:val="0"/>
        <w:spacing w:line="360" w:lineRule="auto"/>
        <w:ind w:right="-341"/>
        <w:rPr>
          <w:rFonts w:ascii="Times New Roman" w:hAnsi="Times New Roman"/>
          <w:szCs w:val="22"/>
        </w:rPr>
      </w:pPr>
    </w:p>
    <w:p w14:paraId="5B5CB819">
      <w:pPr>
        <w:snapToGrid w:val="0"/>
        <w:spacing w:line="312" w:lineRule="auto"/>
        <w:ind w:right="-341"/>
        <w:rPr>
          <w:rFonts w:ascii="Times New Roman" w:hAnsi="Times New Roman"/>
          <w:b/>
          <w:szCs w:val="22"/>
        </w:rPr>
      </w:pPr>
    </w:p>
    <w:p w14:paraId="2EB1AF5F">
      <w:pPr>
        <w:snapToGrid w:val="0"/>
        <w:spacing w:line="312" w:lineRule="auto"/>
        <w:ind w:right="-341"/>
        <w:rPr>
          <w:rFonts w:ascii="Times New Roman" w:hAnsi="Times New Roman"/>
          <w:b/>
          <w:szCs w:val="22"/>
        </w:rPr>
      </w:pPr>
    </w:p>
    <w:p w14:paraId="4933B2C2">
      <w:pPr>
        <w:snapToGrid w:val="0"/>
        <w:spacing w:line="312" w:lineRule="auto"/>
        <w:ind w:right="-341"/>
        <w:rPr>
          <w:rFonts w:ascii="Times New Roman" w:hAnsi="Times New Roman"/>
          <w:b/>
          <w:szCs w:val="22"/>
        </w:rPr>
      </w:pPr>
    </w:p>
    <w:p w14:paraId="01628C9B">
      <w:pPr>
        <w:snapToGrid w:val="0"/>
        <w:spacing w:line="312" w:lineRule="auto"/>
        <w:ind w:right="-341"/>
        <w:rPr>
          <w:rFonts w:ascii="Times New Roman" w:hAnsi="Times New Roman"/>
          <w:b/>
          <w:szCs w:val="22"/>
        </w:rPr>
      </w:pPr>
    </w:p>
    <w:p w14:paraId="29D0F64E">
      <w:pPr>
        <w:snapToGrid w:val="0"/>
        <w:spacing w:line="312" w:lineRule="auto"/>
        <w:ind w:right="-341"/>
        <w:rPr>
          <w:rFonts w:ascii="Times New Roman" w:hAnsi="Times New Roman"/>
          <w:b/>
          <w:szCs w:val="22"/>
        </w:rPr>
      </w:pPr>
    </w:p>
    <w:p w14:paraId="3CAE08B0">
      <w:pPr>
        <w:snapToGrid w:val="0"/>
        <w:spacing w:line="312" w:lineRule="auto"/>
        <w:ind w:right="-341"/>
        <w:rPr>
          <w:rFonts w:ascii="Times New Roman" w:hAnsi="Times New Roman"/>
          <w:b/>
          <w:szCs w:val="22"/>
        </w:rPr>
      </w:pPr>
    </w:p>
    <w:p w14:paraId="7AF729D0">
      <w:pPr>
        <w:snapToGrid w:val="0"/>
        <w:spacing w:line="312" w:lineRule="auto"/>
        <w:ind w:right="-341"/>
        <w:rPr>
          <w:rFonts w:ascii="Times New Roman" w:hAnsi="Times New Roman"/>
          <w:b/>
          <w:szCs w:val="22"/>
        </w:rPr>
      </w:pPr>
    </w:p>
    <w:p w14:paraId="43534FDD">
      <w:pPr>
        <w:snapToGrid w:val="0"/>
        <w:spacing w:before="120" w:line="312" w:lineRule="auto"/>
        <w:ind w:right="-341"/>
        <w:rPr>
          <w:rFonts w:ascii="Times New Roman" w:hAnsi="Times New Roman"/>
          <w:b/>
          <w:sz w:val="32"/>
          <w:szCs w:val="22"/>
        </w:rPr>
      </w:pPr>
    </w:p>
    <w:p w14:paraId="5D35C823">
      <w:pPr>
        <w:rPr>
          <w:rFonts w:ascii="Times New Roman" w:hAnsi="Times New Roman"/>
          <w:sz w:val="18"/>
        </w:rPr>
      </w:pPr>
    </w:p>
    <w:p w14:paraId="6AF4AC1B">
      <w:pPr>
        <w:spacing w:after="120"/>
        <w:rPr>
          <w:rFonts w:ascii="Times New Roman" w:hAnsi="Times New Roman"/>
          <w:szCs w:val="22"/>
        </w:rPr>
      </w:pPr>
    </w:p>
    <w:p w14:paraId="0DCB7815">
      <w:pPr>
        <w:snapToGrid w:val="0"/>
        <w:spacing w:before="50" w:line="312" w:lineRule="auto"/>
        <w:rPr>
          <w:rFonts w:ascii="Times New Roman" w:hAnsi="Times New Roman"/>
          <w:b/>
          <w:sz w:val="24"/>
          <w:szCs w:val="22"/>
        </w:rPr>
      </w:pPr>
    </w:p>
    <w:p w14:paraId="5424A85C">
      <w:pPr>
        <w:snapToGrid w:val="0"/>
        <w:spacing w:before="50" w:line="312" w:lineRule="auto"/>
        <w:jc w:val="center"/>
        <w:rPr>
          <w:rFonts w:ascii="Times New Roman" w:hAnsi="Times New Roman"/>
          <w:b/>
          <w:sz w:val="24"/>
          <w:szCs w:val="22"/>
        </w:rPr>
      </w:pPr>
    </w:p>
    <w:p w14:paraId="39468AE0">
      <w:pPr>
        <w:snapToGrid w:val="0"/>
        <w:spacing w:before="50" w:line="312" w:lineRule="auto"/>
        <w:jc w:val="center"/>
        <w:rPr>
          <w:rFonts w:ascii="Times New Roman" w:hAnsi="Times New Roman"/>
          <w:b/>
          <w:sz w:val="24"/>
          <w:szCs w:val="22"/>
        </w:rPr>
      </w:pPr>
    </w:p>
    <w:p w14:paraId="29550EF8">
      <w:pPr>
        <w:snapToGrid w:val="0"/>
        <w:spacing w:before="50" w:line="312" w:lineRule="auto"/>
        <w:jc w:val="center"/>
        <w:rPr>
          <w:rFonts w:ascii="Times New Roman" w:hAnsi="Times New Roman"/>
          <w:b/>
          <w:sz w:val="24"/>
          <w:szCs w:val="22"/>
        </w:rPr>
      </w:pPr>
    </w:p>
    <w:p w14:paraId="75892242">
      <w:pPr>
        <w:snapToGrid w:val="0"/>
        <w:spacing w:before="50" w:line="312" w:lineRule="auto"/>
        <w:jc w:val="center"/>
        <w:rPr>
          <w:rFonts w:ascii="Times New Roman" w:hAnsi="Times New Roman"/>
          <w:b/>
          <w:sz w:val="24"/>
          <w:szCs w:val="22"/>
        </w:rPr>
      </w:pPr>
    </w:p>
    <w:p w14:paraId="3644CCA7">
      <w:pPr>
        <w:snapToGrid w:val="0"/>
        <w:spacing w:before="50" w:line="312" w:lineRule="auto"/>
        <w:jc w:val="center"/>
        <w:rPr>
          <w:rFonts w:ascii="Times New Roman" w:hAnsi="Times New Roman"/>
          <w:b/>
          <w:sz w:val="24"/>
          <w:szCs w:val="22"/>
        </w:rPr>
      </w:pPr>
    </w:p>
    <w:p w14:paraId="0B19BA82">
      <w:pPr>
        <w:snapToGrid w:val="0"/>
        <w:spacing w:before="120" w:line="312" w:lineRule="auto"/>
        <w:ind w:right="-341"/>
        <w:rPr>
          <w:rFonts w:ascii="Times New Roman" w:hAnsi="Times New Roman"/>
          <w:b/>
          <w:sz w:val="28"/>
          <w:szCs w:val="28"/>
        </w:rPr>
      </w:pPr>
    </w:p>
    <w:p w14:paraId="3E01CCA1">
      <w:pPr>
        <w:pStyle w:val="12"/>
        <w:snapToGrid w:val="0"/>
        <w:spacing w:before="120"/>
        <w:rPr>
          <w:rFonts w:asciiTheme="minorEastAsia" w:hAnsiTheme="minorEastAsia" w:eastAsiaTheme="minorEastAsia"/>
          <w:b/>
          <w:sz w:val="28"/>
        </w:rPr>
      </w:pPr>
    </w:p>
    <w:p w14:paraId="5377ADA2">
      <w:pPr>
        <w:snapToGrid w:val="0"/>
        <w:spacing w:before="50" w:line="312" w:lineRule="auto"/>
        <w:jc w:val="center"/>
        <w:rPr>
          <w:rFonts w:hint="eastAsia" w:ascii="Times New Roman" w:hAnsi="Times New Roman" w:eastAsia="宋体" w:cs="Times New Roman"/>
          <w:b/>
          <w:color w:val="auto"/>
          <w:sz w:val="24"/>
          <w:lang w:val="en-US" w:eastAsia="zh-CN"/>
        </w:rPr>
      </w:pPr>
      <w:r>
        <w:rPr>
          <w:rFonts w:hint="eastAsia" w:ascii="Times New Roman" w:hAnsi="Times New Roman" w:eastAsia="宋体" w:cs="Times New Roman"/>
          <w:b/>
          <w:sz w:val="24"/>
          <w:lang w:val="en-US" w:eastAsia="zh-CN"/>
        </w:rPr>
        <w:t>八、</w:t>
      </w:r>
      <w:r>
        <w:rPr>
          <w:rFonts w:hint="eastAsia" w:ascii="Times New Roman" w:hAnsi="Times New Roman" w:eastAsia="宋体" w:cs="Times New Roman"/>
          <w:b/>
          <w:color w:val="auto"/>
          <w:sz w:val="24"/>
          <w:lang w:val="en-US" w:eastAsia="zh-CN"/>
        </w:rPr>
        <w:t>投标函</w:t>
      </w:r>
    </w:p>
    <w:p w14:paraId="3B3DAC14">
      <w:pPr>
        <w:snapToGrid w:val="0"/>
        <w:spacing w:line="312" w:lineRule="auto"/>
        <w:ind w:right="-341"/>
        <w:rPr>
          <w:rFonts w:hint="eastAsia" w:ascii="Times New Roman" w:hAnsi="Times New Roman" w:eastAsia="宋体" w:cs="Times New Roman"/>
          <w:color w:val="auto"/>
        </w:rPr>
      </w:pPr>
    </w:p>
    <w:p w14:paraId="3DD75D22">
      <w:pPr>
        <w:snapToGrid w:val="0"/>
        <w:spacing w:line="312" w:lineRule="auto"/>
        <w:ind w:right="-341"/>
        <w:rPr>
          <w:rFonts w:hint="eastAsia" w:ascii="Times New Roman" w:hAnsi="Times New Roman" w:eastAsia="宋体" w:cs="Times New Roman"/>
          <w:color w:val="auto"/>
        </w:rPr>
      </w:pPr>
    </w:p>
    <w:p w14:paraId="058AD1DF">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致：</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lang w:val="en-US" w:eastAsia="zh-CN"/>
        </w:rPr>
        <w:t>（采购人）、</w:t>
      </w:r>
      <w:r>
        <w:rPr>
          <w:rFonts w:ascii="Times New Roman" w:hAnsi="Times New Roman" w:eastAsia="宋体" w:cs="Times New Roman"/>
          <w:color w:val="auto"/>
        </w:rPr>
        <w:t>_</w:t>
      </w:r>
      <w:r>
        <w:rPr>
          <w:rFonts w:hint="eastAsia" w:ascii="Times New Roman" w:hAnsi="Times New Roman" w:eastAsia="宋体" w:cs="Times New Roman"/>
          <w:color w:val="auto"/>
          <w:u w:val="single"/>
        </w:rPr>
        <w:t>深圳市国信招标有限公司</w:t>
      </w:r>
      <w:r>
        <w:rPr>
          <w:rFonts w:ascii="Times New Roman" w:hAnsi="Times New Roman" w:eastAsia="宋体" w:cs="Times New Roman"/>
          <w:color w:val="auto"/>
        </w:rPr>
        <w:t>_</w:t>
      </w:r>
      <w:r>
        <w:rPr>
          <w:rFonts w:hint="eastAsia" w:ascii="Times New Roman" w:hAnsi="Times New Roman" w:eastAsia="宋体" w:cs="Times New Roman"/>
          <w:color w:val="auto"/>
        </w:rPr>
        <w:t>：</w:t>
      </w:r>
    </w:p>
    <w:p w14:paraId="2A2754F6">
      <w:pPr>
        <w:snapToGrid w:val="0"/>
        <w:spacing w:line="312" w:lineRule="auto"/>
        <w:ind w:right="-341" w:firstLine="480"/>
        <w:rPr>
          <w:rFonts w:hint="eastAsia" w:ascii="Times New Roman" w:hAnsi="Times New Roman" w:eastAsia="宋体" w:cs="Times New Roman"/>
          <w:color w:val="auto"/>
          <w:spacing w:val="-4"/>
          <w:kern w:val="0"/>
          <w:szCs w:val="21"/>
        </w:rPr>
      </w:pPr>
      <w:r>
        <w:rPr>
          <w:rFonts w:hint="eastAsia" w:ascii="Times New Roman" w:hAnsi="Times New Roman" w:eastAsia="宋体" w:cs="Times New Roman"/>
          <w:color w:val="auto"/>
        </w:rPr>
        <w:t>根据贵方为</w:t>
      </w:r>
      <w:r>
        <w:rPr>
          <w:rFonts w:hint="eastAsia" w:ascii="Times New Roman" w:hAnsi="Times New Roman" w:eastAsia="宋体" w:cs="Times New Roman"/>
          <w:color w:val="auto"/>
          <w:u w:val="single"/>
          <w:lang w:val="en-US" w:eastAsia="zh-CN"/>
        </w:rPr>
        <w:t xml:space="preserve">               </w:t>
      </w:r>
      <w:r>
        <w:rPr>
          <w:rFonts w:hint="eastAsia" w:ascii="Times New Roman" w:hAnsi="Times New Roman" w:eastAsia="宋体" w:cs="Times New Roman"/>
          <w:color w:val="auto"/>
        </w:rPr>
        <w:t>项目的招标公告（项目编号：</w:t>
      </w:r>
      <w:r>
        <w:rPr>
          <w:rFonts w:ascii="Times New Roman" w:hAnsi="Times New Roman" w:eastAsia="宋体" w:cs="Times New Roman"/>
          <w:color w:val="auto"/>
        </w:rPr>
        <w:t>____</w:t>
      </w:r>
      <w:r>
        <w:rPr>
          <w:rFonts w:hint="eastAsia" w:ascii="Times New Roman" w:hAnsi="Times New Roman" w:eastAsia="宋体" w:cs="Times New Roman"/>
          <w:color w:val="auto"/>
        </w:rPr>
        <w:t>），</w:t>
      </w:r>
      <w:r>
        <w:rPr>
          <w:rFonts w:hint="eastAsia" w:ascii="Times New Roman" w:hAnsi="Times New Roman" w:eastAsia="宋体" w:cs="Times New Roman"/>
          <w:color w:val="auto"/>
          <w:spacing w:val="-4"/>
          <w:kern w:val="0"/>
          <w:szCs w:val="21"/>
        </w:rPr>
        <w:t>同意如下：</w:t>
      </w:r>
    </w:p>
    <w:p w14:paraId="4EAA6A86">
      <w:pPr>
        <w:numPr>
          <w:ilvl w:val="0"/>
          <w:numId w:val="9"/>
        </w:numPr>
        <w:snapToGrid w:val="0"/>
        <w:spacing w:line="312" w:lineRule="auto"/>
        <w:ind w:right="-341" w:firstLine="480"/>
        <w:rPr>
          <w:rFonts w:hint="eastAsia" w:ascii="Times New Roman" w:hAnsi="Times New Roman" w:eastAsia="宋体" w:cs="Times New Roman"/>
          <w:color w:val="auto"/>
          <w:spacing w:val="-4"/>
          <w:kern w:val="0"/>
          <w:szCs w:val="21"/>
        </w:rPr>
      </w:pPr>
      <w:r>
        <w:rPr>
          <w:rFonts w:hint="eastAsia" w:ascii="Times New Roman" w:hAnsi="Times New Roman" w:eastAsia="宋体" w:cs="Times New Roman"/>
          <w:color w:val="auto"/>
          <w:spacing w:val="-4"/>
          <w:kern w:val="0"/>
          <w:szCs w:val="21"/>
        </w:rPr>
        <w:t>我方已详细审查了采购文件的全部内容及其相关补充文件</w:t>
      </w:r>
      <w:r>
        <w:rPr>
          <w:rFonts w:hint="eastAsia" w:ascii="Times New Roman" w:hAnsi="Times New Roman" w:eastAsia="宋体" w:cs="Times New Roman"/>
          <w:b/>
          <w:color w:val="auto"/>
          <w:spacing w:val="-4"/>
          <w:kern w:val="0"/>
          <w:szCs w:val="21"/>
        </w:rPr>
        <w:t>（如有）</w:t>
      </w:r>
      <w:r>
        <w:rPr>
          <w:rFonts w:hint="eastAsia" w:ascii="Times New Roman" w:hAnsi="Times New Roman" w:eastAsia="宋体" w:cs="Times New Roman"/>
          <w:color w:val="auto"/>
          <w:spacing w:val="-4"/>
          <w:kern w:val="0"/>
          <w:szCs w:val="21"/>
        </w:rPr>
        <w:t>，并完全清</w:t>
      </w:r>
      <w:r>
        <w:rPr>
          <w:rFonts w:hint="eastAsia" w:ascii="Times New Roman" w:hAnsi="Times New Roman" w:eastAsia="宋体" w:cs="Times New Roman"/>
          <w:color w:val="auto"/>
          <w:spacing w:val="-4"/>
          <w:kern w:val="0"/>
          <w:szCs w:val="21"/>
          <w:lang w:eastAsia="zh-CN"/>
        </w:rPr>
        <w:t>晰地</w:t>
      </w:r>
      <w:r>
        <w:rPr>
          <w:rFonts w:hint="eastAsia" w:ascii="Times New Roman" w:hAnsi="Times New Roman" w:eastAsia="宋体" w:cs="Times New Roman"/>
          <w:color w:val="auto"/>
          <w:spacing w:val="-4"/>
          <w:kern w:val="0"/>
          <w:szCs w:val="21"/>
        </w:rPr>
        <w:t>理解全部内容及相关的补充文件</w:t>
      </w:r>
      <w:r>
        <w:rPr>
          <w:rFonts w:hint="eastAsia" w:ascii="Times New Roman" w:hAnsi="Times New Roman" w:eastAsia="宋体" w:cs="Times New Roman"/>
          <w:b/>
          <w:color w:val="auto"/>
          <w:spacing w:val="-4"/>
          <w:kern w:val="0"/>
          <w:szCs w:val="21"/>
        </w:rPr>
        <w:t>（如有）</w:t>
      </w:r>
      <w:r>
        <w:rPr>
          <w:rFonts w:hint="eastAsia" w:ascii="Times New Roman" w:hAnsi="Times New Roman" w:eastAsia="宋体" w:cs="Times New Roman"/>
          <w:color w:val="auto"/>
          <w:spacing w:val="-4"/>
          <w:kern w:val="0"/>
          <w:szCs w:val="21"/>
        </w:rPr>
        <w:t>，不存在任何误解之处，同意放弃提出异议和质疑的权利。</w:t>
      </w:r>
    </w:p>
    <w:p w14:paraId="52A714FD">
      <w:pPr>
        <w:numPr>
          <w:ilvl w:val="0"/>
          <w:numId w:val="9"/>
        </w:numPr>
        <w:snapToGrid w:val="0"/>
        <w:spacing w:line="312" w:lineRule="auto"/>
        <w:ind w:right="-341" w:firstLine="480"/>
        <w:rPr>
          <w:rFonts w:ascii="Times New Roman" w:hAnsi="Times New Roman" w:eastAsia="宋体" w:cs="Times New Roman"/>
          <w:color w:val="auto"/>
          <w:spacing w:val="-4"/>
          <w:szCs w:val="21"/>
        </w:rPr>
      </w:pPr>
      <w:r>
        <w:rPr>
          <w:rFonts w:hint="eastAsia" w:ascii="Times New Roman" w:hAnsi="Times New Roman" w:eastAsia="宋体" w:cs="Times New Roman"/>
          <w:color w:val="auto"/>
          <w:spacing w:val="-4"/>
          <w:szCs w:val="21"/>
        </w:rPr>
        <w:t>我方遵守《中华人民共和国政府采购法》及相关法律法规的规定。同意采购文件中所提到的无效标条款，并服从有关会议纪律。否则，同意被废除投标资格。</w:t>
      </w:r>
    </w:p>
    <w:p w14:paraId="5FB033EB">
      <w:pPr>
        <w:numPr>
          <w:ilvl w:val="0"/>
          <w:numId w:val="9"/>
        </w:numPr>
        <w:snapToGrid w:val="0"/>
        <w:spacing w:line="312" w:lineRule="auto"/>
        <w:ind w:right="-341" w:firstLine="480"/>
        <w:rPr>
          <w:rFonts w:ascii="Times New Roman" w:hAnsi="Times New Roman" w:eastAsia="宋体" w:cs="Times New Roman"/>
          <w:color w:val="auto"/>
          <w:spacing w:val="-4"/>
          <w:szCs w:val="21"/>
        </w:rPr>
      </w:pPr>
      <w:r>
        <w:rPr>
          <w:rFonts w:hint="eastAsia" w:ascii="Times New Roman" w:hAnsi="Times New Roman" w:eastAsia="宋体" w:cs="Times New Roman"/>
          <w:color w:val="auto"/>
          <w:spacing w:val="-4"/>
          <w:szCs w:val="21"/>
        </w:rPr>
        <w:t>我方所提供的一次性投标产品报价均</w:t>
      </w:r>
      <w:r>
        <w:rPr>
          <w:rFonts w:hint="eastAsia" w:ascii="Times New Roman" w:hAnsi="Times New Roman" w:eastAsia="宋体" w:cs="Times New Roman"/>
          <w:color w:val="auto"/>
          <w:spacing w:val="-4"/>
          <w:szCs w:val="21"/>
          <w:lang w:eastAsia="zh-CN"/>
        </w:rPr>
        <w:t>具有</w:t>
      </w:r>
      <w:r>
        <w:rPr>
          <w:rFonts w:hint="eastAsia" w:ascii="Times New Roman" w:hAnsi="Times New Roman" w:eastAsia="宋体" w:cs="Times New Roman"/>
          <w:color w:val="auto"/>
          <w:spacing w:val="-4"/>
          <w:szCs w:val="21"/>
        </w:rPr>
        <w:t>充分的合理性和准确性，保证不存在低于成本的恶意报价行为，同时清</w:t>
      </w:r>
      <w:r>
        <w:rPr>
          <w:rFonts w:hint="eastAsia" w:ascii="Times New Roman" w:hAnsi="Times New Roman" w:eastAsia="宋体" w:cs="Times New Roman"/>
          <w:color w:val="auto"/>
          <w:spacing w:val="-4"/>
          <w:szCs w:val="21"/>
          <w:lang w:eastAsia="zh-CN"/>
        </w:rPr>
        <w:t>楚地</w:t>
      </w:r>
      <w:r>
        <w:rPr>
          <w:rFonts w:hint="eastAsia" w:ascii="Times New Roman" w:hAnsi="Times New Roman" w:eastAsia="宋体" w:cs="Times New Roman"/>
          <w:color w:val="auto"/>
          <w:spacing w:val="-4"/>
          <w:szCs w:val="21"/>
        </w:rPr>
        <w:t>理解到报价最低并非意味着必定获得合同授予资格。</w:t>
      </w:r>
    </w:p>
    <w:p w14:paraId="000FC8FE">
      <w:pPr>
        <w:numPr>
          <w:ilvl w:val="0"/>
          <w:numId w:val="9"/>
        </w:numPr>
        <w:snapToGrid w:val="0"/>
        <w:spacing w:line="312" w:lineRule="auto"/>
        <w:ind w:right="-341" w:firstLine="480"/>
        <w:rPr>
          <w:rFonts w:hint="eastAsia" w:ascii="Times New Roman" w:hAnsi="Times New Roman" w:eastAsia="宋体" w:cs="Times New Roman"/>
          <w:color w:val="auto"/>
          <w:spacing w:val="-4"/>
          <w:szCs w:val="21"/>
        </w:rPr>
      </w:pPr>
      <w:r>
        <w:rPr>
          <w:rFonts w:hint="eastAsia" w:ascii="Times New Roman" w:hAnsi="Times New Roman" w:eastAsia="宋体" w:cs="Times New Roman"/>
          <w:color w:val="auto"/>
          <w:spacing w:val="-4"/>
          <w:szCs w:val="21"/>
        </w:rPr>
        <w:t>投标有效期为自开标之日起</w:t>
      </w:r>
      <w:r>
        <w:rPr>
          <w:rFonts w:ascii="Times New Roman" w:hAnsi="Times New Roman" w:eastAsia="宋体" w:cs="Times New Roman"/>
          <w:color w:val="auto"/>
          <w:spacing w:val="-4"/>
          <w:szCs w:val="21"/>
        </w:rPr>
        <w:t>9</w:t>
      </w:r>
      <w:r>
        <w:rPr>
          <w:rFonts w:ascii="Times New Roman" w:hAnsi="Times New Roman" w:eastAsia="宋体" w:cs="Times New Roman"/>
          <w:color w:val="auto"/>
          <w:spacing w:val="-4"/>
          <w:szCs w:val="21"/>
          <w:u w:val="single"/>
        </w:rPr>
        <w:t>0</w:t>
      </w:r>
      <w:r>
        <w:rPr>
          <w:rFonts w:hint="eastAsia" w:ascii="Times New Roman" w:hAnsi="Times New Roman" w:eastAsia="宋体" w:cs="Times New Roman"/>
          <w:color w:val="auto"/>
          <w:spacing w:val="-4"/>
          <w:szCs w:val="21"/>
        </w:rPr>
        <w:t>天内，如在投标有效期内撤回投标，我方同意被废除投标资格</w:t>
      </w:r>
    </w:p>
    <w:p w14:paraId="7C98C1F7">
      <w:pPr>
        <w:numPr>
          <w:ilvl w:val="0"/>
          <w:numId w:val="9"/>
        </w:numPr>
        <w:snapToGrid w:val="0"/>
        <w:spacing w:line="312" w:lineRule="auto"/>
        <w:ind w:right="-341" w:firstLine="480"/>
        <w:rPr>
          <w:rFonts w:hint="eastAsia" w:ascii="宋体" w:hAnsi="宋体" w:eastAsia="宋体" w:cs="宋体"/>
          <w:color w:val="auto"/>
          <w:sz w:val="21"/>
          <w:szCs w:val="21"/>
        </w:rPr>
      </w:pPr>
      <w:r>
        <w:rPr>
          <w:rFonts w:hint="eastAsia" w:ascii="Times New Roman" w:hAnsi="Times New Roman" w:eastAsia="宋体" w:cs="Times New Roman"/>
          <w:color w:val="auto"/>
          <w:spacing w:val="-4"/>
          <w:szCs w:val="21"/>
        </w:rPr>
        <w:t>我方承诺所提供的一切投标文件经已认真严格审核，内容均为全面真实、准确有效且毫无保留，绝无任何遗漏、虚假、伪造和夸大</w:t>
      </w:r>
      <w:r>
        <w:rPr>
          <w:rFonts w:hint="eastAsia" w:ascii="Times New Roman" w:hAnsi="Times New Roman" w:eastAsia="宋体" w:cs="Times New Roman"/>
          <w:color w:val="auto"/>
          <w:spacing w:val="-4"/>
          <w:szCs w:val="21"/>
          <w:lang w:eastAsia="zh-CN"/>
        </w:rPr>
        <w:t>的成分</w:t>
      </w:r>
      <w:r>
        <w:rPr>
          <w:rFonts w:hint="eastAsia" w:ascii="Times New Roman" w:hAnsi="Times New Roman" w:eastAsia="宋体" w:cs="Times New Roman"/>
          <w:color w:val="auto"/>
          <w:spacing w:val="-4"/>
          <w:szCs w:val="21"/>
        </w:rPr>
        <w:t>，若出现违背诚实信用和无如实告知之处，同意被废除投标资格和相关的处罚。</w:t>
      </w:r>
    </w:p>
    <w:p w14:paraId="722532DB">
      <w:pPr>
        <w:numPr>
          <w:ilvl w:val="0"/>
          <w:numId w:val="9"/>
        </w:numPr>
        <w:snapToGrid w:val="0"/>
        <w:spacing w:line="312" w:lineRule="auto"/>
        <w:ind w:right="-341" w:firstLine="48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如中标，</w:t>
      </w:r>
      <w:r>
        <w:rPr>
          <w:rFonts w:hint="eastAsia" w:ascii="宋体" w:hAnsi="宋体" w:eastAsia="宋体" w:cs="宋体"/>
          <w:color w:val="auto"/>
          <w:sz w:val="21"/>
          <w:szCs w:val="21"/>
        </w:rPr>
        <w:t>我方承诺：</w:t>
      </w:r>
    </w:p>
    <w:p w14:paraId="29D3E62C">
      <w:pPr>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在收到中标通知书后，在中标通知书规定的期限内与</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 xml:space="preserve">签订合同； </w:t>
      </w:r>
    </w:p>
    <w:p w14:paraId="551F60C1">
      <w:pPr>
        <w:spacing w:line="360" w:lineRule="auto"/>
        <w:ind w:firstLine="420" w:firstLineChars="200"/>
        <w:contextualSpacing/>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在签订合同时不向</w:t>
      </w:r>
      <w:r>
        <w:rPr>
          <w:rFonts w:hint="eastAsia" w:ascii="宋体" w:hAnsi="宋体" w:eastAsia="宋体" w:cs="宋体"/>
          <w:color w:val="auto"/>
          <w:sz w:val="21"/>
          <w:szCs w:val="21"/>
          <w:lang w:val="en-US" w:eastAsia="zh-CN"/>
        </w:rPr>
        <w:t>采购人</w:t>
      </w:r>
      <w:r>
        <w:rPr>
          <w:rFonts w:hint="eastAsia" w:ascii="宋体" w:hAnsi="宋体" w:eastAsia="宋体" w:cs="宋体"/>
          <w:color w:val="auto"/>
          <w:sz w:val="21"/>
          <w:szCs w:val="21"/>
        </w:rPr>
        <w:t xml:space="preserve">提出附加条件； </w:t>
      </w:r>
    </w:p>
    <w:p w14:paraId="32F195AC">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（3）本投标文件至本项目合同履行完毕止均保持有效，我方将按“招标文件”及政府采购法律、法规的规定履行合同责任和义务。关于代理服务费，我方承诺按照招标文件的规定履行并承担相应的责任。</w:t>
      </w:r>
    </w:p>
    <w:p w14:paraId="5D948243">
      <w:pPr>
        <w:spacing w:line="360" w:lineRule="auto"/>
        <w:ind w:firstLine="420" w:firstLineChars="200"/>
        <w:contextualSpacing/>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7.我方同意按照贵方要求提供与投标有关的一切数据或资料。</w:t>
      </w:r>
    </w:p>
    <w:p w14:paraId="72CFB750">
      <w:pPr>
        <w:pStyle w:val="3"/>
        <w:ind w:left="0" w:leftChars="0" w:firstLine="420" w:firstLineChars="200"/>
        <w:rPr>
          <w:rFonts w:ascii="Times New Roman" w:hAnsi="Times New Roman" w:eastAsia="宋体" w:cs="Times New Roman"/>
          <w:color w:val="auto"/>
          <w:sz w:val="21"/>
          <w:szCs w:val="21"/>
        </w:rPr>
      </w:pPr>
      <w:r>
        <w:rPr>
          <w:rFonts w:hint="eastAsia" w:ascii="Times New Roman" w:hAnsi="Times New Roman" w:eastAsia="宋体" w:cs="Times New Roman"/>
          <w:color w:val="auto"/>
          <w:sz w:val="21"/>
          <w:szCs w:val="21"/>
          <w:lang w:val="en-US" w:eastAsia="zh-CN"/>
        </w:rPr>
        <w:t>8</w:t>
      </w:r>
      <w:r>
        <w:rPr>
          <w:rFonts w:ascii="Times New Roman" w:hAnsi="Times New Roman" w:eastAsia="宋体" w:cs="Times New Roman"/>
          <w:color w:val="auto"/>
          <w:sz w:val="21"/>
          <w:szCs w:val="21"/>
        </w:rPr>
        <w:t>.</w:t>
      </w:r>
      <w:r>
        <w:rPr>
          <w:rFonts w:hint="eastAsia" w:ascii="Times New Roman" w:hAnsi="Times New Roman" w:eastAsia="宋体" w:cs="Times New Roman"/>
          <w:color w:val="auto"/>
          <w:sz w:val="21"/>
          <w:szCs w:val="21"/>
        </w:rPr>
        <w:t>与</w:t>
      </w:r>
      <w:r>
        <w:rPr>
          <w:rFonts w:hint="eastAsia" w:ascii="Times New Roman" w:hAnsi="Times New Roman" w:eastAsia="宋体" w:cs="Times New Roman"/>
          <w:color w:val="auto"/>
          <w:sz w:val="21"/>
          <w:szCs w:val="21"/>
          <w:lang w:eastAsia="zh-CN"/>
        </w:rPr>
        <w:t>本次</w:t>
      </w:r>
      <w:r>
        <w:rPr>
          <w:rFonts w:hint="eastAsia" w:ascii="Times New Roman" w:hAnsi="Times New Roman" w:eastAsia="宋体" w:cs="Times New Roman"/>
          <w:color w:val="auto"/>
          <w:sz w:val="21"/>
          <w:szCs w:val="21"/>
        </w:rPr>
        <w:t>投标有关的一切正式往来信函请寄：</w:t>
      </w:r>
    </w:p>
    <w:p w14:paraId="7599C7FE">
      <w:pPr>
        <w:snapToGrid w:val="0"/>
        <w:spacing w:line="312" w:lineRule="auto"/>
        <w:ind w:right="-341"/>
        <w:rPr>
          <w:rFonts w:hint="eastAsia" w:ascii="Times New Roman" w:hAnsi="Times New Roman" w:eastAsia="宋体" w:cs="Times New Roman"/>
          <w:color w:val="auto"/>
        </w:rPr>
      </w:pPr>
    </w:p>
    <w:p w14:paraId="2C9AE8EC">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地址：</w:t>
      </w:r>
      <w:r>
        <w:rPr>
          <w:rFonts w:ascii="Times New Roman" w:hAnsi="Times New Roman" w:eastAsia="宋体" w:cs="Times New Roman"/>
          <w:color w:val="auto"/>
        </w:rPr>
        <w:t>__________</w:t>
      </w:r>
      <w:r>
        <w:rPr>
          <w:rFonts w:ascii="Times New Roman" w:hAnsi="Times New Roman" w:eastAsia="宋体" w:cs="Times New Roman"/>
          <w:color w:val="auto"/>
          <w:u w:val="single"/>
        </w:rPr>
        <w:t>_</w:t>
      </w:r>
      <w:r>
        <w:rPr>
          <w:rFonts w:ascii="Times New Roman" w:hAnsi="Times New Roman" w:eastAsia="宋体" w:cs="Times New Roman"/>
          <w:color w:val="auto"/>
        </w:rPr>
        <w:t>____</w:t>
      </w:r>
      <w:r>
        <w:rPr>
          <w:rFonts w:hint="eastAsia" w:ascii="Times New Roman" w:hAnsi="Times New Roman" w:eastAsia="宋体" w:cs="Times New Roman"/>
          <w:color w:val="auto"/>
        </w:rPr>
        <w:t>邮编：</w:t>
      </w:r>
      <w:r>
        <w:rPr>
          <w:rFonts w:ascii="Times New Roman" w:hAnsi="Times New Roman" w:eastAsia="宋体" w:cs="Times New Roman"/>
          <w:color w:val="auto"/>
        </w:rPr>
        <w:t>__________</w:t>
      </w:r>
      <w:r>
        <w:rPr>
          <w:rFonts w:hint="eastAsia" w:ascii="Times New Roman" w:hAnsi="Times New Roman" w:eastAsia="宋体" w:cs="Times New Roman"/>
          <w:color w:val="auto"/>
        </w:rPr>
        <w:t>电话：</w:t>
      </w:r>
      <w:r>
        <w:rPr>
          <w:rFonts w:ascii="Times New Roman" w:hAnsi="Times New Roman" w:eastAsia="宋体" w:cs="Times New Roman"/>
          <w:color w:val="auto"/>
        </w:rPr>
        <w:t>______________</w:t>
      </w:r>
    </w:p>
    <w:p w14:paraId="7C307D11">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传真：</w:t>
      </w:r>
      <w:r>
        <w:rPr>
          <w:rFonts w:ascii="Times New Roman" w:hAnsi="Times New Roman" w:eastAsia="宋体" w:cs="Times New Roman"/>
          <w:color w:val="auto"/>
        </w:rPr>
        <w:t>______________</w:t>
      </w:r>
      <w:r>
        <w:rPr>
          <w:rFonts w:hint="eastAsia" w:ascii="Times New Roman" w:hAnsi="Times New Roman" w:eastAsia="宋体" w:cs="Times New Roman"/>
          <w:color w:val="auto"/>
        </w:rPr>
        <w:t>投标人代表姓名</w:t>
      </w:r>
      <w:r>
        <w:rPr>
          <w:rFonts w:ascii="Times New Roman" w:hAnsi="Times New Roman" w:eastAsia="宋体" w:cs="Times New Roman"/>
          <w:color w:val="auto"/>
        </w:rPr>
        <w:t>___________</w:t>
      </w:r>
      <w:r>
        <w:rPr>
          <w:rFonts w:hint="eastAsia" w:ascii="Times New Roman" w:hAnsi="Times New Roman" w:eastAsia="宋体" w:cs="Times New Roman"/>
          <w:color w:val="auto"/>
        </w:rPr>
        <w:t>职务：</w:t>
      </w:r>
      <w:r>
        <w:rPr>
          <w:rFonts w:ascii="Times New Roman" w:hAnsi="Times New Roman" w:eastAsia="宋体" w:cs="Times New Roman"/>
          <w:color w:val="auto"/>
        </w:rPr>
        <w:t>_____________</w:t>
      </w:r>
    </w:p>
    <w:p w14:paraId="03C4FE5B">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投标人名称</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rPr>
        <w:t>公章</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___________________</w:t>
      </w:r>
    </w:p>
    <w:p w14:paraId="435DACF5">
      <w:pPr>
        <w:snapToGrid w:val="0"/>
        <w:spacing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开户银行：</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银行账号：</w:t>
      </w:r>
    </w:p>
    <w:p w14:paraId="4894F32D">
      <w:pPr>
        <w:snapToGrid w:val="0"/>
        <w:spacing w:before="120" w:line="312" w:lineRule="auto"/>
        <w:ind w:right="-341"/>
        <w:rPr>
          <w:rFonts w:hint="eastAsia" w:ascii="Times New Roman" w:hAnsi="Times New Roman" w:eastAsia="宋体" w:cs="Times New Roman"/>
          <w:color w:val="auto"/>
        </w:rPr>
      </w:pPr>
    </w:p>
    <w:p w14:paraId="5AB39AD6">
      <w:pPr>
        <w:snapToGrid w:val="0"/>
        <w:spacing w:before="120" w:line="312" w:lineRule="auto"/>
        <w:ind w:right="-341"/>
        <w:rPr>
          <w:rFonts w:ascii="Times New Roman" w:hAnsi="Times New Roman" w:eastAsia="宋体" w:cs="Times New Roman"/>
          <w:color w:val="auto"/>
        </w:rPr>
      </w:pPr>
      <w:r>
        <w:rPr>
          <w:rFonts w:hint="eastAsia" w:ascii="Times New Roman" w:hAnsi="Times New Roman" w:eastAsia="宋体" w:cs="Times New Roman"/>
          <w:color w:val="auto"/>
        </w:rPr>
        <w:t>日期</w:t>
      </w:r>
      <w:r>
        <w:rPr>
          <w:rFonts w:hint="eastAsia" w:ascii="Times New Roman" w:hAnsi="Times New Roman" w:eastAsia="宋体" w:cs="Times New Roman"/>
          <w:color w:val="auto"/>
          <w:lang w:eastAsia="zh-CN"/>
        </w:rPr>
        <w:t>：</w:t>
      </w:r>
      <w:r>
        <w:rPr>
          <w:rFonts w:ascii="Times New Roman" w:hAnsi="Times New Roman" w:eastAsia="宋体" w:cs="Times New Roman"/>
          <w:color w:val="auto"/>
        </w:rPr>
        <w:t>_____</w:t>
      </w:r>
      <w:r>
        <w:rPr>
          <w:rFonts w:hint="eastAsia" w:ascii="Times New Roman" w:hAnsi="Times New Roman" w:eastAsia="宋体" w:cs="Times New Roman"/>
          <w:color w:val="auto"/>
        </w:rPr>
        <w:t>年</w:t>
      </w:r>
      <w:r>
        <w:rPr>
          <w:rFonts w:ascii="Times New Roman" w:hAnsi="Times New Roman" w:eastAsia="宋体" w:cs="Times New Roman"/>
          <w:color w:val="auto"/>
        </w:rPr>
        <w:t>___</w:t>
      </w:r>
      <w:r>
        <w:rPr>
          <w:rFonts w:hint="eastAsia" w:ascii="Times New Roman" w:hAnsi="Times New Roman" w:eastAsia="宋体" w:cs="Times New Roman"/>
          <w:color w:val="auto"/>
        </w:rPr>
        <w:t>月</w:t>
      </w:r>
      <w:r>
        <w:rPr>
          <w:rFonts w:ascii="Times New Roman" w:hAnsi="Times New Roman" w:eastAsia="宋体" w:cs="Times New Roman"/>
          <w:color w:val="auto"/>
        </w:rPr>
        <w:t>___</w:t>
      </w:r>
      <w:r>
        <w:rPr>
          <w:rFonts w:hint="eastAsia" w:ascii="Times New Roman" w:hAnsi="Times New Roman" w:eastAsia="宋体" w:cs="Times New Roman"/>
          <w:color w:val="auto"/>
        </w:rPr>
        <w:t>日</w:t>
      </w:r>
    </w:p>
    <w:p w14:paraId="18424435">
      <w:pPr>
        <w:snapToGrid w:val="0"/>
        <w:spacing w:before="50" w:line="312" w:lineRule="auto"/>
        <w:jc w:val="center"/>
        <w:rPr>
          <w:rFonts w:hint="default" w:ascii="Times New Roman" w:hAnsi="Times New Roman" w:eastAsia="宋体" w:cs="Times New Roman"/>
          <w:b/>
          <w:sz w:val="24"/>
          <w:lang w:val="en-US" w:eastAsia="zh-CN"/>
        </w:rPr>
      </w:pPr>
    </w:p>
    <w:p w14:paraId="3E21216F">
      <w:pPr>
        <w:snapToGrid w:val="0"/>
        <w:spacing w:before="50" w:line="312" w:lineRule="auto"/>
        <w:jc w:val="center"/>
        <w:rPr>
          <w:rFonts w:hint="eastAsia" w:ascii="Times New Roman" w:hAnsi="Times New Roman"/>
          <w:b/>
          <w:sz w:val="24"/>
          <w:lang w:val="en-US" w:eastAsia="zh-CN"/>
        </w:rPr>
      </w:pPr>
    </w:p>
    <w:p w14:paraId="782C09F1">
      <w:pPr>
        <w:snapToGrid w:val="0"/>
        <w:spacing w:before="50" w:line="312" w:lineRule="auto"/>
        <w:jc w:val="center"/>
        <w:rPr>
          <w:rFonts w:hint="eastAsia" w:ascii="Times New Roman" w:hAnsi="Times New Roman"/>
          <w:b/>
          <w:sz w:val="24"/>
          <w:lang w:val="en-US" w:eastAsia="zh-CN"/>
        </w:rPr>
      </w:pPr>
    </w:p>
    <w:p w14:paraId="1E6F2CD6">
      <w:pPr>
        <w:snapToGrid w:val="0"/>
        <w:spacing w:before="50" w:line="312" w:lineRule="auto"/>
        <w:jc w:val="center"/>
        <w:rPr>
          <w:rFonts w:hint="eastAsia" w:ascii="Times New Roman" w:hAnsi="Times New Roman"/>
          <w:b/>
          <w:sz w:val="24"/>
          <w:lang w:val="en-US" w:eastAsia="zh-CN"/>
        </w:rPr>
      </w:pPr>
    </w:p>
    <w:p w14:paraId="4F0277BC">
      <w:pPr>
        <w:snapToGrid w:val="0"/>
        <w:spacing w:before="50" w:line="312" w:lineRule="auto"/>
        <w:jc w:val="center"/>
        <w:rPr>
          <w:rFonts w:hint="eastAsia" w:ascii="Times New Roman" w:hAnsi="Times New Roman"/>
          <w:b/>
          <w:sz w:val="24"/>
          <w:lang w:val="en-US" w:eastAsia="zh-CN"/>
        </w:rPr>
      </w:pPr>
    </w:p>
    <w:p w14:paraId="193AFC1A">
      <w:pPr>
        <w:snapToGrid w:val="0"/>
        <w:spacing w:before="50" w:line="312" w:lineRule="auto"/>
        <w:jc w:val="center"/>
        <w:rPr>
          <w:rFonts w:hint="eastAsia" w:ascii="Times New Roman" w:hAnsi="Times New Roman"/>
          <w:b/>
          <w:sz w:val="24"/>
          <w:lang w:val="en-US" w:eastAsia="zh-CN"/>
        </w:rPr>
      </w:pPr>
    </w:p>
    <w:p w14:paraId="7CDD2FB9">
      <w:pPr>
        <w:snapToGrid w:val="0"/>
        <w:spacing w:before="50" w:line="312" w:lineRule="auto"/>
        <w:jc w:val="center"/>
        <w:rPr>
          <w:rFonts w:ascii="Times New Roman" w:hAnsi="Times New Roman"/>
          <w:b/>
          <w:sz w:val="24"/>
        </w:rPr>
      </w:pPr>
      <w:r>
        <w:rPr>
          <w:rFonts w:hint="eastAsia" w:ascii="Times New Roman" w:hAnsi="Times New Roman"/>
          <w:b/>
          <w:sz w:val="24"/>
          <w:lang w:val="en-US" w:eastAsia="zh-CN"/>
        </w:rPr>
        <w:t>九</w:t>
      </w:r>
      <w:r>
        <w:rPr>
          <w:rFonts w:hint="eastAsia" w:ascii="Times New Roman" w:hAnsi="Times New Roman"/>
          <w:b/>
          <w:sz w:val="24"/>
        </w:rPr>
        <w:t>、商务响应表：</w:t>
      </w:r>
    </w:p>
    <w:p w14:paraId="090A7CFD">
      <w:pPr>
        <w:snapToGrid w:val="0"/>
        <w:spacing w:before="50" w:line="312" w:lineRule="auto"/>
        <w:jc w:val="center"/>
        <w:rPr>
          <w:rFonts w:ascii="Times New Roman" w:hAnsi="Times New Roman"/>
          <w:b/>
          <w:sz w:val="24"/>
        </w:rPr>
      </w:pPr>
    </w:p>
    <w:p w14:paraId="5198D382">
      <w:pPr>
        <w:snapToGrid w:val="0"/>
        <w:spacing w:line="312" w:lineRule="auto"/>
        <w:rPr>
          <w:rFonts w:ascii="Times New Roman" w:hAnsi="Times New Roman"/>
        </w:rPr>
      </w:pPr>
      <w:r>
        <w:rPr>
          <w:rFonts w:hint="eastAsia" w:ascii="Times New Roman" w:hAnsi="Times New Roman"/>
        </w:rPr>
        <w:t>项目名称：</w:t>
      </w:r>
    </w:p>
    <w:p w14:paraId="79DC6D41">
      <w:pPr>
        <w:snapToGrid w:val="0"/>
        <w:spacing w:line="312" w:lineRule="auto"/>
        <w:rPr>
          <w:rFonts w:ascii="Times New Roman" w:hAnsi="Times New Roman"/>
        </w:rPr>
      </w:pPr>
      <w:r>
        <w:rPr>
          <w:rFonts w:hint="eastAsia" w:ascii="Times New Roman" w:hAnsi="Times New Roman"/>
        </w:rPr>
        <w:t>项目编号：</w:t>
      </w:r>
    </w:p>
    <w:tbl>
      <w:tblPr>
        <w:tblStyle w:val="29"/>
        <w:tblW w:w="90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3240"/>
        <w:gridCol w:w="1260"/>
        <w:gridCol w:w="3020"/>
      </w:tblGrid>
      <w:tr w14:paraId="4B9CEE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1548" w:type="dxa"/>
            <w:tcBorders>
              <w:top w:val="single" w:color="auto" w:sz="4" w:space="0"/>
              <w:left w:val="single" w:color="auto" w:sz="4" w:space="0"/>
              <w:bottom w:val="single" w:color="auto" w:sz="4" w:space="0"/>
              <w:right w:val="single" w:color="auto" w:sz="4" w:space="0"/>
            </w:tcBorders>
            <w:vAlign w:val="center"/>
          </w:tcPr>
          <w:p w14:paraId="34557399">
            <w:pPr>
              <w:snapToGrid w:val="0"/>
              <w:spacing w:before="120" w:beforeLines="50" w:line="312" w:lineRule="auto"/>
              <w:jc w:val="center"/>
              <w:rPr>
                <w:rFonts w:ascii="Times New Roman" w:hAnsi="Times New Roman"/>
                <w:b/>
              </w:rPr>
            </w:pPr>
            <w:r>
              <w:rPr>
                <w:rFonts w:hint="eastAsia" w:ascii="Times New Roman" w:hAnsi="Times New Roman"/>
                <w:b/>
              </w:rPr>
              <w:t>项目</w:t>
            </w:r>
          </w:p>
        </w:tc>
        <w:tc>
          <w:tcPr>
            <w:tcW w:w="3240" w:type="dxa"/>
            <w:tcBorders>
              <w:top w:val="single" w:color="auto" w:sz="4" w:space="0"/>
              <w:left w:val="single" w:color="auto" w:sz="4" w:space="0"/>
              <w:bottom w:val="single" w:color="auto" w:sz="4" w:space="0"/>
              <w:right w:val="single" w:color="auto" w:sz="4" w:space="0"/>
            </w:tcBorders>
            <w:vAlign w:val="center"/>
          </w:tcPr>
          <w:p w14:paraId="70333C08">
            <w:pPr>
              <w:snapToGrid w:val="0"/>
              <w:spacing w:before="120" w:beforeLines="50" w:line="312" w:lineRule="auto"/>
              <w:jc w:val="center"/>
              <w:rPr>
                <w:rFonts w:ascii="Times New Roman" w:hAnsi="Times New Roman"/>
                <w:b/>
              </w:rPr>
            </w:pPr>
            <w:r>
              <w:rPr>
                <w:rFonts w:hint="eastAsia" w:ascii="Times New Roman" w:hAnsi="Times New Roman"/>
                <w:b/>
              </w:rPr>
              <w:t>招标文件要求</w:t>
            </w:r>
          </w:p>
        </w:tc>
        <w:tc>
          <w:tcPr>
            <w:tcW w:w="1260" w:type="dxa"/>
            <w:tcBorders>
              <w:top w:val="single" w:color="auto" w:sz="4" w:space="0"/>
              <w:left w:val="single" w:color="auto" w:sz="4" w:space="0"/>
              <w:bottom w:val="single" w:color="auto" w:sz="4" w:space="0"/>
              <w:right w:val="single" w:color="auto" w:sz="4" w:space="0"/>
            </w:tcBorders>
            <w:vAlign w:val="center"/>
          </w:tcPr>
          <w:p w14:paraId="4E581C5D">
            <w:pPr>
              <w:snapToGrid w:val="0"/>
              <w:spacing w:before="120" w:beforeLines="50" w:line="312" w:lineRule="auto"/>
              <w:jc w:val="center"/>
              <w:rPr>
                <w:rFonts w:ascii="Times New Roman" w:hAnsi="Times New Roman"/>
                <w:b/>
              </w:rPr>
            </w:pPr>
            <w:r>
              <w:rPr>
                <w:rFonts w:hint="eastAsia" w:ascii="Times New Roman" w:hAnsi="Times New Roman"/>
                <w:b/>
              </w:rPr>
              <w:t>是否响应</w:t>
            </w:r>
          </w:p>
        </w:tc>
        <w:tc>
          <w:tcPr>
            <w:tcW w:w="3020" w:type="dxa"/>
            <w:tcBorders>
              <w:top w:val="single" w:color="auto" w:sz="4" w:space="0"/>
              <w:left w:val="single" w:color="auto" w:sz="4" w:space="0"/>
              <w:bottom w:val="single" w:color="auto" w:sz="4" w:space="0"/>
              <w:right w:val="single" w:color="auto" w:sz="4" w:space="0"/>
            </w:tcBorders>
            <w:vAlign w:val="center"/>
          </w:tcPr>
          <w:p w14:paraId="0A3E65BF">
            <w:pPr>
              <w:snapToGrid w:val="0"/>
              <w:spacing w:before="120" w:beforeLines="50" w:line="312" w:lineRule="auto"/>
              <w:jc w:val="center"/>
              <w:rPr>
                <w:rFonts w:ascii="Times New Roman" w:hAnsi="Times New Roman"/>
                <w:b/>
              </w:rPr>
            </w:pPr>
            <w:r>
              <w:rPr>
                <w:rFonts w:hint="eastAsia" w:ascii="Times New Roman" w:hAnsi="Times New Roman"/>
                <w:b/>
              </w:rPr>
              <w:t>投标人的承诺或说明</w:t>
            </w:r>
          </w:p>
        </w:tc>
      </w:tr>
      <w:tr w14:paraId="783EAB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14:paraId="144E8322">
            <w:pPr>
              <w:snapToGrid w:val="0"/>
              <w:spacing w:before="120" w:beforeLines="50" w:line="312" w:lineRule="auto"/>
              <w:rPr>
                <w:rFonts w:ascii="Times New Roman" w:hAnsi="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566093A6">
            <w:pPr>
              <w:snapToGrid w:val="0"/>
              <w:spacing w:before="120" w:beforeLines="50" w:after="360" w:line="312" w:lineRule="auto"/>
              <w:rPr>
                <w:rFonts w:ascii="Times New Roman" w:hAnsi="Times New Roman"/>
                <w:b/>
                <w:bCs/>
                <w:kern w:val="44"/>
                <w:sz w:val="24"/>
                <w:szCs w:val="20"/>
              </w:rPr>
            </w:pPr>
          </w:p>
        </w:tc>
        <w:tc>
          <w:tcPr>
            <w:tcW w:w="1260" w:type="dxa"/>
            <w:tcBorders>
              <w:top w:val="single" w:color="auto" w:sz="4" w:space="0"/>
              <w:left w:val="single" w:color="auto" w:sz="4" w:space="0"/>
              <w:bottom w:val="single" w:color="auto" w:sz="4" w:space="0"/>
              <w:right w:val="single" w:color="auto" w:sz="4" w:space="0"/>
            </w:tcBorders>
          </w:tcPr>
          <w:p w14:paraId="2F554394">
            <w:pPr>
              <w:snapToGrid w:val="0"/>
              <w:spacing w:before="120" w:beforeLines="50" w:after="360" w:line="312" w:lineRule="auto"/>
              <w:rPr>
                <w:rFonts w:ascii="Times New Roman" w:hAnsi="Times New Roman"/>
                <w:b/>
                <w:bCs/>
                <w:kern w:val="44"/>
                <w:sz w:val="24"/>
                <w:szCs w:val="20"/>
              </w:rPr>
            </w:pPr>
          </w:p>
        </w:tc>
        <w:tc>
          <w:tcPr>
            <w:tcW w:w="3020" w:type="dxa"/>
            <w:tcBorders>
              <w:top w:val="single" w:color="auto" w:sz="4" w:space="0"/>
              <w:left w:val="single" w:color="auto" w:sz="4" w:space="0"/>
              <w:bottom w:val="single" w:color="auto" w:sz="4" w:space="0"/>
              <w:right w:val="single" w:color="auto" w:sz="4" w:space="0"/>
            </w:tcBorders>
          </w:tcPr>
          <w:p w14:paraId="2997656A">
            <w:pPr>
              <w:snapToGrid w:val="0"/>
              <w:spacing w:before="120" w:beforeLines="50" w:after="360" w:line="312" w:lineRule="auto"/>
              <w:rPr>
                <w:rFonts w:ascii="Times New Roman" w:hAnsi="Times New Roman"/>
                <w:b/>
                <w:bCs/>
                <w:kern w:val="44"/>
                <w:sz w:val="24"/>
                <w:szCs w:val="20"/>
              </w:rPr>
            </w:pPr>
          </w:p>
        </w:tc>
      </w:tr>
      <w:tr w14:paraId="4CF32D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vAlign w:val="center"/>
          </w:tcPr>
          <w:p w14:paraId="004A1E0C">
            <w:pPr>
              <w:widowControl/>
              <w:tabs>
                <w:tab w:val="left" w:pos="420"/>
                <w:tab w:val="left" w:pos="1418"/>
              </w:tabs>
              <w:overflowPunct w:val="0"/>
              <w:autoSpaceDE w:val="0"/>
              <w:autoSpaceDN w:val="0"/>
              <w:adjustRightInd w:val="0"/>
              <w:snapToGrid w:val="0"/>
              <w:spacing w:line="312" w:lineRule="auto"/>
              <w:jc w:val="center"/>
              <w:textAlignment w:val="baseline"/>
              <w:rPr>
                <w:rFonts w:ascii="Times New Roman" w:hAnsi="Times New Roman"/>
                <w:kern w:val="0"/>
                <w:sz w:val="24"/>
              </w:rPr>
            </w:pPr>
          </w:p>
        </w:tc>
        <w:tc>
          <w:tcPr>
            <w:tcW w:w="3240" w:type="dxa"/>
            <w:tcBorders>
              <w:top w:val="single" w:color="auto" w:sz="4" w:space="0"/>
              <w:left w:val="single" w:color="auto" w:sz="4" w:space="0"/>
              <w:bottom w:val="single" w:color="auto" w:sz="4" w:space="0"/>
              <w:right w:val="single" w:color="auto" w:sz="4" w:space="0"/>
            </w:tcBorders>
          </w:tcPr>
          <w:p w14:paraId="37593200">
            <w:pPr>
              <w:snapToGrid w:val="0"/>
              <w:spacing w:before="120" w:beforeLines="50" w:line="312" w:lineRule="auto"/>
              <w:rPr>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220D9D04">
            <w:pPr>
              <w:snapToGrid w:val="0"/>
              <w:spacing w:before="120" w:beforeLines="50" w:after="360" w:line="312" w:lineRule="auto"/>
              <w:rPr>
                <w:rFonts w:ascii="Times New Roman" w:hAnsi="Times New Roman"/>
                <w:b/>
                <w:bCs/>
                <w:kern w:val="44"/>
                <w:sz w:val="24"/>
                <w:szCs w:val="20"/>
              </w:rPr>
            </w:pPr>
          </w:p>
        </w:tc>
        <w:tc>
          <w:tcPr>
            <w:tcW w:w="3020" w:type="dxa"/>
            <w:tcBorders>
              <w:top w:val="single" w:color="auto" w:sz="4" w:space="0"/>
              <w:left w:val="single" w:color="auto" w:sz="4" w:space="0"/>
              <w:bottom w:val="single" w:color="auto" w:sz="4" w:space="0"/>
              <w:right w:val="single" w:color="auto" w:sz="4" w:space="0"/>
            </w:tcBorders>
          </w:tcPr>
          <w:p w14:paraId="39B0F090">
            <w:pPr>
              <w:snapToGrid w:val="0"/>
              <w:spacing w:before="120" w:beforeLines="50" w:after="360" w:line="312" w:lineRule="auto"/>
              <w:rPr>
                <w:rFonts w:ascii="Times New Roman" w:hAnsi="Times New Roman"/>
                <w:b/>
                <w:bCs/>
                <w:kern w:val="44"/>
                <w:sz w:val="24"/>
                <w:szCs w:val="20"/>
              </w:rPr>
            </w:pPr>
          </w:p>
        </w:tc>
      </w:tr>
      <w:tr w14:paraId="38D0DA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trPr>
        <w:tc>
          <w:tcPr>
            <w:tcW w:w="1548" w:type="dxa"/>
            <w:tcBorders>
              <w:top w:val="single" w:color="auto" w:sz="4" w:space="0"/>
              <w:left w:val="single" w:color="auto" w:sz="4" w:space="0"/>
              <w:bottom w:val="single" w:color="auto" w:sz="4" w:space="0"/>
              <w:right w:val="single" w:color="auto" w:sz="4" w:space="0"/>
            </w:tcBorders>
            <w:vAlign w:val="center"/>
          </w:tcPr>
          <w:p w14:paraId="7A77DBE4">
            <w:pPr>
              <w:snapToGrid w:val="0"/>
              <w:spacing w:line="312" w:lineRule="auto"/>
              <w:jc w:val="center"/>
              <w:rPr>
                <w:rFonts w:ascii="Times New Roman" w:hAnsi="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1F671B18">
            <w:pPr>
              <w:snapToGrid w:val="0"/>
              <w:spacing w:before="120" w:beforeLines="50" w:line="312" w:lineRule="auto"/>
              <w:rPr>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43803A3D">
            <w:pPr>
              <w:snapToGrid w:val="0"/>
              <w:spacing w:before="120" w:beforeLines="50" w:after="360" w:line="312" w:lineRule="auto"/>
              <w:ind w:left="43"/>
              <w:rPr>
                <w:rFonts w:ascii="Times New Roman" w:hAnsi="Times New Roman"/>
                <w:b/>
                <w:bCs/>
                <w:kern w:val="44"/>
                <w:sz w:val="24"/>
                <w:szCs w:val="20"/>
              </w:rPr>
            </w:pPr>
          </w:p>
        </w:tc>
        <w:tc>
          <w:tcPr>
            <w:tcW w:w="3020" w:type="dxa"/>
            <w:tcBorders>
              <w:top w:val="single" w:color="auto" w:sz="4" w:space="0"/>
              <w:left w:val="single" w:color="auto" w:sz="4" w:space="0"/>
              <w:bottom w:val="single" w:color="auto" w:sz="4" w:space="0"/>
              <w:right w:val="single" w:color="auto" w:sz="4" w:space="0"/>
            </w:tcBorders>
          </w:tcPr>
          <w:p w14:paraId="52D9CE5A">
            <w:pPr>
              <w:snapToGrid w:val="0"/>
              <w:spacing w:before="120" w:beforeLines="50" w:after="360" w:line="312" w:lineRule="auto"/>
              <w:ind w:left="43"/>
              <w:rPr>
                <w:rFonts w:ascii="Times New Roman" w:hAnsi="Times New Roman"/>
                <w:b/>
                <w:bCs/>
                <w:kern w:val="44"/>
                <w:sz w:val="24"/>
                <w:szCs w:val="20"/>
              </w:rPr>
            </w:pPr>
          </w:p>
        </w:tc>
      </w:tr>
      <w:tr w14:paraId="040B8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vAlign w:val="center"/>
          </w:tcPr>
          <w:p w14:paraId="14046C31">
            <w:pPr>
              <w:snapToGrid w:val="0"/>
              <w:spacing w:line="312" w:lineRule="auto"/>
              <w:jc w:val="center"/>
              <w:rPr>
                <w:rFonts w:ascii="Times New Roman" w:hAnsi="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4B488FFF">
            <w:pPr>
              <w:snapToGrid w:val="0"/>
              <w:spacing w:before="120" w:beforeLines="50" w:line="312" w:lineRule="auto"/>
              <w:rPr>
                <w:rFonts w:ascii="Times New Roman" w:hAnsi="Times New Roman"/>
                <w:sz w:val="24"/>
              </w:rPr>
            </w:pPr>
          </w:p>
        </w:tc>
        <w:tc>
          <w:tcPr>
            <w:tcW w:w="1260" w:type="dxa"/>
            <w:tcBorders>
              <w:top w:val="single" w:color="auto" w:sz="4" w:space="0"/>
              <w:left w:val="single" w:color="auto" w:sz="4" w:space="0"/>
              <w:bottom w:val="single" w:color="auto" w:sz="4" w:space="0"/>
              <w:right w:val="single" w:color="auto" w:sz="4" w:space="0"/>
            </w:tcBorders>
          </w:tcPr>
          <w:p w14:paraId="01101C01">
            <w:pPr>
              <w:snapToGrid w:val="0"/>
              <w:spacing w:before="120" w:beforeLines="50" w:after="360" w:line="312" w:lineRule="auto"/>
              <w:rPr>
                <w:rFonts w:ascii="Times New Roman" w:hAnsi="Times New Roman"/>
                <w:b/>
                <w:bCs/>
                <w:kern w:val="44"/>
                <w:sz w:val="24"/>
                <w:szCs w:val="20"/>
              </w:rPr>
            </w:pPr>
          </w:p>
        </w:tc>
        <w:tc>
          <w:tcPr>
            <w:tcW w:w="3020" w:type="dxa"/>
            <w:tcBorders>
              <w:top w:val="single" w:color="auto" w:sz="4" w:space="0"/>
              <w:left w:val="single" w:color="auto" w:sz="4" w:space="0"/>
              <w:bottom w:val="single" w:color="auto" w:sz="4" w:space="0"/>
              <w:right w:val="single" w:color="auto" w:sz="4" w:space="0"/>
            </w:tcBorders>
          </w:tcPr>
          <w:p w14:paraId="0E8371CB">
            <w:pPr>
              <w:snapToGrid w:val="0"/>
              <w:spacing w:before="120" w:beforeLines="50" w:after="360" w:line="312" w:lineRule="auto"/>
              <w:rPr>
                <w:rFonts w:ascii="Times New Roman" w:hAnsi="Times New Roman"/>
                <w:b/>
                <w:bCs/>
                <w:kern w:val="44"/>
                <w:sz w:val="24"/>
                <w:szCs w:val="20"/>
              </w:rPr>
            </w:pPr>
          </w:p>
        </w:tc>
      </w:tr>
      <w:tr w14:paraId="38A03E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29EF3303">
            <w:pPr>
              <w:snapToGrid w:val="0"/>
              <w:spacing w:before="120" w:beforeLines="50" w:line="312" w:lineRule="auto"/>
              <w:rPr>
                <w:rFonts w:ascii="Times New Roman" w:hAnsi="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17C00425">
            <w:pPr>
              <w:snapToGrid w:val="0"/>
              <w:spacing w:before="120" w:beforeLines="50" w:after="360" w:line="312" w:lineRule="auto"/>
              <w:rPr>
                <w:rFonts w:ascii="Times New Roman" w:hAnsi="Times New Roman"/>
                <w:b/>
                <w:bCs/>
                <w:kern w:val="44"/>
                <w:sz w:val="24"/>
                <w:szCs w:val="20"/>
              </w:rPr>
            </w:pPr>
          </w:p>
        </w:tc>
        <w:tc>
          <w:tcPr>
            <w:tcW w:w="1260" w:type="dxa"/>
            <w:tcBorders>
              <w:top w:val="single" w:color="auto" w:sz="4" w:space="0"/>
              <w:left w:val="single" w:color="auto" w:sz="4" w:space="0"/>
              <w:bottom w:val="single" w:color="auto" w:sz="4" w:space="0"/>
              <w:right w:val="single" w:color="auto" w:sz="4" w:space="0"/>
            </w:tcBorders>
          </w:tcPr>
          <w:p w14:paraId="5B43C5A5">
            <w:pPr>
              <w:snapToGrid w:val="0"/>
              <w:spacing w:before="120" w:beforeLines="50" w:after="360" w:line="312" w:lineRule="auto"/>
              <w:rPr>
                <w:rFonts w:ascii="Times New Roman" w:hAnsi="Times New Roman"/>
                <w:b/>
                <w:bCs/>
                <w:kern w:val="44"/>
                <w:sz w:val="24"/>
                <w:szCs w:val="20"/>
              </w:rPr>
            </w:pPr>
          </w:p>
        </w:tc>
        <w:tc>
          <w:tcPr>
            <w:tcW w:w="3020" w:type="dxa"/>
            <w:tcBorders>
              <w:top w:val="single" w:color="auto" w:sz="4" w:space="0"/>
              <w:left w:val="single" w:color="auto" w:sz="4" w:space="0"/>
              <w:bottom w:val="single" w:color="auto" w:sz="4" w:space="0"/>
              <w:right w:val="single" w:color="auto" w:sz="4" w:space="0"/>
            </w:tcBorders>
          </w:tcPr>
          <w:p w14:paraId="00420488">
            <w:pPr>
              <w:snapToGrid w:val="0"/>
              <w:spacing w:before="120" w:beforeLines="50" w:after="360" w:line="312" w:lineRule="auto"/>
              <w:rPr>
                <w:rFonts w:ascii="Times New Roman" w:hAnsi="Times New Roman"/>
                <w:b/>
                <w:bCs/>
                <w:kern w:val="44"/>
                <w:sz w:val="24"/>
                <w:szCs w:val="20"/>
              </w:rPr>
            </w:pPr>
          </w:p>
        </w:tc>
      </w:tr>
      <w:tr w14:paraId="55CB3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14:paraId="1165E95D">
            <w:pPr>
              <w:snapToGrid w:val="0"/>
              <w:spacing w:before="120" w:beforeLines="50" w:line="312" w:lineRule="auto"/>
              <w:rPr>
                <w:rFonts w:ascii="Times New Roman" w:hAnsi="Times New Roman"/>
                <w:sz w:val="24"/>
              </w:rPr>
            </w:pPr>
          </w:p>
        </w:tc>
        <w:tc>
          <w:tcPr>
            <w:tcW w:w="3240" w:type="dxa"/>
            <w:tcBorders>
              <w:top w:val="single" w:color="auto" w:sz="4" w:space="0"/>
              <w:left w:val="single" w:color="auto" w:sz="4" w:space="0"/>
              <w:bottom w:val="single" w:color="auto" w:sz="4" w:space="0"/>
              <w:right w:val="single" w:color="auto" w:sz="4" w:space="0"/>
            </w:tcBorders>
          </w:tcPr>
          <w:p w14:paraId="51AE201E">
            <w:pPr>
              <w:snapToGrid w:val="0"/>
              <w:spacing w:before="120" w:beforeLines="50" w:after="360" w:line="312" w:lineRule="auto"/>
              <w:rPr>
                <w:rFonts w:ascii="Times New Roman" w:hAnsi="Times New Roman"/>
                <w:b/>
                <w:bCs/>
                <w:kern w:val="44"/>
                <w:sz w:val="24"/>
                <w:szCs w:val="20"/>
              </w:rPr>
            </w:pPr>
          </w:p>
        </w:tc>
        <w:tc>
          <w:tcPr>
            <w:tcW w:w="1260" w:type="dxa"/>
            <w:tcBorders>
              <w:top w:val="single" w:color="auto" w:sz="4" w:space="0"/>
              <w:left w:val="single" w:color="auto" w:sz="4" w:space="0"/>
              <w:bottom w:val="single" w:color="auto" w:sz="4" w:space="0"/>
              <w:right w:val="single" w:color="auto" w:sz="4" w:space="0"/>
            </w:tcBorders>
          </w:tcPr>
          <w:p w14:paraId="13B22B6D">
            <w:pPr>
              <w:snapToGrid w:val="0"/>
              <w:spacing w:before="120" w:beforeLines="50" w:after="360" w:line="312" w:lineRule="auto"/>
              <w:rPr>
                <w:rFonts w:ascii="Times New Roman" w:hAnsi="Times New Roman"/>
                <w:b/>
                <w:bCs/>
                <w:kern w:val="44"/>
                <w:sz w:val="24"/>
                <w:szCs w:val="20"/>
              </w:rPr>
            </w:pPr>
          </w:p>
        </w:tc>
        <w:tc>
          <w:tcPr>
            <w:tcW w:w="3020" w:type="dxa"/>
            <w:tcBorders>
              <w:top w:val="single" w:color="auto" w:sz="4" w:space="0"/>
              <w:left w:val="single" w:color="auto" w:sz="4" w:space="0"/>
              <w:bottom w:val="single" w:color="auto" w:sz="4" w:space="0"/>
              <w:right w:val="single" w:color="auto" w:sz="4" w:space="0"/>
            </w:tcBorders>
          </w:tcPr>
          <w:p w14:paraId="17B387EE">
            <w:pPr>
              <w:snapToGrid w:val="0"/>
              <w:spacing w:before="120" w:beforeLines="50" w:after="360" w:line="312" w:lineRule="auto"/>
              <w:rPr>
                <w:rFonts w:ascii="Times New Roman" w:hAnsi="Times New Roman"/>
                <w:b/>
                <w:bCs/>
                <w:kern w:val="44"/>
                <w:sz w:val="24"/>
                <w:szCs w:val="20"/>
              </w:rPr>
            </w:pPr>
          </w:p>
        </w:tc>
      </w:tr>
    </w:tbl>
    <w:p w14:paraId="68DB5598">
      <w:pPr>
        <w:widowControl/>
        <w:spacing w:line="312" w:lineRule="auto"/>
        <w:jc w:val="left"/>
        <w:rPr>
          <w:rFonts w:ascii="Times New Roman" w:hAnsi="Times New Roman"/>
          <w:kern w:val="0"/>
          <w:sz w:val="24"/>
        </w:rPr>
      </w:pPr>
    </w:p>
    <w:p w14:paraId="3F78991A">
      <w:pPr>
        <w:bidi w:val="0"/>
        <w:rPr>
          <w:rFonts w:ascii="Calibri" w:hAnsi="Calibri" w:eastAsia="宋体" w:cs="Times New Roman"/>
          <w:kern w:val="2"/>
          <w:sz w:val="21"/>
          <w:szCs w:val="24"/>
          <w:lang w:val="en-US" w:eastAsia="zh-CN" w:bidi="ar-SA"/>
        </w:rPr>
      </w:pPr>
    </w:p>
    <w:p w14:paraId="76D8A76C">
      <w:pPr>
        <w:bidi w:val="0"/>
        <w:rPr>
          <w:lang w:val="en-US" w:eastAsia="zh-CN"/>
        </w:rPr>
      </w:pPr>
    </w:p>
    <w:p w14:paraId="162B6A9D">
      <w:pPr>
        <w:bidi w:val="0"/>
        <w:rPr>
          <w:lang w:val="en-US" w:eastAsia="zh-CN"/>
        </w:rPr>
      </w:pPr>
    </w:p>
    <w:p w14:paraId="2934C723">
      <w:pPr>
        <w:bidi w:val="0"/>
        <w:rPr>
          <w:lang w:val="en-US" w:eastAsia="zh-CN"/>
        </w:rPr>
      </w:pPr>
    </w:p>
    <w:p w14:paraId="2C638BB4">
      <w:pPr>
        <w:bidi w:val="0"/>
        <w:rPr>
          <w:lang w:val="en-US" w:eastAsia="zh-CN"/>
        </w:rPr>
      </w:pPr>
    </w:p>
    <w:p w14:paraId="5A79352D">
      <w:pPr>
        <w:bidi w:val="0"/>
        <w:rPr>
          <w:lang w:val="en-US" w:eastAsia="zh-CN"/>
        </w:rPr>
      </w:pPr>
    </w:p>
    <w:p w14:paraId="68388909">
      <w:pPr>
        <w:snapToGrid w:val="0"/>
        <w:spacing w:before="50" w:after="50"/>
        <w:rPr>
          <w:rFonts w:ascii="宋体" w:hAnsi="宋体"/>
          <w:b/>
          <w:spacing w:val="-4"/>
          <w:szCs w:val="21"/>
        </w:rPr>
      </w:pPr>
      <w:r>
        <w:rPr>
          <w:rFonts w:hint="eastAsia"/>
          <w:lang w:val="en-US" w:eastAsia="zh-CN"/>
        </w:rPr>
        <w:tab/>
      </w:r>
      <w:r>
        <w:rPr>
          <w:rFonts w:hint="eastAsia" w:ascii="宋体" w:hAnsi="宋体"/>
          <w:b/>
          <w:spacing w:val="-4"/>
          <w:szCs w:val="21"/>
        </w:rPr>
        <w:t xml:space="preserve">投标人名称（盖章） </w:t>
      </w:r>
    </w:p>
    <w:p w14:paraId="11B2795D">
      <w:pPr>
        <w:snapToGrid w:val="0"/>
        <w:spacing w:before="50" w:after="50"/>
        <w:rPr>
          <w:rFonts w:ascii="宋体" w:hAnsi="宋体"/>
          <w:b/>
          <w:spacing w:val="-4"/>
          <w:szCs w:val="21"/>
        </w:rPr>
      </w:pPr>
    </w:p>
    <w:p w14:paraId="70F55086">
      <w:pPr>
        <w:tabs>
          <w:tab w:val="left" w:pos="264"/>
        </w:tabs>
        <w:bidi w:val="0"/>
        <w:ind w:firstLine="422" w:firstLineChars="200"/>
        <w:jc w:val="left"/>
        <w:rPr>
          <w:lang w:val="en-US" w:eastAsia="zh-CN"/>
        </w:rPr>
        <w:sectPr>
          <w:pgSz w:w="11906" w:h="16838"/>
          <w:pgMar w:top="1304" w:right="1531" w:bottom="1304" w:left="1531" w:header="1304" w:footer="1304" w:gutter="0"/>
          <w:cols w:space="720" w:num="1"/>
        </w:sectPr>
      </w:pPr>
      <w:r>
        <w:rPr>
          <w:rFonts w:hint="eastAsia"/>
          <w:b/>
        </w:rPr>
        <w:t>日期：</w:t>
      </w:r>
    </w:p>
    <w:p w14:paraId="42FDBAD3">
      <w:pPr>
        <w:pStyle w:val="12"/>
        <w:snapToGrid w:val="0"/>
        <w:spacing w:before="156"/>
        <w:rPr>
          <w:rFonts w:asciiTheme="minorEastAsia" w:hAnsiTheme="minorEastAsia" w:eastAsiaTheme="minorEastAsia"/>
          <w:b/>
          <w:sz w:val="28"/>
          <w:szCs w:val="28"/>
        </w:rPr>
      </w:pPr>
      <w:r>
        <w:rPr>
          <w:rFonts w:hint="eastAsia" w:asciiTheme="minorEastAsia" w:hAnsiTheme="minorEastAsia" w:eastAsiaTheme="minorEastAsia"/>
          <w:b/>
          <w:sz w:val="28"/>
          <w:szCs w:val="28"/>
          <w:lang w:val="en-US" w:eastAsia="zh-CN"/>
        </w:rPr>
        <w:t>十</w:t>
      </w:r>
      <w:r>
        <w:rPr>
          <w:rFonts w:hint="eastAsia" w:asciiTheme="minorEastAsia" w:hAnsiTheme="minorEastAsia" w:eastAsiaTheme="minorEastAsia"/>
          <w:b/>
          <w:sz w:val="28"/>
          <w:szCs w:val="28"/>
        </w:rPr>
        <w:t>、投标人的类似成功案例的业绩证明文件</w:t>
      </w:r>
    </w:p>
    <w:p w14:paraId="1EEB6643">
      <w:pPr>
        <w:pStyle w:val="20"/>
        <w:snapToGrid w:val="0"/>
        <w:ind w:left="420" w:hanging="420"/>
        <w:rPr>
          <w:rFonts w:ascii="宋体" w:hAnsi="宋体"/>
          <w:sz w:val="24"/>
        </w:rPr>
      </w:pPr>
      <w:r>
        <w:rPr>
          <w:rFonts w:hint="eastAsia" w:ascii="宋体" w:hAnsi="宋体"/>
          <w:sz w:val="21"/>
        </w:rPr>
        <w:t>投标人同类项目实施情况一览表格式：（投标人同类项目合同复印件</w:t>
      </w:r>
      <w:r>
        <w:rPr>
          <w:rFonts w:hint="eastAsia" w:ascii="宋体" w:hAnsi="宋体"/>
          <w:sz w:val="21"/>
          <w:lang w:eastAsia="zh-CN"/>
        </w:rPr>
        <w:t>，</w:t>
      </w:r>
      <w:r>
        <w:rPr>
          <w:rFonts w:hint="eastAsia" w:ascii="宋体" w:hAnsi="宋体"/>
          <w:sz w:val="21"/>
        </w:rPr>
        <w:t>格式</w:t>
      </w:r>
      <w:r>
        <w:rPr>
          <w:rFonts w:hint="eastAsia" w:ascii="宋体" w:hAnsi="宋体"/>
          <w:sz w:val="21"/>
          <w:lang w:val="en-US" w:eastAsia="zh-CN"/>
        </w:rPr>
        <w:t>可</w:t>
      </w:r>
      <w:r>
        <w:rPr>
          <w:rFonts w:hint="eastAsia" w:ascii="宋体" w:hAnsi="宋体"/>
          <w:sz w:val="21"/>
        </w:rPr>
        <w:t>自拟）</w:t>
      </w:r>
    </w:p>
    <w:tbl>
      <w:tblPr>
        <w:tblStyle w:val="29"/>
        <w:tblW w:w="1387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15"/>
        <w:gridCol w:w="5640"/>
        <w:gridCol w:w="3624"/>
      </w:tblGrid>
      <w:tr w14:paraId="66E0C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4615" w:type="dxa"/>
            <w:vMerge w:val="restart"/>
            <w:tcBorders>
              <w:top w:val="single" w:color="auto" w:sz="4" w:space="0"/>
              <w:left w:val="single" w:color="auto" w:sz="4" w:space="0"/>
              <w:bottom w:val="single" w:color="auto" w:sz="4" w:space="0"/>
              <w:right w:val="single" w:color="auto" w:sz="4" w:space="0"/>
            </w:tcBorders>
            <w:vAlign w:val="center"/>
          </w:tcPr>
          <w:p w14:paraId="3B8E5DD9">
            <w:pPr>
              <w:snapToGrid w:val="0"/>
              <w:spacing w:line="240" w:lineRule="exact"/>
              <w:jc w:val="center"/>
              <w:rPr>
                <w:rFonts w:ascii="宋体" w:hAnsi="宋体"/>
                <w:sz w:val="18"/>
              </w:rPr>
            </w:pPr>
            <w:r>
              <w:rPr>
                <w:rFonts w:hint="eastAsia" w:ascii="宋体" w:hAnsi="宋体"/>
                <w:sz w:val="18"/>
              </w:rPr>
              <w:t>采购单位名称</w:t>
            </w:r>
          </w:p>
        </w:tc>
        <w:tc>
          <w:tcPr>
            <w:tcW w:w="5640" w:type="dxa"/>
            <w:vMerge w:val="restart"/>
            <w:tcBorders>
              <w:top w:val="single" w:color="auto" w:sz="4" w:space="0"/>
              <w:left w:val="single" w:color="auto" w:sz="4" w:space="0"/>
              <w:bottom w:val="single" w:color="auto" w:sz="4" w:space="0"/>
              <w:right w:val="single" w:color="auto" w:sz="4" w:space="0"/>
            </w:tcBorders>
            <w:vAlign w:val="center"/>
          </w:tcPr>
          <w:p w14:paraId="560BDB30">
            <w:pPr>
              <w:snapToGrid w:val="0"/>
              <w:spacing w:line="240" w:lineRule="exact"/>
              <w:jc w:val="center"/>
              <w:rPr>
                <w:rFonts w:ascii="宋体" w:hAnsi="宋体"/>
                <w:sz w:val="18"/>
              </w:rPr>
            </w:pPr>
            <w:r>
              <w:rPr>
                <w:rFonts w:hint="eastAsia" w:ascii="宋体" w:hAnsi="宋体"/>
                <w:sz w:val="18"/>
              </w:rPr>
              <w:t xml:space="preserve"> 项目名称</w:t>
            </w:r>
          </w:p>
        </w:tc>
        <w:tc>
          <w:tcPr>
            <w:tcW w:w="3624" w:type="dxa"/>
            <w:vMerge w:val="restart"/>
            <w:tcBorders>
              <w:top w:val="single" w:color="auto" w:sz="4" w:space="0"/>
              <w:left w:val="single" w:color="auto" w:sz="4" w:space="0"/>
              <w:bottom w:val="single" w:color="auto" w:sz="4" w:space="0"/>
              <w:right w:val="single" w:color="auto" w:sz="4" w:space="0"/>
            </w:tcBorders>
            <w:vAlign w:val="center"/>
          </w:tcPr>
          <w:p w14:paraId="3EF05AC6">
            <w:pPr>
              <w:snapToGrid w:val="0"/>
              <w:spacing w:line="240" w:lineRule="exact"/>
              <w:jc w:val="center"/>
              <w:rPr>
                <w:rFonts w:ascii="宋体" w:hAnsi="宋体"/>
                <w:sz w:val="18"/>
              </w:rPr>
            </w:pPr>
            <w:r>
              <w:rPr>
                <w:rFonts w:hint="eastAsia" w:ascii="宋体" w:hAnsi="宋体"/>
                <w:sz w:val="18"/>
              </w:rPr>
              <w:t>合同金额</w:t>
            </w:r>
          </w:p>
          <w:p w14:paraId="04F2EDB0">
            <w:pPr>
              <w:snapToGrid w:val="0"/>
              <w:spacing w:line="240" w:lineRule="exact"/>
              <w:jc w:val="center"/>
              <w:rPr>
                <w:rFonts w:ascii="宋体" w:hAnsi="宋体"/>
                <w:sz w:val="18"/>
              </w:rPr>
            </w:pPr>
            <w:r>
              <w:rPr>
                <w:rFonts w:hint="eastAsia" w:ascii="宋体" w:hAnsi="宋体"/>
                <w:sz w:val="18"/>
              </w:rPr>
              <w:t>（万元）</w:t>
            </w:r>
          </w:p>
        </w:tc>
      </w:tr>
      <w:tr w14:paraId="686D5F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4615" w:type="dxa"/>
            <w:vMerge w:val="continue"/>
            <w:tcBorders>
              <w:top w:val="single" w:color="auto" w:sz="4" w:space="0"/>
              <w:left w:val="single" w:color="auto" w:sz="4" w:space="0"/>
              <w:bottom w:val="single" w:color="auto" w:sz="4" w:space="0"/>
              <w:right w:val="single" w:color="auto" w:sz="4" w:space="0"/>
            </w:tcBorders>
            <w:vAlign w:val="center"/>
          </w:tcPr>
          <w:p w14:paraId="206D75BB">
            <w:pPr>
              <w:widowControl/>
              <w:jc w:val="left"/>
              <w:rPr>
                <w:rFonts w:ascii="宋体" w:hAnsi="宋体"/>
                <w:sz w:val="18"/>
              </w:rPr>
            </w:pPr>
          </w:p>
        </w:tc>
        <w:tc>
          <w:tcPr>
            <w:tcW w:w="5640" w:type="dxa"/>
            <w:vMerge w:val="continue"/>
            <w:tcBorders>
              <w:top w:val="single" w:color="auto" w:sz="4" w:space="0"/>
              <w:left w:val="single" w:color="auto" w:sz="4" w:space="0"/>
              <w:bottom w:val="single" w:color="auto" w:sz="4" w:space="0"/>
              <w:right w:val="single" w:color="auto" w:sz="4" w:space="0"/>
            </w:tcBorders>
            <w:vAlign w:val="center"/>
          </w:tcPr>
          <w:p w14:paraId="70E270F1">
            <w:pPr>
              <w:widowControl/>
              <w:jc w:val="left"/>
              <w:rPr>
                <w:rFonts w:ascii="宋体" w:hAnsi="宋体"/>
                <w:sz w:val="18"/>
              </w:rPr>
            </w:pPr>
          </w:p>
        </w:tc>
        <w:tc>
          <w:tcPr>
            <w:tcW w:w="3624" w:type="dxa"/>
            <w:vMerge w:val="continue"/>
            <w:tcBorders>
              <w:top w:val="single" w:color="auto" w:sz="4" w:space="0"/>
              <w:left w:val="single" w:color="auto" w:sz="4" w:space="0"/>
              <w:bottom w:val="single" w:color="auto" w:sz="4" w:space="0"/>
              <w:right w:val="single" w:color="auto" w:sz="4" w:space="0"/>
            </w:tcBorders>
            <w:vAlign w:val="center"/>
          </w:tcPr>
          <w:p w14:paraId="042B78BB">
            <w:pPr>
              <w:widowControl/>
              <w:jc w:val="left"/>
              <w:rPr>
                <w:rFonts w:ascii="宋体" w:hAnsi="宋体"/>
                <w:sz w:val="18"/>
              </w:rPr>
            </w:pPr>
          </w:p>
        </w:tc>
      </w:tr>
      <w:tr w14:paraId="417840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4615" w:type="dxa"/>
            <w:tcBorders>
              <w:top w:val="single" w:color="auto" w:sz="4" w:space="0"/>
              <w:left w:val="single" w:color="auto" w:sz="4" w:space="0"/>
              <w:bottom w:val="single" w:color="auto" w:sz="4" w:space="0"/>
              <w:right w:val="single" w:color="auto" w:sz="4" w:space="0"/>
            </w:tcBorders>
          </w:tcPr>
          <w:p w14:paraId="71854DB1">
            <w:pPr>
              <w:snapToGrid w:val="0"/>
              <w:spacing w:line="240" w:lineRule="exact"/>
              <w:jc w:val="left"/>
              <w:rPr>
                <w:rFonts w:ascii="宋体" w:hAnsi="宋体"/>
                <w:sz w:val="18"/>
              </w:rPr>
            </w:pPr>
          </w:p>
        </w:tc>
        <w:tc>
          <w:tcPr>
            <w:tcW w:w="5640" w:type="dxa"/>
            <w:tcBorders>
              <w:top w:val="single" w:color="auto" w:sz="4" w:space="0"/>
              <w:left w:val="single" w:color="auto" w:sz="4" w:space="0"/>
              <w:bottom w:val="single" w:color="auto" w:sz="4" w:space="0"/>
              <w:right w:val="single" w:color="auto" w:sz="4" w:space="0"/>
            </w:tcBorders>
          </w:tcPr>
          <w:p w14:paraId="13EAB03C">
            <w:pPr>
              <w:snapToGrid w:val="0"/>
              <w:spacing w:line="240" w:lineRule="exact"/>
              <w:jc w:val="left"/>
              <w:rPr>
                <w:rFonts w:ascii="宋体" w:hAnsi="宋体"/>
                <w:sz w:val="18"/>
              </w:rPr>
            </w:pPr>
          </w:p>
        </w:tc>
        <w:tc>
          <w:tcPr>
            <w:tcW w:w="3624" w:type="dxa"/>
            <w:tcBorders>
              <w:top w:val="single" w:color="auto" w:sz="4" w:space="0"/>
              <w:left w:val="single" w:color="auto" w:sz="4" w:space="0"/>
              <w:bottom w:val="single" w:color="auto" w:sz="4" w:space="0"/>
              <w:right w:val="single" w:color="auto" w:sz="4" w:space="0"/>
            </w:tcBorders>
          </w:tcPr>
          <w:p w14:paraId="6E670E82">
            <w:pPr>
              <w:snapToGrid w:val="0"/>
              <w:spacing w:line="240" w:lineRule="exact"/>
              <w:jc w:val="left"/>
              <w:rPr>
                <w:rFonts w:ascii="宋体" w:hAnsi="宋体"/>
                <w:sz w:val="18"/>
              </w:rPr>
            </w:pPr>
          </w:p>
        </w:tc>
      </w:tr>
      <w:tr w14:paraId="02087B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5" w:type="dxa"/>
            <w:tcBorders>
              <w:top w:val="single" w:color="auto" w:sz="4" w:space="0"/>
              <w:left w:val="single" w:color="auto" w:sz="4" w:space="0"/>
              <w:bottom w:val="single" w:color="auto" w:sz="4" w:space="0"/>
              <w:right w:val="single" w:color="auto" w:sz="4" w:space="0"/>
            </w:tcBorders>
          </w:tcPr>
          <w:p w14:paraId="477B5277">
            <w:pPr>
              <w:snapToGrid w:val="0"/>
              <w:spacing w:before="50" w:after="156" w:afterLines="50" w:line="400" w:lineRule="exact"/>
              <w:jc w:val="left"/>
              <w:rPr>
                <w:rFonts w:ascii="宋体" w:hAnsi="宋体"/>
                <w:sz w:val="24"/>
              </w:rPr>
            </w:pPr>
          </w:p>
        </w:tc>
        <w:tc>
          <w:tcPr>
            <w:tcW w:w="5640" w:type="dxa"/>
            <w:tcBorders>
              <w:top w:val="single" w:color="auto" w:sz="4" w:space="0"/>
              <w:left w:val="single" w:color="auto" w:sz="4" w:space="0"/>
              <w:bottom w:val="single" w:color="auto" w:sz="4" w:space="0"/>
              <w:right w:val="single" w:color="auto" w:sz="4" w:space="0"/>
            </w:tcBorders>
          </w:tcPr>
          <w:p w14:paraId="138FE5DE">
            <w:pPr>
              <w:snapToGrid w:val="0"/>
              <w:spacing w:before="50" w:after="156" w:afterLines="50" w:line="400" w:lineRule="exact"/>
              <w:jc w:val="left"/>
              <w:rPr>
                <w:rFonts w:ascii="宋体" w:hAnsi="宋体"/>
                <w:b/>
                <w:bCs/>
                <w:kern w:val="44"/>
                <w:sz w:val="24"/>
                <w:szCs w:val="44"/>
              </w:rPr>
            </w:pPr>
          </w:p>
        </w:tc>
        <w:tc>
          <w:tcPr>
            <w:tcW w:w="3624" w:type="dxa"/>
            <w:tcBorders>
              <w:top w:val="single" w:color="auto" w:sz="4" w:space="0"/>
              <w:left w:val="single" w:color="auto" w:sz="4" w:space="0"/>
              <w:bottom w:val="single" w:color="auto" w:sz="4" w:space="0"/>
              <w:right w:val="single" w:color="auto" w:sz="4" w:space="0"/>
            </w:tcBorders>
          </w:tcPr>
          <w:p w14:paraId="7D40BDC9">
            <w:pPr>
              <w:snapToGrid w:val="0"/>
              <w:spacing w:before="50" w:after="156" w:afterLines="50" w:line="400" w:lineRule="exact"/>
              <w:jc w:val="left"/>
              <w:rPr>
                <w:rFonts w:ascii="宋体" w:hAnsi="宋体"/>
                <w:b/>
                <w:bCs/>
                <w:kern w:val="44"/>
                <w:sz w:val="24"/>
                <w:szCs w:val="44"/>
              </w:rPr>
            </w:pPr>
          </w:p>
        </w:tc>
      </w:tr>
      <w:tr w14:paraId="7B8130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4615" w:type="dxa"/>
            <w:tcBorders>
              <w:top w:val="single" w:color="auto" w:sz="4" w:space="0"/>
              <w:left w:val="single" w:color="auto" w:sz="4" w:space="0"/>
              <w:bottom w:val="single" w:color="auto" w:sz="4" w:space="0"/>
              <w:right w:val="single" w:color="auto" w:sz="4" w:space="0"/>
            </w:tcBorders>
          </w:tcPr>
          <w:p w14:paraId="22DBD619">
            <w:pPr>
              <w:snapToGrid w:val="0"/>
              <w:spacing w:before="50" w:after="156" w:afterLines="50" w:line="400" w:lineRule="exact"/>
              <w:jc w:val="left"/>
              <w:rPr>
                <w:rFonts w:ascii="宋体" w:hAnsi="宋体"/>
                <w:sz w:val="24"/>
              </w:rPr>
            </w:pPr>
          </w:p>
        </w:tc>
        <w:tc>
          <w:tcPr>
            <w:tcW w:w="5640" w:type="dxa"/>
            <w:tcBorders>
              <w:top w:val="single" w:color="auto" w:sz="4" w:space="0"/>
              <w:left w:val="single" w:color="auto" w:sz="4" w:space="0"/>
              <w:bottom w:val="single" w:color="auto" w:sz="4" w:space="0"/>
              <w:right w:val="single" w:color="auto" w:sz="4" w:space="0"/>
            </w:tcBorders>
          </w:tcPr>
          <w:p w14:paraId="6918E67D">
            <w:pPr>
              <w:snapToGrid w:val="0"/>
              <w:spacing w:before="50" w:after="156" w:afterLines="50" w:line="400" w:lineRule="exact"/>
              <w:jc w:val="left"/>
              <w:rPr>
                <w:rFonts w:ascii="宋体" w:hAnsi="宋体"/>
                <w:b/>
                <w:bCs/>
                <w:kern w:val="44"/>
                <w:sz w:val="24"/>
                <w:szCs w:val="44"/>
              </w:rPr>
            </w:pPr>
          </w:p>
        </w:tc>
        <w:tc>
          <w:tcPr>
            <w:tcW w:w="3624" w:type="dxa"/>
            <w:tcBorders>
              <w:top w:val="single" w:color="auto" w:sz="4" w:space="0"/>
              <w:left w:val="single" w:color="auto" w:sz="4" w:space="0"/>
              <w:bottom w:val="single" w:color="auto" w:sz="4" w:space="0"/>
              <w:right w:val="single" w:color="auto" w:sz="4" w:space="0"/>
            </w:tcBorders>
          </w:tcPr>
          <w:p w14:paraId="786CDEB1">
            <w:pPr>
              <w:snapToGrid w:val="0"/>
              <w:spacing w:before="50" w:after="156" w:afterLines="50" w:line="400" w:lineRule="exact"/>
              <w:jc w:val="left"/>
              <w:rPr>
                <w:rFonts w:ascii="宋体" w:hAnsi="宋体"/>
                <w:b/>
                <w:bCs/>
                <w:kern w:val="44"/>
                <w:sz w:val="24"/>
                <w:szCs w:val="44"/>
              </w:rPr>
            </w:pPr>
          </w:p>
        </w:tc>
      </w:tr>
      <w:tr w14:paraId="20E796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5" w:type="dxa"/>
            <w:tcBorders>
              <w:top w:val="single" w:color="auto" w:sz="4" w:space="0"/>
              <w:left w:val="single" w:color="auto" w:sz="4" w:space="0"/>
              <w:bottom w:val="single" w:color="auto" w:sz="4" w:space="0"/>
              <w:right w:val="single" w:color="auto" w:sz="4" w:space="0"/>
            </w:tcBorders>
          </w:tcPr>
          <w:p w14:paraId="69BBC25A">
            <w:pPr>
              <w:snapToGrid w:val="0"/>
              <w:spacing w:before="50" w:after="156" w:afterLines="50" w:line="400" w:lineRule="exact"/>
              <w:jc w:val="left"/>
              <w:rPr>
                <w:rFonts w:ascii="宋体" w:hAnsi="宋体"/>
                <w:sz w:val="24"/>
              </w:rPr>
            </w:pPr>
          </w:p>
        </w:tc>
        <w:tc>
          <w:tcPr>
            <w:tcW w:w="5640" w:type="dxa"/>
            <w:tcBorders>
              <w:top w:val="single" w:color="auto" w:sz="4" w:space="0"/>
              <w:left w:val="single" w:color="auto" w:sz="4" w:space="0"/>
              <w:bottom w:val="single" w:color="auto" w:sz="4" w:space="0"/>
              <w:right w:val="single" w:color="auto" w:sz="4" w:space="0"/>
            </w:tcBorders>
          </w:tcPr>
          <w:p w14:paraId="355FC32A">
            <w:pPr>
              <w:snapToGrid w:val="0"/>
              <w:spacing w:before="50" w:after="156" w:afterLines="50" w:line="400" w:lineRule="exact"/>
              <w:jc w:val="left"/>
              <w:rPr>
                <w:rFonts w:ascii="宋体" w:hAnsi="宋体"/>
                <w:b/>
                <w:bCs/>
                <w:kern w:val="44"/>
                <w:sz w:val="24"/>
                <w:szCs w:val="44"/>
              </w:rPr>
            </w:pPr>
          </w:p>
        </w:tc>
        <w:tc>
          <w:tcPr>
            <w:tcW w:w="3624" w:type="dxa"/>
            <w:tcBorders>
              <w:top w:val="single" w:color="auto" w:sz="4" w:space="0"/>
              <w:left w:val="single" w:color="auto" w:sz="4" w:space="0"/>
              <w:bottom w:val="single" w:color="auto" w:sz="4" w:space="0"/>
              <w:right w:val="single" w:color="auto" w:sz="4" w:space="0"/>
            </w:tcBorders>
          </w:tcPr>
          <w:p w14:paraId="2559593F">
            <w:pPr>
              <w:snapToGrid w:val="0"/>
              <w:spacing w:before="50" w:after="156" w:afterLines="50" w:line="400" w:lineRule="exact"/>
              <w:jc w:val="left"/>
              <w:rPr>
                <w:rFonts w:ascii="宋体" w:hAnsi="宋体"/>
                <w:b/>
                <w:bCs/>
                <w:kern w:val="44"/>
                <w:sz w:val="24"/>
                <w:szCs w:val="44"/>
              </w:rPr>
            </w:pPr>
          </w:p>
        </w:tc>
      </w:tr>
      <w:tr w14:paraId="7716E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15" w:type="dxa"/>
            <w:tcBorders>
              <w:top w:val="single" w:color="auto" w:sz="4" w:space="0"/>
              <w:left w:val="single" w:color="auto" w:sz="4" w:space="0"/>
              <w:bottom w:val="single" w:color="auto" w:sz="4" w:space="0"/>
              <w:right w:val="single" w:color="auto" w:sz="4" w:space="0"/>
            </w:tcBorders>
          </w:tcPr>
          <w:p w14:paraId="68ADC37E">
            <w:pPr>
              <w:snapToGrid w:val="0"/>
              <w:spacing w:before="50" w:after="156" w:afterLines="50" w:line="400" w:lineRule="exact"/>
              <w:jc w:val="left"/>
              <w:rPr>
                <w:rFonts w:ascii="宋体" w:hAnsi="宋体"/>
                <w:sz w:val="24"/>
              </w:rPr>
            </w:pPr>
          </w:p>
        </w:tc>
        <w:tc>
          <w:tcPr>
            <w:tcW w:w="5640" w:type="dxa"/>
            <w:tcBorders>
              <w:top w:val="single" w:color="auto" w:sz="4" w:space="0"/>
              <w:left w:val="single" w:color="auto" w:sz="4" w:space="0"/>
              <w:bottom w:val="single" w:color="auto" w:sz="4" w:space="0"/>
              <w:right w:val="single" w:color="auto" w:sz="4" w:space="0"/>
            </w:tcBorders>
          </w:tcPr>
          <w:p w14:paraId="01EBF0B3">
            <w:pPr>
              <w:snapToGrid w:val="0"/>
              <w:spacing w:before="50" w:after="156" w:afterLines="50" w:line="400" w:lineRule="exact"/>
              <w:jc w:val="left"/>
              <w:rPr>
                <w:rFonts w:ascii="宋体" w:hAnsi="宋体"/>
                <w:b/>
                <w:bCs/>
                <w:kern w:val="44"/>
                <w:sz w:val="24"/>
                <w:szCs w:val="44"/>
              </w:rPr>
            </w:pPr>
          </w:p>
        </w:tc>
        <w:tc>
          <w:tcPr>
            <w:tcW w:w="3624" w:type="dxa"/>
            <w:tcBorders>
              <w:top w:val="single" w:color="auto" w:sz="4" w:space="0"/>
              <w:left w:val="single" w:color="auto" w:sz="4" w:space="0"/>
              <w:bottom w:val="single" w:color="auto" w:sz="4" w:space="0"/>
              <w:right w:val="single" w:color="auto" w:sz="4" w:space="0"/>
            </w:tcBorders>
          </w:tcPr>
          <w:p w14:paraId="42354A4E">
            <w:pPr>
              <w:snapToGrid w:val="0"/>
              <w:spacing w:before="50" w:after="156" w:afterLines="50" w:line="400" w:lineRule="exact"/>
              <w:jc w:val="left"/>
              <w:rPr>
                <w:rFonts w:ascii="宋体" w:hAnsi="宋体"/>
                <w:b/>
                <w:bCs/>
                <w:kern w:val="44"/>
                <w:sz w:val="24"/>
                <w:szCs w:val="44"/>
              </w:rPr>
            </w:pPr>
          </w:p>
        </w:tc>
      </w:tr>
    </w:tbl>
    <w:p w14:paraId="0A918B56">
      <w:pPr>
        <w:pStyle w:val="9"/>
        <w:snapToGrid w:val="0"/>
        <w:rPr>
          <w:rFonts w:ascii="宋体" w:hAnsi="宋体" w:eastAsia="宋体"/>
          <w:sz w:val="21"/>
        </w:rPr>
      </w:pPr>
    </w:p>
    <w:p w14:paraId="65653147">
      <w:pPr>
        <w:snapToGrid w:val="0"/>
        <w:spacing w:before="50" w:after="50"/>
        <w:rPr>
          <w:rFonts w:ascii="宋体" w:hAnsi="宋体"/>
          <w:spacing w:val="20"/>
        </w:rPr>
      </w:pPr>
      <w:r>
        <w:rPr>
          <w:rFonts w:hint="eastAsia" w:ascii="宋体" w:hAnsi="宋体"/>
          <w:b/>
          <w:spacing w:val="-4"/>
          <w:szCs w:val="21"/>
        </w:rPr>
        <w:t xml:space="preserve">投标人名称：（盖章）                                                      </w:t>
      </w:r>
    </w:p>
    <w:p w14:paraId="15CFA005">
      <w:pPr>
        <w:widowControl/>
        <w:ind w:firstLine="9580" w:firstLineChars="4544"/>
        <w:jc w:val="left"/>
        <w:rPr>
          <w:rFonts w:ascii="宋体" w:hAnsi="宋体"/>
          <w:sz w:val="30"/>
        </w:rPr>
      </w:pPr>
      <w:r>
        <w:rPr>
          <w:rFonts w:hint="eastAsia"/>
          <w:b/>
        </w:rPr>
        <w:t>日期：</w:t>
      </w:r>
    </w:p>
    <w:p w14:paraId="53D7F7D6">
      <w:pPr>
        <w:widowControl/>
        <w:jc w:val="left"/>
        <w:rPr>
          <w:rFonts w:ascii="宋体" w:hAnsi="宋体"/>
          <w:kern w:val="0"/>
          <w:sz w:val="30"/>
        </w:rPr>
        <w:sectPr>
          <w:pgSz w:w="16838" w:h="11906" w:orient="landscape"/>
          <w:pgMar w:top="1418" w:right="1361" w:bottom="924" w:left="1134" w:header="851" w:footer="992" w:gutter="0"/>
          <w:cols w:space="720" w:num="1"/>
          <w:docGrid w:type="lines" w:linePitch="312" w:charSpace="0"/>
        </w:sectPr>
      </w:pPr>
    </w:p>
    <w:p w14:paraId="5B3AF645">
      <w:pPr>
        <w:pStyle w:val="12"/>
        <w:snapToGrid w:val="0"/>
        <w:spacing w:before="120"/>
        <w:rPr>
          <w:rFonts w:asciiTheme="minorEastAsia" w:hAnsiTheme="minorEastAsia" w:eastAsiaTheme="minorEastAsia"/>
          <w:b/>
          <w:sz w:val="28"/>
          <w:szCs w:val="28"/>
        </w:rPr>
      </w:pPr>
      <w:r>
        <w:rPr>
          <w:rFonts w:hint="eastAsia" w:asciiTheme="minorEastAsia" w:hAnsiTheme="minorEastAsia" w:eastAsiaTheme="minorEastAsia"/>
          <w:b/>
          <w:sz w:val="28"/>
          <w:szCs w:val="28"/>
        </w:rPr>
        <w:t>十</w:t>
      </w:r>
      <w:r>
        <w:rPr>
          <w:rFonts w:hint="eastAsia" w:asciiTheme="minorEastAsia" w:hAnsiTheme="minorEastAsia" w:eastAsiaTheme="minorEastAsia"/>
          <w:b/>
          <w:sz w:val="28"/>
          <w:szCs w:val="28"/>
          <w:lang w:val="en-US" w:eastAsia="zh-CN"/>
        </w:rPr>
        <w:t>一</w:t>
      </w:r>
      <w:r>
        <w:rPr>
          <w:rFonts w:hint="eastAsia" w:asciiTheme="minorEastAsia" w:hAnsiTheme="minorEastAsia" w:eastAsiaTheme="minorEastAsia"/>
          <w:b/>
          <w:sz w:val="28"/>
          <w:szCs w:val="28"/>
        </w:rPr>
        <w:t>、 项目实施人员（主要从业人员及其技术资格）一览表</w:t>
      </w:r>
    </w:p>
    <w:p w14:paraId="6857EB46">
      <w:pPr>
        <w:snapToGrid w:val="0"/>
        <w:spacing w:before="156" w:beforeLines="50" w:after="50"/>
        <w:jc w:val="center"/>
        <w:rPr>
          <w:rFonts w:ascii="宋体" w:hAnsi="宋体"/>
          <w:b/>
          <w:sz w:val="22"/>
        </w:rPr>
      </w:pPr>
    </w:p>
    <w:p w14:paraId="689E38F3">
      <w:pPr>
        <w:rPr>
          <w:rFonts w:ascii="宋体" w:hAnsi="宋体"/>
        </w:rPr>
      </w:pPr>
    </w:p>
    <w:p w14:paraId="187B310A">
      <w:pPr>
        <w:rPr>
          <w:rFonts w:ascii="宋体" w:hAnsi="宋体"/>
        </w:rPr>
      </w:pPr>
      <w:r>
        <w:rPr>
          <w:rFonts w:hint="eastAsia" w:ascii="宋体" w:hAnsi="宋体"/>
        </w:rPr>
        <w:t>项目名称：</w:t>
      </w:r>
    </w:p>
    <w:p w14:paraId="271F378C">
      <w:pPr>
        <w:snapToGrid w:val="0"/>
        <w:spacing w:line="360" w:lineRule="auto"/>
        <w:rPr>
          <w:rFonts w:ascii="宋体"/>
        </w:rPr>
      </w:pPr>
      <w:r>
        <w:rPr>
          <w:rFonts w:hint="eastAsia" w:ascii="宋体" w:hAnsi="宋体"/>
        </w:rPr>
        <w:t>项目编号：</w:t>
      </w:r>
    </w:p>
    <w:tbl>
      <w:tblPr>
        <w:tblStyle w:val="29"/>
        <w:tblW w:w="8364"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74"/>
        <w:gridCol w:w="1004"/>
        <w:gridCol w:w="1663"/>
        <w:gridCol w:w="1260"/>
        <w:gridCol w:w="2663"/>
      </w:tblGrid>
      <w:tr w14:paraId="520B40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vAlign w:val="center"/>
          </w:tcPr>
          <w:p w14:paraId="504BB39C">
            <w:pPr>
              <w:snapToGrid w:val="0"/>
              <w:spacing w:before="156" w:beforeLines="50" w:after="50"/>
              <w:jc w:val="center"/>
              <w:rPr>
                <w:rFonts w:ascii="宋体" w:hAnsi="宋体"/>
              </w:rPr>
            </w:pPr>
            <w:r>
              <w:rPr>
                <w:rFonts w:hint="eastAsia" w:ascii="宋体" w:hAnsi="宋体"/>
              </w:rPr>
              <w:t>编号</w:t>
            </w:r>
          </w:p>
        </w:tc>
        <w:tc>
          <w:tcPr>
            <w:tcW w:w="1004" w:type="dxa"/>
            <w:tcBorders>
              <w:top w:val="single" w:color="auto" w:sz="4" w:space="0"/>
              <w:left w:val="single" w:color="auto" w:sz="4" w:space="0"/>
              <w:bottom w:val="single" w:color="auto" w:sz="4" w:space="0"/>
              <w:right w:val="single" w:color="auto" w:sz="4" w:space="0"/>
            </w:tcBorders>
            <w:vAlign w:val="center"/>
          </w:tcPr>
          <w:p w14:paraId="7784C55C">
            <w:pPr>
              <w:snapToGrid w:val="0"/>
              <w:spacing w:before="156" w:beforeLines="50" w:after="50"/>
              <w:jc w:val="center"/>
              <w:rPr>
                <w:rFonts w:ascii="宋体" w:hAnsi="宋体"/>
              </w:rPr>
            </w:pPr>
            <w:r>
              <w:rPr>
                <w:rFonts w:hint="eastAsia" w:ascii="宋体" w:hAnsi="宋体"/>
              </w:rPr>
              <w:t>姓名</w:t>
            </w:r>
          </w:p>
        </w:tc>
        <w:tc>
          <w:tcPr>
            <w:tcW w:w="1663" w:type="dxa"/>
            <w:tcBorders>
              <w:top w:val="single" w:color="auto" w:sz="4" w:space="0"/>
              <w:left w:val="single" w:color="auto" w:sz="4" w:space="0"/>
              <w:bottom w:val="single" w:color="auto" w:sz="4" w:space="0"/>
              <w:right w:val="single" w:color="auto" w:sz="4" w:space="0"/>
            </w:tcBorders>
            <w:vAlign w:val="center"/>
          </w:tcPr>
          <w:p w14:paraId="5FE3AA50">
            <w:pPr>
              <w:snapToGrid w:val="0"/>
              <w:spacing w:before="156" w:beforeLines="50" w:after="50"/>
              <w:jc w:val="center"/>
              <w:rPr>
                <w:rFonts w:ascii="宋体" w:hAnsi="宋体"/>
              </w:rPr>
            </w:pPr>
            <w:r>
              <w:rPr>
                <w:rFonts w:hint="eastAsia" w:ascii="宋体" w:hAnsi="宋体"/>
              </w:rPr>
              <w:t>职务</w:t>
            </w:r>
          </w:p>
        </w:tc>
        <w:tc>
          <w:tcPr>
            <w:tcW w:w="1260" w:type="dxa"/>
            <w:tcBorders>
              <w:top w:val="single" w:color="auto" w:sz="4" w:space="0"/>
              <w:left w:val="single" w:color="auto" w:sz="4" w:space="0"/>
              <w:bottom w:val="single" w:color="auto" w:sz="4" w:space="0"/>
              <w:right w:val="single" w:color="auto" w:sz="4" w:space="0"/>
            </w:tcBorders>
            <w:vAlign w:val="center"/>
          </w:tcPr>
          <w:p w14:paraId="5A70FC9B">
            <w:pPr>
              <w:snapToGrid w:val="0"/>
              <w:spacing w:before="156" w:beforeLines="50" w:after="50"/>
              <w:jc w:val="center"/>
              <w:rPr>
                <w:rFonts w:ascii="宋体" w:hAnsi="宋体"/>
              </w:rPr>
            </w:pPr>
            <w:r>
              <w:rPr>
                <w:rFonts w:hint="eastAsia" w:ascii="宋体" w:hAnsi="宋体"/>
              </w:rPr>
              <w:t>性别</w:t>
            </w:r>
          </w:p>
        </w:tc>
        <w:tc>
          <w:tcPr>
            <w:tcW w:w="2663" w:type="dxa"/>
            <w:tcBorders>
              <w:top w:val="single" w:color="auto" w:sz="4" w:space="0"/>
              <w:left w:val="single" w:color="auto" w:sz="4" w:space="0"/>
              <w:bottom w:val="single" w:color="auto" w:sz="4" w:space="0"/>
              <w:right w:val="single" w:color="auto" w:sz="4" w:space="0"/>
            </w:tcBorders>
            <w:vAlign w:val="center"/>
          </w:tcPr>
          <w:p w14:paraId="343D4DFE">
            <w:pPr>
              <w:snapToGrid w:val="0"/>
              <w:spacing w:before="156" w:beforeLines="50" w:after="50"/>
              <w:jc w:val="center"/>
              <w:rPr>
                <w:rFonts w:ascii="宋体" w:hAnsi="宋体"/>
              </w:rPr>
            </w:pPr>
            <w:r>
              <w:rPr>
                <w:rFonts w:hint="eastAsia" w:ascii="宋体" w:hAnsi="宋体"/>
              </w:rPr>
              <w:t>年龄</w:t>
            </w:r>
          </w:p>
        </w:tc>
      </w:tr>
      <w:tr w14:paraId="7D4C1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5D37042C">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4731B05C">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5A91FE4F">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0149FEAB">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7860B637">
            <w:pPr>
              <w:snapToGrid w:val="0"/>
              <w:spacing w:before="156" w:beforeLines="50" w:after="50"/>
              <w:rPr>
                <w:rFonts w:ascii="宋体" w:hAnsi="宋体"/>
                <w:sz w:val="24"/>
              </w:rPr>
            </w:pPr>
          </w:p>
        </w:tc>
      </w:tr>
      <w:tr w14:paraId="6ABD79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36E6DA94">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5368C03B">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3DE71F48">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004F89C9">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308F7296">
            <w:pPr>
              <w:snapToGrid w:val="0"/>
              <w:spacing w:before="156" w:beforeLines="50" w:after="50"/>
              <w:rPr>
                <w:rFonts w:ascii="宋体" w:hAnsi="宋体"/>
                <w:sz w:val="24"/>
              </w:rPr>
            </w:pPr>
          </w:p>
        </w:tc>
      </w:tr>
      <w:tr w14:paraId="5F6965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06933E81">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74629AFE">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3E6EC864">
            <w:pPr>
              <w:pStyle w:val="13"/>
              <w:snapToGrid w:val="0"/>
              <w:spacing w:before="156" w:beforeLines="50" w:after="50"/>
              <w:ind w:left="5250"/>
              <w:rPr>
                <w:rFonts w:ascii="宋体" w:hAnsi="宋体" w:eastAsia="宋体"/>
                <w:kern w:val="2"/>
                <w:sz w:val="24"/>
              </w:rPr>
            </w:pPr>
          </w:p>
        </w:tc>
        <w:tc>
          <w:tcPr>
            <w:tcW w:w="1260" w:type="dxa"/>
            <w:tcBorders>
              <w:top w:val="single" w:color="auto" w:sz="4" w:space="0"/>
              <w:left w:val="single" w:color="auto" w:sz="4" w:space="0"/>
              <w:bottom w:val="single" w:color="auto" w:sz="4" w:space="0"/>
              <w:right w:val="single" w:color="auto" w:sz="4" w:space="0"/>
            </w:tcBorders>
          </w:tcPr>
          <w:p w14:paraId="2C4A147C">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3E5D00B7">
            <w:pPr>
              <w:snapToGrid w:val="0"/>
              <w:spacing w:before="156" w:beforeLines="50" w:after="50"/>
              <w:rPr>
                <w:rFonts w:ascii="宋体" w:hAnsi="宋体"/>
                <w:sz w:val="24"/>
              </w:rPr>
            </w:pPr>
          </w:p>
        </w:tc>
      </w:tr>
      <w:tr w14:paraId="7926C0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07DB882B">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265AF4AF">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75C73809">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0E815376">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161C9D07">
            <w:pPr>
              <w:snapToGrid w:val="0"/>
              <w:spacing w:before="156" w:beforeLines="50" w:after="50"/>
              <w:rPr>
                <w:rFonts w:ascii="宋体" w:hAnsi="宋体"/>
                <w:sz w:val="24"/>
              </w:rPr>
            </w:pPr>
          </w:p>
        </w:tc>
      </w:tr>
      <w:tr w14:paraId="710973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2CDAAB12">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25244D5F">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610F7BF8">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39BFE70A">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016B26E8">
            <w:pPr>
              <w:snapToGrid w:val="0"/>
              <w:spacing w:before="156" w:beforeLines="50" w:after="50"/>
              <w:rPr>
                <w:rFonts w:ascii="宋体" w:hAnsi="宋体"/>
                <w:sz w:val="24"/>
              </w:rPr>
            </w:pPr>
          </w:p>
        </w:tc>
      </w:tr>
      <w:tr w14:paraId="78BACC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5021D55A">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18BA0E8E">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256513D3">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4A827B0B">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3B636C44">
            <w:pPr>
              <w:snapToGrid w:val="0"/>
              <w:spacing w:before="156" w:beforeLines="50" w:after="50"/>
              <w:rPr>
                <w:rFonts w:ascii="宋体" w:hAnsi="宋体"/>
                <w:sz w:val="24"/>
              </w:rPr>
            </w:pPr>
          </w:p>
        </w:tc>
      </w:tr>
      <w:tr w14:paraId="189344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6F2E0815">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05B7FAB4">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14CAD586">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0ED0E73E">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5FBC2FAF">
            <w:pPr>
              <w:snapToGrid w:val="0"/>
              <w:spacing w:before="156" w:beforeLines="50" w:after="50"/>
              <w:rPr>
                <w:rFonts w:ascii="宋体" w:hAnsi="宋体"/>
                <w:sz w:val="24"/>
              </w:rPr>
            </w:pPr>
          </w:p>
        </w:tc>
      </w:tr>
      <w:tr w14:paraId="249587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2A455754">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1A8D548D">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6FEF27E5">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7B34947D">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6E08966F">
            <w:pPr>
              <w:snapToGrid w:val="0"/>
              <w:spacing w:before="156" w:beforeLines="50" w:after="50"/>
              <w:rPr>
                <w:rFonts w:ascii="宋体" w:hAnsi="宋体"/>
                <w:sz w:val="24"/>
              </w:rPr>
            </w:pPr>
          </w:p>
        </w:tc>
      </w:tr>
      <w:tr w14:paraId="568382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774" w:type="dxa"/>
            <w:tcBorders>
              <w:top w:val="single" w:color="auto" w:sz="4" w:space="0"/>
              <w:left w:val="single" w:color="auto" w:sz="4" w:space="0"/>
              <w:bottom w:val="single" w:color="auto" w:sz="4" w:space="0"/>
              <w:right w:val="single" w:color="auto" w:sz="4" w:space="0"/>
            </w:tcBorders>
          </w:tcPr>
          <w:p w14:paraId="1D402968">
            <w:pPr>
              <w:snapToGrid w:val="0"/>
              <w:spacing w:before="156" w:beforeLines="50" w:after="50"/>
              <w:rPr>
                <w:rFonts w:ascii="宋体" w:hAnsi="宋体"/>
                <w:sz w:val="24"/>
              </w:rPr>
            </w:pPr>
          </w:p>
        </w:tc>
        <w:tc>
          <w:tcPr>
            <w:tcW w:w="1004" w:type="dxa"/>
            <w:tcBorders>
              <w:top w:val="single" w:color="auto" w:sz="4" w:space="0"/>
              <w:left w:val="single" w:color="auto" w:sz="4" w:space="0"/>
              <w:bottom w:val="single" w:color="auto" w:sz="4" w:space="0"/>
              <w:right w:val="single" w:color="auto" w:sz="4" w:space="0"/>
            </w:tcBorders>
          </w:tcPr>
          <w:p w14:paraId="4819BD93">
            <w:pPr>
              <w:snapToGrid w:val="0"/>
              <w:spacing w:before="156" w:beforeLines="50" w:after="50"/>
              <w:rPr>
                <w:rFonts w:ascii="宋体" w:hAnsi="宋体"/>
                <w:sz w:val="24"/>
              </w:rPr>
            </w:pPr>
          </w:p>
        </w:tc>
        <w:tc>
          <w:tcPr>
            <w:tcW w:w="1663" w:type="dxa"/>
            <w:tcBorders>
              <w:top w:val="single" w:color="auto" w:sz="4" w:space="0"/>
              <w:left w:val="single" w:color="auto" w:sz="4" w:space="0"/>
              <w:bottom w:val="single" w:color="auto" w:sz="4" w:space="0"/>
              <w:right w:val="single" w:color="auto" w:sz="4" w:space="0"/>
            </w:tcBorders>
          </w:tcPr>
          <w:p w14:paraId="018F87DE">
            <w:pPr>
              <w:snapToGrid w:val="0"/>
              <w:spacing w:before="156" w:beforeLines="50" w:after="50"/>
              <w:rPr>
                <w:rFonts w:ascii="宋体" w:hAnsi="宋体"/>
                <w:sz w:val="24"/>
              </w:rPr>
            </w:pPr>
          </w:p>
        </w:tc>
        <w:tc>
          <w:tcPr>
            <w:tcW w:w="1260" w:type="dxa"/>
            <w:tcBorders>
              <w:top w:val="single" w:color="auto" w:sz="4" w:space="0"/>
              <w:left w:val="single" w:color="auto" w:sz="4" w:space="0"/>
              <w:bottom w:val="single" w:color="auto" w:sz="4" w:space="0"/>
              <w:right w:val="single" w:color="auto" w:sz="4" w:space="0"/>
            </w:tcBorders>
          </w:tcPr>
          <w:p w14:paraId="7CF0B96D">
            <w:pPr>
              <w:snapToGrid w:val="0"/>
              <w:spacing w:before="156" w:beforeLines="50" w:after="50"/>
              <w:rPr>
                <w:rFonts w:ascii="宋体" w:hAnsi="宋体"/>
                <w:sz w:val="24"/>
              </w:rPr>
            </w:pPr>
          </w:p>
        </w:tc>
        <w:tc>
          <w:tcPr>
            <w:tcW w:w="2663" w:type="dxa"/>
            <w:tcBorders>
              <w:top w:val="single" w:color="auto" w:sz="4" w:space="0"/>
              <w:left w:val="single" w:color="auto" w:sz="4" w:space="0"/>
              <w:bottom w:val="single" w:color="auto" w:sz="4" w:space="0"/>
              <w:right w:val="single" w:color="auto" w:sz="4" w:space="0"/>
            </w:tcBorders>
          </w:tcPr>
          <w:p w14:paraId="017ED326">
            <w:pPr>
              <w:snapToGrid w:val="0"/>
              <w:spacing w:before="156" w:beforeLines="50" w:after="50"/>
              <w:rPr>
                <w:rFonts w:ascii="宋体" w:hAnsi="宋体"/>
                <w:sz w:val="24"/>
              </w:rPr>
            </w:pPr>
          </w:p>
        </w:tc>
      </w:tr>
    </w:tbl>
    <w:p w14:paraId="2F8541D9">
      <w:pPr>
        <w:snapToGrid w:val="0"/>
        <w:spacing w:before="50" w:after="156" w:afterLines="50"/>
        <w:jc w:val="left"/>
        <w:rPr>
          <w:rFonts w:ascii="宋体" w:hAnsi="宋体"/>
        </w:rPr>
      </w:pPr>
      <w:r>
        <w:rPr>
          <w:rFonts w:hint="eastAsia" w:ascii="宋体" w:hAnsi="宋体"/>
        </w:rPr>
        <w:t>注：在填写时，如本表格不适合投标单位的实际情况，可根据本表格式自行划表填写</w:t>
      </w:r>
    </w:p>
    <w:p w14:paraId="0CBB39BD">
      <w:pPr>
        <w:snapToGrid w:val="0"/>
        <w:spacing w:before="50" w:after="156" w:afterLines="50"/>
        <w:jc w:val="left"/>
        <w:rPr>
          <w:rFonts w:ascii="宋体" w:hAnsi="宋体"/>
        </w:rPr>
      </w:pPr>
    </w:p>
    <w:p w14:paraId="7D3675AD">
      <w:pPr>
        <w:snapToGrid w:val="0"/>
        <w:spacing w:before="50" w:after="156" w:afterLines="50"/>
        <w:jc w:val="left"/>
        <w:rPr>
          <w:rFonts w:ascii="宋体" w:hAnsi="宋体"/>
        </w:rPr>
      </w:pPr>
    </w:p>
    <w:p w14:paraId="0045AF6D">
      <w:pPr>
        <w:snapToGrid w:val="0"/>
        <w:spacing w:before="50" w:after="50"/>
        <w:rPr>
          <w:rFonts w:ascii="宋体" w:hAnsi="宋体"/>
          <w:b/>
          <w:spacing w:val="-4"/>
          <w:szCs w:val="21"/>
        </w:rPr>
      </w:pPr>
      <w:r>
        <w:rPr>
          <w:rFonts w:hint="eastAsia" w:ascii="宋体" w:hAnsi="宋体"/>
          <w:b/>
          <w:spacing w:val="-4"/>
          <w:szCs w:val="21"/>
        </w:rPr>
        <w:t xml:space="preserve">投标人名称（盖章） </w:t>
      </w:r>
    </w:p>
    <w:p w14:paraId="4F503163">
      <w:pPr>
        <w:snapToGrid w:val="0"/>
        <w:spacing w:before="50" w:after="50"/>
        <w:rPr>
          <w:rFonts w:ascii="宋体" w:hAnsi="宋体"/>
          <w:b/>
          <w:spacing w:val="-4"/>
          <w:szCs w:val="21"/>
        </w:rPr>
      </w:pPr>
    </w:p>
    <w:p w14:paraId="640FFAFD">
      <w:pPr>
        <w:snapToGrid w:val="0"/>
        <w:spacing w:before="50" w:after="156" w:afterLines="50"/>
        <w:jc w:val="left"/>
        <w:rPr>
          <w:rFonts w:ascii="宋体" w:hAnsi="宋体"/>
          <w:sz w:val="24"/>
        </w:rPr>
      </w:pPr>
      <w:r>
        <w:rPr>
          <w:rFonts w:hint="eastAsia"/>
          <w:b/>
        </w:rPr>
        <w:t>日期：</w:t>
      </w:r>
    </w:p>
    <w:p w14:paraId="68295D2A">
      <w:pPr>
        <w:snapToGrid w:val="0"/>
        <w:spacing w:before="50" w:after="156" w:afterLines="50"/>
        <w:jc w:val="left"/>
        <w:rPr>
          <w:rFonts w:ascii="宋体" w:hAnsi="宋体"/>
          <w:sz w:val="24"/>
        </w:rPr>
      </w:pPr>
    </w:p>
    <w:p w14:paraId="29D9A5AD">
      <w:pPr>
        <w:snapToGrid w:val="0"/>
        <w:spacing w:before="156" w:beforeLines="50" w:after="50"/>
        <w:jc w:val="center"/>
        <w:rPr>
          <w:rFonts w:ascii="宋体" w:hAnsi="宋体"/>
          <w:b/>
          <w:sz w:val="22"/>
        </w:rPr>
      </w:pPr>
    </w:p>
    <w:p w14:paraId="41945898">
      <w:pPr>
        <w:snapToGrid w:val="0"/>
        <w:spacing w:before="156" w:beforeLines="50" w:after="50"/>
        <w:rPr>
          <w:rFonts w:ascii="宋体" w:hAnsi="宋体"/>
          <w:b/>
          <w:color w:val="FF0000"/>
          <w:sz w:val="22"/>
        </w:rPr>
      </w:pPr>
    </w:p>
    <w:p w14:paraId="44684B60">
      <w:pPr>
        <w:snapToGrid w:val="0"/>
        <w:spacing w:before="156" w:beforeLines="50" w:after="50"/>
        <w:rPr>
          <w:rFonts w:ascii="宋体" w:hAnsi="宋体"/>
          <w:b/>
          <w:sz w:val="22"/>
        </w:rPr>
      </w:pPr>
    </w:p>
    <w:p w14:paraId="238BB4C3">
      <w:pPr>
        <w:spacing w:line="360" w:lineRule="auto"/>
        <w:rPr>
          <w:rFonts w:cs="仿宋_GB2312" w:asciiTheme="minorEastAsia" w:hAnsiTheme="minorEastAsia" w:eastAsiaTheme="minorEastAsia"/>
          <w:b/>
          <w:bCs/>
          <w:sz w:val="30"/>
          <w:szCs w:val="30"/>
        </w:rPr>
      </w:pPr>
    </w:p>
    <w:p w14:paraId="07EC178B">
      <w:pPr>
        <w:spacing w:line="360" w:lineRule="auto"/>
        <w:rPr>
          <w:rFonts w:cs="仿宋_GB2312" w:asciiTheme="minorEastAsia" w:hAnsiTheme="minorEastAsia" w:eastAsiaTheme="minorEastAsia"/>
          <w:b/>
          <w:bCs/>
          <w:sz w:val="30"/>
          <w:szCs w:val="30"/>
        </w:rPr>
      </w:pPr>
    </w:p>
    <w:p w14:paraId="3F1C2555">
      <w:pPr>
        <w:spacing w:line="360" w:lineRule="auto"/>
        <w:rPr>
          <w:rFonts w:cs="仿宋_GB2312" w:asciiTheme="minorEastAsia" w:hAnsiTheme="minorEastAsia" w:eastAsiaTheme="minorEastAsia"/>
          <w:b/>
          <w:bCs/>
          <w:sz w:val="30"/>
          <w:szCs w:val="30"/>
        </w:rPr>
      </w:pPr>
    </w:p>
    <w:p w14:paraId="2BEBF2A1">
      <w:pPr>
        <w:spacing w:line="360" w:lineRule="auto"/>
        <w:rPr>
          <w:rFonts w:cs="仿宋_GB2312" w:asciiTheme="minorEastAsia" w:hAnsiTheme="minorEastAsia" w:eastAsiaTheme="minorEastAsia"/>
          <w:b/>
          <w:bCs/>
          <w:sz w:val="30"/>
          <w:szCs w:val="30"/>
        </w:rPr>
      </w:pPr>
    </w:p>
    <w:p w14:paraId="72C53512">
      <w:pPr>
        <w:pStyle w:val="2"/>
      </w:pPr>
      <w:r>
        <w:rPr>
          <w:rFonts w:hint="eastAsia"/>
        </w:rPr>
        <w:t xml:space="preserve"> </w:t>
      </w:r>
    </w:p>
    <w:p w14:paraId="6B69258F">
      <w:pPr>
        <w:pStyle w:val="2"/>
        <w:jc w:val="center"/>
        <w:rPr>
          <w:rFonts w:ascii="宋体" w:hAnsi="宋体"/>
          <w:b/>
          <w:sz w:val="30"/>
          <w:szCs w:val="30"/>
        </w:rPr>
      </w:pPr>
      <w:r>
        <w:rPr>
          <w:rFonts w:hint="eastAsia"/>
          <w:sz w:val="28"/>
          <w:szCs w:val="28"/>
        </w:rPr>
        <w:t>十</w:t>
      </w:r>
      <w:r>
        <w:rPr>
          <w:rFonts w:hint="eastAsia"/>
          <w:sz w:val="28"/>
          <w:szCs w:val="28"/>
          <w:lang w:val="en-US" w:eastAsia="zh-CN"/>
        </w:rPr>
        <w:t>二</w:t>
      </w:r>
      <w:r>
        <w:rPr>
          <w:rFonts w:hint="eastAsia"/>
          <w:sz w:val="28"/>
          <w:szCs w:val="28"/>
        </w:rPr>
        <w:t>、</w:t>
      </w:r>
      <w:r>
        <w:rPr>
          <w:rFonts w:hint="eastAsia" w:ascii="宋体" w:hAnsi="宋体"/>
          <w:b/>
          <w:sz w:val="30"/>
          <w:szCs w:val="30"/>
        </w:rPr>
        <w:t>技术响应表格式</w:t>
      </w:r>
    </w:p>
    <w:p w14:paraId="0E9E0226">
      <w:pPr>
        <w:rPr>
          <w:rFonts w:ascii="宋体" w:hAnsi="宋体"/>
        </w:rPr>
      </w:pPr>
    </w:p>
    <w:p w14:paraId="51D15541">
      <w:pPr>
        <w:rPr>
          <w:rFonts w:ascii="宋体" w:hAnsi="宋体"/>
        </w:rPr>
      </w:pPr>
      <w:r>
        <w:rPr>
          <w:rFonts w:hint="eastAsia" w:ascii="宋体" w:hAnsi="宋体"/>
        </w:rPr>
        <w:t>项目名称：</w:t>
      </w:r>
    </w:p>
    <w:p w14:paraId="6712CFDB">
      <w:pPr>
        <w:snapToGrid w:val="0"/>
        <w:spacing w:before="50" w:after="50"/>
        <w:rPr>
          <w:rFonts w:ascii="宋体" w:hAnsi="宋体"/>
          <w:b/>
          <w:spacing w:val="20"/>
          <w:sz w:val="24"/>
        </w:rPr>
      </w:pPr>
      <w:r>
        <w:rPr>
          <w:rFonts w:hint="eastAsia" w:ascii="宋体" w:hAnsi="宋体"/>
        </w:rPr>
        <w:t>项目编号：</w:t>
      </w:r>
    </w:p>
    <w:tbl>
      <w:tblPr>
        <w:tblStyle w:val="29"/>
        <w:tblW w:w="50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1675"/>
        <w:gridCol w:w="2101"/>
        <w:gridCol w:w="2101"/>
        <w:gridCol w:w="2256"/>
      </w:tblGrid>
      <w:tr w14:paraId="40A4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585" w:type="pct"/>
            <w:vAlign w:val="center"/>
          </w:tcPr>
          <w:p w14:paraId="082DD6C6">
            <w:pPr>
              <w:widowControl/>
              <w:spacing w:line="360" w:lineRule="auto"/>
              <w:jc w:val="center"/>
              <w:textAlignment w:val="center"/>
              <w:rPr>
                <w:rFonts w:ascii="宋体" w:hAnsi="宋体" w:cs="宋体"/>
                <w:b/>
                <w:szCs w:val="21"/>
              </w:rPr>
            </w:pPr>
            <w:r>
              <w:rPr>
                <w:rFonts w:hint="eastAsia" w:ascii="宋体" w:hAnsi="宋体" w:cs="宋体"/>
                <w:b/>
                <w:bCs/>
                <w:color w:val="000000"/>
                <w:kern w:val="0"/>
                <w:szCs w:val="21"/>
                <w:lang w:bidi="ar"/>
              </w:rPr>
              <w:t>序号</w:t>
            </w:r>
          </w:p>
        </w:tc>
        <w:tc>
          <w:tcPr>
            <w:tcW w:w="909" w:type="pct"/>
            <w:vAlign w:val="center"/>
          </w:tcPr>
          <w:p w14:paraId="59411723">
            <w:pPr>
              <w:widowControl/>
              <w:spacing w:line="360" w:lineRule="auto"/>
              <w:jc w:val="center"/>
              <w:textAlignment w:val="center"/>
              <w:rPr>
                <w:rFonts w:ascii="宋体" w:hAnsi="宋体" w:cs="宋体"/>
                <w:b/>
                <w:szCs w:val="21"/>
              </w:rPr>
            </w:pPr>
            <w:r>
              <w:rPr>
                <w:rFonts w:hint="eastAsia" w:ascii="宋体" w:hAnsi="宋体" w:cs="宋体"/>
                <w:b/>
                <w:bCs/>
                <w:szCs w:val="21"/>
              </w:rPr>
              <w:t>服务内容/设备名称</w:t>
            </w:r>
          </w:p>
        </w:tc>
        <w:tc>
          <w:tcPr>
            <w:tcW w:w="1140" w:type="pct"/>
            <w:vAlign w:val="center"/>
          </w:tcPr>
          <w:p w14:paraId="35409FFF">
            <w:pPr>
              <w:autoSpaceDE w:val="0"/>
              <w:autoSpaceDN w:val="0"/>
              <w:spacing w:line="360" w:lineRule="auto"/>
              <w:jc w:val="center"/>
              <w:rPr>
                <w:rFonts w:ascii="宋体" w:hAnsi="宋体" w:cs="宋体"/>
                <w:b/>
                <w:szCs w:val="21"/>
              </w:rPr>
            </w:pPr>
            <w:r>
              <w:rPr>
                <w:rFonts w:hint="eastAsia" w:ascii="宋体" w:hAnsi="宋体" w:cs="宋体"/>
                <w:b/>
                <w:szCs w:val="21"/>
              </w:rPr>
              <w:t>招标文件所需技术参数</w:t>
            </w:r>
          </w:p>
        </w:tc>
        <w:tc>
          <w:tcPr>
            <w:tcW w:w="1140" w:type="pct"/>
            <w:vAlign w:val="center"/>
          </w:tcPr>
          <w:p w14:paraId="147C6DFE">
            <w:pPr>
              <w:autoSpaceDE w:val="0"/>
              <w:autoSpaceDN w:val="0"/>
              <w:spacing w:line="360" w:lineRule="auto"/>
              <w:jc w:val="center"/>
              <w:rPr>
                <w:rFonts w:ascii="宋体" w:hAnsi="宋体" w:cs="宋体"/>
                <w:b/>
                <w:szCs w:val="21"/>
              </w:rPr>
            </w:pPr>
            <w:r>
              <w:rPr>
                <w:rFonts w:hint="eastAsia" w:ascii="宋体" w:hAnsi="宋体" w:cs="宋体"/>
                <w:b/>
                <w:szCs w:val="21"/>
              </w:rPr>
              <w:t>所投技术参数</w:t>
            </w:r>
          </w:p>
          <w:p w14:paraId="79E0E773">
            <w:pPr>
              <w:autoSpaceDE w:val="0"/>
              <w:autoSpaceDN w:val="0"/>
              <w:spacing w:line="360" w:lineRule="auto"/>
              <w:jc w:val="center"/>
              <w:rPr>
                <w:rFonts w:ascii="宋体" w:hAnsi="宋体" w:cs="宋体"/>
                <w:b/>
                <w:szCs w:val="21"/>
              </w:rPr>
            </w:pPr>
            <w:r>
              <w:rPr>
                <w:rFonts w:hint="eastAsia" w:ascii="宋体" w:hAnsi="宋体" w:cs="宋体"/>
                <w:b/>
                <w:szCs w:val="21"/>
              </w:rPr>
              <w:t>及性能说明</w:t>
            </w:r>
          </w:p>
        </w:tc>
        <w:tc>
          <w:tcPr>
            <w:tcW w:w="1224" w:type="pct"/>
            <w:vAlign w:val="center"/>
          </w:tcPr>
          <w:p w14:paraId="2F96930A">
            <w:pPr>
              <w:autoSpaceDE w:val="0"/>
              <w:autoSpaceDN w:val="0"/>
              <w:spacing w:line="360" w:lineRule="auto"/>
              <w:jc w:val="center"/>
              <w:rPr>
                <w:rFonts w:ascii="宋体" w:hAnsi="宋体" w:cs="宋体"/>
                <w:b/>
                <w:szCs w:val="21"/>
              </w:rPr>
            </w:pPr>
            <w:r>
              <w:rPr>
                <w:rFonts w:hint="eastAsia" w:ascii="宋体" w:hAnsi="宋体" w:cs="宋体"/>
                <w:b/>
                <w:szCs w:val="21"/>
              </w:rPr>
              <w:t>偏离情况及说明</w:t>
            </w:r>
          </w:p>
        </w:tc>
      </w:tr>
      <w:tr w14:paraId="1C299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5" w:type="pct"/>
            <w:vAlign w:val="center"/>
          </w:tcPr>
          <w:p w14:paraId="67429F23">
            <w:pPr>
              <w:autoSpaceDE w:val="0"/>
              <w:autoSpaceDN w:val="0"/>
              <w:spacing w:line="360" w:lineRule="auto"/>
              <w:jc w:val="center"/>
              <w:rPr>
                <w:rFonts w:ascii="宋体" w:hAnsi="宋体" w:cs="宋体"/>
                <w:bCs/>
                <w:szCs w:val="21"/>
              </w:rPr>
            </w:pPr>
            <w:r>
              <w:rPr>
                <w:rFonts w:hint="eastAsia" w:ascii="宋体" w:hAnsi="宋体" w:cs="宋体"/>
                <w:bCs/>
                <w:szCs w:val="21"/>
              </w:rPr>
              <w:t>1</w:t>
            </w:r>
          </w:p>
        </w:tc>
        <w:tc>
          <w:tcPr>
            <w:tcW w:w="909" w:type="pct"/>
            <w:vAlign w:val="center"/>
          </w:tcPr>
          <w:p w14:paraId="3B28FE66">
            <w:pPr>
              <w:autoSpaceDE w:val="0"/>
              <w:autoSpaceDN w:val="0"/>
              <w:spacing w:line="360" w:lineRule="auto"/>
              <w:jc w:val="center"/>
              <w:rPr>
                <w:rFonts w:ascii="宋体" w:hAnsi="宋体" w:cs="宋体"/>
                <w:b/>
                <w:szCs w:val="21"/>
              </w:rPr>
            </w:pPr>
          </w:p>
        </w:tc>
        <w:tc>
          <w:tcPr>
            <w:tcW w:w="1140" w:type="pct"/>
            <w:vAlign w:val="center"/>
          </w:tcPr>
          <w:p w14:paraId="748BFCE3">
            <w:pPr>
              <w:autoSpaceDE w:val="0"/>
              <w:autoSpaceDN w:val="0"/>
              <w:spacing w:line="360" w:lineRule="auto"/>
              <w:jc w:val="center"/>
              <w:rPr>
                <w:rFonts w:ascii="宋体" w:hAnsi="宋体" w:cs="宋体"/>
                <w:b/>
                <w:szCs w:val="21"/>
              </w:rPr>
            </w:pPr>
          </w:p>
        </w:tc>
        <w:tc>
          <w:tcPr>
            <w:tcW w:w="1140" w:type="pct"/>
            <w:vAlign w:val="center"/>
          </w:tcPr>
          <w:p w14:paraId="13CAEE69">
            <w:pPr>
              <w:autoSpaceDE w:val="0"/>
              <w:autoSpaceDN w:val="0"/>
              <w:spacing w:line="360" w:lineRule="auto"/>
              <w:jc w:val="center"/>
              <w:rPr>
                <w:rFonts w:ascii="宋体" w:hAnsi="宋体" w:cs="宋体"/>
                <w:b/>
                <w:szCs w:val="21"/>
              </w:rPr>
            </w:pPr>
          </w:p>
        </w:tc>
        <w:tc>
          <w:tcPr>
            <w:tcW w:w="1224" w:type="pct"/>
            <w:vAlign w:val="center"/>
          </w:tcPr>
          <w:p w14:paraId="15142559">
            <w:pPr>
              <w:autoSpaceDE w:val="0"/>
              <w:autoSpaceDN w:val="0"/>
              <w:spacing w:line="360" w:lineRule="auto"/>
              <w:jc w:val="center"/>
              <w:rPr>
                <w:rFonts w:ascii="宋体" w:hAnsi="宋体" w:cs="宋体"/>
                <w:b/>
                <w:szCs w:val="21"/>
              </w:rPr>
            </w:pPr>
            <w:r>
              <w:rPr>
                <w:rFonts w:hint="eastAsia" w:ascii="宋体" w:hAnsi="宋体" w:cs="宋体"/>
                <w:b/>
                <w:szCs w:val="21"/>
              </w:rPr>
              <w:t>正偏离/符合/负偏离</w:t>
            </w:r>
          </w:p>
        </w:tc>
      </w:tr>
      <w:tr w14:paraId="276B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5" w:type="pct"/>
            <w:vAlign w:val="center"/>
          </w:tcPr>
          <w:p w14:paraId="3D2946B7">
            <w:pPr>
              <w:spacing w:line="360" w:lineRule="auto"/>
              <w:jc w:val="center"/>
              <w:rPr>
                <w:rFonts w:ascii="宋体" w:hAnsi="宋体" w:cs="宋体"/>
                <w:bCs/>
                <w:szCs w:val="21"/>
              </w:rPr>
            </w:pPr>
            <w:r>
              <w:rPr>
                <w:rFonts w:hint="eastAsia" w:ascii="宋体" w:hAnsi="宋体" w:cs="宋体"/>
                <w:bCs/>
                <w:szCs w:val="21"/>
              </w:rPr>
              <w:t>2</w:t>
            </w:r>
          </w:p>
        </w:tc>
        <w:tc>
          <w:tcPr>
            <w:tcW w:w="909" w:type="pct"/>
            <w:vAlign w:val="center"/>
          </w:tcPr>
          <w:p w14:paraId="58A06468">
            <w:pPr>
              <w:autoSpaceDE w:val="0"/>
              <w:autoSpaceDN w:val="0"/>
              <w:spacing w:line="360" w:lineRule="auto"/>
              <w:jc w:val="center"/>
              <w:rPr>
                <w:rFonts w:ascii="宋体" w:hAnsi="宋体" w:cs="宋体"/>
                <w:bCs/>
                <w:szCs w:val="21"/>
              </w:rPr>
            </w:pPr>
          </w:p>
        </w:tc>
        <w:tc>
          <w:tcPr>
            <w:tcW w:w="1140" w:type="pct"/>
            <w:vAlign w:val="center"/>
          </w:tcPr>
          <w:p w14:paraId="47972B83">
            <w:pPr>
              <w:spacing w:line="360" w:lineRule="auto"/>
              <w:jc w:val="center"/>
              <w:rPr>
                <w:rFonts w:ascii="宋体" w:hAnsi="宋体" w:cs="宋体"/>
                <w:bCs/>
                <w:szCs w:val="21"/>
              </w:rPr>
            </w:pPr>
          </w:p>
        </w:tc>
        <w:tc>
          <w:tcPr>
            <w:tcW w:w="1140" w:type="pct"/>
            <w:vAlign w:val="center"/>
          </w:tcPr>
          <w:p w14:paraId="1333DD9E">
            <w:pPr>
              <w:spacing w:line="360" w:lineRule="auto"/>
              <w:jc w:val="center"/>
              <w:rPr>
                <w:rFonts w:ascii="宋体" w:hAnsi="宋体" w:cs="宋体"/>
                <w:bCs/>
                <w:szCs w:val="21"/>
              </w:rPr>
            </w:pPr>
          </w:p>
        </w:tc>
        <w:tc>
          <w:tcPr>
            <w:tcW w:w="1224" w:type="pct"/>
            <w:vAlign w:val="center"/>
          </w:tcPr>
          <w:p w14:paraId="78D968AB">
            <w:pPr>
              <w:spacing w:line="360" w:lineRule="auto"/>
              <w:jc w:val="center"/>
              <w:rPr>
                <w:rFonts w:ascii="宋体" w:hAnsi="宋体" w:cs="宋体"/>
                <w:bCs/>
                <w:szCs w:val="21"/>
              </w:rPr>
            </w:pPr>
            <w:r>
              <w:rPr>
                <w:rFonts w:hint="eastAsia" w:ascii="宋体" w:hAnsi="宋体" w:cs="宋体"/>
                <w:bCs/>
                <w:szCs w:val="21"/>
              </w:rPr>
              <w:t>...</w:t>
            </w:r>
          </w:p>
        </w:tc>
      </w:tr>
      <w:tr w14:paraId="00235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5" w:type="pct"/>
            <w:vAlign w:val="center"/>
          </w:tcPr>
          <w:p w14:paraId="2B9DBACA">
            <w:pPr>
              <w:autoSpaceDE w:val="0"/>
              <w:autoSpaceDN w:val="0"/>
              <w:spacing w:line="360" w:lineRule="auto"/>
              <w:jc w:val="center"/>
              <w:rPr>
                <w:rFonts w:ascii="宋体" w:hAnsi="宋体" w:cs="宋体"/>
                <w:bCs/>
                <w:szCs w:val="21"/>
              </w:rPr>
            </w:pPr>
            <w:r>
              <w:rPr>
                <w:rFonts w:hint="eastAsia" w:ascii="宋体" w:hAnsi="宋体" w:cs="宋体"/>
                <w:bCs/>
                <w:szCs w:val="21"/>
              </w:rPr>
              <w:t>3</w:t>
            </w:r>
          </w:p>
        </w:tc>
        <w:tc>
          <w:tcPr>
            <w:tcW w:w="909" w:type="pct"/>
            <w:vAlign w:val="center"/>
          </w:tcPr>
          <w:p w14:paraId="4E6718CE">
            <w:pPr>
              <w:autoSpaceDE w:val="0"/>
              <w:autoSpaceDN w:val="0"/>
              <w:spacing w:line="360" w:lineRule="auto"/>
              <w:jc w:val="center"/>
              <w:rPr>
                <w:rFonts w:ascii="宋体" w:hAnsi="宋体" w:cs="宋体"/>
                <w:b/>
                <w:szCs w:val="21"/>
              </w:rPr>
            </w:pPr>
          </w:p>
        </w:tc>
        <w:tc>
          <w:tcPr>
            <w:tcW w:w="1140" w:type="pct"/>
            <w:vAlign w:val="center"/>
          </w:tcPr>
          <w:p w14:paraId="274CDC3A">
            <w:pPr>
              <w:autoSpaceDE w:val="0"/>
              <w:autoSpaceDN w:val="0"/>
              <w:spacing w:line="360" w:lineRule="auto"/>
              <w:jc w:val="center"/>
              <w:rPr>
                <w:rFonts w:ascii="宋体" w:hAnsi="宋体" w:cs="宋体"/>
                <w:b/>
                <w:szCs w:val="21"/>
              </w:rPr>
            </w:pPr>
          </w:p>
        </w:tc>
        <w:tc>
          <w:tcPr>
            <w:tcW w:w="1140" w:type="pct"/>
            <w:vAlign w:val="center"/>
          </w:tcPr>
          <w:p w14:paraId="141C3A3E">
            <w:pPr>
              <w:autoSpaceDE w:val="0"/>
              <w:autoSpaceDN w:val="0"/>
              <w:spacing w:line="360" w:lineRule="auto"/>
              <w:jc w:val="center"/>
              <w:rPr>
                <w:rFonts w:ascii="宋体" w:hAnsi="宋体" w:cs="宋体"/>
                <w:b/>
                <w:szCs w:val="21"/>
              </w:rPr>
            </w:pPr>
          </w:p>
        </w:tc>
        <w:tc>
          <w:tcPr>
            <w:tcW w:w="1224" w:type="pct"/>
            <w:vAlign w:val="center"/>
          </w:tcPr>
          <w:p w14:paraId="3DEC25F2">
            <w:pPr>
              <w:autoSpaceDE w:val="0"/>
              <w:autoSpaceDN w:val="0"/>
              <w:spacing w:line="360" w:lineRule="auto"/>
              <w:jc w:val="center"/>
              <w:rPr>
                <w:rFonts w:ascii="宋体" w:hAnsi="宋体" w:cs="宋体"/>
                <w:b/>
                <w:szCs w:val="21"/>
              </w:rPr>
            </w:pPr>
            <w:r>
              <w:rPr>
                <w:rFonts w:hint="eastAsia" w:ascii="宋体" w:hAnsi="宋体" w:cs="宋体"/>
                <w:b/>
                <w:szCs w:val="21"/>
              </w:rPr>
              <w:t>...</w:t>
            </w:r>
          </w:p>
        </w:tc>
      </w:tr>
      <w:tr w14:paraId="3C57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5" w:type="pct"/>
            <w:vAlign w:val="center"/>
          </w:tcPr>
          <w:p w14:paraId="68A90F94">
            <w:pPr>
              <w:autoSpaceDE w:val="0"/>
              <w:autoSpaceDN w:val="0"/>
              <w:spacing w:line="360" w:lineRule="auto"/>
              <w:jc w:val="center"/>
              <w:rPr>
                <w:rFonts w:ascii="宋体" w:hAnsi="宋体" w:cs="宋体"/>
                <w:b/>
                <w:szCs w:val="21"/>
              </w:rPr>
            </w:pPr>
            <w:r>
              <w:rPr>
                <w:rFonts w:hint="eastAsia" w:ascii="宋体" w:hAnsi="宋体" w:cs="宋体"/>
                <w:b/>
                <w:szCs w:val="21"/>
              </w:rPr>
              <w:t>...</w:t>
            </w:r>
          </w:p>
        </w:tc>
        <w:tc>
          <w:tcPr>
            <w:tcW w:w="909" w:type="pct"/>
            <w:vAlign w:val="center"/>
          </w:tcPr>
          <w:p w14:paraId="37DBDEBA">
            <w:pPr>
              <w:autoSpaceDE w:val="0"/>
              <w:autoSpaceDN w:val="0"/>
              <w:spacing w:line="360" w:lineRule="auto"/>
              <w:jc w:val="center"/>
              <w:rPr>
                <w:rFonts w:ascii="宋体" w:hAnsi="宋体" w:cs="宋体"/>
                <w:b/>
                <w:szCs w:val="21"/>
              </w:rPr>
            </w:pPr>
          </w:p>
        </w:tc>
        <w:tc>
          <w:tcPr>
            <w:tcW w:w="1140" w:type="pct"/>
            <w:vAlign w:val="center"/>
          </w:tcPr>
          <w:p w14:paraId="5741F8E6">
            <w:pPr>
              <w:autoSpaceDE w:val="0"/>
              <w:autoSpaceDN w:val="0"/>
              <w:spacing w:line="360" w:lineRule="auto"/>
              <w:jc w:val="center"/>
              <w:rPr>
                <w:rFonts w:ascii="宋体" w:hAnsi="宋体" w:cs="宋体"/>
                <w:b/>
                <w:szCs w:val="21"/>
              </w:rPr>
            </w:pPr>
          </w:p>
        </w:tc>
        <w:tc>
          <w:tcPr>
            <w:tcW w:w="1140" w:type="pct"/>
            <w:vAlign w:val="center"/>
          </w:tcPr>
          <w:p w14:paraId="358B25D8">
            <w:pPr>
              <w:autoSpaceDE w:val="0"/>
              <w:autoSpaceDN w:val="0"/>
              <w:spacing w:line="360" w:lineRule="auto"/>
              <w:jc w:val="center"/>
              <w:rPr>
                <w:rFonts w:ascii="宋体" w:hAnsi="宋体" w:cs="宋体"/>
                <w:b/>
                <w:szCs w:val="21"/>
              </w:rPr>
            </w:pPr>
          </w:p>
        </w:tc>
        <w:tc>
          <w:tcPr>
            <w:tcW w:w="1224" w:type="pct"/>
            <w:vAlign w:val="center"/>
          </w:tcPr>
          <w:p w14:paraId="429E1F9A">
            <w:pPr>
              <w:autoSpaceDE w:val="0"/>
              <w:autoSpaceDN w:val="0"/>
              <w:spacing w:line="360" w:lineRule="auto"/>
              <w:jc w:val="center"/>
              <w:rPr>
                <w:rFonts w:ascii="宋体" w:hAnsi="宋体" w:cs="宋体"/>
                <w:b/>
                <w:szCs w:val="21"/>
              </w:rPr>
            </w:pPr>
            <w:r>
              <w:rPr>
                <w:rFonts w:hint="eastAsia" w:ascii="宋体" w:hAnsi="宋体" w:cs="宋体"/>
                <w:b/>
                <w:szCs w:val="21"/>
              </w:rPr>
              <w:t>...</w:t>
            </w:r>
          </w:p>
        </w:tc>
      </w:tr>
      <w:tr w14:paraId="6A37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85" w:type="pct"/>
            <w:vAlign w:val="center"/>
          </w:tcPr>
          <w:p w14:paraId="076A2C6D">
            <w:pPr>
              <w:autoSpaceDE w:val="0"/>
              <w:autoSpaceDN w:val="0"/>
              <w:spacing w:line="360" w:lineRule="auto"/>
              <w:jc w:val="center"/>
              <w:rPr>
                <w:rFonts w:ascii="宋体" w:hAnsi="宋体" w:cs="宋体"/>
                <w:b/>
                <w:szCs w:val="21"/>
              </w:rPr>
            </w:pPr>
          </w:p>
        </w:tc>
        <w:tc>
          <w:tcPr>
            <w:tcW w:w="909" w:type="pct"/>
            <w:vAlign w:val="center"/>
          </w:tcPr>
          <w:p w14:paraId="7D201F14">
            <w:pPr>
              <w:autoSpaceDE w:val="0"/>
              <w:autoSpaceDN w:val="0"/>
              <w:spacing w:line="360" w:lineRule="auto"/>
              <w:jc w:val="center"/>
              <w:rPr>
                <w:rFonts w:ascii="宋体" w:hAnsi="宋体" w:cs="宋体"/>
                <w:b/>
                <w:szCs w:val="21"/>
              </w:rPr>
            </w:pPr>
          </w:p>
        </w:tc>
        <w:tc>
          <w:tcPr>
            <w:tcW w:w="1140" w:type="pct"/>
            <w:vAlign w:val="center"/>
          </w:tcPr>
          <w:p w14:paraId="116439E6">
            <w:pPr>
              <w:autoSpaceDE w:val="0"/>
              <w:autoSpaceDN w:val="0"/>
              <w:spacing w:line="360" w:lineRule="auto"/>
              <w:jc w:val="center"/>
              <w:rPr>
                <w:rFonts w:ascii="宋体" w:hAnsi="宋体" w:cs="宋体"/>
                <w:b/>
                <w:szCs w:val="21"/>
              </w:rPr>
            </w:pPr>
          </w:p>
        </w:tc>
        <w:tc>
          <w:tcPr>
            <w:tcW w:w="1140" w:type="pct"/>
            <w:vAlign w:val="center"/>
          </w:tcPr>
          <w:p w14:paraId="2DF837B8">
            <w:pPr>
              <w:autoSpaceDE w:val="0"/>
              <w:autoSpaceDN w:val="0"/>
              <w:spacing w:line="360" w:lineRule="auto"/>
              <w:jc w:val="center"/>
              <w:rPr>
                <w:rFonts w:ascii="宋体" w:hAnsi="宋体" w:cs="宋体"/>
                <w:b/>
                <w:szCs w:val="21"/>
              </w:rPr>
            </w:pPr>
          </w:p>
        </w:tc>
        <w:tc>
          <w:tcPr>
            <w:tcW w:w="1224" w:type="pct"/>
            <w:vAlign w:val="center"/>
          </w:tcPr>
          <w:p w14:paraId="3A503843">
            <w:pPr>
              <w:autoSpaceDE w:val="0"/>
              <w:autoSpaceDN w:val="0"/>
              <w:spacing w:line="360" w:lineRule="auto"/>
              <w:jc w:val="center"/>
              <w:rPr>
                <w:rFonts w:ascii="宋体" w:hAnsi="宋体" w:cs="宋体"/>
                <w:b/>
                <w:szCs w:val="21"/>
              </w:rPr>
            </w:pPr>
          </w:p>
        </w:tc>
      </w:tr>
    </w:tbl>
    <w:p w14:paraId="183B3023">
      <w:pPr>
        <w:spacing w:line="360" w:lineRule="auto"/>
        <w:rPr>
          <w:rFonts w:ascii="宋体" w:hAnsi="宋体" w:cs="宋体"/>
          <w:b/>
          <w:bCs/>
          <w:szCs w:val="21"/>
        </w:rPr>
      </w:pPr>
    </w:p>
    <w:p w14:paraId="1E1DA23A">
      <w:pPr>
        <w:snapToGrid w:val="0"/>
        <w:spacing w:before="50" w:after="50"/>
        <w:rPr>
          <w:rFonts w:ascii="宋体" w:hAnsi="宋体"/>
          <w:b/>
          <w:spacing w:val="20"/>
          <w:sz w:val="24"/>
        </w:rPr>
      </w:pPr>
      <w:r>
        <w:rPr>
          <w:rFonts w:hint="eastAsia" w:ascii="宋体" w:hAnsi="宋体" w:cs="宋体"/>
          <w:b/>
          <w:bCs/>
          <w:szCs w:val="21"/>
        </w:rPr>
        <w:t>注：根据第二章招标需求中详细技术参数要求进行填写。</w:t>
      </w:r>
    </w:p>
    <w:p w14:paraId="2C308522">
      <w:pPr>
        <w:snapToGrid w:val="0"/>
        <w:spacing w:before="50" w:after="50"/>
        <w:rPr>
          <w:rFonts w:ascii="宋体" w:hAnsi="宋体"/>
        </w:rPr>
      </w:pPr>
    </w:p>
    <w:p w14:paraId="1EC31FBF">
      <w:pPr>
        <w:snapToGrid w:val="0"/>
        <w:ind w:left="2" w:right="-817" w:rightChars="-389"/>
        <w:rPr>
          <w:rFonts w:ascii="宋体" w:hAnsi="宋体"/>
        </w:rPr>
      </w:pPr>
    </w:p>
    <w:p w14:paraId="77925576">
      <w:pPr>
        <w:snapToGrid w:val="0"/>
        <w:spacing w:before="50" w:after="50"/>
        <w:rPr>
          <w:rFonts w:ascii="宋体" w:hAnsi="宋体"/>
          <w:sz w:val="24"/>
        </w:rPr>
      </w:pPr>
      <w:r>
        <w:rPr>
          <w:rFonts w:hint="eastAsia" w:ascii="宋体" w:hAnsi="宋体"/>
        </w:rPr>
        <w:t>投标人名称（盖章）：</w:t>
      </w:r>
      <w:r>
        <w:rPr>
          <w:rFonts w:hint="eastAsia" w:ascii="宋体" w:hAnsi="宋体"/>
          <w:spacing w:val="20"/>
        </w:rPr>
        <w:t>日期：</w:t>
      </w:r>
    </w:p>
    <w:p w14:paraId="0C9DCFBB">
      <w:pPr>
        <w:snapToGrid w:val="0"/>
        <w:spacing w:before="50" w:after="156" w:afterLines="50"/>
        <w:ind w:firstLine="3092" w:firstLineChars="1100"/>
        <w:jc w:val="left"/>
        <w:rPr>
          <w:rFonts w:ascii="宋体" w:hAnsi="宋体"/>
          <w:b/>
          <w:color w:val="000000"/>
          <w:sz w:val="28"/>
        </w:rPr>
      </w:pPr>
    </w:p>
    <w:p w14:paraId="14A09A27">
      <w:pPr>
        <w:snapToGrid w:val="0"/>
        <w:spacing w:before="50" w:after="156" w:afterLines="50"/>
        <w:ind w:firstLine="3092" w:firstLineChars="1100"/>
        <w:jc w:val="left"/>
        <w:rPr>
          <w:rFonts w:ascii="宋体" w:hAnsi="宋体"/>
          <w:b/>
          <w:color w:val="000000"/>
          <w:sz w:val="28"/>
        </w:rPr>
      </w:pPr>
    </w:p>
    <w:p w14:paraId="50167E3F">
      <w:pPr>
        <w:snapToGrid w:val="0"/>
        <w:spacing w:before="50" w:after="156" w:afterLines="50"/>
        <w:ind w:firstLine="3092" w:firstLineChars="1100"/>
        <w:jc w:val="left"/>
        <w:rPr>
          <w:rFonts w:ascii="宋体" w:hAnsi="宋体"/>
          <w:b/>
          <w:color w:val="000000"/>
          <w:sz w:val="28"/>
        </w:rPr>
      </w:pPr>
    </w:p>
    <w:p w14:paraId="16C6FE0A">
      <w:pPr>
        <w:snapToGrid w:val="0"/>
        <w:spacing w:before="50" w:after="156" w:afterLines="50"/>
        <w:ind w:firstLine="3092" w:firstLineChars="1100"/>
        <w:jc w:val="left"/>
        <w:rPr>
          <w:rFonts w:ascii="宋体" w:hAnsi="宋体"/>
          <w:b/>
          <w:color w:val="000000"/>
          <w:sz w:val="28"/>
        </w:rPr>
      </w:pPr>
    </w:p>
    <w:p w14:paraId="3827E567">
      <w:pPr>
        <w:snapToGrid w:val="0"/>
        <w:spacing w:before="50" w:after="156" w:afterLines="50"/>
        <w:ind w:firstLine="3092" w:firstLineChars="1100"/>
        <w:jc w:val="left"/>
        <w:rPr>
          <w:rFonts w:ascii="宋体" w:hAnsi="宋体"/>
          <w:b/>
          <w:color w:val="000000"/>
          <w:sz w:val="28"/>
        </w:rPr>
      </w:pPr>
    </w:p>
    <w:p w14:paraId="539EF9F6">
      <w:pPr>
        <w:snapToGrid w:val="0"/>
        <w:spacing w:before="50" w:after="156" w:afterLines="50"/>
        <w:ind w:firstLine="3092" w:firstLineChars="1100"/>
        <w:jc w:val="left"/>
        <w:rPr>
          <w:rFonts w:ascii="宋体" w:hAnsi="宋体"/>
          <w:b/>
          <w:color w:val="000000"/>
          <w:sz w:val="28"/>
        </w:rPr>
      </w:pPr>
    </w:p>
    <w:p w14:paraId="0E0EC5FB">
      <w:pPr>
        <w:snapToGrid w:val="0"/>
        <w:spacing w:before="50" w:after="156" w:afterLines="50"/>
        <w:ind w:firstLine="3092" w:firstLineChars="1100"/>
        <w:jc w:val="left"/>
        <w:rPr>
          <w:rFonts w:ascii="宋体" w:hAnsi="宋体"/>
          <w:b/>
          <w:color w:val="000000"/>
          <w:sz w:val="28"/>
        </w:rPr>
      </w:pPr>
    </w:p>
    <w:p w14:paraId="1BC3CB88">
      <w:pPr>
        <w:snapToGrid w:val="0"/>
        <w:spacing w:before="50" w:after="156" w:afterLines="50"/>
        <w:ind w:firstLine="3092" w:firstLineChars="1100"/>
        <w:jc w:val="left"/>
        <w:rPr>
          <w:rFonts w:ascii="宋体" w:hAnsi="宋体"/>
          <w:b/>
          <w:color w:val="000000"/>
          <w:sz w:val="28"/>
        </w:rPr>
      </w:pPr>
    </w:p>
    <w:p w14:paraId="79044837">
      <w:pPr>
        <w:rPr>
          <w:rFonts w:asciiTheme="minorEastAsia" w:hAnsiTheme="minorEastAsia" w:eastAsiaTheme="minorEastAsia"/>
          <w:color w:val="000000"/>
        </w:rPr>
      </w:pPr>
      <w:r>
        <w:rPr>
          <w:rFonts w:hint="eastAsia" w:asciiTheme="minorEastAsia" w:hAnsiTheme="minorEastAsia" w:eastAsiaTheme="minorEastAsia"/>
          <w:b/>
          <w:color w:val="000000"/>
          <w:lang w:val="zh-CN"/>
        </w:rPr>
        <w:t xml:space="preserve"> </w:t>
      </w:r>
    </w:p>
    <w:p w14:paraId="3580BF32">
      <w:pPr>
        <w:pStyle w:val="28"/>
      </w:pPr>
    </w:p>
    <w:p w14:paraId="61C2F7D4">
      <w:pPr>
        <w:pStyle w:val="2"/>
        <w:rPr>
          <w:rFonts w:asciiTheme="minorEastAsia" w:hAnsiTheme="minorEastAsia" w:eastAsiaTheme="minorEastAsia"/>
          <w:color w:val="000000"/>
        </w:rPr>
      </w:pPr>
    </w:p>
    <w:p w14:paraId="3CB2318A">
      <w:pPr>
        <w:snapToGrid w:val="0"/>
        <w:spacing w:before="50" w:after="156" w:afterLines="50"/>
        <w:ind w:firstLine="3092" w:firstLineChars="1100"/>
        <w:jc w:val="left"/>
        <w:rPr>
          <w:rFonts w:ascii="宋体" w:hAnsi="宋体"/>
          <w:b/>
          <w:color w:val="000000"/>
          <w:sz w:val="28"/>
        </w:rPr>
      </w:pPr>
      <w:r>
        <w:rPr>
          <w:rFonts w:hint="eastAsia" w:ascii="宋体" w:hAnsi="宋体"/>
          <w:b/>
          <w:color w:val="000000"/>
          <w:sz w:val="28"/>
        </w:rPr>
        <w:t>最终报价一览表</w:t>
      </w:r>
    </w:p>
    <w:p w14:paraId="1A388E98">
      <w:pPr>
        <w:rPr>
          <w:rFonts w:ascii="宋体" w:hAnsi="宋体"/>
          <w:color w:val="000000"/>
        </w:rPr>
      </w:pPr>
    </w:p>
    <w:p w14:paraId="2CD4F95A">
      <w:pPr>
        <w:rPr>
          <w:rFonts w:asciiTheme="minorEastAsia" w:hAnsiTheme="minorEastAsia" w:eastAsiaTheme="minorEastAsia"/>
          <w:color w:val="000000"/>
        </w:rPr>
      </w:pPr>
      <w:r>
        <w:rPr>
          <w:rFonts w:hint="eastAsia" w:ascii="宋体" w:hAnsi="宋体"/>
          <w:color w:val="000000"/>
        </w:rPr>
        <w:t>项目</w:t>
      </w:r>
      <w:r>
        <w:rPr>
          <w:rFonts w:hint="eastAsia" w:asciiTheme="minorEastAsia" w:hAnsiTheme="minorEastAsia" w:eastAsiaTheme="minorEastAsia"/>
          <w:color w:val="000000"/>
        </w:rPr>
        <w:t>名称：</w:t>
      </w:r>
    </w:p>
    <w:p w14:paraId="019DE616">
      <w:pPr>
        <w:tabs>
          <w:tab w:val="left" w:pos="450"/>
          <w:tab w:val="left" w:pos="1734"/>
          <w:tab w:val="left" w:pos="2814"/>
          <w:tab w:val="left" w:pos="3894"/>
          <w:tab w:val="left" w:pos="5334"/>
          <w:tab w:val="left" w:pos="6414"/>
          <w:tab w:val="left" w:pos="7254"/>
          <w:tab w:val="left" w:pos="8160"/>
          <w:tab w:val="left" w:pos="9654"/>
        </w:tabs>
        <w:spacing w:line="360" w:lineRule="auto"/>
        <w:rPr>
          <w:rFonts w:asciiTheme="minorEastAsia" w:hAnsiTheme="minorEastAsia" w:eastAsiaTheme="minorEastAsia"/>
          <w:b/>
          <w:color w:val="000000"/>
          <w:szCs w:val="21"/>
        </w:rPr>
      </w:pPr>
      <w:r>
        <w:rPr>
          <w:rFonts w:hint="eastAsia" w:asciiTheme="minorEastAsia" w:hAnsiTheme="minorEastAsia" w:eastAsiaTheme="minorEastAsia"/>
          <w:color w:val="000000"/>
        </w:rPr>
        <w:t>项目编号：</w:t>
      </w:r>
    </w:p>
    <w:p w14:paraId="77142352">
      <w:pPr>
        <w:pStyle w:val="3"/>
        <w:ind w:firstLine="0" w:firstLineChars="0"/>
      </w:pPr>
      <w:r>
        <w:rPr>
          <w:rFonts w:asciiTheme="minorEastAsia" w:hAnsiTheme="minorEastAsia" w:eastAsiaTheme="minorEastAsia"/>
          <w:sz w:val="21"/>
          <w:szCs w:val="21"/>
        </w:rPr>
        <w:t xml:space="preserve">                                                         </w:t>
      </w:r>
      <w:r>
        <w:rPr>
          <w:rFonts w:hint="eastAsia" w:asciiTheme="minorEastAsia" w:hAnsiTheme="minorEastAsia" w:eastAsiaTheme="minorEastAsia"/>
          <w:sz w:val="21"/>
          <w:szCs w:val="21"/>
        </w:rPr>
        <w:t xml:space="preserve"> 单位：人民币元  </w:t>
      </w:r>
    </w:p>
    <w:tbl>
      <w:tblPr>
        <w:tblStyle w:val="29"/>
        <w:tblW w:w="9509"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7" w:type="dxa"/>
          <w:bottom w:w="0" w:type="dxa"/>
          <w:right w:w="57" w:type="dxa"/>
        </w:tblCellMar>
      </w:tblPr>
      <w:tblGrid>
        <w:gridCol w:w="1004"/>
        <w:gridCol w:w="2448"/>
        <w:gridCol w:w="3211"/>
        <w:gridCol w:w="2846"/>
      </w:tblGrid>
      <w:tr w14:paraId="0F0BED1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495" w:hRule="atLeast"/>
          <w:jc w:val="center"/>
        </w:trPr>
        <w:tc>
          <w:tcPr>
            <w:tcW w:w="1004" w:type="dxa"/>
            <w:tcBorders>
              <w:bottom w:val="single" w:color="auto" w:sz="4" w:space="0"/>
              <w:right w:val="single" w:color="auto" w:sz="4" w:space="0"/>
            </w:tcBorders>
            <w:vAlign w:val="center"/>
          </w:tcPr>
          <w:p w14:paraId="244A8BFA">
            <w:pPr>
              <w:jc w:val="center"/>
              <w:rPr>
                <w:rFonts w:ascii="宋体" w:hAnsi="宋体"/>
                <w:b/>
                <w:szCs w:val="21"/>
              </w:rPr>
            </w:pPr>
            <w:r>
              <w:rPr>
                <w:rFonts w:hint="eastAsia" w:ascii="宋体" w:hAnsi="宋体"/>
                <w:b/>
                <w:szCs w:val="21"/>
              </w:rPr>
              <w:t>序号</w:t>
            </w:r>
          </w:p>
        </w:tc>
        <w:tc>
          <w:tcPr>
            <w:tcW w:w="2448" w:type="dxa"/>
            <w:tcBorders>
              <w:left w:val="single" w:color="auto" w:sz="4" w:space="0"/>
              <w:bottom w:val="single" w:color="auto" w:sz="4" w:space="0"/>
              <w:right w:val="single" w:color="auto" w:sz="4" w:space="0"/>
            </w:tcBorders>
            <w:vAlign w:val="center"/>
          </w:tcPr>
          <w:p w14:paraId="59A2D16E">
            <w:pPr>
              <w:ind w:left="424" w:leftChars="202" w:firstLine="422" w:firstLineChars="200"/>
              <w:rPr>
                <w:rFonts w:ascii="宋体" w:hAnsi="宋体"/>
                <w:b/>
                <w:szCs w:val="21"/>
              </w:rPr>
            </w:pPr>
            <w:r>
              <w:rPr>
                <w:rFonts w:hint="eastAsia" w:ascii="宋体" w:hAnsi="宋体"/>
                <w:b/>
                <w:szCs w:val="21"/>
              </w:rPr>
              <w:t>名称</w:t>
            </w:r>
          </w:p>
        </w:tc>
        <w:tc>
          <w:tcPr>
            <w:tcW w:w="3211" w:type="dxa"/>
            <w:tcBorders>
              <w:left w:val="single" w:color="auto" w:sz="4" w:space="0"/>
              <w:bottom w:val="single" w:color="auto" w:sz="4" w:space="0"/>
              <w:right w:val="single" w:color="auto" w:sz="4" w:space="0"/>
            </w:tcBorders>
            <w:vAlign w:val="center"/>
          </w:tcPr>
          <w:p w14:paraId="508326CE">
            <w:pPr>
              <w:jc w:val="center"/>
              <w:rPr>
                <w:rFonts w:ascii="宋体" w:hAnsi="宋体"/>
                <w:b/>
                <w:szCs w:val="21"/>
              </w:rPr>
            </w:pPr>
            <w:r>
              <w:rPr>
                <w:rFonts w:hint="eastAsia" w:ascii="宋体" w:hAnsi="宋体"/>
                <w:b/>
                <w:szCs w:val="21"/>
              </w:rPr>
              <w:t xml:space="preserve"> 投标报价</w:t>
            </w:r>
            <w:r>
              <w:rPr>
                <w:rFonts w:hint="eastAsia" w:ascii="宋体" w:hAnsi="宋体"/>
                <w:color w:val="auto"/>
                <w:szCs w:val="21"/>
                <w:lang w:val="en-US" w:eastAsia="zh-CN"/>
              </w:rPr>
              <w:t xml:space="preserve"> </w:t>
            </w:r>
            <w:r>
              <w:rPr>
                <w:rFonts w:hint="eastAsia" w:ascii="宋体" w:hAnsi="宋体"/>
                <w:b/>
                <w:bCs/>
                <w:color w:val="auto"/>
                <w:szCs w:val="21"/>
                <w:lang w:eastAsia="zh-CN"/>
              </w:rPr>
              <w:t>（</w:t>
            </w:r>
            <w:r>
              <w:rPr>
                <w:rFonts w:hint="eastAsia" w:ascii="宋体" w:hAnsi="宋体"/>
                <w:b/>
                <w:bCs/>
                <w:color w:val="auto"/>
                <w:szCs w:val="21"/>
                <w:lang w:val="en-US" w:eastAsia="zh-CN"/>
              </w:rPr>
              <w:t>3年）</w:t>
            </w:r>
          </w:p>
        </w:tc>
        <w:tc>
          <w:tcPr>
            <w:tcW w:w="2846" w:type="dxa"/>
            <w:tcBorders>
              <w:left w:val="single" w:color="auto" w:sz="4" w:space="0"/>
              <w:bottom w:val="single" w:color="auto" w:sz="4" w:space="0"/>
            </w:tcBorders>
            <w:vAlign w:val="center"/>
          </w:tcPr>
          <w:p w14:paraId="6AFC9708">
            <w:pPr>
              <w:ind w:left="424" w:leftChars="202"/>
              <w:jc w:val="center"/>
              <w:rPr>
                <w:rFonts w:ascii="宋体" w:hAnsi="宋体"/>
                <w:b/>
                <w:szCs w:val="21"/>
              </w:rPr>
            </w:pPr>
            <w:r>
              <w:rPr>
                <w:rFonts w:hint="eastAsia" w:ascii="宋体" w:hAnsi="宋体" w:cs="宋体"/>
                <w:b/>
                <w:szCs w:val="21"/>
              </w:rPr>
              <w:t>备注</w:t>
            </w:r>
          </w:p>
        </w:tc>
      </w:tr>
      <w:tr w14:paraId="0FDF116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54" w:hRule="atLeast"/>
          <w:jc w:val="center"/>
        </w:trPr>
        <w:tc>
          <w:tcPr>
            <w:tcW w:w="1004" w:type="dxa"/>
            <w:tcBorders>
              <w:top w:val="single" w:color="auto" w:sz="4" w:space="0"/>
              <w:bottom w:val="single" w:color="auto" w:sz="4" w:space="0"/>
              <w:right w:val="single" w:color="auto" w:sz="4" w:space="0"/>
            </w:tcBorders>
            <w:vAlign w:val="center"/>
          </w:tcPr>
          <w:p w14:paraId="6235905D">
            <w:pPr>
              <w:autoSpaceDE w:val="0"/>
              <w:autoSpaceDN w:val="0"/>
              <w:adjustRightInd w:val="0"/>
              <w:spacing w:line="400" w:lineRule="exact"/>
              <w:ind w:left="424" w:leftChars="202"/>
              <w:rPr>
                <w:rFonts w:ascii="宋体" w:hAnsi="宋体"/>
                <w:szCs w:val="21"/>
                <w:lang w:val="zh-CN"/>
              </w:rPr>
            </w:pPr>
          </w:p>
        </w:tc>
        <w:tc>
          <w:tcPr>
            <w:tcW w:w="2448" w:type="dxa"/>
            <w:tcBorders>
              <w:top w:val="single" w:color="auto" w:sz="4" w:space="0"/>
              <w:left w:val="single" w:color="auto" w:sz="4" w:space="0"/>
              <w:bottom w:val="single" w:color="auto" w:sz="4" w:space="0"/>
              <w:right w:val="single" w:color="auto" w:sz="4" w:space="0"/>
            </w:tcBorders>
            <w:vAlign w:val="center"/>
          </w:tcPr>
          <w:p w14:paraId="1F8B7422">
            <w:pPr>
              <w:ind w:left="424" w:leftChars="202"/>
              <w:jc w:val="center"/>
              <w:rPr>
                <w:rFonts w:ascii="宋体" w:hAnsi="宋体"/>
                <w:szCs w:val="21"/>
              </w:rPr>
            </w:pPr>
          </w:p>
        </w:tc>
        <w:tc>
          <w:tcPr>
            <w:tcW w:w="3211" w:type="dxa"/>
            <w:tcBorders>
              <w:top w:val="single" w:color="auto" w:sz="4" w:space="0"/>
              <w:left w:val="single" w:color="auto" w:sz="4" w:space="0"/>
              <w:bottom w:val="single" w:color="auto" w:sz="4" w:space="0"/>
              <w:right w:val="single" w:color="auto" w:sz="4" w:space="0"/>
            </w:tcBorders>
            <w:vAlign w:val="center"/>
          </w:tcPr>
          <w:p w14:paraId="21BBF272">
            <w:pPr>
              <w:ind w:left="424" w:leftChars="202"/>
              <w:jc w:val="center"/>
              <w:rPr>
                <w:rFonts w:hint="default" w:ascii="宋体" w:hAnsi="宋体" w:eastAsia="宋体"/>
                <w:szCs w:val="21"/>
                <w:lang w:val="en-US" w:eastAsia="zh-CN"/>
              </w:rPr>
            </w:pPr>
            <w:r>
              <w:rPr>
                <w:rFonts w:hint="eastAsia" w:ascii="宋体" w:hAnsi="宋体"/>
                <w:szCs w:val="21"/>
                <w:lang w:val="en-US" w:eastAsia="zh-CN"/>
              </w:rPr>
              <w:t xml:space="preserve">    </w:t>
            </w:r>
          </w:p>
        </w:tc>
        <w:tc>
          <w:tcPr>
            <w:tcW w:w="2846" w:type="dxa"/>
            <w:tcBorders>
              <w:top w:val="single" w:color="auto" w:sz="4" w:space="0"/>
              <w:left w:val="single" w:color="auto" w:sz="4" w:space="0"/>
              <w:bottom w:val="single" w:color="auto" w:sz="4" w:space="0"/>
            </w:tcBorders>
            <w:vAlign w:val="center"/>
          </w:tcPr>
          <w:p w14:paraId="5B6EE427">
            <w:pPr>
              <w:jc w:val="both"/>
              <w:rPr>
                <w:rFonts w:ascii="宋体" w:hAnsi="宋体"/>
                <w:szCs w:val="21"/>
              </w:rPr>
            </w:pPr>
          </w:p>
        </w:tc>
      </w:tr>
      <w:tr w14:paraId="0C261C6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7" w:type="dxa"/>
            <w:bottom w:w="0" w:type="dxa"/>
            <w:right w:w="57" w:type="dxa"/>
          </w:tblCellMar>
        </w:tblPrEx>
        <w:trPr>
          <w:trHeight w:val="554" w:hRule="atLeast"/>
          <w:jc w:val="center"/>
        </w:trPr>
        <w:tc>
          <w:tcPr>
            <w:tcW w:w="1004" w:type="dxa"/>
            <w:tcBorders>
              <w:top w:val="single" w:color="auto" w:sz="4" w:space="0"/>
              <w:right w:val="single" w:color="auto" w:sz="4" w:space="0"/>
            </w:tcBorders>
            <w:vAlign w:val="center"/>
          </w:tcPr>
          <w:p w14:paraId="3C116B1A">
            <w:pPr>
              <w:autoSpaceDE w:val="0"/>
              <w:autoSpaceDN w:val="0"/>
              <w:adjustRightInd w:val="0"/>
              <w:spacing w:line="400" w:lineRule="exact"/>
              <w:ind w:left="424" w:leftChars="202"/>
              <w:rPr>
                <w:rFonts w:ascii="宋体" w:hAnsi="宋体"/>
                <w:szCs w:val="21"/>
                <w:lang w:val="zh-CN"/>
              </w:rPr>
            </w:pPr>
            <w:r>
              <w:rPr>
                <w:rFonts w:hint="eastAsia" w:ascii="宋体" w:hAnsi="宋体"/>
                <w:szCs w:val="21"/>
                <w:lang w:val="zh-CN"/>
              </w:rPr>
              <w:t>合计</w:t>
            </w:r>
          </w:p>
        </w:tc>
        <w:tc>
          <w:tcPr>
            <w:tcW w:w="8505" w:type="dxa"/>
            <w:gridSpan w:val="3"/>
            <w:tcBorders>
              <w:top w:val="single" w:color="auto" w:sz="4" w:space="0"/>
              <w:left w:val="single" w:color="auto" w:sz="4" w:space="0"/>
            </w:tcBorders>
            <w:vAlign w:val="center"/>
          </w:tcPr>
          <w:p w14:paraId="47BB2EEF">
            <w:pPr>
              <w:rPr>
                <w:rFonts w:ascii="宋体" w:hAnsi="宋体"/>
                <w:szCs w:val="21"/>
              </w:rPr>
            </w:pPr>
            <w:r>
              <w:rPr>
                <w:rFonts w:hint="eastAsia" w:ascii="宋体" w:hAnsi="宋体"/>
                <w:szCs w:val="21"/>
              </w:rPr>
              <w:t>大写：</w:t>
            </w:r>
          </w:p>
        </w:tc>
      </w:tr>
    </w:tbl>
    <w:p w14:paraId="02713FF8">
      <w:pPr>
        <w:tabs>
          <w:tab w:val="left" w:pos="450"/>
          <w:tab w:val="left" w:pos="1734"/>
          <w:tab w:val="left" w:pos="2814"/>
          <w:tab w:val="left" w:pos="3894"/>
          <w:tab w:val="left" w:pos="5334"/>
          <w:tab w:val="left" w:pos="6414"/>
          <w:tab w:val="left" w:pos="7254"/>
          <w:tab w:val="left" w:pos="8160"/>
          <w:tab w:val="left" w:pos="9654"/>
        </w:tabs>
        <w:spacing w:line="360" w:lineRule="auto"/>
        <w:rPr>
          <w:rFonts w:ascii="宋体" w:hAnsi="宋体"/>
          <w:color w:val="000000"/>
        </w:rPr>
      </w:pPr>
    </w:p>
    <w:p w14:paraId="00416A8C">
      <w:pPr>
        <w:tabs>
          <w:tab w:val="left" w:pos="450"/>
          <w:tab w:val="left" w:pos="1734"/>
          <w:tab w:val="left" w:pos="2814"/>
          <w:tab w:val="left" w:pos="3894"/>
          <w:tab w:val="left" w:pos="5334"/>
          <w:tab w:val="left" w:pos="6414"/>
          <w:tab w:val="left" w:pos="7254"/>
          <w:tab w:val="left" w:pos="8160"/>
          <w:tab w:val="left" w:pos="9654"/>
        </w:tabs>
        <w:spacing w:line="360" w:lineRule="auto"/>
        <w:rPr>
          <w:rFonts w:ascii="宋体" w:hAnsi="宋体"/>
          <w:color w:val="000000"/>
        </w:rPr>
      </w:pPr>
    </w:p>
    <w:p w14:paraId="711B0C39">
      <w:pPr>
        <w:tabs>
          <w:tab w:val="left" w:pos="450"/>
          <w:tab w:val="left" w:pos="1734"/>
          <w:tab w:val="left" w:pos="2814"/>
          <w:tab w:val="left" w:pos="3894"/>
          <w:tab w:val="left" w:pos="5334"/>
          <w:tab w:val="left" w:pos="6414"/>
          <w:tab w:val="left" w:pos="7254"/>
          <w:tab w:val="left" w:pos="8160"/>
          <w:tab w:val="left" w:pos="9654"/>
        </w:tabs>
        <w:spacing w:line="360" w:lineRule="auto"/>
        <w:rPr>
          <w:rFonts w:ascii="宋体" w:hAnsi="宋体"/>
          <w:color w:val="000000"/>
        </w:rPr>
      </w:pPr>
      <w:r>
        <w:rPr>
          <w:rFonts w:hint="eastAsia" w:ascii="宋体" w:hAnsi="宋体"/>
          <w:color w:val="000000"/>
        </w:rPr>
        <w:t>有关承诺：</w:t>
      </w:r>
    </w:p>
    <w:p w14:paraId="1BE6102E">
      <w:pPr>
        <w:tabs>
          <w:tab w:val="left" w:pos="450"/>
          <w:tab w:val="left" w:pos="1734"/>
          <w:tab w:val="left" w:pos="2814"/>
          <w:tab w:val="left" w:pos="3894"/>
          <w:tab w:val="left" w:pos="5334"/>
          <w:tab w:val="left" w:pos="6414"/>
          <w:tab w:val="left" w:pos="7254"/>
          <w:tab w:val="left" w:pos="8160"/>
          <w:tab w:val="left" w:pos="9654"/>
        </w:tabs>
        <w:spacing w:line="360" w:lineRule="auto"/>
        <w:rPr>
          <w:rFonts w:asciiTheme="minorEastAsia" w:hAnsiTheme="minorEastAsia" w:eastAsiaTheme="minorEastAsia"/>
          <w:color w:val="000000"/>
        </w:rPr>
      </w:pPr>
    </w:p>
    <w:p w14:paraId="41F687F8">
      <w:pPr>
        <w:tabs>
          <w:tab w:val="left" w:pos="450"/>
          <w:tab w:val="left" w:pos="1734"/>
          <w:tab w:val="left" w:pos="2814"/>
          <w:tab w:val="left" w:pos="3894"/>
          <w:tab w:val="left" w:pos="5334"/>
          <w:tab w:val="left" w:pos="6414"/>
          <w:tab w:val="left" w:pos="7254"/>
          <w:tab w:val="left" w:pos="8160"/>
          <w:tab w:val="left" w:pos="9654"/>
        </w:tabs>
        <w:spacing w:line="360" w:lineRule="auto"/>
        <w:rPr>
          <w:rFonts w:asciiTheme="minorEastAsia" w:hAnsiTheme="minorEastAsia" w:eastAsiaTheme="minorEastAsia"/>
          <w:color w:val="000000"/>
        </w:rPr>
      </w:pPr>
    </w:p>
    <w:p w14:paraId="4C7BD7D7">
      <w:pPr>
        <w:tabs>
          <w:tab w:val="left" w:pos="654"/>
          <w:tab w:val="left" w:pos="1734"/>
          <w:tab w:val="left" w:pos="2814"/>
          <w:tab w:val="left" w:pos="3894"/>
          <w:tab w:val="left" w:pos="5334"/>
          <w:tab w:val="left" w:pos="6414"/>
          <w:tab w:val="left" w:pos="7254"/>
          <w:tab w:val="left" w:pos="8574"/>
          <w:tab w:val="left" w:pos="9654"/>
        </w:tabs>
        <w:spacing w:line="360" w:lineRule="auto"/>
        <w:rPr>
          <w:rFonts w:asciiTheme="minorEastAsia" w:hAnsiTheme="minorEastAsia" w:eastAsiaTheme="minorEastAsia"/>
          <w:color w:val="000000"/>
        </w:rPr>
      </w:pPr>
    </w:p>
    <w:p w14:paraId="2616E8A8">
      <w:pPr>
        <w:tabs>
          <w:tab w:val="left" w:pos="654"/>
          <w:tab w:val="left" w:pos="1734"/>
          <w:tab w:val="left" w:pos="2814"/>
          <w:tab w:val="left" w:pos="3894"/>
          <w:tab w:val="left" w:pos="5334"/>
          <w:tab w:val="left" w:pos="6414"/>
          <w:tab w:val="left" w:pos="7254"/>
          <w:tab w:val="left" w:pos="8574"/>
          <w:tab w:val="left" w:pos="9654"/>
        </w:tabs>
        <w:spacing w:line="360" w:lineRule="auto"/>
        <w:ind w:firstLine="2730" w:firstLineChars="1300"/>
        <w:rPr>
          <w:rFonts w:asciiTheme="minorEastAsia" w:hAnsiTheme="minorEastAsia" w:eastAsiaTheme="minorEastAsia"/>
          <w:color w:val="000000"/>
        </w:rPr>
      </w:pPr>
    </w:p>
    <w:p w14:paraId="70125BA3">
      <w:pPr>
        <w:tabs>
          <w:tab w:val="left" w:pos="654"/>
          <w:tab w:val="left" w:pos="1734"/>
          <w:tab w:val="left" w:pos="2814"/>
          <w:tab w:val="left" w:pos="3894"/>
          <w:tab w:val="left" w:pos="5334"/>
          <w:tab w:val="left" w:pos="6414"/>
          <w:tab w:val="left" w:pos="7254"/>
          <w:tab w:val="left" w:pos="8574"/>
          <w:tab w:val="left" w:pos="9654"/>
        </w:tabs>
        <w:spacing w:line="360" w:lineRule="auto"/>
        <w:ind w:firstLine="3885" w:firstLineChars="1850"/>
        <w:rPr>
          <w:rFonts w:asciiTheme="minorEastAsia" w:hAnsiTheme="minorEastAsia" w:eastAsiaTheme="minorEastAsia"/>
          <w:color w:val="000000"/>
        </w:rPr>
      </w:pPr>
      <w:r>
        <w:rPr>
          <w:rFonts w:hint="eastAsia" w:asciiTheme="minorEastAsia" w:hAnsiTheme="minorEastAsia" w:eastAsiaTheme="minorEastAsia"/>
          <w:color w:val="000000"/>
        </w:rPr>
        <w:t>投标人名称：</w:t>
      </w:r>
    </w:p>
    <w:p w14:paraId="4CA40D0C">
      <w:pPr>
        <w:tabs>
          <w:tab w:val="left" w:pos="654"/>
          <w:tab w:val="left" w:pos="1734"/>
          <w:tab w:val="left" w:pos="2814"/>
          <w:tab w:val="left" w:pos="3894"/>
          <w:tab w:val="left" w:pos="5334"/>
          <w:tab w:val="left" w:pos="6414"/>
          <w:tab w:val="left" w:pos="7254"/>
          <w:tab w:val="left" w:pos="8574"/>
          <w:tab w:val="left" w:pos="9654"/>
        </w:tabs>
        <w:spacing w:line="360" w:lineRule="auto"/>
        <w:ind w:firstLine="3885" w:firstLineChars="1850"/>
        <w:rPr>
          <w:rFonts w:asciiTheme="minorEastAsia" w:hAnsiTheme="minorEastAsia" w:eastAsiaTheme="minorEastAsia"/>
          <w:color w:val="000000"/>
        </w:rPr>
      </w:pPr>
      <w:r>
        <w:rPr>
          <w:rFonts w:hint="eastAsia" w:asciiTheme="minorEastAsia" w:hAnsiTheme="minorEastAsia" w:eastAsiaTheme="minorEastAsia"/>
          <w:color w:val="000000"/>
        </w:rPr>
        <w:t>日 期：</w:t>
      </w:r>
    </w:p>
    <w:p w14:paraId="68FDAD28">
      <w:pPr>
        <w:autoSpaceDE w:val="0"/>
        <w:autoSpaceDN w:val="0"/>
        <w:adjustRightInd w:val="0"/>
        <w:spacing w:line="360" w:lineRule="auto"/>
        <w:rPr>
          <w:rFonts w:asciiTheme="minorEastAsia" w:hAnsiTheme="minorEastAsia" w:eastAsiaTheme="minorEastAsia"/>
          <w:b/>
          <w:color w:val="000000"/>
          <w:lang w:val="zh-CN"/>
        </w:rPr>
      </w:pPr>
    </w:p>
    <w:p w14:paraId="18DDFFA4">
      <w:pPr>
        <w:rPr>
          <w:rFonts w:asciiTheme="minorEastAsia" w:hAnsiTheme="minorEastAsia" w:eastAsiaTheme="minorEastAsia"/>
          <w:color w:val="000000"/>
        </w:rPr>
      </w:pPr>
      <w:r>
        <w:rPr>
          <w:rFonts w:hint="eastAsia" w:asciiTheme="minorEastAsia" w:hAnsiTheme="minorEastAsia" w:eastAsiaTheme="minorEastAsia"/>
          <w:b/>
          <w:color w:val="000000"/>
          <w:lang w:val="zh-CN"/>
        </w:rPr>
        <w:t xml:space="preserve"> </w:t>
      </w:r>
    </w:p>
    <w:p w14:paraId="314FB9B2">
      <w:pPr>
        <w:rPr>
          <w:rFonts w:asciiTheme="minorEastAsia" w:hAnsiTheme="minorEastAsia" w:eastAsiaTheme="minorEastAsia"/>
          <w:color w:val="000000"/>
        </w:rPr>
      </w:pPr>
    </w:p>
    <w:p w14:paraId="129E2CC8">
      <w:pPr>
        <w:pStyle w:val="53"/>
        <w:rPr>
          <w:rFonts w:asciiTheme="minorEastAsia" w:hAnsiTheme="minorEastAsia" w:eastAsiaTheme="minorEastAsia"/>
          <w:color w:val="000000"/>
        </w:rPr>
      </w:pPr>
    </w:p>
    <w:p w14:paraId="50FBF249">
      <w:pPr>
        <w:pStyle w:val="2"/>
        <w:rPr>
          <w:rFonts w:asciiTheme="minorEastAsia" w:hAnsiTheme="minorEastAsia" w:eastAsiaTheme="minorEastAsia"/>
          <w:color w:val="000000"/>
        </w:rPr>
      </w:pPr>
    </w:p>
    <w:p w14:paraId="77110C45">
      <w:pPr>
        <w:rPr>
          <w:rFonts w:asciiTheme="minorEastAsia" w:hAnsiTheme="minorEastAsia" w:eastAsiaTheme="minorEastAsia"/>
          <w:color w:val="000000"/>
        </w:rPr>
      </w:pPr>
    </w:p>
    <w:p w14:paraId="67BCA763">
      <w:pPr>
        <w:widowControl/>
        <w:jc w:val="left"/>
        <w:rPr>
          <w:rFonts w:asciiTheme="minorEastAsia" w:hAnsiTheme="minorEastAsia" w:eastAsiaTheme="minorEastAsia"/>
          <w:b/>
        </w:rPr>
      </w:pPr>
    </w:p>
    <w:p w14:paraId="0D9937E2">
      <w:pPr>
        <w:tabs>
          <w:tab w:val="left" w:pos="654"/>
          <w:tab w:val="left" w:pos="1734"/>
          <w:tab w:val="left" w:pos="2814"/>
          <w:tab w:val="left" w:pos="3894"/>
          <w:tab w:val="left" w:pos="5334"/>
          <w:tab w:val="left" w:pos="6414"/>
          <w:tab w:val="left" w:pos="7254"/>
          <w:tab w:val="left" w:pos="8574"/>
          <w:tab w:val="left" w:pos="9654"/>
        </w:tabs>
        <w:spacing w:line="360" w:lineRule="auto"/>
        <w:ind w:firstLine="3045" w:firstLineChars="1450"/>
        <w:rPr>
          <w:rFonts w:asciiTheme="minorEastAsia" w:hAnsiTheme="minorEastAsia" w:eastAsiaTheme="minorEastAsia"/>
        </w:rPr>
      </w:pPr>
    </w:p>
    <w:sectPr>
      <w:headerReference r:id="rId4" w:type="default"/>
      <w:footerReference r:id="rId5" w:type="default"/>
      <w:pgSz w:w="11906" w:h="16838"/>
      <w:pgMar w:top="1304" w:right="1531" w:bottom="1304" w:left="1531" w:header="1304" w:footer="130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Times New Roman”“">
    <w:altName w:val="宋体"/>
    <w:panose1 w:val="00000000000000000000"/>
    <w:charset w:val="86"/>
    <w:family w:val="roman"/>
    <w:pitch w:val="default"/>
    <w:sig w:usb0="00000000" w:usb1="00000000" w:usb2="00000010" w:usb3="00000000" w:csb0="00040000" w:csb1="00000000"/>
  </w:font>
  <w:font w:name="华文新魏">
    <w:panose1 w:val="02010800040101010101"/>
    <w:charset w:val="86"/>
    <w:family w:val="auto"/>
    <w:pitch w:val="default"/>
    <w:sig w:usb0="00000001" w:usb1="080F0000" w:usb2="00000000" w:usb3="00000000" w:csb0="00040000" w:csb1="00000000"/>
  </w:font>
  <w:font w:name="(使用中文字体)">
    <w:altName w:val="仿宋"/>
    <w:panose1 w:val="00000000000000000000"/>
    <w:charset w:val="86"/>
    <w:family w:val="roma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Songti SC Regular">
    <w:altName w:val="Times New Roman"/>
    <w:panose1 w:val="00000000000000000000"/>
    <w:charset w:val="00"/>
    <w:family w:val="roman"/>
    <w:pitch w:val="default"/>
    <w:sig w:usb0="00000000" w:usb1="00000000" w:usb2="00000000" w:usb3="00000000" w:csb0="0004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6AE39">
    <w:pPr>
      <w:pStyle w:val="16"/>
      <w:jc w:val="right"/>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88752622"/>
                          </w:sdtPr>
                          <w:sdtContent>
                            <w:p w14:paraId="5D13E320">
                              <w:pPr>
                                <w:pStyle w:val="16"/>
                                <w:jc w:val="right"/>
                              </w:pPr>
                              <w:r>
                                <w:fldChar w:fldCharType="begin"/>
                              </w:r>
                              <w:r>
                                <w:instrText xml:space="preserve"> PAGE   \* MERGEFORMAT </w:instrText>
                              </w:r>
                              <w:r>
                                <w:fldChar w:fldCharType="separate"/>
                              </w:r>
                              <w:r>
                                <w:rPr>
                                  <w:lang w:val="zh-CN"/>
                                </w:rPr>
                                <w:t>32</w:t>
                              </w:r>
                              <w:r>
                                <w:rPr>
                                  <w:lang w:val="zh-CN"/>
                                </w:rPr>
                                <w:fldChar w:fldCharType="end"/>
                              </w:r>
                            </w:p>
                          </w:sdtContent>
                        </w:sdt>
                        <w:p w14:paraId="2A98C08B">
                          <w:pPr>
                            <w:pStyle w:val="2"/>
                          </w:pP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sdt>
                    <w:sdtPr>
                      <w:id w:val="88752622"/>
                    </w:sdtPr>
                    <w:sdtContent>
                      <w:p w14:paraId="5D13E320">
                        <w:pPr>
                          <w:pStyle w:val="16"/>
                          <w:jc w:val="right"/>
                        </w:pPr>
                        <w:r>
                          <w:fldChar w:fldCharType="begin"/>
                        </w:r>
                        <w:r>
                          <w:instrText xml:space="preserve"> PAGE   \* MERGEFORMAT </w:instrText>
                        </w:r>
                        <w:r>
                          <w:fldChar w:fldCharType="separate"/>
                        </w:r>
                        <w:r>
                          <w:rPr>
                            <w:lang w:val="zh-CN"/>
                          </w:rPr>
                          <w:t>32</w:t>
                        </w:r>
                        <w:r>
                          <w:rPr>
                            <w:lang w:val="zh-CN"/>
                          </w:rPr>
                          <w:fldChar w:fldCharType="end"/>
                        </w:r>
                      </w:p>
                    </w:sdtContent>
                  </w:sdt>
                  <w:p w14:paraId="2A98C08B">
                    <w:pPr>
                      <w:pStyle w:val="2"/>
                    </w:pPr>
                  </w:p>
                </w:txbxContent>
              </v:textbox>
            </v:shape>
          </w:pict>
        </mc:Fallback>
      </mc:AlternateContent>
    </w:r>
  </w:p>
  <w:p w14:paraId="163D5FC1">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8D285">
    <w:pPr>
      <w:pStyle w:val="16"/>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16205" cy="1397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16205" cy="139700"/>
                      </a:xfrm>
                      <a:prstGeom prst="rect">
                        <a:avLst/>
                      </a:prstGeom>
                      <a:noFill/>
                      <a:ln>
                        <a:noFill/>
                      </a:ln>
                    </wps:spPr>
                    <wps:txbx>
                      <w:txbxContent>
                        <w:p w14:paraId="299BEFDD">
                          <w:pPr>
                            <w:pStyle w:val="16"/>
                          </w:pPr>
                          <w:r>
                            <w:fldChar w:fldCharType="begin"/>
                          </w:r>
                          <w:r>
                            <w:instrText xml:space="preserve"> PAGE  \* MERGEFORMAT </w:instrText>
                          </w:r>
                          <w:r>
                            <w:fldChar w:fldCharType="separate"/>
                          </w:r>
                          <w:r>
                            <w:t>43</w:t>
                          </w:r>
                          <w: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1pt;width:9.15pt;mso-position-horizontal:right;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Bi6WFNAAAAADAQAADwAAAAAAAAABACAAAAAiAAAAZHJzL2Rvd25y&#10;ZXYueG1sUEsBAhQAFAAAAAgAh07iQOJGp8/NAQAAlwMAAA4AAAAAAAAAAQAgAAAAHwEAAGRycy9l&#10;Mm9Eb2MueG1sUEsFBgAAAAAGAAYAWQEAAF4FAAAAAA==&#10;">
              <v:fill on="f" focussize="0,0"/>
              <v:stroke on="f"/>
              <v:imagedata o:title=""/>
              <o:lock v:ext="edit" aspectratio="f"/>
              <v:textbox inset="0mm,0mm,0mm,0mm" style="mso-fit-shape-to-text:t;">
                <w:txbxContent>
                  <w:p w14:paraId="299BEFDD">
                    <w:pPr>
                      <w:pStyle w:val="16"/>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61E4">
    <w:pPr>
      <w:pStyle w:val="17"/>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0C7D8B"/>
    <w:multiLevelType w:val="singleLevel"/>
    <w:tmpl w:val="DA0C7D8B"/>
    <w:lvl w:ilvl="0" w:tentative="0">
      <w:start w:val="1"/>
      <w:numFmt w:val="decimal"/>
      <w:suff w:val="nothing"/>
      <w:lvlText w:val="（%1）"/>
      <w:lvlJc w:val="left"/>
    </w:lvl>
  </w:abstractNum>
  <w:abstractNum w:abstractNumId="1">
    <w:nsid w:val="F2FEAD94"/>
    <w:multiLevelType w:val="singleLevel"/>
    <w:tmpl w:val="F2FEAD94"/>
    <w:lvl w:ilvl="0" w:tentative="0">
      <w:start w:val="1"/>
      <w:numFmt w:val="decimal"/>
      <w:lvlText w:val="%1."/>
      <w:lvlJc w:val="left"/>
      <w:pPr>
        <w:tabs>
          <w:tab w:val="left" w:pos="312"/>
        </w:tabs>
      </w:pPr>
    </w:lvl>
  </w:abstractNum>
  <w:abstractNum w:abstractNumId="2">
    <w:nsid w:val="0000000A"/>
    <w:multiLevelType w:val="singleLevel"/>
    <w:tmpl w:val="0000000A"/>
    <w:lvl w:ilvl="0" w:tentative="0">
      <w:start w:val="1"/>
      <w:numFmt w:val="decimal"/>
      <w:suff w:val="nothing"/>
      <w:lvlText w:val="%1）"/>
      <w:lvlJc w:val="left"/>
      <w:rPr>
        <w:rFonts w:cs="Times New Roman"/>
      </w:rPr>
    </w:lvl>
  </w:abstractNum>
  <w:abstractNum w:abstractNumId="3">
    <w:nsid w:val="0000000F"/>
    <w:multiLevelType w:val="multilevel"/>
    <w:tmpl w:val="0000000F"/>
    <w:lvl w:ilvl="0" w:tentative="0">
      <w:start w:val="1"/>
      <w:numFmt w:val="japaneseCounting"/>
      <w:lvlText w:val="第%1章"/>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4">
    <w:nsid w:val="00000012"/>
    <w:multiLevelType w:val="singleLevel"/>
    <w:tmpl w:val="00000012"/>
    <w:lvl w:ilvl="0" w:tentative="0">
      <w:start w:val="1"/>
      <w:numFmt w:val="decimal"/>
      <w:pStyle w:val="7"/>
      <w:lvlText w:val="%1."/>
      <w:lvlJc w:val="left"/>
      <w:pPr>
        <w:tabs>
          <w:tab w:val="left" w:pos="360"/>
        </w:tabs>
        <w:ind w:left="360" w:hanging="360"/>
      </w:pPr>
    </w:lvl>
  </w:abstractNum>
  <w:abstractNum w:abstractNumId="5">
    <w:nsid w:val="0C34DE15"/>
    <w:multiLevelType w:val="singleLevel"/>
    <w:tmpl w:val="0C34DE15"/>
    <w:lvl w:ilvl="0" w:tentative="0">
      <w:start w:val="1"/>
      <w:numFmt w:val="decimal"/>
      <w:lvlText w:val="%1."/>
      <w:lvlJc w:val="left"/>
      <w:pPr>
        <w:tabs>
          <w:tab w:val="left" w:pos="312"/>
        </w:tabs>
      </w:pPr>
    </w:lvl>
  </w:abstractNum>
  <w:abstractNum w:abstractNumId="6">
    <w:nsid w:val="225A8346"/>
    <w:multiLevelType w:val="singleLevel"/>
    <w:tmpl w:val="225A8346"/>
    <w:lvl w:ilvl="0" w:tentative="0">
      <w:start w:val="1"/>
      <w:numFmt w:val="decimal"/>
      <w:lvlText w:val="%1."/>
      <w:lvlJc w:val="left"/>
      <w:pPr>
        <w:tabs>
          <w:tab w:val="left" w:pos="312"/>
        </w:tabs>
      </w:pPr>
    </w:lvl>
  </w:abstractNum>
  <w:abstractNum w:abstractNumId="7">
    <w:nsid w:val="4DD4552D"/>
    <w:multiLevelType w:val="singleLevel"/>
    <w:tmpl w:val="4DD4552D"/>
    <w:lvl w:ilvl="0" w:tentative="0">
      <w:start w:val="1"/>
      <w:numFmt w:val="decimal"/>
      <w:lvlText w:val="%1."/>
      <w:lvlJc w:val="left"/>
      <w:pPr>
        <w:tabs>
          <w:tab w:val="left" w:pos="312"/>
        </w:tabs>
      </w:pPr>
    </w:lvl>
  </w:abstractNum>
  <w:abstractNum w:abstractNumId="8">
    <w:nsid w:val="7DE47E81"/>
    <w:multiLevelType w:val="singleLevel"/>
    <w:tmpl w:val="7DE47E81"/>
    <w:lvl w:ilvl="0" w:tentative="0">
      <w:start w:val="4"/>
      <w:numFmt w:val="chineseCounting"/>
      <w:suff w:val="space"/>
      <w:lvlText w:val="%1、"/>
      <w:lvlJc w:val="left"/>
      <w:rPr>
        <w:rFonts w:hint="eastAsia"/>
      </w:rPr>
    </w:lvl>
  </w:abstractNum>
  <w:num w:numId="1">
    <w:abstractNumId w:val="4"/>
  </w:num>
  <w:num w:numId="2">
    <w:abstractNumId w:val="3"/>
  </w:num>
  <w:num w:numId="3">
    <w:abstractNumId w:val="0"/>
  </w:num>
  <w:num w:numId="4">
    <w:abstractNumId w:val="2"/>
  </w:num>
  <w:num w:numId="5">
    <w:abstractNumId w:val="6"/>
  </w:num>
  <w:num w:numId="6">
    <w:abstractNumId w:val="7"/>
  </w:num>
  <w:num w:numId="7">
    <w:abstractNumId w:val="5"/>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ZDNiNjc4N2Y5YzJiNWY0NjQxMTBmZmRlYWU5ZTMifQ=="/>
  </w:docVars>
  <w:rsids>
    <w:rsidRoot w:val="004A05B2"/>
    <w:rsid w:val="0000431A"/>
    <w:rsid w:val="00005FBA"/>
    <w:rsid w:val="00007F48"/>
    <w:rsid w:val="00020092"/>
    <w:rsid w:val="00025886"/>
    <w:rsid w:val="000512F6"/>
    <w:rsid w:val="00055AD8"/>
    <w:rsid w:val="00096CE8"/>
    <w:rsid w:val="00116485"/>
    <w:rsid w:val="001B2087"/>
    <w:rsid w:val="001D39BA"/>
    <w:rsid w:val="001F474F"/>
    <w:rsid w:val="002114A5"/>
    <w:rsid w:val="00251C0B"/>
    <w:rsid w:val="00254FEB"/>
    <w:rsid w:val="002817DF"/>
    <w:rsid w:val="0028776A"/>
    <w:rsid w:val="002A1075"/>
    <w:rsid w:val="002A2939"/>
    <w:rsid w:val="002C10F2"/>
    <w:rsid w:val="002C5D8E"/>
    <w:rsid w:val="002F2398"/>
    <w:rsid w:val="002F266E"/>
    <w:rsid w:val="00333A2A"/>
    <w:rsid w:val="003A0DB1"/>
    <w:rsid w:val="003A204C"/>
    <w:rsid w:val="003C5580"/>
    <w:rsid w:val="003E4248"/>
    <w:rsid w:val="003E6F26"/>
    <w:rsid w:val="00403A11"/>
    <w:rsid w:val="00403C3F"/>
    <w:rsid w:val="00440351"/>
    <w:rsid w:val="004609B1"/>
    <w:rsid w:val="00461E44"/>
    <w:rsid w:val="0047314E"/>
    <w:rsid w:val="00490E06"/>
    <w:rsid w:val="004A05B2"/>
    <w:rsid w:val="004A1F2A"/>
    <w:rsid w:val="004E0863"/>
    <w:rsid w:val="004E1383"/>
    <w:rsid w:val="004E3D3A"/>
    <w:rsid w:val="004F1C78"/>
    <w:rsid w:val="00505967"/>
    <w:rsid w:val="00524F43"/>
    <w:rsid w:val="00525DCB"/>
    <w:rsid w:val="005356A5"/>
    <w:rsid w:val="00537603"/>
    <w:rsid w:val="00555F65"/>
    <w:rsid w:val="005B1427"/>
    <w:rsid w:val="005C4520"/>
    <w:rsid w:val="00611867"/>
    <w:rsid w:val="006220A1"/>
    <w:rsid w:val="00637FCC"/>
    <w:rsid w:val="00650667"/>
    <w:rsid w:val="00683731"/>
    <w:rsid w:val="006855AA"/>
    <w:rsid w:val="006965E4"/>
    <w:rsid w:val="00696D84"/>
    <w:rsid w:val="006A5AFC"/>
    <w:rsid w:val="006E49D6"/>
    <w:rsid w:val="007C5B50"/>
    <w:rsid w:val="007E105C"/>
    <w:rsid w:val="007F6A09"/>
    <w:rsid w:val="008043B9"/>
    <w:rsid w:val="008228A0"/>
    <w:rsid w:val="00826FAE"/>
    <w:rsid w:val="008514E0"/>
    <w:rsid w:val="00857C29"/>
    <w:rsid w:val="00857C61"/>
    <w:rsid w:val="00883E96"/>
    <w:rsid w:val="00895626"/>
    <w:rsid w:val="008C6670"/>
    <w:rsid w:val="008E650B"/>
    <w:rsid w:val="00903FEF"/>
    <w:rsid w:val="00917ADE"/>
    <w:rsid w:val="00926A66"/>
    <w:rsid w:val="00943571"/>
    <w:rsid w:val="00946233"/>
    <w:rsid w:val="00955240"/>
    <w:rsid w:val="00964DF3"/>
    <w:rsid w:val="00964EA7"/>
    <w:rsid w:val="00973363"/>
    <w:rsid w:val="00987ED2"/>
    <w:rsid w:val="00991F18"/>
    <w:rsid w:val="00993123"/>
    <w:rsid w:val="009C337D"/>
    <w:rsid w:val="009F13E7"/>
    <w:rsid w:val="00A15B35"/>
    <w:rsid w:val="00A24D93"/>
    <w:rsid w:val="00A5093E"/>
    <w:rsid w:val="00AC49BF"/>
    <w:rsid w:val="00B120D7"/>
    <w:rsid w:val="00B406C6"/>
    <w:rsid w:val="00B52273"/>
    <w:rsid w:val="00B60797"/>
    <w:rsid w:val="00BA4161"/>
    <w:rsid w:val="00BF20BE"/>
    <w:rsid w:val="00C0389F"/>
    <w:rsid w:val="00C07D22"/>
    <w:rsid w:val="00C31DB8"/>
    <w:rsid w:val="00C376B9"/>
    <w:rsid w:val="00C40BF9"/>
    <w:rsid w:val="00C54144"/>
    <w:rsid w:val="00C65FB5"/>
    <w:rsid w:val="00C87B54"/>
    <w:rsid w:val="00CC545B"/>
    <w:rsid w:val="00CE72AE"/>
    <w:rsid w:val="00CF083D"/>
    <w:rsid w:val="00D01E4A"/>
    <w:rsid w:val="00D0253B"/>
    <w:rsid w:val="00D23095"/>
    <w:rsid w:val="00D561BF"/>
    <w:rsid w:val="00D726C6"/>
    <w:rsid w:val="00DE047B"/>
    <w:rsid w:val="00DE3F62"/>
    <w:rsid w:val="00DE5871"/>
    <w:rsid w:val="00E13D30"/>
    <w:rsid w:val="00E448D1"/>
    <w:rsid w:val="00E7554E"/>
    <w:rsid w:val="00E82E93"/>
    <w:rsid w:val="00E90B46"/>
    <w:rsid w:val="00E970E5"/>
    <w:rsid w:val="00EC7A02"/>
    <w:rsid w:val="00F17EB7"/>
    <w:rsid w:val="00F211EF"/>
    <w:rsid w:val="00F33DF5"/>
    <w:rsid w:val="00F47CDD"/>
    <w:rsid w:val="00F715C5"/>
    <w:rsid w:val="00F75171"/>
    <w:rsid w:val="00F93925"/>
    <w:rsid w:val="01001B5E"/>
    <w:rsid w:val="0119565C"/>
    <w:rsid w:val="01325A8F"/>
    <w:rsid w:val="01487061"/>
    <w:rsid w:val="01803BF6"/>
    <w:rsid w:val="0196601E"/>
    <w:rsid w:val="019C0823"/>
    <w:rsid w:val="01A324E9"/>
    <w:rsid w:val="01C40DDD"/>
    <w:rsid w:val="01D31328"/>
    <w:rsid w:val="01E2173A"/>
    <w:rsid w:val="01FA47FF"/>
    <w:rsid w:val="02427F54"/>
    <w:rsid w:val="028232AF"/>
    <w:rsid w:val="0293658B"/>
    <w:rsid w:val="02954528"/>
    <w:rsid w:val="02AA6CEC"/>
    <w:rsid w:val="02C80459"/>
    <w:rsid w:val="02DB0926"/>
    <w:rsid w:val="02E610CF"/>
    <w:rsid w:val="02F4124E"/>
    <w:rsid w:val="02FA68CC"/>
    <w:rsid w:val="030E2030"/>
    <w:rsid w:val="03100052"/>
    <w:rsid w:val="03190CB5"/>
    <w:rsid w:val="0329210D"/>
    <w:rsid w:val="035565DF"/>
    <w:rsid w:val="038369CF"/>
    <w:rsid w:val="03885E3A"/>
    <w:rsid w:val="03936CB9"/>
    <w:rsid w:val="03E77005"/>
    <w:rsid w:val="04294F27"/>
    <w:rsid w:val="04333FF8"/>
    <w:rsid w:val="04395ECC"/>
    <w:rsid w:val="04425FE9"/>
    <w:rsid w:val="04455AD9"/>
    <w:rsid w:val="047F476A"/>
    <w:rsid w:val="048162A0"/>
    <w:rsid w:val="0499552A"/>
    <w:rsid w:val="04B213C1"/>
    <w:rsid w:val="04B70785"/>
    <w:rsid w:val="04D06B3D"/>
    <w:rsid w:val="04DB00C6"/>
    <w:rsid w:val="04DC01EC"/>
    <w:rsid w:val="04EF3956"/>
    <w:rsid w:val="04FA2D68"/>
    <w:rsid w:val="053E0EA6"/>
    <w:rsid w:val="05434A68"/>
    <w:rsid w:val="054F6C10"/>
    <w:rsid w:val="055C30DB"/>
    <w:rsid w:val="056F2E0E"/>
    <w:rsid w:val="05704DD8"/>
    <w:rsid w:val="05877CE9"/>
    <w:rsid w:val="0596483F"/>
    <w:rsid w:val="05BE78F1"/>
    <w:rsid w:val="05F542FB"/>
    <w:rsid w:val="0607025A"/>
    <w:rsid w:val="0612774C"/>
    <w:rsid w:val="062067FE"/>
    <w:rsid w:val="06255BC2"/>
    <w:rsid w:val="06293905"/>
    <w:rsid w:val="06581AF4"/>
    <w:rsid w:val="0661499E"/>
    <w:rsid w:val="06640499"/>
    <w:rsid w:val="0683047D"/>
    <w:rsid w:val="06952D48"/>
    <w:rsid w:val="06A25465"/>
    <w:rsid w:val="06BA630B"/>
    <w:rsid w:val="07026384"/>
    <w:rsid w:val="076D72ED"/>
    <w:rsid w:val="07AA2823"/>
    <w:rsid w:val="07B44167"/>
    <w:rsid w:val="07D7113E"/>
    <w:rsid w:val="08000695"/>
    <w:rsid w:val="08144141"/>
    <w:rsid w:val="0829293A"/>
    <w:rsid w:val="082A6CC4"/>
    <w:rsid w:val="083D1B91"/>
    <w:rsid w:val="0858402D"/>
    <w:rsid w:val="08CB2A51"/>
    <w:rsid w:val="08F71A98"/>
    <w:rsid w:val="08FA69E9"/>
    <w:rsid w:val="0910058F"/>
    <w:rsid w:val="092A75B4"/>
    <w:rsid w:val="09906519"/>
    <w:rsid w:val="09AC2D72"/>
    <w:rsid w:val="09AF4121"/>
    <w:rsid w:val="09B554AF"/>
    <w:rsid w:val="0A02152C"/>
    <w:rsid w:val="0A1B5312"/>
    <w:rsid w:val="0A1C7EF6"/>
    <w:rsid w:val="0A2763AD"/>
    <w:rsid w:val="0A3208AE"/>
    <w:rsid w:val="0A5E4CD5"/>
    <w:rsid w:val="0A7964DD"/>
    <w:rsid w:val="0A907D14"/>
    <w:rsid w:val="0AB17A25"/>
    <w:rsid w:val="0ABE2142"/>
    <w:rsid w:val="0ADA51CD"/>
    <w:rsid w:val="0ADF27E4"/>
    <w:rsid w:val="0B140999"/>
    <w:rsid w:val="0B1A1A6E"/>
    <w:rsid w:val="0B1B1342"/>
    <w:rsid w:val="0B1D330C"/>
    <w:rsid w:val="0B2C34C4"/>
    <w:rsid w:val="0B372620"/>
    <w:rsid w:val="0B5036E2"/>
    <w:rsid w:val="0B5E178F"/>
    <w:rsid w:val="0B664CB3"/>
    <w:rsid w:val="0BAC00AA"/>
    <w:rsid w:val="0BDA11FD"/>
    <w:rsid w:val="0BF91683"/>
    <w:rsid w:val="0C2B475D"/>
    <w:rsid w:val="0C3E0D93"/>
    <w:rsid w:val="0C4B6D57"/>
    <w:rsid w:val="0C4D3CCA"/>
    <w:rsid w:val="0C605D28"/>
    <w:rsid w:val="0C7B485D"/>
    <w:rsid w:val="0CAC48D5"/>
    <w:rsid w:val="0CB00C93"/>
    <w:rsid w:val="0CC953FA"/>
    <w:rsid w:val="0CE2480D"/>
    <w:rsid w:val="0CF167FE"/>
    <w:rsid w:val="0D11236F"/>
    <w:rsid w:val="0D3D5594"/>
    <w:rsid w:val="0D474670"/>
    <w:rsid w:val="0D766989"/>
    <w:rsid w:val="0D85327C"/>
    <w:rsid w:val="0D8D4779"/>
    <w:rsid w:val="0DED346A"/>
    <w:rsid w:val="0E1C64EF"/>
    <w:rsid w:val="0E344BF5"/>
    <w:rsid w:val="0E7C659C"/>
    <w:rsid w:val="0EAA7C1C"/>
    <w:rsid w:val="0EB75826"/>
    <w:rsid w:val="0EB9334C"/>
    <w:rsid w:val="0EF44384"/>
    <w:rsid w:val="0EFD148A"/>
    <w:rsid w:val="0F4277E5"/>
    <w:rsid w:val="0F4A0448"/>
    <w:rsid w:val="0F7A0D2D"/>
    <w:rsid w:val="0F8718E9"/>
    <w:rsid w:val="0F930C8B"/>
    <w:rsid w:val="0F9F0794"/>
    <w:rsid w:val="0FA1275E"/>
    <w:rsid w:val="0FA9856D"/>
    <w:rsid w:val="0FAB0EE6"/>
    <w:rsid w:val="0FB0647D"/>
    <w:rsid w:val="0FD056C0"/>
    <w:rsid w:val="0FD06B9F"/>
    <w:rsid w:val="0FF34FA4"/>
    <w:rsid w:val="0FF44C98"/>
    <w:rsid w:val="0FFE370C"/>
    <w:rsid w:val="0FFE4E0F"/>
    <w:rsid w:val="103C4BBC"/>
    <w:rsid w:val="106775C3"/>
    <w:rsid w:val="109F2152"/>
    <w:rsid w:val="10A357D8"/>
    <w:rsid w:val="10A36062"/>
    <w:rsid w:val="10B2256F"/>
    <w:rsid w:val="10C06C14"/>
    <w:rsid w:val="10CC380A"/>
    <w:rsid w:val="10D97CD5"/>
    <w:rsid w:val="10DB3A4D"/>
    <w:rsid w:val="10DC1574"/>
    <w:rsid w:val="10E133CD"/>
    <w:rsid w:val="1102722C"/>
    <w:rsid w:val="11034D52"/>
    <w:rsid w:val="114A472F"/>
    <w:rsid w:val="115E2424"/>
    <w:rsid w:val="117619C8"/>
    <w:rsid w:val="11991213"/>
    <w:rsid w:val="11D64215"/>
    <w:rsid w:val="11F36B75"/>
    <w:rsid w:val="11FC011F"/>
    <w:rsid w:val="121A67F7"/>
    <w:rsid w:val="12307DC9"/>
    <w:rsid w:val="12380A2C"/>
    <w:rsid w:val="12425F39"/>
    <w:rsid w:val="124F64A1"/>
    <w:rsid w:val="12696E37"/>
    <w:rsid w:val="128123D2"/>
    <w:rsid w:val="128B14A3"/>
    <w:rsid w:val="12A460C1"/>
    <w:rsid w:val="12AA1929"/>
    <w:rsid w:val="12E91781"/>
    <w:rsid w:val="12F6691D"/>
    <w:rsid w:val="12F9465F"/>
    <w:rsid w:val="131B6178"/>
    <w:rsid w:val="13427DB4"/>
    <w:rsid w:val="134D0727"/>
    <w:rsid w:val="134F24D1"/>
    <w:rsid w:val="13743CE5"/>
    <w:rsid w:val="139F6FB4"/>
    <w:rsid w:val="13AC16D1"/>
    <w:rsid w:val="13CB5FFB"/>
    <w:rsid w:val="13CD286F"/>
    <w:rsid w:val="13ED41C3"/>
    <w:rsid w:val="13FD1F2D"/>
    <w:rsid w:val="14353475"/>
    <w:rsid w:val="14423DE3"/>
    <w:rsid w:val="144F6A13"/>
    <w:rsid w:val="14553B17"/>
    <w:rsid w:val="147541B9"/>
    <w:rsid w:val="14AA3E63"/>
    <w:rsid w:val="14C60571"/>
    <w:rsid w:val="14D02DF5"/>
    <w:rsid w:val="14D7213A"/>
    <w:rsid w:val="14E05AD6"/>
    <w:rsid w:val="14F41582"/>
    <w:rsid w:val="14FB46BE"/>
    <w:rsid w:val="15227E9D"/>
    <w:rsid w:val="15393438"/>
    <w:rsid w:val="154C4359"/>
    <w:rsid w:val="15672BCE"/>
    <w:rsid w:val="1568444E"/>
    <w:rsid w:val="158C17BA"/>
    <w:rsid w:val="15995F29"/>
    <w:rsid w:val="15CC7E09"/>
    <w:rsid w:val="15DB44F0"/>
    <w:rsid w:val="15DF08CB"/>
    <w:rsid w:val="160349AB"/>
    <w:rsid w:val="161B48EC"/>
    <w:rsid w:val="161D2412"/>
    <w:rsid w:val="162C5B6F"/>
    <w:rsid w:val="163F682C"/>
    <w:rsid w:val="169528F0"/>
    <w:rsid w:val="16B77F1B"/>
    <w:rsid w:val="16DB47A7"/>
    <w:rsid w:val="16EB2558"/>
    <w:rsid w:val="16EF45E5"/>
    <w:rsid w:val="1740460A"/>
    <w:rsid w:val="17481711"/>
    <w:rsid w:val="17832737"/>
    <w:rsid w:val="17966920"/>
    <w:rsid w:val="17AC00A5"/>
    <w:rsid w:val="18001FEB"/>
    <w:rsid w:val="18335F1D"/>
    <w:rsid w:val="1865588F"/>
    <w:rsid w:val="18677415"/>
    <w:rsid w:val="187643FC"/>
    <w:rsid w:val="188B5D59"/>
    <w:rsid w:val="18910E95"/>
    <w:rsid w:val="18982224"/>
    <w:rsid w:val="189A116C"/>
    <w:rsid w:val="18A6717D"/>
    <w:rsid w:val="18B13D26"/>
    <w:rsid w:val="18B36892"/>
    <w:rsid w:val="18D5184F"/>
    <w:rsid w:val="18EC395A"/>
    <w:rsid w:val="18F55681"/>
    <w:rsid w:val="18F83308"/>
    <w:rsid w:val="190E2CCE"/>
    <w:rsid w:val="191F7117"/>
    <w:rsid w:val="19255582"/>
    <w:rsid w:val="1945415A"/>
    <w:rsid w:val="194C4F1D"/>
    <w:rsid w:val="194F3243"/>
    <w:rsid w:val="197B520E"/>
    <w:rsid w:val="197C6571"/>
    <w:rsid w:val="19AF7825"/>
    <w:rsid w:val="19C257AA"/>
    <w:rsid w:val="1A2E1092"/>
    <w:rsid w:val="1A352420"/>
    <w:rsid w:val="1A402B73"/>
    <w:rsid w:val="1A660DDD"/>
    <w:rsid w:val="1A7647E7"/>
    <w:rsid w:val="1A765D9C"/>
    <w:rsid w:val="1A895926"/>
    <w:rsid w:val="1A8B0292"/>
    <w:rsid w:val="1A8B64E4"/>
    <w:rsid w:val="1A8E589A"/>
    <w:rsid w:val="1AB01AA7"/>
    <w:rsid w:val="1AB71087"/>
    <w:rsid w:val="1ACE63D1"/>
    <w:rsid w:val="1AEB2ADF"/>
    <w:rsid w:val="1B4072CF"/>
    <w:rsid w:val="1B590390"/>
    <w:rsid w:val="1B844ABD"/>
    <w:rsid w:val="1BA23AE5"/>
    <w:rsid w:val="1BAF6B07"/>
    <w:rsid w:val="1BC752FA"/>
    <w:rsid w:val="1BDD4B1E"/>
    <w:rsid w:val="1BE51C24"/>
    <w:rsid w:val="1C0A3439"/>
    <w:rsid w:val="1C275D99"/>
    <w:rsid w:val="1C35495A"/>
    <w:rsid w:val="1C390AF4"/>
    <w:rsid w:val="1C5921DE"/>
    <w:rsid w:val="1C5F19D6"/>
    <w:rsid w:val="1C672639"/>
    <w:rsid w:val="1C6A7C7F"/>
    <w:rsid w:val="1C6B3FA4"/>
    <w:rsid w:val="1C850D11"/>
    <w:rsid w:val="1CBA4E5F"/>
    <w:rsid w:val="1CCF7AEE"/>
    <w:rsid w:val="1CFA57DE"/>
    <w:rsid w:val="1D3C1D18"/>
    <w:rsid w:val="1D44297A"/>
    <w:rsid w:val="1D5A03F0"/>
    <w:rsid w:val="1D70223B"/>
    <w:rsid w:val="1D7C3E6A"/>
    <w:rsid w:val="1D8B05A9"/>
    <w:rsid w:val="1D8D60CF"/>
    <w:rsid w:val="1D9F570E"/>
    <w:rsid w:val="1DDD4649"/>
    <w:rsid w:val="1DE63104"/>
    <w:rsid w:val="1DE66E3C"/>
    <w:rsid w:val="1E0D3603"/>
    <w:rsid w:val="1E0E7789"/>
    <w:rsid w:val="1E114F52"/>
    <w:rsid w:val="1E2307E2"/>
    <w:rsid w:val="1E4C5F8A"/>
    <w:rsid w:val="1E806DE7"/>
    <w:rsid w:val="1E835EDD"/>
    <w:rsid w:val="1EC12DFC"/>
    <w:rsid w:val="1EDF295B"/>
    <w:rsid w:val="1F242A63"/>
    <w:rsid w:val="1F600DB4"/>
    <w:rsid w:val="1F817EB6"/>
    <w:rsid w:val="1F8F25D3"/>
    <w:rsid w:val="1F9C084C"/>
    <w:rsid w:val="1F9E2816"/>
    <w:rsid w:val="1FA616CA"/>
    <w:rsid w:val="1FC87893"/>
    <w:rsid w:val="1FD53D5E"/>
    <w:rsid w:val="1FD955FC"/>
    <w:rsid w:val="200A3A07"/>
    <w:rsid w:val="201523AC"/>
    <w:rsid w:val="20323461"/>
    <w:rsid w:val="205D7A1F"/>
    <w:rsid w:val="20674ED5"/>
    <w:rsid w:val="20875623"/>
    <w:rsid w:val="208E4638"/>
    <w:rsid w:val="20B147CB"/>
    <w:rsid w:val="20B32228"/>
    <w:rsid w:val="20B32788"/>
    <w:rsid w:val="20E97EB8"/>
    <w:rsid w:val="20F030CF"/>
    <w:rsid w:val="20F9712E"/>
    <w:rsid w:val="211F34E2"/>
    <w:rsid w:val="212426DC"/>
    <w:rsid w:val="2136082C"/>
    <w:rsid w:val="21374CD0"/>
    <w:rsid w:val="21521B0A"/>
    <w:rsid w:val="217D46AD"/>
    <w:rsid w:val="2188552B"/>
    <w:rsid w:val="21AB744A"/>
    <w:rsid w:val="21AB746C"/>
    <w:rsid w:val="21BE0F4D"/>
    <w:rsid w:val="21CA2C04"/>
    <w:rsid w:val="22665141"/>
    <w:rsid w:val="227974F7"/>
    <w:rsid w:val="2288155B"/>
    <w:rsid w:val="228C745A"/>
    <w:rsid w:val="22D0502F"/>
    <w:rsid w:val="22DB78DD"/>
    <w:rsid w:val="22F4274D"/>
    <w:rsid w:val="22FB5F87"/>
    <w:rsid w:val="22FD5AA5"/>
    <w:rsid w:val="23145F33"/>
    <w:rsid w:val="23177672"/>
    <w:rsid w:val="23243032"/>
    <w:rsid w:val="234D7183"/>
    <w:rsid w:val="23506800"/>
    <w:rsid w:val="23607DE2"/>
    <w:rsid w:val="2368207F"/>
    <w:rsid w:val="23B60259"/>
    <w:rsid w:val="23D26F32"/>
    <w:rsid w:val="23DE58D7"/>
    <w:rsid w:val="240D3AC6"/>
    <w:rsid w:val="244268DD"/>
    <w:rsid w:val="24442987"/>
    <w:rsid w:val="24853FA4"/>
    <w:rsid w:val="24EE7D9B"/>
    <w:rsid w:val="25026834"/>
    <w:rsid w:val="250436C8"/>
    <w:rsid w:val="250A6257"/>
    <w:rsid w:val="25115E26"/>
    <w:rsid w:val="25290DD3"/>
    <w:rsid w:val="253D662D"/>
    <w:rsid w:val="2562372C"/>
    <w:rsid w:val="257D2ECD"/>
    <w:rsid w:val="2581247A"/>
    <w:rsid w:val="259B1248"/>
    <w:rsid w:val="25AD37B3"/>
    <w:rsid w:val="25B156D0"/>
    <w:rsid w:val="25DA0320"/>
    <w:rsid w:val="25DA3E7C"/>
    <w:rsid w:val="25F72C80"/>
    <w:rsid w:val="25FA62CC"/>
    <w:rsid w:val="2604539D"/>
    <w:rsid w:val="26211AAB"/>
    <w:rsid w:val="264834DB"/>
    <w:rsid w:val="266450EE"/>
    <w:rsid w:val="268F3A57"/>
    <w:rsid w:val="26971D6D"/>
    <w:rsid w:val="26A347A4"/>
    <w:rsid w:val="26A56238"/>
    <w:rsid w:val="26AB5818"/>
    <w:rsid w:val="26C54B2C"/>
    <w:rsid w:val="26CA2142"/>
    <w:rsid w:val="26DD2E7B"/>
    <w:rsid w:val="271D22AD"/>
    <w:rsid w:val="274C0DA9"/>
    <w:rsid w:val="274C6FFB"/>
    <w:rsid w:val="274E68CF"/>
    <w:rsid w:val="27764078"/>
    <w:rsid w:val="2779550B"/>
    <w:rsid w:val="278422F1"/>
    <w:rsid w:val="278A7F35"/>
    <w:rsid w:val="27A97793"/>
    <w:rsid w:val="27BC3556"/>
    <w:rsid w:val="27C22E19"/>
    <w:rsid w:val="28111415"/>
    <w:rsid w:val="285E6FE6"/>
    <w:rsid w:val="288A1B89"/>
    <w:rsid w:val="28A32C4B"/>
    <w:rsid w:val="28F17E5A"/>
    <w:rsid w:val="296F0D7F"/>
    <w:rsid w:val="29724362"/>
    <w:rsid w:val="29824B2F"/>
    <w:rsid w:val="29842A7C"/>
    <w:rsid w:val="29982084"/>
    <w:rsid w:val="29B449E4"/>
    <w:rsid w:val="29B50E88"/>
    <w:rsid w:val="29B82726"/>
    <w:rsid w:val="29D77BFD"/>
    <w:rsid w:val="29EE4BD1"/>
    <w:rsid w:val="29F15C38"/>
    <w:rsid w:val="29FD282F"/>
    <w:rsid w:val="2A07545B"/>
    <w:rsid w:val="2A61691A"/>
    <w:rsid w:val="2A8940C2"/>
    <w:rsid w:val="2A8B3997"/>
    <w:rsid w:val="2AA147A1"/>
    <w:rsid w:val="2AD10FC0"/>
    <w:rsid w:val="2ADC0696"/>
    <w:rsid w:val="2AFC6642"/>
    <w:rsid w:val="2B255B99"/>
    <w:rsid w:val="2B34402E"/>
    <w:rsid w:val="2B471FB3"/>
    <w:rsid w:val="2B632B65"/>
    <w:rsid w:val="2B681F2A"/>
    <w:rsid w:val="2B6C62CF"/>
    <w:rsid w:val="2B8E7BE2"/>
    <w:rsid w:val="2BA02D55"/>
    <w:rsid w:val="2BB92785"/>
    <w:rsid w:val="2BBD2276"/>
    <w:rsid w:val="2BBE1BC4"/>
    <w:rsid w:val="2BC74EA2"/>
    <w:rsid w:val="2C1E763D"/>
    <w:rsid w:val="2C444745"/>
    <w:rsid w:val="2C475230"/>
    <w:rsid w:val="2C4958B7"/>
    <w:rsid w:val="2C506C46"/>
    <w:rsid w:val="2C5C1A8E"/>
    <w:rsid w:val="2C6D5A4A"/>
    <w:rsid w:val="2C712206"/>
    <w:rsid w:val="2C714E0E"/>
    <w:rsid w:val="2C7843EE"/>
    <w:rsid w:val="2C8114F5"/>
    <w:rsid w:val="2C8B2374"/>
    <w:rsid w:val="2C9A25B7"/>
    <w:rsid w:val="2C9F7BCD"/>
    <w:rsid w:val="2CF32B34"/>
    <w:rsid w:val="2CF41CC7"/>
    <w:rsid w:val="2D0B0DBF"/>
    <w:rsid w:val="2D177764"/>
    <w:rsid w:val="2D297497"/>
    <w:rsid w:val="2D4C7283"/>
    <w:rsid w:val="2D55796B"/>
    <w:rsid w:val="2D616C31"/>
    <w:rsid w:val="2D7D50EB"/>
    <w:rsid w:val="2D8868B3"/>
    <w:rsid w:val="2DC83507"/>
    <w:rsid w:val="2DD41AF8"/>
    <w:rsid w:val="2DD85145"/>
    <w:rsid w:val="2DF6381D"/>
    <w:rsid w:val="2DFD1478"/>
    <w:rsid w:val="2E056020"/>
    <w:rsid w:val="2E140111"/>
    <w:rsid w:val="2E33681F"/>
    <w:rsid w:val="2E3D58F0"/>
    <w:rsid w:val="2E4A5917"/>
    <w:rsid w:val="2E682FCF"/>
    <w:rsid w:val="2E6C5F79"/>
    <w:rsid w:val="2E960B5C"/>
    <w:rsid w:val="2EAB56A1"/>
    <w:rsid w:val="2EB37960"/>
    <w:rsid w:val="2EC76F67"/>
    <w:rsid w:val="2ED34F37"/>
    <w:rsid w:val="2EDC0C65"/>
    <w:rsid w:val="2EE92046"/>
    <w:rsid w:val="2EEE4803"/>
    <w:rsid w:val="2F041F69"/>
    <w:rsid w:val="2F077651"/>
    <w:rsid w:val="2F3F5EED"/>
    <w:rsid w:val="2F4C28B1"/>
    <w:rsid w:val="2F5C3B54"/>
    <w:rsid w:val="2F670B4E"/>
    <w:rsid w:val="2F790552"/>
    <w:rsid w:val="2F962F2B"/>
    <w:rsid w:val="2FAD2601"/>
    <w:rsid w:val="2FED29FE"/>
    <w:rsid w:val="2FED2BB4"/>
    <w:rsid w:val="30043DAB"/>
    <w:rsid w:val="301569C3"/>
    <w:rsid w:val="302F3016"/>
    <w:rsid w:val="303348B4"/>
    <w:rsid w:val="3049057C"/>
    <w:rsid w:val="305E56A9"/>
    <w:rsid w:val="30703D5A"/>
    <w:rsid w:val="3082583C"/>
    <w:rsid w:val="30874C00"/>
    <w:rsid w:val="310A6B03"/>
    <w:rsid w:val="31175F84"/>
    <w:rsid w:val="313B72D2"/>
    <w:rsid w:val="314D19A6"/>
    <w:rsid w:val="316A4C98"/>
    <w:rsid w:val="3179279B"/>
    <w:rsid w:val="31807FCD"/>
    <w:rsid w:val="31813D45"/>
    <w:rsid w:val="31882854"/>
    <w:rsid w:val="31A97BB2"/>
    <w:rsid w:val="31CB5F1C"/>
    <w:rsid w:val="31E9589C"/>
    <w:rsid w:val="322E7A29"/>
    <w:rsid w:val="32333292"/>
    <w:rsid w:val="32375C19"/>
    <w:rsid w:val="323B0398"/>
    <w:rsid w:val="32470AEB"/>
    <w:rsid w:val="32537490"/>
    <w:rsid w:val="325E6850"/>
    <w:rsid w:val="32843AED"/>
    <w:rsid w:val="328533C1"/>
    <w:rsid w:val="32A1736D"/>
    <w:rsid w:val="32BA306B"/>
    <w:rsid w:val="32CF11EE"/>
    <w:rsid w:val="32D00AE0"/>
    <w:rsid w:val="32E12CEE"/>
    <w:rsid w:val="32EB3845"/>
    <w:rsid w:val="32FC5C21"/>
    <w:rsid w:val="33071BBC"/>
    <w:rsid w:val="33222C62"/>
    <w:rsid w:val="33291F9F"/>
    <w:rsid w:val="334B0167"/>
    <w:rsid w:val="335E60EC"/>
    <w:rsid w:val="338B4A07"/>
    <w:rsid w:val="33D41358"/>
    <w:rsid w:val="33D600DE"/>
    <w:rsid w:val="33E70DC0"/>
    <w:rsid w:val="33F20F2A"/>
    <w:rsid w:val="340A6274"/>
    <w:rsid w:val="34234796"/>
    <w:rsid w:val="34266533"/>
    <w:rsid w:val="34463A51"/>
    <w:rsid w:val="348F6779"/>
    <w:rsid w:val="34943D90"/>
    <w:rsid w:val="349C21D4"/>
    <w:rsid w:val="34D16D92"/>
    <w:rsid w:val="34E80C81"/>
    <w:rsid w:val="34E97C37"/>
    <w:rsid w:val="34FB796B"/>
    <w:rsid w:val="34FD1935"/>
    <w:rsid w:val="350B78F0"/>
    <w:rsid w:val="351849C1"/>
    <w:rsid w:val="35243899"/>
    <w:rsid w:val="35642BA4"/>
    <w:rsid w:val="35741372"/>
    <w:rsid w:val="35843E04"/>
    <w:rsid w:val="35A865C2"/>
    <w:rsid w:val="35B5220F"/>
    <w:rsid w:val="35B87DB3"/>
    <w:rsid w:val="36054F45"/>
    <w:rsid w:val="361909F0"/>
    <w:rsid w:val="3623361D"/>
    <w:rsid w:val="36315D3A"/>
    <w:rsid w:val="364A0BAA"/>
    <w:rsid w:val="364D10B1"/>
    <w:rsid w:val="365B2DB7"/>
    <w:rsid w:val="366D4898"/>
    <w:rsid w:val="369736C3"/>
    <w:rsid w:val="37023232"/>
    <w:rsid w:val="37225683"/>
    <w:rsid w:val="37377CE4"/>
    <w:rsid w:val="374E0226"/>
    <w:rsid w:val="375D3DBC"/>
    <w:rsid w:val="37636C46"/>
    <w:rsid w:val="377834F5"/>
    <w:rsid w:val="37AE6F16"/>
    <w:rsid w:val="37DA5F5D"/>
    <w:rsid w:val="37DF17C6"/>
    <w:rsid w:val="38241589"/>
    <w:rsid w:val="384E5182"/>
    <w:rsid w:val="388C36FB"/>
    <w:rsid w:val="388D1222"/>
    <w:rsid w:val="3891486E"/>
    <w:rsid w:val="38975BFC"/>
    <w:rsid w:val="38D10AEB"/>
    <w:rsid w:val="38E250CA"/>
    <w:rsid w:val="38E30E42"/>
    <w:rsid w:val="390D2369"/>
    <w:rsid w:val="39194B48"/>
    <w:rsid w:val="39223F4B"/>
    <w:rsid w:val="39316051"/>
    <w:rsid w:val="393D0552"/>
    <w:rsid w:val="394E7563"/>
    <w:rsid w:val="39553AED"/>
    <w:rsid w:val="395835DE"/>
    <w:rsid w:val="395B30CE"/>
    <w:rsid w:val="396B4C34"/>
    <w:rsid w:val="39842625"/>
    <w:rsid w:val="39861EF9"/>
    <w:rsid w:val="399D5494"/>
    <w:rsid w:val="39B52DEF"/>
    <w:rsid w:val="39B9537D"/>
    <w:rsid w:val="39D92970"/>
    <w:rsid w:val="39E15381"/>
    <w:rsid w:val="39E71901"/>
    <w:rsid w:val="3A2D4A6A"/>
    <w:rsid w:val="3A5E69D2"/>
    <w:rsid w:val="3A604B4F"/>
    <w:rsid w:val="3A844E5B"/>
    <w:rsid w:val="3A993984"/>
    <w:rsid w:val="3A993EAE"/>
    <w:rsid w:val="3A9E7716"/>
    <w:rsid w:val="3AC32CD9"/>
    <w:rsid w:val="3AC56A51"/>
    <w:rsid w:val="3AD46C94"/>
    <w:rsid w:val="3AEE244B"/>
    <w:rsid w:val="3AF630AE"/>
    <w:rsid w:val="3B027CA5"/>
    <w:rsid w:val="3B057795"/>
    <w:rsid w:val="3B181276"/>
    <w:rsid w:val="3B225358"/>
    <w:rsid w:val="3B3C308E"/>
    <w:rsid w:val="3B8701AA"/>
    <w:rsid w:val="3BB50897"/>
    <w:rsid w:val="3BFA5B17"/>
    <w:rsid w:val="3C074E47"/>
    <w:rsid w:val="3C0E61B4"/>
    <w:rsid w:val="3C236125"/>
    <w:rsid w:val="3C2C0526"/>
    <w:rsid w:val="3C522566"/>
    <w:rsid w:val="3C6978B0"/>
    <w:rsid w:val="3C6A4623"/>
    <w:rsid w:val="3C8C3CA2"/>
    <w:rsid w:val="3CC571DC"/>
    <w:rsid w:val="3CC66AB0"/>
    <w:rsid w:val="3CCB2319"/>
    <w:rsid w:val="3CCE2083"/>
    <w:rsid w:val="3CE82ECA"/>
    <w:rsid w:val="3D2250FE"/>
    <w:rsid w:val="3D344362"/>
    <w:rsid w:val="3D8E3A72"/>
    <w:rsid w:val="3D9F5C7F"/>
    <w:rsid w:val="3DBF1E7D"/>
    <w:rsid w:val="3DC2371B"/>
    <w:rsid w:val="3DD33666"/>
    <w:rsid w:val="3E012496"/>
    <w:rsid w:val="3E2E4449"/>
    <w:rsid w:val="3E604B5E"/>
    <w:rsid w:val="3E6A5CCC"/>
    <w:rsid w:val="3E976355"/>
    <w:rsid w:val="3EAD617A"/>
    <w:rsid w:val="3EBF63DB"/>
    <w:rsid w:val="3EC3774B"/>
    <w:rsid w:val="3ED75D52"/>
    <w:rsid w:val="3EF23B8C"/>
    <w:rsid w:val="3EF33A3C"/>
    <w:rsid w:val="3F3643C1"/>
    <w:rsid w:val="3F5B3E28"/>
    <w:rsid w:val="3F5D194E"/>
    <w:rsid w:val="3F604F9A"/>
    <w:rsid w:val="3F7B6278"/>
    <w:rsid w:val="3F8205BE"/>
    <w:rsid w:val="3FAA4743"/>
    <w:rsid w:val="3FB83028"/>
    <w:rsid w:val="3FC829EB"/>
    <w:rsid w:val="3FD80FD4"/>
    <w:rsid w:val="40063D93"/>
    <w:rsid w:val="40093884"/>
    <w:rsid w:val="402D038F"/>
    <w:rsid w:val="405A7913"/>
    <w:rsid w:val="40622392"/>
    <w:rsid w:val="406960D0"/>
    <w:rsid w:val="408E2B77"/>
    <w:rsid w:val="40AE0A66"/>
    <w:rsid w:val="40BC26A4"/>
    <w:rsid w:val="40C46477"/>
    <w:rsid w:val="40DA6FCE"/>
    <w:rsid w:val="40DB5220"/>
    <w:rsid w:val="40E76A9F"/>
    <w:rsid w:val="410B311F"/>
    <w:rsid w:val="410D1152"/>
    <w:rsid w:val="412D35A2"/>
    <w:rsid w:val="41393CF5"/>
    <w:rsid w:val="415D5C35"/>
    <w:rsid w:val="418331C2"/>
    <w:rsid w:val="419C2D34"/>
    <w:rsid w:val="41D659E7"/>
    <w:rsid w:val="41E55C2A"/>
    <w:rsid w:val="41F93484"/>
    <w:rsid w:val="41FA7928"/>
    <w:rsid w:val="41FD30E7"/>
    <w:rsid w:val="42310E70"/>
    <w:rsid w:val="4235270E"/>
    <w:rsid w:val="4258464E"/>
    <w:rsid w:val="427A2817"/>
    <w:rsid w:val="42C94373"/>
    <w:rsid w:val="42D2394A"/>
    <w:rsid w:val="42D62BD9"/>
    <w:rsid w:val="42F15FC1"/>
    <w:rsid w:val="42F24F61"/>
    <w:rsid w:val="43081BD1"/>
    <w:rsid w:val="43145203"/>
    <w:rsid w:val="437E6337"/>
    <w:rsid w:val="4384412A"/>
    <w:rsid w:val="43B9736F"/>
    <w:rsid w:val="43BF6DCD"/>
    <w:rsid w:val="4420119C"/>
    <w:rsid w:val="4424512C"/>
    <w:rsid w:val="44352E99"/>
    <w:rsid w:val="443A2004"/>
    <w:rsid w:val="44486D52"/>
    <w:rsid w:val="447D3693"/>
    <w:rsid w:val="448654A3"/>
    <w:rsid w:val="448E4357"/>
    <w:rsid w:val="44A3316C"/>
    <w:rsid w:val="44C31FA8"/>
    <w:rsid w:val="451A3E3D"/>
    <w:rsid w:val="45293834"/>
    <w:rsid w:val="456D6663"/>
    <w:rsid w:val="45941E41"/>
    <w:rsid w:val="45CC15DB"/>
    <w:rsid w:val="45DB35CC"/>
    <w:rsid w:val="45F20916"/>
    <w:rsid w:val="46050649"/>
    <w:rsid w:val="460C7C2A"/>
    <w:rsid w:val="462F3918"/>
    <w:rsid w:val="464473C4"/>
    <w:rsid w:val="46447925"/>
    <w:rsid w:val="464F5892"/>
    <w:rsid w:val="46552541"/>
    <w:rsid w:val="468C2B19"/>
    <w:rsid w:val="46AE0CE1"/>
    <w:rsid w:val="46BC33FE"/>
    <w:rsid w:val="46DD15C6"/>
    <w:rsid w:val="46EF41D8"/>
    <w:rsid w:val="47150D60"/>
    <w:rsid w:val="47172E19"/>
    <w:rsid w:val="471C3E9C"/>
    <w:rsid w:val="471D6935"/>
    <w:rsid w:val="47507FEA"/>
    <w:rsid w:val="477C0DDF"/>
    <w:rsid w:val="47983DB5"/>
    <w:rsid w:val="479A3013"/>
    <w:rsid w:val="47A10846"/>
    <w:rsid w:val="47B265AF"/>
    <w:rsid w:val="47CA56A6"/>
    <w:rsid w:val="47F6649C"/>
    <w:rsid w:val="48142DC6"/>
    <w:rsid w:val="48146BA9"/>
    <w:rsid w:val="481728B6"/>
    <w:rsid w:val="481876B5"/>
    <w:rsid w:val="481E59F2"/>
    <w:rsid w:val="482A25E9"/>
    <w:rsid w:val="48901345"/>
    <w:rsid w:val="48981C49"/>
    <w:rsid w:val="489B7043"/>
    <w:rsid w:val="48B620CF"/>
    <w:rsid w:val="48C4659A"/>
    <w:rsid w:val="48E2475B"/>
    <w:rsid w:val="48E94252"/>
    <w:rsid w:val="4924528A"/>
    <w:rsid w:val="49425710"/>
    <w:rsid w:val="49531683"/>
    <w:rsid w:val="495A6EFE"/>
    <w:rsid w:val="49646866"/>
    <w:rsid w:val="4981092F"/>
    <w:rsid w:val="49830203"/>
    <w:rsid w:val="49A10689"/>
    <w:rsid w:val="49B91E77"/>
    <w:rsid w:val="49CF3448"/>
    <w:rsid w:val="4A0D74B7"/>
    <w:rsid w:val="4A1672C9"/>
    <w:rsid w:val="4A273284"/>
    <w:rsid w:val="4A3B4613"/>
    <w:rsid w:val="4A4A0D21"/>
    <w:rsid w:val="4A4A12EF"/>
    <w:rsid w:val="4A987CDE"/>
    <w:rsid w:val="4AB93290"/>
    <w:rsid w:val="4B133808"/>
    <w:rsid w:val="4B187071"/>
    <w:rsid w:val="4B2A6BA7"/>
    <w:rsid w:val="4B2B2900"/>
    <w:rsid w:val="4B412913"/>
    <w:rsid w:val="4B5D6832"/>
    <w:rsid w:val="4B93065C"/>
    <w:rsid w:val="4BA26598"/>
    <w:rsid w:val="4BA92BA5"/>
    <w:rsid w:val="4BBC17AA"/>
    <w:rsid w:val="4BD42F98"/>
    <w:rsid w:val="4BEA27BB"/>
    <w:rsid w:val="4C20442F"/>
    <w:rsid w:val="4C59349D"/>
    <w:rsid w:val="4C7C5E5E"/>
    <w:rsid w:val="4CCB4839"/>
    <w:rsid w:val="4CD869C2"/>
    <w:rsid w:val="4CE0771A"/>
    <w:rsid w:val="4CE54D31"/>
    <w:rsid w:val="4D211181"/>
    <w:rsid w:val="4D714816"/>
    <w:rsid w:val="4D7762D0"/>
    <w:rsid w:val="4D7F44ED"/>
    <w:rsid w:val="4DA75F0B"/>
    <w:rsid w:val="4DAE5A6A"/>
    <w:rsid w:val="4DEB6A31"/>
    <w:rsid w:val="4E555EE6"/>
    <w:rsid w:val="4EB778A0"/>
    <w:rsid w:val="4ED212E5"/>
    <w:rsid w:val="4EFF69A9"/>
    <w:rsid w:val="4F0E6DD1"/>
    <w:rsid w:val="4F277882"/>
    <w:rsid w:val="4F361873"/>
    <w:rsid w:val="4F674123"/>
    <w:rsid w:val="4F8B6063"/>
    <w:rsid w:val="4FBA00E3"/>
    <w:rsid w:val="4FBA6948"/>
    <w:rsid w:val="4FDC066D"/>
    <w:rsid w:val="4FE536B5"/>
    <w:rsid w:val="50056862"/>
    <w:rsid w:val="500656EA"/>
    <w:rsid w:val="50286D21"/>
    <w:rsid w:val="50416722"/>
    <w:rsid w:val="507765E7"/>
    <w:rsid w:val="507F73F9"/>
    <w:rsid w:val="509D6294"/>
    <w:rsid w:val="50BC6451"/>
    <w:rsid w:val="50C80BF1"/>
    <w:rsid w:val="50CC6933"/>
    <w:rsid w:val="50E449C6"/>
    <w:rsid w:val="512C5624"/>
    <w:rsid w:val="51347B3B"/>
    <w:rsid w:val="5142059E"/>
    <w:rsid w:val="517A013D"/>
    <w:rsid w:val="517A638F"/>
    <w:rsid w:val="51E42A36"/>
    <w:rsid w:val="52171E30"/>
    <w:rsid w:val="523307FC"/>
    <w:rsid w:val="523B2BB4"/>
    <w:rsid w:val="524E3378"/>
    <w:rsid w:val="525F5585"/>
    <w:rsid w:val="52691F60"/>
    <w:rsid w:val="52701540"/>
    <w:rsid w:val="527252B8"/>
    <w:rsid w:val="52887F46"/>
    <w:rsid w:val="5296204C"/>
    <w:rsid w:val="52A018A7"/>
    <w:rsid w:val="53095C1D"/>
    <w:rsid w:val="532C190B"/>
    <w:rsid w:val="538434F5"/>
    <w:rsid w:val="538A4F34"/>
    <w:rsid w:val="53A16198"/>
    <w:rsid w:val="53C27B7A"/>
    <w:rsid w:val="53DF24DA"/>
    <w:rsid w:val="53E45D42"/>
    <w:rsid w:val="53F35F85"/>
    <w:rsid w:val="54052E3D"/>
    <w:rsid w:val="54067C9D"/>
    <w:rsid w:val="540E7263"/>
    <w:rsid w:val="541771E9"/>
    <w:rsid w:val="542474E3"/>
    <w:rsid w:val="548412D3"/>
    <w:rsid w:val="54897EDE"/>
    <w:rsid w:val="54C77062"/>
    <w:rsid w:val="54C94F38"/>
    <w:rsid w:val="54DC110F"/>
    <w:rsid w:val="54DC4C6B"/>
    <w:rsid w:val="55056F6F"/>
    <w:rsid w:val="550A17D8"/>
    <w:rsid w:val="551E5284"/>
    <w:rsid w:val="55214D74"/>
    <w:rsid w:val="55320D2F"/>
    <w:rsid w:val="553B4087"/>
    <w:rsid w:val="555D2250"/>
    <w:rsid w:val="55B6370E"/>
    <w:rsid w:val="55D122F6"/>
    <w:rsid w:val="55EF6A13"/>
    <w:rsid w:val="560A37F2"/>
    <w:rsid w:val="560E70A6"/>
    <w:rsid w:val="561346BC"/>
    <w:rsid w:val="5685552E"/>
    <w:rsid w:val="56965614"/>
    <w:rsid w:val="56BA0FDC"/>
    <w:rsid w:val="56BC4138"/>
    <w:rsid w:val="56CA56C3"/>
    <w:rsid w:val="56DE116E"/>
    <w:rsid w:val="573B211D"/>
    <w:rsid w:val="57521214"/>
    <w:rsid w:val="57713D91"/>
    <w:rsid w:val="5814296E"/>
    <w:rsid w:val="581B3CFC"/>
    <w:rsid w:val="581D5CC6"/>
    <w:rsid w:val="58226E39"/>
    <w:rsid w:val="58234048"/>
    <w:rsid w:val="587578B0"/>
    <w:rsid w:val="588673C8"/>
    <w:rsid w:val="5895585D"/>
    <w:rsid w:val="58D26AB1"/>
    <w:rsid w:val="58D97E3F"/>
    <w:rsid w:val="58E14F46"/>
    <w:rsid w:val="58FC7F21"/>
    <w:rsid w:val="59097FF9"/>
    <w:rsid w:val="59101387"/>
    <w:rsid w:val="5938489B"/>
    <w:rsid w:val="593C3F2A"/>
    <w:rsid w:val="5947124D"/>
    <w:rsid w:val="59561490"/>
    <w:rsid w:val="596F2552"/>
    <w:rsid w:val="59771406"/>
    <w:rsid w:val="59975DEC"/>
    <w:rsid w:val="599B569F"/>
    <w:rsid w:val="59A321FB"/>
    <w:rsid w:val="59A92BA5"/>
    <w:rsid w:val="59B329A6"/>
    <w:rsid w:val="59E967A8"/>
    <w:rsid w:val="59EE149E"/>
    <w:rsid w:val="59FD7B5D"/>
    <w:rsid w:val="5A0031AA"/>
    <w:rsid w:val="5A054C64"/>
    <w:rsid w:val="5A0A4BE7"/>
    <w:rsid w:val="5A1A4ECF"/>
    <w:rsid w:val="5A1D5B0A"/>
    <w:rsid w:val="5A251B3E"/>
    <w:rsid w:val="5A2D74C1"/>
    <w:rsid w:val="5A33532D"/>
    <w:rsid w:val="5A3C5143"/>
    <w:rsid w:val="5A475BA4"/>
    <w:rsid w:val="5A481E32"/>
    <w:rsid w:val="5A8802F3"/>
    <w:rsid w:val="5A98768B"/>
    <w:rsid w:val="5A9A53AC"/>
    <w:rsid w:val="5AB75F5E"/>
    <w:rsid w:val="5AEF428F"/>
    <w:rsid w:val="5AF50835"/>
    <w:rsid w:val="5AF54CD9"/>
    <w:rsid w:val="5B092532"/>
    <w:rsid w:val="5B150ED7"/>
    <w:rsid w:val="5B3255E5"/>
    <w:rsid w:val="5B4E6197"/>
    <w:rsid w:val="5B5B0FE0"/>
    <w:rsid w:val="5B7E0F08"/>
    <w:rsid w:val="5B8F7994"/>
    <w:rsid w:val="5B9C6656"/>
    <w:rsid w:val="5BAE679D"/>
    <w:rsid w:val="5BE74621"/>
    <w:rsid w:val="5BEA2363"/>
    <w:rsid w:val="5C2238AB"/>
    <w:rsid w:val="5C390BF5"/>
    <w:rsid w:val="5C441A74"/>
    <w:rsid w:val="5C45759A"/>
    <w:rsid w:val="5C4B4BCC"/>
    <w:rsid w:val="5C5E240A"/>
    <w:rsid w:val="5C675762"/>
    <w:rsid w:val="5C89392A"/>
    <w:rsid w:val="5C8F4507"/>
    <w:rsid w:val="5C950521"/>
    <w:rsid w:val="5CD10E2D"/>
    <w:rsid w:val="5CE62B2B"/>
    <w:rsid w:val="5CEE6B97"/>
    <w:rsid w:val="5CF60894"/>
    <w:rsid w:val="5D1C654D"/>
    <w:rsid w:val="5D431D2B"/>
    <w:rsid w:val="5D633BC6"/>
    <w:rsid w:val="5D6D4FFA"/>
    <w:rsid w:val="5D9B1B67"/>
    <w:rsid w:val="5DAA0B36"/>
    <w:rsid w:val="5DCF4451"/>
    <w:rsid w:val="5DE60909"/>
    <w:rsid w:val="5DF15A4C"/>
    <w:rsid w:val="5DF63241"/>
    <w:rsid w:val="5E0C65C1"/>
    <w:rsid w:val="5E0F7E5F"/>
    <w:rsid w:val="5E2A3FA3"/>
    <w:rsid w:val="5E5F247D"/>
    <w:rsid w:val="5E83409D"/>
    <w:rsid w:val="5E8F0FA0"/>
    <w:rsid w:val="5E9A1E1F"/>
    <w:rsid w:val="5EB56C59"/>
    <w:rsid w:val="5EC62C14"/>
    <w:rsid w:val="5ECD73AA"/>
    <w:rsid w:val="5EDF5A84"/>
    <w:rsid w:val="5EF17565"/>
    <w:rsid w:val="5EF534F9"/>
    <w:rsid w:val="5EF656A8"/>
    <w:rsid w:val="5F053010"/>
    <w:rsid w:val="5F21568F"/>
    <w:rsid w:val="5F3E0472"/>
    <w:rsid w:val="5F4902BB"/>
    <w:rsid w:val="5F646E31"/>
    <w:rsid w:val="5F69359F"/>
    <w:rsid w:val="5F824661"/>
    <w:rsid w:val="5FAB7A77"/>
    <w:rsid w:val="5FBC53ED"/>
    <w:rsid w:val="5FE1204D"/>
    <w:rsid w:val="5FE4166A"/>
    <w:rsid w:val="5FE43136"/>
    <w:rsid w:val="5FE60A36"/>
    <w:rsid w:val="5FEB66AA"/>
    <w:rsid w:val="5FF437B1"/>
    <w:rsid w:val="60004D64"/>
    <w:rsid w:val="603D6F06"/>
    <w:rsid w:val="60634492"/>
    <w:rsid w:val="607466A0"/>
    <w:rsid w:val="608368E3"/>
    <w:rsid w:val="609D1CF7"/>
    <w:rsid w:val="60A46F85"/>
    <w:rsid w:val="60E5134B"/>
    <w:rsid w:val="60FF317E"/>
    <w:rsid w:val="610417D1"/>
    <w:rsid w:val="61371BA7"/>
    <w:rsid w:val="615D0EE2"/>
    <w:rsid w:val="61803188"/>
    <w:rsid w:val="618648DC"/>
    <w:rsid w:val="61AF3E33"/>
    <w:rsid w:val="61B9080E"/>
    <w:rsid w:val="61E3588B"/>
    <w:rsid w:val="61E810F3"/>
    <w:rsid w:val="6208709F"/>
    <w:rsid w:val="6211064A"/>
    <w:rsid w:val="623E51B7"/>
    <w:rsid w:val="62467BC8"/>
    <w:rsid w:val="624944D1"/>
    <w:rsid w:val="625F7819"/>
    <w:rsid w:val="62614A02"/>
    <w:rsid w:val="627806C9"/>
    <w:rsid w:val="62797F9D"/>
    <w:rsid w:val="628232F6"/>
    <w:rsid w:val="62B04E62"/>
    <w:rsid w:val="62D82F16"/>
    <w:rsid w:val="62E21FE6"/>
    <w:rsid w:val="62F95F66"/>
    <w:rsid w:val="63144620"/>
    <w:rsid w:val="634C3904"/>
    <w:rsid w:val="63870498"/>
    <w:rsid w:val="638F1633"/>
    <w:rsid w:val="63921E8A"/>
    <w:rsid w:val="639F57E1"/>
    <w:rsid w:val="63AB4186"/>
    <w:rsid w:val="64047D3A"/>
    <w:rsid w:val="6408782B"/>
    <w:rsid w:val="640970FF"/>
    <w:rsid w:val="640F0BB9"/>
    <w:rsid w:val="641E0DFC"/>
    <w:rsid w:val="643D4109"/>
    <w:rsid w:val="645B3DFE"/>
    <w:rsid w:val="64601415"/>
    <w:rsid w:val="646B1B68"/>
    <w:rsid w:val="64925346"/>
    <w:rsid w:val="64B14D8B"/>
    <w:rsid w:val="64B24842"/>
    <w:rsid w:val="64C86334"/>
    <w:rsid w:val="64CD14DA"/>
    <w:rsid w:val="64D771FD"/>
    <w:rsid w:val="64E02555"/>
    <w:rsid w:val="64F102BF"/>
    <w:rsid w:val="64FA7EF1"/>
    <w:rsid w:val="6500779B"/>
    <w:rsid w:val="652A557F"/>
    <w:rsid w:val="65640A91"/>
    <w:rsid w:val="656C1E5B"/>
    <w:rsid w:val="6587477F"/>
    <w:rsid w:val="65904A0B"/>
    <w:rsid w:val="65A74E21"/>
    <w:rsid w:val="65AD24DB"/>
    <w:rsid w:val="65BF660F"/>
    <w:rsid w:val="65CB0B10"/>
    <w:rsid w:val="65D5198E"/>
    <w:rsid w:val="66304E17"/>
    <w:rsid w:val="663754B0"/>
    <w:rsid w:val="6638708E"/>
    <w:rsid w:val="66483F57"/>
    <w:rsid w:val="666D606B"/>
    <w:rsid w:val="66897701"/>
    <w:rsid w:val="66CA300B"/>
    <w:rsid w:val="66CB4350"/>
    <w:rsid w:val="66D71307"/>
    <w:rsid w:val="66EC51E2"/>
    <w:rsid w:val="66F347C2"/>
    <w:rsid w:val="66F9345B"/>
    <w:rsid w:val="66FB3677"/>
    <w:rsid w:val="670047E9"/>
    <w:rsid w:val="6707459D"/>
    <w:rsid w:val="671B5AC7"/>
    <w:rsid w:val="671D498D"/>
    <w:rsid w:val="67582877"/>
    <w:rsid w:val="676905E0"/>
    <w:rsid w:val="67980EC5"/>
    <w:rsid w:val="67C47F0C"/>
    <w:rsid w:val="67CE51E1"/>
    <w:rsid w:val="68463678"/>
    <w:rsid w:val="684734A4"/>
    <w:rsid w:val="68534DEC"/>
    <w:rsid w:val="68861AD6"/>
    <w:rsid w:val="68A773E7"/>
    <w:rsid w:val="68D0468F"/>
    <w:rsid w:val="68F22857"/>
    <w:rsid w:val="690600B1"/>
    <w:rsid w:val="690D143F"/>
    <w:rsid w:val="69180510"/>
    <w:rsid w:val="691C06C6"/>
    <w:rsid w:val="69603C65"/>
    <w:rsid w:val="696E0130"/>
    <w:rsid w:val="696F3EA8"/>
    <w:rsid w:val="6979104D"/>
    <w:rsid w:val="697E40EB"/>
    <w:rsid w:val="698D06B8"/>
    <w:rsid w:val="69964176"/>
    <w:rsid w:val="69C064B2"/>
    <w:rsid w:val="69DF102E"/>
    <w:rsid w:val="69E623BC"/>
    <w:rsid w:val="6A0D73FB"/>
    <w:rsid w:val="6A2B6021"/>
    <w:rsid w:val="6A356EA0"/>
    <w:rsid w:val="6A3A2708"/>
    <w:rsid w:val="6A575068"/>
    <w:rsid w:val="6A627569"/>
    <w:rsid w:val="6A6C54B6"/>
    <w:rsid w:val="6A723C50"/>
    <w:rsid w:val="6A7B3AFD"/>
    <w:rsid w:val="6A7F2007"/>
    <w:rsid w:val="6A837C0B"/>
    <w:rsid w:val="6ACE4BFE"/>
    <w:rsid w:val="6AF05745"/>
    <w:rsid w:val="6AFB0AEC"/>
    <w:rsid w:val="6B086362"/>
    <w:rsid w:val="6B0D1787"/>
    <w:rsid w:val="6B182A49"/>
    <w:rsid w:val="6B3E3B32"/>
    <w:rsid w:val="6B41039D"/>
    <w:rsid w:val="6B4155F4"/>
    <w:rsid w:val="6B8974A3"/>
    <w:rsid w:val="6B9419A4"/>
    <w:rsid w:val="6B9551F6"/>
    <w:rsid w:val="6BA047ED"/>
    <w:rsid w:val="6BAF4A30"/>
    <w:rsid w:val="6BC32289"/>
    <w:rsid w:val="6BC95AC0"/>
    <w:rsid w:val="6BDD159D"/>
    <w:rsid w:val="6BE9361A"/>
    <w:rsid w:val="6BF30DC0"/>
    <w:rsid w:val="6C1A3DE9"/>
    <w:rsid w:val="6C537BE6"/>
    <w:rsid w:val="6C7A6DEC"/>
    <w:rsid w:val="6CC83FFB"/>
    <w:rsid w:val="6CD4521F"/>
    <w:rsid w:val="6CE95D1F"/>
    <w:rsid w:val="6CF47A5F"/>
    <w:rsid w:val="6D046415"/>
    <w:rsid w:val="6D15645B"/>
    <w:rsid w:val="6D157495"/>
    <w:rsid w:val="6D21195D"/>
    <w:rsid w:val="6D286848"/>
    <w:rsid w:val="6D293365"/>
    <w:rsid w:val="6D5E670D"/>
    <w:rsid w:val="6D7777CF"/>
    <w:rsid w:val="6D7D631A"/>
    <w:rsid w:val="6D9263B7"/>
    <w:rsid w:val="6DA1296C"/>
    <w:rsid w:val="6DAD2D07"/>
    <w:rsid w:val="6DFA01BD"/>
    <w:rsid w:val="6E0D0360"/>
    <w:rsid w:val="6E201C15"/>
    <w:rsid w:val="6E250E46"/>
    <w:rsid w:val="6E2C16BB"/>
    <w:rsid w:val="6E2D2F2E"/>
    <w:rsid w:val="6E6E472E"/>
    <w:rsid w:val="6EC32CCC"/>
    <w:rsid w:val="6ED616E4"/>
    <w:rsid w:val="6EDC5B3C"/>
    <w:rsid w:val="6EF2710D"/>
    <w:rsid w:val="6EF47329"/>
    <w:rsid w:val="6F383808"/>
    <w:rsid w:val="6F3E2352"/>
    <w:rsid w:val="6F484F7F"/>
    <w:rsid w:val="6F4A31C3"/>
    <w:rsid w:val="6F4B4A6F"/>
    <w:rsid w:val="6F4F347B"/>
    <w:rsid w:val="6F5E59CD"/>
    <w:rsid w:val="6F881522"/>
    <w:rsid w:val="6FB47FBD"/>
    <w:rsid w:val="6FB940CF"/>
    <w:rsid w:val="6FE85359"/>
    <w:rsid w:val="6FEE3A4D"/>
    <w:rsid w:val="708A54DB"/>
    <w:rsid w:val="708C3333"/>
    <w:rsid w:val="709D4933"/>
    <w:rsid w:val="70C8281B"/>
    <w:rsid w:val="70D171F6"/>
    <w:rsid w:val="70D50A94"/>
    <w:rsid w:val="70EC49AE"/>
    <w:rsid w:val="712F4635"/>
    <w:rsid w:val="71306613"/>
    <w:rsid w:val="71667EB0"/>
    <w:rsid w:val="71686ACA"/>
    <w:rsid w:val="718C1A9B"/>
    <w:rsid w:val="71946BA2"/>
    <w:rsid w:val="71A843FB"/>
    <w:rsid w:val="71A87F57"/>
    <w:rsid w:val="71E15C18"/>
    <w:rsid w:val="71E52F59"/>
    <w:rsid w:val="71E73175"/>
    <w:rsid w:val="71F17B50"/>
    <w:rsid w:val="72084E9A"/>
    <w:rsid w:val="723709C8"/>
    <w:rsid w:val="725956F5"/>
    <w:rsid w:val="72A44BC2"/>
    <w:rsid w:val="72BA6194"/>
    <w:rsid w:val="72C214EC"/>
    <w:rsid w:val="72C2329A"/>
    <w:rsid w:val="72C74D55"/>
    <w:rsid w:val="72DD6326"/>
    <w:rsid w:val="72F71719"/>
    <w:rsid w:val="731F06ED"/>
    <w:rsid w:val="733F6699"/>
    <w:rsid w:val="73530396"/>
    <w:rsid w:val="736A4AB0"/>
    <w:rsid w:val="73A9720A"/>
    <w:rsid w:val="73AD396D"/>
    <w:rsid w:val="73BD4E75"/>
    <w:rsid w:val="73F46F6A"/>
    <w:rsid w:val="73FE47A6"/>
    <w:rsid w:val="74145D78"/>
    <w:rsid w:val="743D6B0F"/>
    <w:rsid w:val="7440091B"/>
    <w:rsid w:val="744B00B0"/>
    <w:rsid w:val="745C344F"/>
    <w:rsid w:val="746D040B"/>
    <w:rsid w:val="74B50B2B"/>
    <w:rsid w:val="74B82BA7"/>
    <w:rsid w:val="74D10529"/>
    <w:rsid w:val="74D55507"/>
    <w:rsid w:val="74FF729A"/>
    <w:rsid w:val="750202C6"/>
    <w:rsid w:val="75144A21"/>
    <w:rsid w:val="751A116C"/>
    <w:rsid w:val="7544443B"/>
    <w:rsid w:val="754C32EF"/>
    <w:rsid w:val="757A1C0A"/>
    <w:rsid w:val="7589009F"/>
    <w:rsid w:val="758A7EE3"/>
    <w:rsid w:val="758B02BC"/>
    <w:rsid w:val="75952EE8"/>
    <w:rsid w:val="759A22AD"/>
    <w:rsid w:val="75B82733"/>
    <w:rsid w:val="75BE243F"/>
    <w:rsid w:val="75CD4430"/>
    <w:rsid w:val="75E31EA6"/>
    <w:rsid w:val="75EE381A"/>
    <w:rsid w:val="760F4A49"/>
    <w:rsid w:val="76742AFE"/>
    <w:rsid w:val="76837F96"/>
    <w:rsid w:val="768865A9"/>
    <w:rsid w:val="76A50958"/>
    <w:rsid w:val="76D77B85"/>
    <w:rsid w:val="76D87530"/>
    <w:rsid w:val="76DE441B"/>
    <w:rsid w:val="76FF7060"/>
    <w:rsid w:val="7713332F"/>
    <w:rsid w:val="771D13E7"/>
    <w:rsid w:val="773D7394"/>
    <w:rsid w:val="77416E84"/>
    <w:rsid w:val="776A3931"/>
    <w:rsid w:val="776B2153"/>
    <w:rsid w:val="776E579F"/>
    <w:rsid w:val="778E4093"/>
    <w:rsid w:val="779127BE"/>
    <w:rsid w:val="77BA68CF"/>
    <w:rsid w:val="77BD2282"/>
    <w:rsid w:val="77DC3EB1"/>
    <w:rsid w:val="77DC6181"/>
    <w:rsid w:val="77F51B55"/>
    <w:rsid w:val="780F6F82"/>
    <w:rsid w:val="78436C2C"/>
    <w:rsid w:val="78540E39"/>
    <w:rsid w:val="787212BF"/>
    <w:rsid w:val="78743289"/>
    <w:rsid w:val="787B63C5"/>
    <w:rsid w:val="78812A48"/>
    <w:rsid w:val="78A70F68"/>
    <w:rsid w:val="78A91184"/>
    <w:rsid w:val="78B638A1"/>
    <w:rsid w:val="78C95383"/>
    <w:rsid w:val="794A5A1C"/>
    <w:rsid w:val="794C7D62"/>
    <w:rsid w:val="79501600"/>
    <w:rsid w:val="79813367"/>
    <w:rsid w:val="79817A0B"/>
    <w:rsid w:val="79A63CDC"/>
    <w:rsid w:val="79E24222"/>
    <w:rsid w:val="7A1940E8"/>
    <w:rsid w:val="7A293BFF"/>
    <w:rsid w:val="7A3D2190"/>
    <w:rsid w:val="7A4B2370"/>
    <w:rsid w:val="7A545120"/>
    <w:rsid w:val="7A637111"/>
    <w:rsid w:val="7A871B6E"/>
    <w:rsid w:val="7AA80FC8"/>
    <w:rsid w:val="7AB94F83"/>
    <w:rsid w:val="7B22521E"/>
    <w:rsid w:val="7B2539AE"/>
    <w:rsid w:val="7B2A40D3"/>
    <w:rsid w:val="7B4E6DDA"/>
    <w:rsid w:val="7B5353D8"/>
    <w:rsid w:val="7B580C40"/>
    <w:rsid w:val="7B6B0973"/>
    <w:rsid w:val="7B6C6A16"/>
    <w:rsid w:val="7B8C2698"/>
    <w:rsid w:val="7BB0413A"/>
    <w:rsid w:val="7BF450A3"/>
    <w:rsid w:val="7BF72207"/>
    <w:rsid w:val="7C1E59E5"/>
    <w:rsid w:val="7C391148"/>
    <w:rsid w:val="7C60597D"/>
    <w:rsid w:val="7C921F30"/>
    <w:rsid w:val="7CC665AD"/>
    <w:rsid w:val="7CDE6F23"/>
    <w:rsid w:val="7CEF1130"/>
    <w:rsid w:val="7CF229CE"/>
    <w:rsid w:val="7D2D3A06"/>
    <w:rsid w:val="7D3E79C1"/>
    <w:rsid w:val="7D515947"/>
    <w:rsid w:val="7D627B54"/>
    <w:rsid w:val="7D65005C"/>
    <w:rsid w:val="7D6853B2"/>
    <w:rsid w:val="7D722CE4"/>
    <w:rsid w:val="7D8E0B41"/>
    <w:rsid w:val="7D8E6B9B"/>
    <w:rsid w:val="7D9B3066"/>
    <w:rsid w:val="7DB12889"/>
    <w:rsid w:val="7DCE6F97"/>
    <w:rsid w:val="7DD32800"/>
    <w:rsid w:val="7DE71E07"/>
    <w:rsid w:val="7DFD5ACF"/>
    <w:rsid w:val="7E1213EC"/>
    <w:rsid w:val="7E1A2A46"/>
    <w:rsid w:val="7E1C7D03"/>
    <w:rsid w:val="7E464D80"/>
    <w:rsid w:val="7E4D4360"/>
    <w:rsid w:val="7E4E3930"/>
    <w:rsid w:val="7E5F1551"/>
    <w:rsid w:val="7E8458A8"/>
    <w:rsid w:val="7E9F26E2"/>
    <w:rsid w:val="7EAA3560"/>
    <w:rsid w:val="7EBE700C"/>
    <w:rsid w:val="7ECB1729"/>
    <w:rsid w:val="7EE60311"/>
    <w:rsid w:val="7EEEF926"/>
    <w:rsid w:val="7EF42A2E"/>
    <w:rsid w:val="7F17671C"/>
    <w:rsid w:val="7F480FCB"/>
    <w:rsid w:val="7F5259A6"/>
    <w:rsid w:val="7F6A37A6"/>
    <w:rsid w:val="7F79F917"/>
    <w:rsid w:val="7F7B4D83"/>
    <w:rsid w:val="7F840B01"/>
    <w:rsid w:val="7F9376EC"/>
    <w:rsid w:val="7F963AE5"/>
    <w:rsid w:val="7F967F89"/>
    <w:rsid w:val="7F980752"/>
    <w:rsid w:val="7FA6238E"/>
    <w:rsid w:val="7FBA3C77"/>
    <w:rsid w:val="7FC6434A"/>
    <w:rsid w:val="7FEB2083"/>
    <w:rsid w:val="7FED6257"/>
    <w:rsid w:val="7FF013FF"/>
    <w:rsid w:val="7FFBA995"/>
    <w:rsid w:val="AADF8241"/>
    <w:rsid w:val="DFF5E3DA"/>
    <w:rsid w:val="F3FD49CF"/>
    <w:rsid w:val="FDFE3CB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99" w:semiHidden="0" w:name="toc 1"/>
    <w:lsdException w:qFormat="1" w:unhideWhenUsed="0" w:uiPriority="0" w:semiHidden="0" w:name="toc 2"/>
    <w:lsdException w:uiPriority="39" w:name="toc 3"/>
    <w:lsdException w:qFormat="1" w:unhideWhenUsed="0" w:uiPriority="39" w:semiHidden="0" w:name="toc 4"/>
    <w:lsdException w:uiPriority="39" w:name="toc 5"/>
    <w:lsdException w:qFormat="1" w:uiPriority="3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qFormat="1" w:unhideWhenUsed="0" w:uiPriority="0" w:semiHidden="0" w:name="Body Text First Indent"/>
    <w:lsdException w:qFormat="1" w:unhideWhenUsed="0" w:uiPriority="99" w:semiHidden="0" w:name="Body Text First Indent 2"/>
    <w:lsdException w:uiPriority="99" w:name="Note Heading"/>
    <w:lsdException w:qFormat="1" w:uiPriority="99" w:name="Body Text 2"/>
    <w:lsdException w:uiPriority="99" w:name="Body Text 3"/>
    <w:lsdException w:qFormat="1" w:unhideWhenUsed="0" w:uiPriority="99" w:semiHidden="0"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38"/>
    <w:qFormat/>
    <w:uiPriority w:val="99"/>
    <w:pPr>
      <w:keepNext/>
      <w:keepLines/>
      <w:spacing w:before="340" w:after="330" w:line="576" w:lineRule="auto"/>
      <w:outlineLvl w:val="0"/>
    </w:pPr>
    <w:rPr>
      <w:b/>
      <w:kern w:val="44"/>
      <w:sz w:val="44"/>
    </w:rPr>
  </w:style>
  <w:style w:type="paragraph" w:styleId="5">
    <w:name w:val="heading 2"/>
    <w:basedOn w:val="1"/>
    <w:next w:val="1"/>
    <w:link w:val="39"/>
    <w:qFormat/>
    <w:uiPriority w:val="0"/>
    <w:pPr>
      <w:keepNext/>
      <w:keepLines/>
      <w:spacing w:line="360" w:lineRule="auto"/>
      <w:outlineLvl w:val="1"/>
    </w:pPr>
    <w:rPr>
      <w:rFonts w:ascii="Cambria" w:hAnsi="Cambria"/>
      <w:b/>
      <w:bCs/>
      <w:szCs w:val="32"/>
    </w:rPr>
  </w:style>
  <w:style w:type="paragraph" w:styleId="6">
    <w:name w:val="heading 3"/>
    <w:basedOn w:val="1"/>
    <w:next w:val="1"/>
    <w:link w:val="40"/>
    <w:qFormat/>
    <w:uiPriority w:val="0"/>
    <w:pPr>
      <w:keepNext/>
      <w:keepLines/>
      <w:outlineLvl w:val="2"/>
    </w:pPr>
    <w:rPr>
      <w:b/>
      <w:bCs/>
      <w:kern w:val="0"/>
      <w:sz w:val="20"/>
      <w:szCs w:val="32"/>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41"/>
    <w:qFormat/>
    <w:uiPriority w:val="0"/>
    <w:pPr>
      <w:spacing w:after="120"/>
    </w:pPr>
    <w:rPr>
      <w:sz w:val="24"/>
    </w:rPr>
  </w:style>
  <w:style w:type="paragraph" w:styleId="3">
    <w:name w:val="Body Text First Indent"/>
    <w:basedOn w:val="2"/>
    <w:next w:val="1"/>
    <w:qFormat/>
    <w:uiPriority w:val="0"/>
    <w:pPr>
      <w:ind w:firstLine="420" w:firstLineChars="100"/>
    </w:pPr>
    <w:rPr>
      <w:kern w:val="0"/>
    </w:rPr>
  </w:style>
  <w:style w:type="paragraph" w:styleId="7">
    <w:name w:val="List Number"/>
    <w:basedOn w:val="1"/>
    <w:qFormat/>
    <w:uiPriority w:val="0"/>
    <w:pPr>
      <w:numPr>
        <w:ilvl w:val="0"/>
        <w:numId w:val="1"/>
      </w:numPr>
    </w:pPr>
  </w:style>
  <w:style w:type="paragraph" w:styleId="8">
    <w:name w:val="Normal Indent"/>
    <w:basedOn w:val="1"/>
    <w:qFormat/>
    <w:uiPriority w:val="0"/>
    <w:pPr>
      <w:ind w:firstLine="488"/>
    </w:pPr>
  </w:style>
  <w:style w:type="paragraph" w:styleId="9">
    <w:name w:val="caption"/>
    <w:basedOn w:val="1"/>
    <w:next w:val="1"/>
    <w:qFormat/>
    <w:uiPriority w:val="99"/>
    <w:pPr>
      <w:spacing w:before="152" w:after="160"/>
    </w:pPr>
    <w:rPr>
      <w:rFonts w:ascii="Arial" w:hAnsi="Arial" w:eastAsia="黑体"/>
      <w:sz w:val="20"/>
    </w:rPr>
  </w:style>
  <w:style w:type="paragraph" w:styleId="10">
    <w:name w:val="annotation text"/>
    <w:basedOn w:val="1"/>
    <w:link w:val="42"/>
    <w:qFormat/>
    <w:uiPriority w:val="0"/>
    <w:pPr>
      <w:jc w:val="left"/>
    </w:pPr>
  </w:style>
  <w:style w:type="paragraph" w:styleId="11">
    <w:name w:val="Body Text Indent"/>
    <w:basedOn w:val="1"/>
    <w:link w:val="43"/>
    <w:unhideWhenUsed/>
    <w:qFormat/>
    <w:uiPriority w:val="99"/>
    <w:pPr>
      <w:spacing w:line="200" w:lineRule="exact"/>
      <w:ind w:firstLine="301"/>
    </w:pPr>
    <w:rPr>
      <w:rFonts w:ascii="宋体" w:hAnsi="Courier New"/>
      <w:spacing w:val="-4"/>
      <w:kern w:val="0"/>
      <w:sz w:val="18"/>
    </w:rPr>
  </w:style>
  <w:style w:type="paragraph" w:styleId="12">
    <w:name w:val="Plain Text"/>
    <w:basedOn w:val="1"/>
    <w:next w:val="1"/>
    <w:link w:val="54"/>
    <w:qFormat/>
    <w:uiPriority w:val="0"/>
    <w:rPr>
      <w:rFonts w:ascii="宋体" w:hAnsi="Courier New" w:eastAsia="仿宋_GB2312"/>
      <w:sz w:val="30"/>
    </w:rPr>
  </w:style>
  <w:style w:type="paragraph" w:styleId="13">
    <w:name w:val="Date"/>
    <w:basedOn w:val="1"/>
    <w:next w:val="1"/>
    <w:link w:val="55"/>
    <w:unhideWhenUsed/>
    <w:qFormat/>
    <w:uiPriority w:val="0"/>
    <w:pPr>
      <w:ind w:left="2500" w:leftChars="2500" w:right="150"/>
    </w:pPr>
    <w:rPr>
      <w:rFonts w:ascii="Times New Roman" w:hAnsi="Times New Roman" w:eastAsia="楷体_GB2312"/>
      <w:kern w:val="0"/>
      <w:sz w:val="32"/>
      <w:szCs w:val="22"/>
    </w:rPr>
  </w:style>
  <w:style w:type="paragraph" w:styleId="14">
    <w:name w:val="Body Text Indent 2"/>
    <w:basedOn w:val="1"/>
    <w:link w:val="47"/>
    <w:qFormat/>
    <w:uiPriority w:val="99"/>
    <w:pPr>
      <w:snapToGrid w:val="0"/>
      <w:ind w:firstLine="542" w:firstLineChars="225"/>
    </w:pPr>
    <w:rPr>
      <w:kern w:val="0"/>
      <w:sz w:val="24"/>
    </w:rPr>
  </w:style>
  <w:style w:type="paragraph" w:styleId="15">
    <w:name w:val="Balloon Text"/>
    <w:basedOn w:val="1"/>
    <w:link w:val="56"/>
    <w:qFormat/>
    <w:uiPriority w:val="0"/>
    <w:rPr>
      <w:sz w:val="18"/>
      <w:szCs w:val="18"/>
    </w:rPr>
  </w:style>
  <w:style w:type="paragraph" w:styleId="16">
    <w:name w:val="footer"/>
    <w:basedOn w:val="1"/>
    <w:link w:val="37"/>
    <w:unhideWhenUsed/>
    <w:qFormat/>
    <w:uiPriority w:val="99"/>
    <w:pPr>
      <w:tabs>
        <w:tab w:val="center" w:pos="4153"/>
        <w:tab w:val="right" w:pos="8306"/>
      </w:tabs>
      <w:snapToGrid w:val="0"/>
      <w:jc w:val="left"/>
    </w:pPr>
    <w:rPr>
      <w:sz w:val="18"/>
      <w:szCs w:val="18"/>
    </w:rPr>
  </w:style>
  <w:style w:type="paragraph" w:styleId="17">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99"/>
  </w:style>
  <w:style w:type="paragraph" w:styleId="19">
    <w:name w:val="toc 4"/>
    <w:basedOn w:val="1"/>
    <w:next w:val="1"/>
    <w:qFormat/>
    <w:uiPriority w:val="39"/>
    <w:pPr>
      <w:ind w:left="630"/>
      <w:jc w:val="left"/>
    </w:pPr>
    <w:rPr>
      <w:rFonts w:cs="Calibri"/>
      <w:sz w:val="18"/>
      <w:szCs w:val="18"/>
    </w:rPr>
  </w:style>
  <w:style w:type="paragraph" w:styleId="20">
    <w:name w:val="List"/>
    <w:basedOn w:val="1"/>
    <w:unhideWhenUsed/>
    <w:qFormat/>
    <w:uiPriority w:val="99"/>
    <w:pPr>
      <w:ind w:left="200" w:hanging="200" w:hangingChars="200"/>
    </w:pPr>
    <w:rPr>
      <w:sz w:val="28"/>
    </w:rPr>
  </w:style>
  <w:style w:type="paragraph" w:styleId="21">
    <w:name w:val="Body Text Indent 3"/>
    <w:basedOn w:val="1"/>
    <w:link w:val="50"/>
    <w:unhideWhenUsed/>
    <w:qFormat/>
    <w:uiPriority w:val="99"/>
    <w:pPr>
      <w:snapToGrid w:val="0"/>
      <w:ind w:firstLine="480" w:firstLineChars="200"/>
      <w:jc w:val="left"/>
    </w:pPr>
    <w:rPr>
      <w:rFonts w:ascii="仿宋_GB2312" w:hAnsi="宋体" w:eastAsia="仿宋_GB2312"/>
      <w:color w:val="000000"/>
      <w:kern w:val="0"/>
      <w:sz w:val="24"/>
    </w:rPr>
  </w:style>
  <w:style w:type="paragraph" w:styleId="22">
    <w:name w:val="toc 2"/>
    <w:basedOn w:val="1"/>
    <w:next w:val="1"/>
    <w:qFormat/>
    <w:uiPriority w:val="0"/>
    <w:pPr>
      <w:ind w:left="420" w:leftChars="200"/>
    </w:pPr>
  </w:style>
  <w:style w:type="paragraph" w:styleId="23">
    <w:name w:val="Body Text 2"/>
    <w:basedOn w:val="1"/>
    <w:link w:val="51"/>
    <w:semiHidden/>
    <w:unhideWhenUsed/>
    <w:qFormat/>
    <w:uiPriority w:val="99"/>
    <w:pPr>
      <w:spacing w:after="120" w:line="480" w:lineRule="auto"/>
    </w:pPr>
  </w:style>
  <w:style w:type="paragraph" w:styleId="24">
    <w:name w:val="HTML Preformatted"/>
    <w:basedOn w:val="1"/>
    <w:link w:val="52"/>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25">
    <w:name w:val="Normal (Web)"/>
    <w:basedOn w:val="1"/>
    <w:qFormat/>
    <w:uiPriority w:val="99"/>
    <w:pPr>
      <w:spacing w:before="100" w:beforeAutospacing="1" w:after="100" w:afterAutospacing="1"/>
      <w:jc w:val="left"/>
    </w:pPr>
    <w:rPr>
      <w:kern w:val="0"/>
      <w:sz w:val="24"/>
    </w:rPr>
  </w:style>
  <w:style w:type="paragraph" w:styleId="26">
    <w:name w:val="index 1"/>
    <w:basedOn w:val="1"/>
    <w:next w:val="1"/>
    <w:qFormat/>
    <w:uiPriority w:val="0"/>
    <w:pPr>
      <w:tabs>
        <w:tab w:val="left" w:pos="900"/>
      </w:tabs>
      <w:adjustRightInd w:val="0"/>
      <w:ind w:firstLine="420" w:firstLineChars="200"/>
    </w:pPr>
    <w:rPr>
      <w:rFonts w:ascii="宋体" w:hAnsi="宋体"/>
      <w:szCs w:val="22"/>
    </w:rPr>
  </w:style>
  <w:style w:type="paragraph" w:styleId="27">
    <w:name w:val="Title"/>
    <w:basedOn w:val="1"/>
    <w:next w:val="1"/>
    <w:link w:val="105"/>
    <w:qFormat/>
    <w:uiPriority w:val="10"/>
    <w:pPr>
      <w:widowControl/>
      <w:overflowPunct w:val="0"/>
      <w:autoSpaceDE w:val="0"/>
      <w:autoSpaceDN w:val="0"/>
      <w:adjustRightInd w:val="0"/>
      <w:jc w:val="center"/>
      <w:textAlignment w:val="baseline"/>
    </w:pPr>
    <w:rPr>
      <w:rFonts w:ascii="宋体" w:hAnsi="Times New Roman"/>
      <w:kern w:val="0"/>
      <w:sz w:val="30"/>
      <w:szCs w:val="30"/>
    </w:rPr>
  </w:style>
  <w:style w:type="paragraph" w:styleId="28">
    <w:name w:val="Body Text First Indent 2"/>
    <w:basedOn w:val="11"/>
    <w:qFormat/>
    <w:uiPriority w:val="99"/>
    <w:pPr>
      <w:spacing w:after="120" w:line="240" w:lineRule="auto"/>
      <w:ind w:left="420" w:leftChars="200" w:firstLine="420" w:firstLineChars="200"/>
    </w:pPr>
    <w:rPr>
      <w:rFonts w:ascii="Calibri" w:hAnsi="Calibri"/>
      <w:spacing w:val="0"/>
      <w:kern w:val="2"/>
      <w:sz w:val="21"/>
    </w:rPr>
  </w:style>
  <w:style w:type="table" w:styleId="30">
    <w:name w:val="Table Grid"/>
    <w:basedOn w:val="2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32">
    <w:name w:val="Strong"/>
    <w:basedOn w:val="31"/>
    <w:qFormat/>
    <w:uiPriority w:val="0"/>
  </w:style>
  <w:style w:type="character" w:styleId="33">
    <w:name w:val="Hyperlink"/>
    <w:qFormat/>
    <w:uiPriority w:val="99"/>
    <w:rPr>
      <w:color w:val="0000FF"/>
      <w:u w:val="single"/>
    </w:rPr>
  </w:style>
  <w:style w:type="character" w:styleId="34">
    <w:name w:val="annotation reference"/>
    <w:basedOn w:val="31"/>
    <w:semiHidden/>
    <w:unhideWhenUsed/>
    <w:qFormat/>
    <w:uiPriority w:val="99"/>
    <w:rPr>
      <w:sz w:val="21"/>
      <w:szCs w:val="21"/>
    </w:rPr>
  </w:style>
  <w:style w:type="paragraph" w:customStyle="1" w:styleId="35">
    <w:name w:val="首行缩进"/>
    <w:basedOn w:val="1"/>
    <w:qFormat/>
    <w:uiPriority w:val="0"/>
    <w:pPr>
      <w:spacing w:line="360" w:lineRule="auto"/>
      <w:ind w:firstLine="480" w:firstLineChars="200"/>
      <w:jc w:val="left"/>
    </w:pPr>
    <w:rPr>
      <w:rFonts w:ascii="宋体" w:hAnsi="宋体"/>
      <w:sz w:val="24"/>
    </w:rPr>
  </w:style>
  <w:style w:type="character" w:customStyle="1" w:styleId="36">
    <w:name w:val="页眉 Char"/>
    <w:basedOn w:val="31"/>
    <w:link w:val="17"/>
    <w:semiHidden/>
    <w:qFormat/>
    <w:uiPriority w:val="99"/>
    <w:rPr>
      <w:sz w:val="18"/>
      <w:szCs w:val="18"/>
    </w:rPr>
  </w:style>
  <w:style w:type="character" w:customStyle="1" w:styleId="37">
    <w:name w:val="页脚 Char"/>
    <w:basedOn w:val="31"/>
    <w:link w:val="16"/>
    <w:qFormat/>
    <w:uiPriority w:val="99"/>
    <w:rPr>
      <w:sz w:val="18"/>
      <w:szCs w:val="18"/>
    </w:rPr>
  </w:style>
  <w:style w:type="character" w:customStyle="1" w:styleId="38">
    <w:name w:val="标题 1 Char"/>
    <w:basedOn w:val="31"/>
    <w:link w:val="4"/>
    <w:qFormat/>
    <w:uiPriority w:val="99"/>
    <w:rPr>
      <w:rFonts w:ascii="Calibri" w:hAnsi="Calibri" w:eastAsia="宋体" w:cs="Times New Roman"/>
      <w:b/>
      <w:kern w:val="44"/>
      <w:sz w:val="44"/>
      <w:szCs w:val="24"/>
    </w:rPr>
  </w:style>
  <w:style w:type="character" w:customStyle="1" w:styleId="39">
    <w:name w:val="标题 2 Char"/>
    <w:basedOn w:val="31"/>
    <w:link w:val="5"/>
    <w:qFormat/>
    <w:uiPriority w:val="0"/>
    <w:rPr>
      <w:rFonts w:ascii="Cambria" w:hAnsi="Cambria" w:eastAsia="宋体" w:cs="Times New Roman"/>
      <w:b/>
      <w:bCs/>
      <w:szCs w:val="32"/>
    </w:rPr>
  </w:style>
  <w:style w:type="character" w:customStyle="1" w:styleId="40">
    <w:name w:val="标题 3 Char"/>
    <w:basedOn w:val="31"/>
    <w:link w:val="6"/>
    <w:qFormat/>
    <w:uiPriority w:val="0"/>
    <w:rPr>
      <w:rFonts w:ascii="Calibri" w:hAnsi="Calibri" w:eastAsia="宋体" w:cs="Times New Roman"/>
      <w:b/>
      <w:bCs/>
      <w:kern w:val="0"/>
      <w:sz w:val="20"/>
      <w:szCs w:val="32"/>
    </w:rPr>
  </w:style>
  <w:style w:type="character" w:customStyle="1" w:styleId="41">
    <w:name w:val="正文文本 Char"/>
    <w:basedOn w:val="31"/>
    <w:link w:val="2"/>
    <w:qFormat/>
    <w:uiPriority w:val="0"/>
    <w:rPr>
      <w:rFonts w:ascii="Calibri" w:hAnsi="Calibri" w:eastAsia="宋体" w:cs="Times New Roman"/>
      <w:sz w:val="24"/>
      <w:szCs w:val="24"/>
    </w:rPr>
  </w:style>
  <w:style w:type="character" w:customStyle="1" w:styleId="42">
    <w:name w:val="批注文字 Char"/>
    <w:basedOn w:val="31"/>
    <w:link w:val="10"/>
    <w:qFormat/>
    <w:uiPriority w:val="0"/>
    <w:rPr>
      <w:rFonts w:ascii="Calibri" w:hAnsi="Calibri" w:eastAsia="宋体" w:cs="Times New Roman"/>
      <w:szCs w:val="24"/>
    </w:rPr>
  </w:style>
  <w:style w:type="character" w:customStyle="1" w:styleId="43">
    <w:name w:val="正文文本缩进 Char"/>
    <w:basedOn w:val="31"/>
    <w:link w:val="11"/>
    <w:qFormat/>
    <w:uiPriority w:val="99"/>
    <w:rPr>
      <w:rFonts w:ascii="宋体" w:hAnsi="Courier New" w:eastAsia="宋体" w:cs="Times New Roman"/>
      <w:spacing w:val="-4"/>
      <w:kern w:val="0"/>
      <w:sz w:val="18"/>
      <w:szCs w:val="24"/>
    </w:rPr>
  </w:style>
  <w:style w:type="character" w:customStyle="1" w:styleId="44">
    <w:name w:val="纯文本 Char"/>
    <w:basedOn w:val="31"/>
    <w:link w:val="45"/>
    <w:qFormat/>
    <w:uiPriority w:val="99"/>
    <w:rPr>
      <w:rFonts w:ascii="宋体" w:hAnsi="Courier New" w:eastAsia="宋体" w:cs="Courier New"/>
      <w:szCs w:val="21"/>
    </w:rPr>
  </w:style>
  <w:style w:type="paragraph" w:customStyle="1" w:styleId="45">
    <w:name w:val="纯文本1"/>
    <w:basedOn w:val="1"/>
    <w:link w:val="44"/>
    <w:qFormat/>
    <w:uiPriority w:val="99"/>
    <w:pPr>
      <w:spacing w:beforeLines="50" w:afterLines="50" w:line="400" w:lineRule="exact"/>
    </w:pPr>
    <w:rPr>
      <w:rFonts w:ascii="宋体" w:hAnsi="Courier New" w:cs="Courier New"/>
      <w:szCs w:val="21"/>
    </w:rPr>
  </w:style>
  <w:style w:type="character" w:customStyle="1" w:styleId="46">
    <w:name w:val="日期 Char"/>
    <w:basedOn w:val="31"/>
    <w:qFormat/>
    <w:uiPriority w:val="0"/>
    <w:rPr>
      <w:rFonts w:ascii="Calibri" w:hAnsi="Calibri" w:eastAsia="宋体" w:cs="Times New Roman"/>
      <w:szCs w:val="24"/>
    </w:rPr>
  </w:style>
  <w:style w:type="character" w:customStyle="1" w:styleId="47">
    <w:name w:val="正文文本缩进 2 Char"/>
    <w:basedOn w:val="31"/>
    <w:link w:val="14"/>
    <w:qFormat/>
    <w:uiPriority w:val="99"/>
    <w:rPr>
      <w:rFonts w:ascii="Calibri" w:hAnsi="Calibri" w:eastAsia="宋体" w:cs="Times New Roman"/>
      <w:kern w:val="0"/>
      <w:sz w:val="24"/>
      <w:szCs w:val="24"/>
    </w:rPr>
  </w:style>
  <w:style w:type="character" w:customStyle="1" w:styleId="48">
    <w:name w:val="批注框文本 Char"/>
    <w:basedOn w:val="31"/>
    <w:link w:val="49"/>
    <w:qFormat/>
    <w:uiPriority w:val="0"/>
    <w:rPr>
      <w:rFonts w:ascii="Calibri" w:hAnsi="Calibri" w:eastAsia="宋体" w:cs="Times New Roman"/>
      <w:sz w:val="18"/>
      <w:szCs w:val="18"/>
    </w:rPr>
  </w:style>
  <w:style w:type="paragraph" w:customStyle="1" w:styleId="49">
    <w:name w:val="批注框文本1"/>
    <w:basedOn w:val="1"/>
    <w:link w:val="48"/>
    <w:qFormat/>
    <w:uiPriority w:val="0"/>
    <w:rPr>
      <w:sz w:val="18"/>
      <w:szCs w:val="18"/>
    </w:rPr>
  </w:style>
  <w:style w:type="character" w:customStyle="1" w:styleId="50">
    <w:name w:val="正文文本缩进 3 Char"/>
    <w:basedOn w:val="31"/>
    <w:link w:val="21"/>
    <w:qFormat/>
    <w:uiPriority w:val="99"/>
    <w:rPr>
      <w:rFonts w:ascii="仿宋_GB2312" w:hAnsi="宋体" w:eastAsia="仿宋_GB2312" w:cs="Times New Roman"/>
      <w:color w:val="000000"/>
      <w:kern w:val="0"/>
      <w:sz w:val="24"/>
      <w:szCs w:val="24"/>
    </w:rPr>
  </w:style>
  <w:style w:type="character" w:customStyle="1" w:styleId="51">
    <w:name w:val="正文文本 2 Char"/>
    <w:basedOn w:val="31"/>
    <w:link w:val="23"/>
    <w:semiHidden/>
    <w:qFormat/>
    <w:uiPriority w:val="99"/>
    <w:rPr>
      <w:rFonts w:ascii="Calibri" w:hAnsi="Calibri" w:eastAsia="宋体" w:cs="Times New Roman"/>
      <w:szCs w:val="24"/>
    </w:rPr>
  </w:style>
  <w:style w:type="character" w:customStyle="1" w:styleId="52">
    <w:name w:val="HTML 预设格式 Char"/>
    <w:basedOn w:val="31"/>
    <w:link w:val="24"/>
    <w:qFormat/>
    <w:uiPriority w:val="99"/>
    <w:rPr>
      <w:rFonts w:ascii="宋体" w:hAnsi="宋体" w:eastAsia="宋体" w:cs="宋体"/>
      <w:kern w:val="0"/>
      <w:sz w:val="24"/>
      <w:szCs w:val="24"/>
    </w:rPr>
  </w:style>
  <w:style w:type="paragraph" w:customStyle="1" w:styleId="53">
    <w:name w:val="表格文字"/>
    <w:basedOn w:val="12"/>
    <w:next w:val="2"/>
    <w:qFormat/>
    <w:uiPriority w:val="0"/>
    <w:pPr>
      <w:jc w:val="left"/>
    </w:pPr>
    <w:rPr>
      <w:kern w:val="21"/>
      <w:szCs w:val="21"/>
    </w:rPr>
  </w:style>
  <w:style w:type="character" w:customStyle="1" w:styleId="54">
    <w:name w:val="纯文本 Char1"/>
    <w:basedOn w:val="31"/>
    <w:link w:val="12"/>
    <w:qFormat/>
    <w:locked/>
    <w:uiPriority w:val="0"/>
    <w:rPr>
      <w:rFonts w:ascii="宋体" w:hAnsi="Courier New" w:eastAsia="仿宋_GB2312" w:cs="Times New Roman"/>
      <w:sz w:val="30"/>
      <w:szCs w:val="24"/>
    </w:rPr>
  </w:style>
  <w:style w:type="character" w:customStyle="1" w:styleId="55">
    <w:name w:val="日期 Char1"/>
    <w:basedOn w:val="31"/>
    <w:link w:val="13"/>
    <w:qFormat/>
    <w:locked/>
    <w:uiPriority w:val="0"/>
    <w:rPr>
      <w:rFonts w:ascii="Times New Roman" w:hAnsi="Times New Roman" w:eastAsia="楷体_GB2312" w:cs="Times New Roman"/>
      <w:kern w:val="0"/>
      <w:sz w:val="32"/>
    </w:rPr>
  </w:style>
  <w:style w:type="character" w:customStyle="1" w:styleId="56">
    <w:name w:val="批注框文本 Char1"/>
    <w:basedOn w:val="31"/>
    <w:link w:val="15"/>
    <w:qFormat/>
    <w:uiPriority w:val="0"/>
    <w:rPr>
      <w:rFonts w:ascii="Calibri" w:hAnsi="Calibri" w:eastAsia="宋体" w:cs="Times New Roman"/>
      <w:sz w:val="18"/>
      <w:szCs w:val="18"/>
    </w:rPr>
  </w:style>
  <w:style w:type="character" w:customStyle="1" w:styleId="57">
    <w:name w:val="批注主题 Char"/>
    <w:basedOn w:val="42"/>
    <w:link w:val="58"/>
    <w:qFormat/>
    <w:uiPriority w:val="0"/>
    <w:rPr>
      <w:rFonts w:ascii="Calibri" w:hAnsi="Calibri" w:eastAsia="宋体" w:cs="Times New Roman"/>
      <w:b/>
      <w:bCs/>
      <w:szCs w:val="24"/>
    </w:rPr>
  </w:style>
  <w:style w:type="paragraph" w:customStyle="1" w:styleId="58">
    <w:name w:val="批注主题1"/>
    <w:basedOn w:val="10"/>
    <w:next w:val="10"/>
    <w:link w:val="57"/>
    <w:qFormat/>
    <w:uiPriority w:val="0"/>
    <w:rPr>
      <w:b/>
      <w:bCs/>
    </w:rPr>
  </w:style>
  <w:style w:type="paragraph" w:customStyle="1" w:styleId="59">
    <w:name w:val="正文文本缩进1"/>
    <w:basedOn w:val="1"/>
    <w:qFormat/>
    <w:uiPriority w:val="0"/>
    <w:pPr>
      <w:spacing w:line="200" w:lineRule="exact"/>
      <w:ind w:firstLine="301"/>
    </w:pPr>
    <w:rPr>
      <w:rFonts w:ascii="宋体" w:hAnsi="Courier New"/>
      <w:spacing w:val="-4"/>
      <w:kern w:val="0"/>
      <w:sz w:val="18"/>
    </w:rPr>
  </w:style>
  <w:style w:type="paragraph" w:customStyle="1" w:styleId="60">
    <w:name w:val="纯文本2"/>
    <w:basedOn w:val="1"/>
    <w:qFormat/>
    <w:uiPriority w:val="0"/>
    <w:rPr>
      <w:rFonts w:ascii="宋体" w:hAnsi="Courier New" w:eastAsia="仿宋_GB2312"/>
      <w:sz w:val="30"/>
    </w:rPr>
  </w:style>
  <w:style w:type="paragraph" w:customStyle="1" w:styleId="61">
    <w:name w:val="普通(网站)1"/>
    <w:basedOn w:val="1"/>
    <w:qFormat/>
    <w:uiPriority w:val="0"/>
    <w:pPr>
      <w:spacing w:beforeAutospacing="1" w:afterAutospacing="1"/>
      <w:jc w:val="left"/>
    </w:pPr>
    <w:rPr>
      <w:kern w:val="0"/>
      <w:sz w:val="24"/>
    </w:rPr>
  </w:style>
  <w:style w:type="paragraph" w:customStyle="1" w:styleId="62">
    <w:name w:val="正文缩进1"/>
    <w:basedOn w:val="1"/>
    <w:qFormat/>
    <w:uiPriority w:val="0"/>
    <w:pPr>
      <w:ind w:firstLine="420" w:firstLineChars="200"/>
    </w:pPr>
  </w:style>
  <w:style w:type="paragraph" w:customStyle="1" w:styleId="63">
    <w:name w:val="正文文本 31"/>
    <w:basedOn w:val="1"/>
    <w:qFormat/>
    <w:uiPriority w:val="0"/>
    <w:pPr>
      <w:spacing w:after="120"/>
    </w:pPr>
    <w:rPr>
      <w:kern w:val="0"/>
      <w:sz w:val="16"/>
      <w:szCs w:val="16"/>
    </w:rPr>
  </w:style>
  <w:style w:type="paragraph" w:customStyle="1" w:styleId="64">
    <w:name w:val="正文文本缩进11"/>
    <w:basedOn w:val="1"/>
    <w:qFormat/>
    <w:uiPriority w:val="0"/>
    <w:pPr>
      <w:spacing w:line="200" w:lineRule="exact"/>
      <w:ind w:firstLine="301"/>
    </w:pPr>
    <w:rPr>
      <w:szCs w:val="20"/>
    </w:rPr>
  </w:style>
  <w:style w:type="paragraph" w:customStyle="1" w:styleId="65">
    <w:name w:val="文本块1"/>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customStyle="1" w:styleId="66">
    <w:name w:val="正文文本缩进 21"/>
    <w:basedOn w:val="1"/>
    <w:qFormat/>
    <w:uiPriority w:val="0"/>
    <w:pPr>
      <w:snapToGrid w:val="0"/>
      <w:ind w:firstLine="542" w:firstLineChars="225"/>
    </w:pPr>
    <w:rPr>
      <w:kern w:val="0"/>
      <w:sz w:val="24"/>
    </w:rPr>
  </w:style>
  <w:style w:type="paragraph" w:customStyle="1" w:styleId="67">
    <w:name w:val="正文文本缩进 31"/>
    <w:basedOn w:val="1"/>
    <w:qFormat/>
    <w:uiPriority w:val="0"/>
    <w:pPr>
      <w:snapToGrid w:val="0"/>
      <w:ind w:firstLine="480" w:firstLineChars="200"/>
      <w:jc w:val="left"/>
    </w:pPr>
    <w:rPr>
      <w:rFonts w:ascii="仿宋_GB2312" w:hAnsi="宋体" w:eastAsia="仿宋_GB2312"/>
      <w:color w:val="000000"/>
      <w:sz w:val="24"/>
    </w:rPr>
  </w:style>
  <w:style w:type="paragraph" w:customStyle="1" w:styleId="68">
    <w:name w:val="普通(网站)11"/>
    <w:basedOn w:val="1"/>
    <w:qFormat/>
    <w:uiPriority w:val="0"/>
    <w:pPr>
      <w:widowControl/>
      <w:spacing w:beforeAutospacing="1" w:afterAutospacing="1"/>
      <w:jc w:val="left"/>
    </w:pPr>
    <w:rPr>
      <w:rFonts w:ascii="宋体" w:hAnsi="宋体"/>
      <w:kern w:val="0"/>
      <w:sz w:val="24"/>
    </w:rPr>
  </w:style>
  <w:style w:type="paragraph" w:customStyle="1" w:styleId="69">
    <w:name w:val="p15"/>
    <w:basedOn w:val="1"/>
    <w:qFormat/>
    <w:uiPriority w:val="0"/>
    <w:pPr>
      <w:widowControl/>
      <w:spacing w:line="200" w:lineRule="atLeast"/>
      <w:ind w:firstLine="301"/>
    </w:pPr>
    <w:rPr>
      <w:rFonts w:ascii="宋体" w:hAnsi="宋体" w:cs="宋体"/>
      <w:spacing w:val="-4"/>
      <w:kern w:val="0"/>
      <w:sz w:val="18"/>
      <w:szCs w:val="18"/>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列表 21"/>
    <w:basedOn w:val="1"/>
    <w:qFormat/>
    <w:uiPriority w:val="0"/>
    <w:pPr>
      <w:ind w:left="200" w:leftChars="200" w:hanging="200" w:hangingChars="200"/>
    </w:pPr>
    <w:rPr>
      <w:sz w:val="28"/>
      <w:szCs w:val="20"/>
    </w:rPr>
  </w:style>
  <w:style w:type="paragraph" w:customStyle="1" w:styleId="72">
    <w:name w:val="默认段落字体 Para Char Char Char Char Char Char Char Char Char1 Char Char Char Char"/>
    <w:basedOn w:val="1"/>
    <w:qFormat/>
    <w:uiPriority w:val="99"/>
    <w:rPr>
      <w:rFonts w:ascii="Tahoma" w:hAnsi="Tahoma"/>
      <w:sz w:val="24"/>
      <w:szCs w:val="20"/>
    </w:rPr>
  </w:style>
  <w:style w:type="paragraph" w:customStyle="1" w:styleId="73">
    <w:name w:val="纯文本21"/>
    <w:basedOn w:val="1"/>
    <w:qFormat/>
    <w:uiPriority w:val="0"/>
    <w:pPr>
      <w:spacing w:beforeLines="50" w:afterLines="50" w:line="400" w:lineRule="exact"/>
    </w:pPr>
    <w:rPr>
      <w:rFonts w:ascii="宋体" w:hAnsi="Courier New"/>
      <w:szCs w:val="21"/>
    </w:rPr>
  </w:style>
  <w:style w:type="paragraph" w:customStyle="1" w:styleId="74">
    <w:name w:val="彩色列表 - 强调文字颜色 11"/>
    <w:basedOn w:val="1"/>
    <w:qFormat/>
    <w:uiPriority w:val="0"/>
    <w:pPr>
      <w:ind w:firstLine="420" w:firstLineChars="200"/>
    </w:pPr>
  </w:style>
  <w:style w:type="paragraph" w:customStyle="1" w:styleId="75">
    <w:name w:val="修订1"/>
    <w:qFormat/>
    <w:uiPriority w:val="0"/>
    <w:rPr>
      <w:rFonts w:ascii="Calibri" w:hAnsi="Calibri" w:eastAsia="宋体" w:cs="Times New Roman"/>
      <w:kern w:val="2"/>
      <w:sz w:val="21"/>
      <w:szCs w:val="24"/>
      <w:lang w:val="en-US" w:eastAsia="zh-CN" w:bidi="ar-SA"/>
    </w:rPr>
  </w:style>
  <w:style w:type="paragraph" w:customStyle="1" w:styleId="76">
    <w:name w:val="列出段落1"/>
    <w:basedOn w:val="1"/>
    <w:qFormat/>
    <w:uiPriority w:val="99"/>
    <w:pPr>
      <w:ind w:firstLine="420" w:firstLineChars="200"/>
    </w:pPr>
  </w:style>
  <w:style w:type="paragraph" w:customStyle="1" w:styleId="77">
    <w:name w:val="纯文本3"/>
    <w:basedOn w:val="1"/>
    <w:qFormat/>
    <w:uiPriority w:val="0"/>
    <w:pPr>
      <w:adjustRightInd w:val="0"/>
      <w:textAlignment w:val="baseline"/>
    </w:pPr>
    <w:rPr>
      <w:rFonts w:ascii="宋体" w:hAnsi="Courier New" w:eastAsia="楷体_GB2312"/>
      <w:sz w:val="26"/>
      <w:szCs w:val="20"/>
    </w:rPr>
  </w:style>
  <w:style w:type="paragraph" w:customStyle="1" w:styleId="78">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79">
    <w:name w:val="正文段"/>
    <w:basedOn w:val="1"/>
    <w:qFormat/>
    <w:uiPriority w:val="0"/>
    <w:pPr>
      <w:autoSpaceDE w:val="0"/>
      <w:autoSpaceDN w:val="0"/>
      <w:adjustRightInd w:val="0"/>
      <w:spacing w:before="100" w:after="100" w:line="300" w:lineRule="auto"/>
      <w:ind w:left="2108" w:hanging="708"/>
      <w:jc w:val="left"/>
    </w:pPr>
    <w:rPr>
      <w:rFonts w:ascii="Times New Roman" w:hAnsi="Times New Roman"/>
      <w:w w:val="105"/>
      <w:kern w:val="0"/>
      <w:sz w:val="24"/>
      <w:szCs w:val="20"/>
    </w:rPr>
  </w:style>
  <w:style w:type="paragraph" w:customStyle="1" w:styleId="80">
    <w:name w:val="纯文本4"/>
    <w:basedOn w:val="1"/>
    <w:qFormat/>
    <w:uiPriority w:val="0"/>
    <w:pPr>
      <w:adjustRightInd w:val="0"/>
      <w:textAlignment w:val="baseline"/>
    </w:pPr>
    <w:rPr>
      <w:rFonts w:ascii="宋体" w:hAnsi="Courier New" w:eastAsia="楷体_GB2312"/>
      <w:sz w:val="26"/>
      <w:szCs w:val="20"/>
    </w:rPr>
  </w:style>
  <w:style w:type="paragraph" w:customStyle="1" w:styleId="81">
    <w:name w:val="Table Paragraph"/>
    <w:basedOn w:val="1"/>
    <w:qFormat/>
    <w:uiPriority w:val="0"/>
    <w:pPr>
      <w:jc w:val="left"/>
    </w:pPr>
    <w:rPr>
      <w:kern w:val="0"/>
      <w:sz w:val="22"/>
      <w:szCs w:val="22"/>
      <w:lang w:eastAsia="en-US"/>
    </w:rPr>
  </w:style>
  <w:style w:type="character" w:customStyle="1" w:styleId="82">
    <w:name w:val="批注引用1"/>
    <w:basedOn w:val="31"/>
    <w:qFormat/>
    <w:uiPriority w:val="0"/>
    <w:rPr>
      <w:sz w:val="21"/>
      <w:szCs w:val="21"/>
    </w:rPr>
  </w:style>
  <w:style w:type="character" w:customStyle="1" w:styleId="83">
    <w:name w:val="标题 2 Char Char"/>
    <w:qFormat/>
    <w:uiPriority w:val="0"/>
    <w:rPr>
      <w:rFonts w:eastAsia="宋体"/>
      <w:kern w:val="2"/>
      <w:sz w:val="28"/>
      <w:lang w:val="en-US" w:eastAsia="zh-CN" w:bidi="ar-SA"/>
    </w:rPr>
  </w:style>
  <w:style w:type="paragraph" w:customStyle="1" w:styleId="84">
    <w:name w:val="xl30"/>
    <w:basedOn w:val="1"/>
    <w:qFormat/>
    <w:uiPriority w:val="0"/>
    <w:pPr>
      <w:widowControl/>
      <w:spacing w:before="100" w:beforeAutospacing="1" w:after="100" w:afterAutospacing="1"/>
      <w:jc w:val="center"/>
      <w:textAlignment w:val="center"/>
    </w:pPr>
    <w:rPr>
      <w:rFonts w:ascii="楷体_GB2312" w:hAnsi="宋体" w:eastAsia="楷体_GB2312"/>
      <w:b/>
      <w:kern w:val="0"/>
      <w:sz w:val="32"/>
    </w:rPr>
  </w:style>
  <w:style w:type="paragraph" w:customStyle="1" w:styleId="85">
    <w:name w:val="列表段落1"/>
    <w:basedOn w:val="1"/>
    <w:unhideWhenUsed/>
    <w:qFormat/>
    <w:uiPriority w:val="34"/>
    <w:pPr>
      <w:ind w:firstLine="420" w:firstLineChars="200"/>
    </w:pPr>
  </w:style>
  <w:style w:type="paragraph" w:customStyle="1" w:styleId="86">
    <w:name w:val="纯文本5"/>
    <w:basedOn w:val="1"/>
    <w:qFormat/>
    <w:uiPriority w:val="0"/>
    <w:rPr>
      <w:rFonts w:ascii="宋体" w:hAnsi="Courier New" w:eastAsia="仿宋_GB2312"/>
      <w:sz w:val="30"/>
    </w:rPr>
  </w:style>
  <w:style w:type="paragraph" w:customStyle="1" w:styleId="87">
    <w:name w:val="文本块2"/>
    <w:basedOn w:val="1"/>
    <w:qFormat/>
    <w:uiPriority w:val="0"/>
    <w:pPr>
      <w:adjustRightInd w:val="0"/>
      <w:snapToGrid w:val="0"/>
      <w:spacing w:line="300" w:lineRule="auto"/>
      <w:ind w:left="958" w:right="-120" w:rightChars="-120"/>
      <w:jc w:val="left"/>
    </w:pPr>
    <w:rPr>
      <w:rFonts w:hint="eastAsia" w:ascii="Century Gothic" w:hAnsi="Century Gothic"/>
      <w:sz w:val="28"/>
      <w:szCs w:val="20"/>
    </w:rPr>
  </w:style>
  <w:style w:type="paragraph" w:customStyle="1" w:styleId="88">
    <w:name w:val="正文文本缩进2"/>
    <w:basedOn w:val="1"/>
    <w:qFormat/>
    <w:uiPriority w:val="0"/>
    <w:pPr>
      <w:spacing w:line="200" w:lineRule="exact"/>
      <w:ind w:firstLine="301"/>
    </w:pPr>
    <w:rPr>
      <w:rFonts w:ascii="宋体" w:hAnsi="Courier New"/>
      <w:spacing w:val="-4"/>
      <w:kern w:val="0"/>
      <w:sz w:val="18"/>
    </w:rPr>
  </w:style>
  <w:style w:type="paragraph" w:customStyle="1" w:styleId="89">
    <w:name w:val="正文文本 32"/>
    <w:basedOn w:val="1"/>
    <w:qFormat/>
    <w:uiPriority w:val="0"/>
    <w:pPr>
      <w:spacing w:after="120"/>
    </w:pPr>
    <w:rPr>
      <w:kern w:val="0"/>
      <w:sz w:val="16"/>
      <w:szCs w:val="16"/>
    </w:rPr>
  </w:style>
  <w:style w:type="paragraph" w:customStyle="1" w:styleId="90">
    <w:name w:val="Body Text Indent1"/>
    <w:basedOn w:val="1"/>
    <w:qFormat/>
    <w:uiPriority w:val="99"/>
    <w:pPr>
      <w:spacing w:line="200" w:lineRule="exact"/>
      <w:ind w:firstLine="301"/>
    </w:pPr>
    <w:rPr>
      <w:rFonts w:ascii="宋体" w:hAnsi="Courier New"/>
      <w:spacing w:val="-4"/>
      <w:kern w:val="0"/>
      <w:sz w:val="18"/>
    </w:rPr>
  </w:style>
  <w:style w:type="paragraph" w:styleId="91">
    <w:name w:val="List Paragraph"/>
    <w:basedOn w:val="1"/>
    <w:unhideWhenUsed/>
    <w:qFormat/>
    <w:uiPriority w:val="34"/>
    <w:pPr>
      <w:ind w:firstLine="420" w:firstLineChars="200"/>
    </w:pPr>
  </w:style>
  <w:style w:type="paragraph" w:customStyle="1" w:styleId="92">
    <w:name w:val="[Normal]"/>
    <w:qFormat/>
    <w:uiPriority w:val="0"/>
    <w:rPr>
      <w:rFonts w:ascii="方正仿宋简体" w:hAnsi="方正仿宋简体" w:eastAsia="方正仿宋简体" w:cs="Courier New"/>
      <w:sz w:val="24"/>
      <w:szCs w:val="22"/>
      <w:lang w:val="zh-CN" w:eastAsia="zh-CN" w:bidi="ar-SA"/>
    </w:rPr>
  </w:style>
  <w:style w:type="paragraph" w:customStyle="1" w:styleId="93">
    <w:name w:val="书籍标题1"/>
    <w:basedOn w:val="1"/>
    <w:next w:val="1"/>
    <w:qFormat/>
    <w:uiPriority w:val="99"/>
    <w:pPr>
      <w:pageBreakBefore/>
      <w:widowControl/>
      <w:tabs>
        <w:tab w:val="left" w:pos="840"/>
      </w:tabs>
      <w:spacing w:beforeLines="200"/>
      <w:ind w:left="990" w:right="150" w:hanging="360"/>
      <w:jc w:val="center"/>
      <w:outlineLvl w:val="0"/>
    </w:pPr>
    <w:rPr>
      <w:rFonts w:ascii="Times New Roman" w:hAnsi="Times New Roman" w:eastAsia="黑体"/>
      <w:b/>
      <w:spacing w:val="20"/>
      <w:kern w:val="44"/>
      <w:sz w:val="44"/>
      <w:szCs w:val="22"/>
    </w:rPr>
  </w:style>
  <w:style w:type="character" w:customStyle="1" w:styleId="94">
    <w:name w:val="正文首行缩进2字符 Char Char"/>
    <w:link w:val="95"/>
    <w:qFormat/>
    <w:uiPriority w:val="0"/>
    <w:rPr>
      <w:rFonts w:ascii="Times New Roman" w:hAnsi="Times New Roman"/>
      <w:sz w:val="24"/>
    </w:rPr>
  </w:style>
  <w:style w:type="paragraph" w:customStyle="1" w:styleId="95">
    <w:name w:val="正文首行缩进2字符"/>
    <w:basedOn w:val="1"/>
    <w:link w:val="94"/>
    <w:qFormat/>
    <w:uiPriority w:val="0"/>
    <w:pPr>
      <w:spacing w:line="360" w:lineRule="auto"/>
      <w:ind w:firstLine="200" w:firstLineChars="200"/>
    </w:pPr>
    <w:rPr>
      <w:rFonts w:ascii="Times New Roman" w:hAnsi="Times New Roman" w:eastAsiaTheme="minorEastAsia" w:cstheme="minorBidi"/>
      <w:sz w:val="24"/>
      <w:szCs w:val="22"/>
    </w:rPr>
  </w:style>
  <w:style w:type="paragraph" w:customStyle="1" w:styleId="96">
    <w:name w:val="修订2"/>
    <w:hidden/>
    <w:unhideWhenUsed/>
    <w:qFormat/>
    <w:uiPriority w:val="99"/>
    <w:rPr>
      <w:rFonts w:ascii="Calibri" w:hAnsi="Calibri" w:eastAsia="宋体" w:cs="Times New Roman"/>
      <w:kern w:val="2"/>
      <w:sz w:val="21"/>
      <w:szCs w:val="24"/>
      <w:lang w:val="en-US" w:eastAsia="zh-CN" w:bidi="ar-SA"/>
    </w:rPr>
  </w:style>
  <w:style w:type="paragraph" w:customStyle="1" w:styleId="97">
    <w:name w:val="【正文】"/>
    <w:basedOn w:val="1"/>
    <w:link w:val="98"/>
    <w:qFormat/>
    <w:uiPriority w:val="0"/>
    <w:pPr>
      <w:spacing w:line="440" w:lineRule="exact"/>
      <w:ind w:firstLine="480" w:firstLineChars="200"/>
    </w:pPr>
    <w:rPr>
      <w:rFonts w:ascii="仿宋_GB2312" w:hAnsi="Times New Roman" w:eastAsia="仿宋_GB2312"/>
      <w:color w:val="000000"/>
      <w:kern w:val="0"/>
      <w:sz w:val="24"/>
      <w:szCs w:val="21"/>
    </w:rPr>
  </w:style>
  <w:style w:type="character" w:customStyle="1" w:styleId="98">
    <w:name w:val="【正文】 字符"/>
    <w:link w:val="97"/>
    <w:qFormat/>
    <w:uiPriority w:val="0"/>
    <w:rPr>
      <w:rFonts w:ascii="仿宋_GB2312" w:hAnsi="Times New Roman" w:eastAsia="仿宋_GB2312" w:cs="Times New Roman"/>
      <w:color w:val="000000"/>
      <w:kern w:val="0"/>
      <w:sz w:val="24"/>
      <w:szCs w:val="21"/>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图"/>
    <w:basedOn w:val="1"/>
    <w:qFormat/>
    <w:uiPriority w:val="0"/>
    <w:pPr>
      <w:keepNext/>
      <w:adjustRightInd w:val="0"/>
      <w:snapToGrid w:val="0"/>
      <w:spacing w:before="60" w:after="60" w:line="300" w:lineRule="auto"/>
      <w:jc w:val="center"/>
    </w:pPr>
    <w:rPr>
      <w:rFonts w:ascii="Times New Roman" w:hAnsi="Times New Roman"/>
      <w:spacing w:val="20"/>
      <w:kern w:val="0"/>
      <w:sz w:val="24"/>
      <w:szCs w:val="22"/>
    </w:rPr>
  </w:style>
  <w:style w:type="paragraph" w:customStyle="1" w:styleId="101">
    <w:name w:val="_Style 4"/>
    <w:basedOn w:val="1"/>
    <w:qFormat/>
    <w:uiPriority w:val="34"/>
    <w:pPr>
      <w:ind w:firstLine="420" w:firstLineChars="200"/>
      <w:jc w:val="left"/>
    </w:pPr>
    <w:rPr>
      <w:kern w:val="0"/>
      <w:sz w:val="18"/>
      <w:lang w:eastAsia="zh-TW"/>
    </w:rPr>
  </w:style>
  <w:style w:type="paragraph" w:customStyle="1" w:styleId="102">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03">
    <w:name w:val="列出段落2"/>
    <w:basedOn w:val="1"/>
    <w:qFormat/>
    <w:uiPriority w:val="0"/>
    <w:pPr>
      <w:spacing w:line="360" w:lineRule="auto"/>
      <w:ind w:firstLine="420" w:firstLineChars="200"/>
    </w:pPr>
    <w:rPr>
      <w:rFonts w:ascii="仿宋_GB2312" w:hAnsi="仿宋_GB2312"/>
      <w:kern w:val="0"/>
      <w:sz w:val="24"/>
      <w:szCs w:val="21"/>
    </w:rPr>
  </w:style>
  <w:style w:type="paragraph" w:customStyle="1" w:styleId="104">
    <w:name w:val="样式 首行缩进:  0 字符"/>
    <w:basedOn w:val="1"/>
    <w:qFormat/>
    <w:uiPriority w:val="0"/>
    <w:pPr>
      <w:spacing w:line="360" w:lineRule="auto"/>
      <w:ind w:firstLine="200" w:firstLineChars="200"/>
    </w:pPr>
    <w:rPr>
      <w:rFonts w:ascii="Arial" w:hAnsi="Arial"/>
      <w:kern w:val="0"/>
      <w:sz w:val="20"/>
      <w:szCs w:val="20"/>
    </w:rPr>
  </w:style>
  <w:style w:type="character" w:customStyle="1" w:styleId="105">
    <w:name w:val="标题 Char"/>
    <w:basedOn w:val="31"/>
    <w:link w:val="27"/>
    <w:qFormat/>
    <w:uiPriority w:val="10"/>
    <w:rPr>
      <w:rFonts w:ascii="宋体" w:hAnsi="Times New Roman" w:eastAsia="宋体" w:cs="Times New Roman"/>
      <w:sz w:val="30"/>
      <w:szCs w:val="30"/>
    </w:rPr>
  </w:style>
  <w:style w:type="character" w:customStyle="1" w:styleId="106">
    <w:name w:val="font61"/>
    <w:basedOn w:val="31"/>
    <w:qFormat/>
    <w:uiPriority w:val="0"/>
    <w:rPr>
      <w:rFonts w:ascii="Arial" w:hAnsi="Arial" w:eastAsia="宋体" w:cs="Arial"/>
      <w:color w:val="000000"/>
      <w:sz w:val="20"/>
      <w:szCs w:val="20"/>
      <w:u w:val="none"/>
    </w:rPr>
  </w:style>
  <w:style w:type="paragraph" w:customStyle="1" w:styleId="107">
    <w:name w:val="msoplaintextcxsplast"/>
    <w:basedOn w:val="1"/>
    <w:qFormat/>
    <w:uiPriority w:val="0"/>
    <w:pPr>
      <w:widowControl/>
      <w:spacing w:before="100" w:beforeAutospacing="1" w:after="100" w:afterAutospacing="1"/>
      <w:jc w:val="left"/>
    </w:pPr>
    <w:rPr>
      <w:rFonts w:ascii="宋体" w:hAnsi="宋体" w:cs="宋体"/>
      <w:kern w:val="0"/>
      <w:sz w:val="24"/>
    </w:rPr>
  </w:style>
  <w:style w:type="paragraph" w:customStyle="1" w:styleId="108">
    <w:name w:val="[基本段落]"/>
    <w:basedOn w:val="1"/>
    <w:qFormat/>
    <w:uiPriority w:val="99"/>
    <w:pPr>
      <w:autoSpaceDE w:val="0"/>
      <w:autoSpaceDN w:val="0"/>
      <w:adjustRightInd w:val="0"/>
      <w:spacing w:line="288" w:lineRule="auto"/>
    </w:pPr>
    <w:rPr>
      <w:rFonts w:ascii="宋体" w:cs="宋体"/>
      <w:color w:val="000000"/>
      <w:kern w:val="0"/>
      <w:sz w:val="24"/>
      <w:lang w:val="zh-CN"/>
    </w:rPr>
  </w:style>
  <w:style w:type="paragraph" w:customStyle="1" w:styleId="109">
    <w:name w:val="正文1"/>
    <w:basedOn w:val="1"/>
    <w:qFormat/>
    <w:uiPriority w:val="0"/>
    <w:pPr>
      <w:tabs>
        <w:tab w:val="left" w:pos="420"/>
      </w:tabs>
      <w:spacing w:line="360" w:lineRule="auto"/>
      <w:ind w:firstLine="432"/>
    </w:pPr>
    <w:rPr>
      <w:rFonts w:ascii="宋体" w:hAnsi="宋体"/>
      <w:b/>
      <w:sz w:val="24"/>
    </w:rPr>
  </w:style>
  <w:style w:type="paragraph" w:customStyle="1" w:styleId="110">
    <w:name w:val="文档正文"/>
    <w:basedOn w:val="1"/>
    <w:qFormat/>
    <w:uiPriority w:val="0"/>
    <w:rPr>
      <w:rFonts w:ascii="宋体" w:hAnsi="宋体" w:cs="Arial"/>
      <w:bCs/>
      <w:szCs w:val="21"/>
    </w:rPr>
  </w:style>
  <w:style w:type="paragraph" w:customStyle="1" w:styleId="111">
    <w:name w:val="Char"/>
    <w:basedOn w:val="1"/>
    <w:qFormat/>
    <w:uiPriority w:val="0"/>
    <w:pPr>
      <w:widowControl/>
      <w:spacing w:after="160" w:line="240" w:lineRule="exact"/>
      <w:jc w:val="left"/>
    </w:pPr>
    <w:rPr>
      <w:rFonts w:ascii="Verdana" w:hAnsi="Verdana" w:eastAsia="仿宋_GB2312" w:cs="”“Times New Roman”“"/>
      <w:kern w:val="0"/>
      <w:sz w:val="24"/>
      <w:szCs w:val="20"/>
      <w:lang w:eastAsia="en-US"/>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w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d47a4105-073f-4d58-91ba-3deebe5f0de5</errorID>
      <errorWord>2026年06月03日</errorWord>
      <group>L1_Knowledge</group>
      <groupName>知识性问题</groupName>
      <ability>L2_Time</ability>
      <abilityName>日期时间</abilityName>
      <candidateList>
        <item>2026年6月3日</item>
      </candidateList>
      <explain>根据日常书写习惯，月份和日期一般会省略前导零。</explain>
      <paraID>3CF212DD</paraID>
      <start>31</start>
      <end>42</end>
      <status>ignored</status>
      <modifiedWord/>
      <trackRevisions>false</trackRevisions>
    </reviewItem>
    <reviewItem>
      <errorID>d3b68b0a-b46d-4e7c-9052-67ace1a98654</errorID>
      <errorWord>-</errorWord>
      <group>L1_Format</group>
      <groupName>格式问题</groupName>
      <ability>L2_HalfPunc_CN</ability>
      <abilityName>全半角检查</abilityName>
      <candidateList>
        <item>－</item>
      </candidateList>
      <explain>文本全半角错误。</explain>
      <paraID>19EE53ED</paraID>
      <start>24</start>
      <end>25</end>
      <status>ignored</status>
      <modifiedWord/>
      <trackRevisions>false</trackRevisions>
    </reviewItem>
    <reviewItem>
      <errorID>931f0009-2beb-404e-b9e4-385a2ca83d25</errorID>
      <errorWord>-</errorWord>
      <group>L1_Format</group>
      <groupName>格式问题</groupName>
      <ability>L2_HalfPunc_CN</ability>
      <abilityName>全半角检查</abilityName>
      <candidateList>
        <item>－</item>
      </candidateList>
      <explain>文本全半角错误。</explain>
      <paraID>70ABC690</paraID>
      <start>37</start>
      <end>38</end>
      <status>ignored</status>
      <modifiedWord/>
      <trackRevisions>false</trackRevisions>
    </reviewItem>
    <reviewItem>
      <errorID>b47a36b5-fefa-4ab4-8235-1187c45ec1f8</errorID>
      <errorWord>、还</errorWord>
      <group>L1_Punc</group>
      <groupName>标点问题</groupName>
      <ability>L2_Punc_CN</ability>
      <abilityName>标点符号检查</abilityName>
      <candidateList>
        <item>，还</item>
      </candidateList>
      <explain>连接词前后不宜使用顿号，建议使用逗号。</explain>
      <paraID>497B7EBC</paraID>
      <start>54</start>
      <end>56</end>
      <status>ignored</status>
      <modifiedWord/>
      <trackRevisions>false</trackRevisions>
    </reviewItem>
    <reviewItem>
      <errorID>8eb12117-222f-4977-9796-e4fc4b033876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647D1796</paraID>
      <start>46</start>
      <end>47</end>
      <status>ignored</status>
      <modifiedWord/>
      <trackRevisions>false</trackRevisions>
    </reviewItem>
    <reviewItem>
      <errorID>58d0c6a8-6816-45ef-a4b9-f55aa946671f</errorID>
      <errorWord>-</errorWord>
      <group>L1_Format</group>
      <groupName>格式问题</groupName>
      <ability>L2_HalfPunc_CN</ability>
      <abilityName>全半角检查</abilityName>
      <candidateList>
        <item>－</item>
      </candidateList>
      <explain>文本全半角错误。</explain>
      <paraID> 380A4ED</paraID>
      <start>20</start>
      <end>21</end>
      <status>ignored</status>
      <modifiedWord/>
      <trackRevisions>false</trackRevisions>
    </reviewItem>
    <reviewItem>
      <errorID>3d47681f-023d-4358-8569-3e15a4581390</errorID>
      <errorWord>-</errorWord>
      <group>L1_Format</group>
      <groupName>格式问题</groupName>
      <ability>L2_HalfPunc_CN</ability>
      <abilityName>全半角检查</abilityName>
      <candidateList>
        <item>－</item>
      </candidateList>
      <explain>文本全半角错误。</explain>
      <paraID>6DE77542</paraID>
      <start>33</start>
      <end>34</end>
      <status>ignored</status>
      <modifiedWord/>
      <trackRevisions>false</trackRevisions>
    </reviewItem>
    <reviewItem>
      <errorID>cfe6de7d-c235-46c0-8d11-bdd4aaf4561f</errorID>
      <errorWord>二个</errorWord>
      <group>L1_Word</group>
      <groupName>字词问题</groupName>
      <ability>L2_Typo</ability>
      <abilityName>字词错误</abilityName>
      <candidateList>
        <item>两个</item>
      </candidateList>
      <explain/>
      <paraID>1AA898F9</paraID>
      <start>23</start>
      <end>25</end>
      <status>ignored</status>
      <modifiedWord/>
      <trackRevisions>false</trackRevisions>
    </reviewItem>
    <reviewItem>
      <errorID>f12f74d0-3fa6-43d9-b5e5-09bcdbb83466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4E000BE7</paraID>
      <start>46</start>
      <end>47</end>
      <status>ignored</status>
      <modifiedWord/>
      <trackRevisions>false</trackRevisions>
    </reviewItem>
    <reviewItem>
      <errorID>7c6f2944-57e1-44fd-b8ad-fedcd2d6f316</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75D0420E</paraID>
      <start>74</start>
      <end>75</end>
      <status>ignored</status>
      <modifiedWord/>
      <trackRevisions>false</trackRevisions>
    </reviewItem>
    <reviewItem>
      <errorID>e5f3b660-dd42-4bca-bdf9-bec7dce623c0</errorID>
      <errorWord>》、《</errorWord>
      <group>L1_Punc</group>
      <groupName>标点问题</groupName>
      <ability>L2_Punc_CN</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2A7A7B3E</paraID>
      <start>16</start>
      <end>19</end>
      <status>ignored</status>
      <modifiedWord/>
      <trackRevisions>false</trackRevisions>
    </reviewItem>
    <reviewItem>
      <errorID>f8b58a0c-682d-44cd-a82d-5d02675a3aa9</errorID>
      <errorWord>-</errorWord>
      <group>L1_Format</group>
      <groupName>格式问题</groupName>
      <ability>L2_HalfPunc_CN</ability>
      <abilityName>全半角检查</abilityName>
      <candidateList>
        <item>－</item>
      </candidateList>
      <explain>文本全半角错误。</explain>
      <paraID>39DE9919</paraID>
      <start>17</start>
      <end>18</end>
      <status>ignored</status>
      <modifiedWord/>
      <trackRevisions>false</trackRevisions>
    </reviewItem>
    <reviewItem>
      <errorID>a745b4c7-63d8-4a06-bc5d-968d4d55ecc6</errorID>
      <errorWord>-</errorWord>
      <group>L1_Format</group>
      <groupName>格式问题</groupName>
      <ability>L2_HalfPunc_CN</ability>
      <abilityName>全半角检查</abilityName>
      <candidateList>
        <item>－</item>
      </candidateList>
      <explain>文本全半角错误。</explain>
      <paraID>1546AA4A</paraID>
      <start>22</start>
      <end>23</end>
      <status>ignored</status>
      <modifiedWord/>
      <trackRevisions>false</trackRevisions>
    </reviewItem>
    <reviewItem>
      <errorID>4a33f7d5-35cc-49c1-9282-700bb934a059</errorID>
      <errorWord>-</errorWord>
      <group>L1_Format</group>
      <groupName>格式问题</groupName>
      <ability>L2_HalfPunc_CN</ability>
      <abilityName>全半角检查</abilityName>
      <candidateList>
        <item>－</item>
      </candidateList>
      <explain>文本全半角错误。</explain>
      <paraID>4FAE8C0B</paraID>
      <start>42</start>
      <end>43</end>
      <status>ignored</status>
      <modifiedWord/>
      <trackRevisions>false</trackRevisions>
    </reviewItem>
    <reviewItem>
      <errorID>3eba0dd7-b669-46cf-b526-52cdecdb2d06</errorID>
      <errorWord>解释的</errorWord>
      <group>L1_Word</group>
      <groupName>字词问题</groupName>
      <ability>L2_Typo</ability>
      <abilityName>字词错误</abilityName>
      <candidateList>
        <item>解释</item>
      </candidateList>
      <explain/>
      <paraID>6F2A2333</paraID>
      <start>34</start>
      <end>37</end>
      <status>ignored</status>
      <modifiedWord/>
      <trackRevisions>false</trackRevisions>
    </reviewItem>
    <reviewItem>
      <errorID>7473e3c6-e833-44d4-986c-92a79bb7e485</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53BEF305</paraID>
      <start>49</start>
      <end>50</end>
      <status>unmodified</status>
      <modifiedWord/>
      <trackRevisions>false</trackRevisions>
    </reviewItem>
    <reviewItem>
      <errorID>24ede3cd-9be7-42dc-8170-65f0fcf0f190</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7477B63E</paraID>
      <start>49</start>
      <end>50</end>
      <status>unmodified</status>
      <modifiedWord/>
      <trackRevisions>false</trackRevisions>
    </reviewItem>
    <reviewItem>
      <errorID>2b8a97c7-b902-4172-bd24-4bed5764456e</errorID>
      <errorWord>〈</errorWord>
      <group>L1_Punc</group>
      <groupName>标点问题</groupName>
      <ability>L2_Punc_CN</ability>
      <abilityName>标点符号检查</abilityName>
      <candidateList/>
      <explain>此处标点可能未正确匹配，请检查句子中是否存在标点冗余、缺失或使用错误的情况。</explain>
      <paraID>41FAB762</paraID>
      <start>34</start>
      <end>35</end>
      <status>unmodified</status>
      <modifiedWord/>
      <trackRevisions>false</trackRevisions>
    </reviewItem>
    <reviewItem>
      <errorID>4478ef62-20de-4fa6-a26a-0db112f7dde3</errorID>
      <errorWord>法律、法规</errorWord>
      <group>L1_Word</group>
      <groupName>字词问题</groupName>
      <ability>L2_Typo</ability>
      <abilityName>字词错误</abilityName>
      <candidateList>
        <item>法律法规</item>
      </candidateList>
      <explain/>
      <paraID> 157C654</paraID>
      <start>2</start>
      <end>7</end>
      <status>unmodified</status>
      <modifiedWord/>
      <trackRevisions>false</trackRevisions>
    </reviewItem>
    <reviewItem>
      <errorID>9afc556a-c6d7-4d75-a3b5-a2cf222e42b6</errorID>
      <errorWord>-</errorWord>
      <group>L1_Format</group>
      <groupName>格式问题</groupName>
      <ability>L2_HalfPunc_CN</ability>
      <abilityName>全半角检查</abilityName>
      <candidateList>
        <item>－</item>
      </candidateList>
      <explain>文本全半角错误。</explain>
      <paraID>2C3B7CB8</paraID>
      <start>27</start>
      <end>28</end>
      <status>unmodified</status>
      <modifiedWord/>
      <trackRevisions>false</trackRevisions>
    </reviewItem>
    <reviewItem>
      <errorID>357896af-97b9-4492-969c-07b34b4ba2c1</errorID>
      <errorWord>-</errorWord>
      <group>L1_Punc</group>
      <groupName>标点问题</groupName>
      <ability>L2_Punc_CN</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7D220111</paraID>
      <start>245</start>
      <end>246</end>
      <status>unmodified</status>
      <modifiedWord/>
      <trackRevisions>false</trackRevisions>
    </reviewItem>
    <reviewItem>
      <errorID>3fe7e9c3-cfcc-4ae3-b8ed-144904c935fe</errorID>
      <errorWord>（</errorWord>
      <group>L1_Punc</group>
      <groupName>标点问题</groupName>
      <ability>L2_Punc_CN</ability>
      <abilityName>标点符号检查</abilityName>
      <candidateList/>
      <explain>同一形式括号套用。</explain>
      <paraID> E01D9A7</paraID>
      <start>8</start>
      <end>9</end>
      <status>unmodified</status>
      <modifiedWord/>
      <trackRevisions>false</trackRevisions>
    </reviewItem>
    <reviewItem>
      <errorID>555014f4-047d-475d-8443-87f8f397cb0c</errorID>
      <errorWord>）</errorWord>
      <group>L1_Punc</group>
      <groupName>标点问题</groupName>
      <ability>L2_Punc_CN</ability>
      <abilityName>标点符号检查</abilityName>
      <candidateList/>
      <explain>同一形式括号套用。</explain>
      <paraID> E01D9A7</paraID>
      <start>11</start>
      <end>12</end>
      <status>unmodified</status>
      <modifiedWord/>
      <trackRevisions>false</trackRevisions>
    </reviewItem>
    <reviewItem>
      <errorID>18c06bda-c65c-4b15-93cc-74a1b10461c8</errorID>
      <errorWord>法律、法规</errorWord>
      <group>L1_Word</group>
      <groupName>字词问题</groupName>
      <ability>L2_Typo</ability>
      <abilityName>字词错误</abilityName>
      <candidateList>
        <item>法律法规</item>
      </candidateList>
      <explain/>
      <paraID>38A41373</paraID>
      <start>88</start>
      <end>93</end>
      <status>unmodified</status>
      <modifiedWord/>
      <trackRevisions>false</trackRevisions>
    </reviewItem>
    <reviewItem>
      <errorID>35575e8e-dec2-4756-a05d-21e6df1629e1</errorID>
      <errorWord>、还</errorWord>
      <group>L1_Punc</group>
      <groupName>标点问题</groupName>
      <ability>L2_Punc_CN</ability>
      <abilityName>标点符号检查</abilityName>
      <candidateList>
        <item>，还</item>
      </candidateList>
      <explain>连接词前后不宜使用顿号，建议使用逗号。</explain>
      <paraID>2F9A3B2D</paraID>
      <start>54</start>
      <end>56</end>
      <status>unmodified</status>
      <modifiedWord/>
      <trackRevisions>false</trackRevisions>
    </reviewItem>
    <reviewItem>
      <errorID>1ff0f898-9d08-4565-a5a1-dbe0c1721212</errorID>
      <errorWord>万</errorWord>
      <group>L1_Word</group>
      <groupName>字词问题</groupName>
      <ability>L2_Typo</ability>
      <abilityName>字词错误</abilityName>
      <candidateList>
        <item>万元</item>
      </candidateList>
      <explain/>
      <paraID>445897CB</paraID>
      <start>41</start>
      <end>42</end>
      <status>unmodified</status>
      <modifiedWord/>
      <trackRevisions>false</trackRevisions>
    </reviewItem>
    <reviewItem>
      <errorID>f910be37-11b1-4eac-8848-c08aa43ae0ca</errorID>
      <errorWord>万</errorWord>
      <group>L1_Word</group>
      <groupName>字词问题</groupName>
      <ability>L2_Typo</ability>
      <abilityName>字词错误</abilityName>
      <candidateList>
        <item>万元</item>
      </candidateList>
      <explain/>
      <paraID> FBC4DDB</paraID>
      <start>93</start>
      <end>94</end>
      <status>unmodified</status>
      <modifiedWord/>
      <trackRevisions>false</trackRevisions>
    </reviewItem>
    <reviewItem>
      <errorID>1b202ca6-8250-4ae7-88b9-845c30f038e1</errorID>
      <errorWord>超</errorWord>
      <group>L1_Word</group>
      <groupName>字词问题</groupName>
      <ability>L2_Typo</ability>
      <abilityName>字词错误</abilityName>
      <candidateList>
        <item>超过</item>
      </candidateList>
      <explain/>
      <paraID>597D8F88</paraID>
      <start>35</start>
      <end>36</end>
      <status>unmodified</status>
      <modifiedWord/>
      <trackRevisions>false</trackRevisions>
    </reviewItem>
    <reviewItem>
      <errorID>6cb269ac-617e-4788-8535-f8f7c7de90d4</errorID>
      <errorWord>超</errorWord>
      <group>L1_Word</group>
      <groupName>字词问题</groupName>
      <ability>L2_Typo</ability>
      <abilityName>字词错误</abilityName>
      <candidateList>
        <item>超过</item>
      </candidateList>
      <explain/>
      <paraID>1273BB90</paraID>
      <start>16</start>
      <end>17</end>
      <status>unmodified</status>
      <modifiedWord/>
      <trackRevisions>false</trackRevisions>
    </reviewItem>
    <reviewItem>
      <errorID>c807980a-4328-4103-80de-29f53bdf3e1b</errorID>
      <errorWord>万</errorWord>
      <group>L1_Word</group>
      <groupName>字词问题</groupName>
      <ability>L2_Typo</ability>
      <abilityName>字词错误</abilityName>
      <candidateList>
        <item>万元</item>
      </candidateList>
      <explain/>
      <paraID>6ACBC113</paraID>
      <start>32</start>
      <end>33</end>
      <status>unmodified</status>
      <modifiedWord/>
      <trackRevisions>false</trackRevisions>
    </reviewItem>
    <reviewItem>
      <errorID>eaa7c09d-d7c3-47c2-b495-c91bb18ab89a</errorID>
      <errorWord>万</errorWord>
      <group>L1_Word</group>
      <groupName>字词问题</groupName>
      <ability>L2_Typo</ability>
      <abilityName>字词错误</abilityName>
      <candidateList>
        <item>万元</item>
      </candidateList>
      <explain/>
      <paraID>3F4447C4</paraID>
      <start>31</start>
      <end>32</end>
      <status>unmodified</status>
      <modifiedWord/>
      <trackRevisions>false</trackRevisions>
    </reviewItem>
    <reviewItem>
      <errorID>992183d4-e4b3-465c-adc6-7fded0b4d894</errorID>
      <errorWord>万</errorWord>
      <group>L1_Word</group>
      <groupName>字词问题</groupName>
      <ability>L2_Typo</ability>
      <abilityName>字词错误</abilityName>
      <candidateList>
        <item>万元</item>
      </candidateList>
      <explain/>
      <paraID>12E381C9</paraID>
      <start>32</start>
      <end>33</end>
      <status>unmodified</status>
      <modifiedWord/>
      <trackRevisions>false</trackRevisions>
    </reviewItem>
    <reviewItem>
      <errorID>9c9f5254-4d55-4b67-9ed3-2d7bded948c2</errorID>
      <errorWord>确须</errorWord>
      <group>L1_Word</group>
      <groupName>字词问题</groupName>
      <ability>L2_Typo</ability>
      <abilityName>字词错误</abilityName>
      <candidateList>
        <item>确需</item>
      </candidateList>
      <explain/>
      <paraID>41A7D89E</paraID>
      <start>24</start>
      <end>26</end>
      <status>unmodified</status>
      <modifiedWord/>
      <trackRevisions>false</trackRevisions>
    </reviewItem>
    <reviewItem>
      <errorID>8eb95809-4ddb-4f0c-9770-448427e05332</errorID>
      <errorWord>法律、法规</errorWord>
      <group>L1_Word</group>
      <groupName>字词问题</groupName>
      <ability>L2_Typo</ability>
      <abilityName>字词错误</abilityName>
      <candidateList>
        <item>法律法规</item>
      </candidateList>
      <explain/>
      <paraID>32F195AC</paraID>
      <start>40</start>
      <end>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d6a4fc-ce4e-45ef-a5e0-1135e1bc93e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16631</Words>
  <Characters>17604</Characters>
  <Lines>199</Lines>
  <Paragraphs>56</Paragraphs>
  <TotalTime>14</TotalTime>
  <ScaleCrop>false</ScaleCrop>
  <LinksUpToDate>false</LinksUpToDate>
  <CharactersWithSpaces>17726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2022-01-06T02:07:00Z</dcterms:created>
  <dc:creator>ape</dc:creator>
  <cp:lastModifiedBy>小朋友要去上学了</cp:lastModifiedBy>
  <cp:lastPrinted>2024-09-23T09:54:00Z</cp:lastPrinted>
  <dcterms:modified xsi:type="dcterms:W3CDTF">2026-06-03T03:42:26Z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E4A067B8F97D4958BF39E3966BC662A6_13</vt:lpwstr>
  </property>
  <property fmtid="{D5CDD505-2E9C-101B-9397-08002B2CF9AE}" pid="4" name="KSOTemplateDocerSaveRecord">
    <vt:lpwstr>eyJoZGlkIjoiOTVlZDNiNjc4N2Y5YzJiNWY0NjQxMTBmZmRlYWU5ZTMiLCJ1c2VySWQiOiI1MzgwNTcwNjcifQ==</vt:lpwstr>
  </property>
</Properties>
</file>