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126">
      <w:pPr>
        <w:rPr>
          <w:rFonts w:ascii="仿宋" w:hAnsi="仿宋" w:eastAsia="仿宋" w:cs="仿宋_GB2312"/>
          <w:color w:val="auto"/>
          <w:highlight w:val="none"/>
        </w:rPr>
      </w:pPr>
      <w:r>
        <w:rPr>
          <w:rFonts w:ascii="仿宋" w:hAnsi="仿宋" w:eastAsia="仿宋"/>
          <w:color w:val="auto"/>
          <w:highlight w:val="none"/>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46B9D754">
      <w:pPr>
        <w:rPr>
          <w:rFonts w:ascii="仿宋" w:hAnsi="仿宋" w:eastAsia="仿宋" w:cs="仿宋_GB2312"/>
          <w:color w:val="auto"/>
          <w:highlight w:val="none"/>
        </w:rPr>
      </w:pPr>
    </w:p>
    <w:p w14:paraId="7A945D03">
      <w:pPr>
        <w:jc w:val="center"/>
        <w:rPr>
          <w:rFonts w:ascii="仿宋" w:hAnsi="仿宋" w:eastAsia="仿宋"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仿宋" w:hAnsi="仿宋" w:eastAsia="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339090</wp:posOffset>
                </wp:positionV>
                <wp:extent cx="633984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3984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9D30">
                            <w:pPr>
                              <w:spacing w:line="360" w:lineRule="auto"/>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乌鲁木齐市天山区2026年老旧小区电梯更换项目</w:t>
                            </w:r>
                          </w:p>
                          <w:p w14:paraId="1E9CECCF">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ascii="微软雅黑" w:hAnsi="微软雅黑" w:eastAsia="微软雅黑" w:cs="微软雅黑"/>
                                <w:b/>
                                <w:bCs/>
                                <w:color w:val="237085"/>
                                <w:sz w:val="28"/>
                                <w:szCs w:val="28"/>
                                <w:highlight w:val="none"/>
                              </w:rPr>
                              <w:t>SJX-202</w:t>
                            </w:r>
                            <w:r>
                              <w:rPr>
                                <w:rFonts w:hint="eastAsia" w:ascii="微软雅黑" w:hAnsi="微软雅黑" w:eastAsia="微软雅黑" w:cs="微软雅黑"/>
                                <w:b/>
                                <w:bCs/>
                                <w:color w:val="237085"/>
                                <w:sz w:val="28"/>
                                <w:szCs w:val="28"/>
                                <w:highlight w:val="none"/>
                                <w:lang w:val="en-US" w:eastAsia="zh-CN"/>
                              </w:rPr>
                              <w:t>6</w:t>
                            </w:r>
                            <w:r>
                              <w:rPr>
                                <w:rFonts w:ascii="微软雅黑" w:hAnsi="微软雅黑" w:eastAsia="微软雅黑" w:cs="微软雅黑"/>
                                <w:b/>
                                <w:bCs/>
                                <w:color w:val="237085"/>
                                <w:sz w:val="28"/>
                                <w:szCs w:val="28"/>
                                <w:highlight w:val="none"/>
                              </w:rPr>
                              <w:t>-</w:t>
                            </w:r>
                            <w:r>
                              <w:rPr>
                                <w:rFonts w:hint="eastAsia" w:ascii="微软雅黑" w:hAnsi="微软雅黑" w:eastAsia="微软雅黑" w:cs="微软雅黑"/>
                                <w:b/>
                                <w:bCs/>
                                <w:color w:val="237085"/>
                                <w:sz w:val="28"/>
                                <w:szCs w:val="28"/>
                                <w:highlight w:val="none"/>
                                <w:lang w:val="en-US" w:eastAsia="zh-CN"/>
                              </w:rPr>
                              <w:t>401</w:t>
                            </w:r>
                            <w:r>
                              <w:rPr>
                                <w:rFonts w:hint="eastAsia" w:ascii="微软雅黑" w:hAnsi="微软雅黑" w:eastAsia="微软雅黑" w:cs="微软雅黑"/>
                                <w:b/>
                                <w:bCs/>
                                <w:color w:val="237085"/>
                                <w:sz w:val="28"/>
                                <w:szCs w:val="28"/>
                                <w:highlight w:val="non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6.7pt;height:127.2pt;width:499.2pt;z-index:251660288;mso-width-relative:page;mso-height-relative:page;" filled="f" stroked="f" coordsize="21600,21600" o:gfxdata="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BanbcAAAACgEAAA8AAAAAAAAAAQAgAAAAIgAAAGRy&#10;cy9kb3ducmV2LnhtbFBLAQIUABQAAAAIAIdO4kD84dPBOgIAAGcEAAAOAAAAAAAAAAEAIAAAACsB&#10;AABkcnMvZTJvRG9jLnhtbFBLBQYAAAAABgAGAFkBAADXBQAAAAA=&#10;">
                <v:fill on="f" focussize="0,0"/>
                <v:stroke on="f" weight="0.5pt"/>
                <v:imagedata o:title=""/>
                <o:lock v:ext="edit" aspectratio="f"/>
                <v:textbox>
                  <w:txbxContent>
                    <w:p w14:paraId="49739D30">
                      <w:pPr>
                        <w:spacing w:line="360" w:lineRule="auto"/>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乌鲁木齐市天山区2026年老旧小区电梯更换项目</w:t>
                      </w:r>
                    </w:p>
                    <w:p w14:paraId="1E9CECCF">
                      <w:pPr>
                        <w:spacing w:line="360" w:lineRule="auto"/>
                        <w:jc w:val="center"/>
                        <w:rPr>
                          <w:rFonts w:ascii="微软雅黑" w:hAnsi="微软雅黑" w:eastAsia="微软雅黑" w:cs="微软雅黑"/>
                          <w:b/>
                          <w:bCs/>
                          <w:color w:val="237085"/>
                          <w:sz w:val="28"/>
                          <w:szCs w:val="28"/>
                          <w:highlight w:val="none"/>
                        </w:rPr>
                      </w:pPr>
                      <w:r>
                        <w:rPr>
                          <w:rFonts w:hint="eastAsia" w:ascii="微软雅黑" w:hAnsi="微软雅黑" w:eastAsia="微软雅黑" w:cs="微软雅黑"/>
                          <w:b/>
                          <w:bCs/>
                          <w:color w:val="237085"/>
                          <w:sz w:val="28"/>
                          <w:szCs w:val="28"/>
                          <w:highlight w:val="none"/>
                        </w:rPr>
                        <w:t>（项目编号：</w:t>
                      </w:r>
                      <w:r>
                        <w:rPr>
                          <w:rFonts w:ascii="微软雅黑" w:hAnsi="微软雅黑" w:eastAsia="微软雅黑" w:cs="微软雅黑"/>
                          <w:b/>
                          <w:bCs/>
                          <w:color w:val="237085"/>
                          <w:sz w:val="28"/>
                          <w:szCs w:val="28"/>
                          <w:highlight w:val="none"/>
                        </w:rPr>
                        <w:t>SJX-202</w:t>
                      </w:r>
                      <w:r>
                        <w:rPr>
                          <w:rFonts w:hint="eastAsia" w:ascii="微软雅黑" w:hAnsi="微软雅黑" w:eastAsia="微软雅黑" w:cs="微软雅黑"/>
                          <w:b/>
                          <w:bCs/>
                          <w:color w:val="237085"/>
                          <w:sz w:val="28"/>
                          <w:szCs w:val="28"/>
                          <w:highlight w:val="none"/>
                          <w:lang w:val="en-US" w:eastAsia="zh-CN"/>
                        </w:rPr>
                        <w:t>6</w:t>
                      </w:r>
                      <w:r>
                        <w:rPr>
                          <w:rFonts w:ascii="微软雅黑" w:hAnsi="微软雅黑" w:eastAsia="微软雅黑" w:cs="微软雅黑"/>
                          <w:b/>
                          <w:bCs/>
                          <w:color w:val="237085"/>
                          <w:sz w:val="28"/>
                          <w:szCs w:val="28"/>
                          <w:highlight w:val="none"/>
                        </w:rPr>
                        <w:t>-</w:t>
                      </w:r>
                      <w:r>
                        <w:rPr>
                          <w:rFonts w:hint="eastAsia" w:ascii="微软雅黑" w:hAnsi="微软雅黑" w:eastAsia="微软雅黑" w:cs="微软雅黑"/>
                          <w:b/>
                          <w:bCs/>
                          <w:color w:val="237085"/>
                          <w:sz w:val="28"/>
                          <w:szCs w:val="28"/>
                          <w:highlight w:val="none"/>
                          <w:lang w:val="en-US" w:eastAsia="zh-CN"/>
                        </w:rPr>
                        <w:t>401</w:t>
                      </w:r>
                      <w:r>
                        <w:rPr>
                          <w:rFonts w:hint="eastAsia" w:ascii="微软雅黑" w:hAnsi="微软雅黑" w:eastAsia="微软雅黑" w:cs="微软雅黑"/>
                          <w:b/>
                          <w:bCs/>
                          <w:color w:val="237085"/>
                          <w:sz w:val="28"/>
                          <w:szCs w:val="28"/>
                          <w:highlight w:val="none"/>
                        </w:rPr>
                        <w:t>）</w:t>
                      </w:r>
                    </w:p>
                  </w:txbxContent>
                </v:textbox>
              </v:shape>
            </w:pict>
          </mc:Fallback>
        </mc:AlternateContent>
      </w:r>
      <w:r>
        <w:rPr>
          <w:rFonts w:ascii="仿宋" w:hAnsi="仿宋" w:eastAsia="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EADA">
                            <w:pPr>
                              <w:pStyle w:val="27"/>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13BEADA">
                      <w:pPr>
                        <w:pStyle w:val="27"/>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62071">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乌鲁木齐市天山区建设局（盖章）</w:t>
                            </w:r>
                          </w:p>
                          <w:p w14:paraId="4700D619">
                            <w:pPr>
                              <w:jc w:val="left"/>
                              <w:rPr>
                                <w:rFonts w:ascii="微软雅黑" w:hAnsi="微软雅黑" w:eastAsia="微软雅黑" w:cs="微软雅黑"/>
                                <w:b/>
                                <w:bCs/>
                                <w:color w:val="237085"/>
                                <w:sz w:val="32"/>
                                <w:szCs w:val="32"/>
                              </w:rPr>
                            </w:pPr>
                          </w:p>
                          <w:p w14:paraId="605C720A">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54665C80">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28962071">
                      <w:pPr>
                        <w:jc w:val="left"/>
                      </w:pPr>
                      <w:r>
                        <w:rPr>
                          <w:rFonts w:hint="eastAsia" w:ascii="微软雅黑" w:hAnsi="微软雅黑" w:eastAsia="微软雅黑" w:cs="微软雅黑"/>
                          <w:b/>
                          <w:bCs/>
                          <w:color w:val="237085"/>
                          <w:sz w:val="32"/>
                          <w:szCs w:val="32"/>
                        </w:rPr>
                        <w:t>采购人：</w:t>
                      </w:r>
                      <w:r>
                        <w:rPr>
                          <w:rFonts w:hint="eastAsia" w:ascii="微软雅黑" w:hAnsi="微软雅黑" w:eastAsia="微软雅黑" w:cs="微软雅黑"/>
                          <w:b/>
                          <w:bCs/>
                          <w:color w:val="237085"/>
                          <w:sz w:val="32"/>
                          <w:szCs w:val="32"/>
                          <w:lang w:val="en-US" w:eastAsia="zh-CN"/>
                        </w:rPr>
                        <w:t>乌鲁木齐市天山区建设局（盖章）</w:t>
                      </w:r>
                    </w:p>
                    <w:p w14:paraId="4700D619">
                      <w:pPr>
                        <w:jc w:val="left"/>
                        <w:rPr>
                          <w:rFonts w:ascii="微软雅黑" w:hAnsi="微软雅黑" w:eastAsia="微软雅黑" w:cs="微软雅黑"/>
                          <w:b/>
                          <w:bCs/>
                          <w:color w:val="237085"/>
                          <w:sz w:val="32"/>
                          <w:szCs w:val="32"/>
                        </w:rPr>
                      </w:pPr>
                    </w:p>
                    <w:p w14:paraId="605C720A">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54665C80">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月</w:t>
                      </w:r>
                    </w:p>
                  </w:txbxContent>
                </v:textbox>
              </v:shape>
            </w:pict>
          </mc:Fallback>
        </mc:AlternateContent>
      </w:r>
    </w:p>
    <w:p w14:paraId="7A6E5FAE">
      <w:pPr>
        <w:jc w:val="center"/>
        <w:rPr>
          <w:rFonts w:ascii="仿宋" w:hAnsi="仿宋" w:eastAsia="仿宋" w:cs="仿宋_GB2312"/>
          <w:color w:val="auto"/>
          <w:sz w:val="32"/>
          <w:szCs w:val="32"/>
          <w:highlight w:val="none"/>
        </w:rPr>
      </w:pPr>
    </w:p>
    <w:tbl>
      <w:tblPr>
        <w:tblStyle w:val="28"/>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color w:val="auto"/>
                <w:sz w:val="32"/>
                <w:szCs w:val="32"/>
                <w:highlight w:val="none"/>
              </w:rPr>
            </w:pPr>
            <w:r>
              <w:rPr>
                <w:rFonts w:hint="eastAsia" w:ascii="仿宋" w:hAnsi="仿宋" w:eastAsia="仿宋" w:cs="仿宋_GB2312"/>
                <w:color w:val="auto"/>
                <w:sz w:val="32"/>
                <w:szCs w:val="32"/>
                <w:highlight w:val="none"/>
              </w:rPr>
              <w:br w:type="page"/>
            </w:r>
          </w:p>
          <w:p w14:paraId="0D4A9932">
            <w:pPr>
              <w:spacing w:line="360" w:lineRule="auto"/>
              <w:ind w:right="31" w:rightChars="15"/>
              <w:jc w:val="center"/>
              <w:rPr>
                <w:rFonts w:ascii="仿宋" w:hAnsi="仿宋" w:eastAsia="仿宋" w:cs="Arial"/>
                <w:b/>
                <w:bCs/>
                <w:color w:val="auto"/>
                <w:sz w:val="32"/>
                <w:szCs w:val="32"/>
                <w:highlight w:val="none"/>
              </w:rPr>
            </w:pPr>
          </w:p>
          <w:p w14:paraId="3E1513FF">
            <w:pPr>
              <w:spacing w:line="360" w:lineRule="auto"/>
              <w:ind w:right="31" w:rightChars="15"/>
              <w:jc w:val="center"/>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招标文件确认表</w:t>
            </w:r>
          </w:p>
          <w:p w14:paraId="0583ADC9">
            <w:pPr>
              <w:spacing w:line="360" w:lineRule="auto"/>
              <w:ind w:firstLine="720" w:firstLineChars="300"/>
              <w:rPr>
                <w:rFonts w:ascii="仿宋" w:hAnsi="仿宋" w:eastAsia="仿宋" w:cs="Arial"/>
                <w:color w:val="auto"/>
                <w:sz w:val="24"/>
                <w:highlight w:val="none"/>
              </w:rPr>
            </w:pPr>
          </w:p>
          <w:p w14:paraId="41EDC2F2">
            <w:pPr>
              <w:spacing w:line="360" w:lineRule="auto"/>
              <w:rPr>
                <w:rFonts w:ascii="仿宋" w:hAnsi="仿宋" w:eastAsia="仿宋" w:cs="Arial"/>
                <w:color w:val="auto"/>
                <w:sz w:val="28"/>
                <w:szCs w:val="28"/>
                <w:highlight w:val="none"/>
              </w:rPr>
            </w:pPr>
            <w:r>
              <w:rPr>
                <w:rFonts w:hint="eastAsia" w:ascii="仿宋" w:hAnsi="仿宋" w:eastAsia="仿宋" w:cs="Arial"/>
                <w:color w:val="auto"/>
                <w:sz w:val="28"/>
                <w:szCs w:val="28"/>
                <w:highlight w:val="none"/>
              </w:rPr>
              <w:t>新疆世纪星工程咨询有限公司：</w:t>
            </w:r>
          </w:p>
          <w:p w14:paraId="4C349E74">
            <w:pPr>
              <w:spacing w:line="360" w:lineRule="auto"/>
              <w:ind w:firstLine="840" w:firstLineChars="300"/>
              <w:rPr>
                <w:rFonts w:ascii="仿宋" w:hAnsi="仿宋" w:eastAsia="仿宋" w:cs="Arial"/>
                <w:color w:val="auto"/>
                <w:sz w:val="28"/>
                <w:szCs w:val="28"/>
                <w:highlight w:val="none"/>
              </w:rPr>
            </w:pPr>
            <w:r>
              <w:rPr>
                <w:rFonts w:hint="eastAsia" w:ascii="仿宋" w:hAnsi="仿宋" w:eastAsia="仿宋" w:cs="Arial"/>
                <w:color w:val="auto"/>
                <w:sz w:val="28"/>
                <w:szCs w:val="28"/>
                <w:highlight w:val="none"/>
                <w:u w:val="single"/>
                <w:lang w:eastAsia="zh-CN"/>
              </w:rPr>
              <w:t>乌鲁木齐市天山区2026年老旧小区电梯更换项目</w:t>
            </w:r>
            <w:r>
              <w:rPr>
                <w:rFonts w:hint="eastAsia" w:ascii="仿宋" w:hAnsi="仿宋" w:eastAsia="仿宋" w:cs="Arial"/>
                <w:color w:val="auto"/>
                <w:sz w:val="28"/>
                <w:szCs w:val="28"/>
                <w:highlight w:val="none"/>
                <w:u w:val="single"/>
              </w:rPr>
              <w:t>（项目编号：</w:t>
            </w:r>
            <w:r>
              <w:rPr>
                <w:rFonts w:hint="eastAsia" w:ascii="仿宋" w:hAnsi="仿宋" w:eastAsia="仿宋" w:cs="Arial"/>
                <w:color w:val="auto"/>
                <w:sz w:val="28"/>
                <w:szCs w:val="28"/>
                <w:highlight w:val="none"/>
                <w:u w:val="single"/>
                <w:lang w:eastAsia="zh-CN"/>
              </w:rPr>
              <w:t>SJX-202</w:t>
            </w:r>
            <w:r>
              <w:rPr>
                <w:rFonts w:hint="eastAsia" w:ascii="仿宋" w:hAnsi="仿宋" w:eastAsia="仿宋" w:cs="Arial"/>
                <w:color w:val="auto"/>
                <w:sz w:val="28"/>
                <w:szCs w:val="28"/>
                <w:highlight w:val="none"/>
                <w:u w:val="single"/>
                <w:lang w:val="en-US" w:eastAsia="zh-CN"/>
              </w:rPr>
              <w:t>6</w:t>
            </w:r>
            <w:r>
              <w:rPr>
                <w:rFonts w:hint="eastAsia" w:ascii="仿宋" w:hAnsi="仿宋" w:eastAsia="仿宋" w:cs="Arial"/>
                <w:color w:val="auto"/>
                <w:sz w:val="28"/>
                <w:szCs w:val="28"/>
                <w:highlight w:val="none"/>
                <w:u w:val="single"/>
                <w:lang w:eastAsia="zh-CN"/>
              </w:rPr>
              <w:t>-</w:t>
            </w:r>
            <w:r>
              <w:rPr>
                <w:rFonts w:hint="eastAsia" w:ascii="仿宋" w:hAnsi="仿宋" w:eastAsia="仿宋" w:cs="Arial"/>
                <w:color w:val="auto"/>
                <w:sz w:val="28"/>
                <w:szCs w:val="28"/>
                <w:highlight w:val="none"/>
                <w:u w:val="single"/>
                <w:lang w:val="en-US" w:eastAsia="zh-CN"/>
              </w:rPr>
              <w:t>401</w:t>
            </w:r>
            <w:r>
              <w:rPr>
                <w:rFonts w:hint="eastAsia" w:ascii="仿宋" w:hAnsi="仿宋" w:eastAsia="仿宋" w:cs="Arial"/>
                <w:color w:val="auto"/>
                <w:sz w:val="28"/>
                <w:szCs w:val="28"/>
                <w:highlight w:val="none"/>
                <w:u w:val="single"/>
              </w:rPr>
              <w:t>）</w:t>
            </w:r>
            <w:r>
              <w:rPr>
                <w:rFonts w:hint="eastAsia" w:ascii="仿宋" w:hAnsi="仿宋" w:eastAsia="仿宋" w:cs="Arial"/>
                <w:color w:val="auto"/>
                <w:sz w:val="28"/>
                <w:szCs w:val="28"/>
                <w:highlight w:val="none"/>
              </w:rPr>
              <w:t>招标文件，经我单位审核符合我单位提出的招标要求，同意对外发布。</w:t>
            </w:r>
          </w:p>
          <w:p w14:paraId="52DC1209">
            <w:pPr>
              <w:spacing w:line="360" w:lineRule="auto"/>
              <w:rPr>
                <w:rFonts w:ascii="仿宋" w:hAnsi="仿宋" w:eastAsia="仿宋" w:cs="Arial"/>
                <w:color w:val="auto"/>
                <w:sz w:val="28"/>
                <w:szCs w:val="28"/>
                <w:highlight w:val="none"/>
              </w:rPr>
            </w:pPr>
          </w:p>
          <w:p w14:paraId="6B1A6A7B">
            <w:pPr>
              <w:spacing w:line="360" w:lineRule="auto"/>
              <w:ind w:right="240"/>
              <w:rPr>
                <w:rFonts w:ascii="仿宋" w:hAnsi="仿宋" w:eastAsia="仿宋" w:cs="Arial"/>
                <w:color w:val="auto"/>
                <w:sz w:val="28"/>
                <w:szCs w:val="28"/>
                <w:highlight w:val="none"/>
              </w:rPr>
            </w:pPr>
          </w:p>
          <w:p w14:paraId="54F51F08">
            <w:pPr>
              <w:spacing w:line="360" w:lineRule="auto"/>
              <w:ind w:right="240"/>
              <w:rPr>
                <w:rFonts w:ascii="仿宋" w:hAnsi="仿宋" w:eastAsia="仿宋" w:cs="Arial"/>
                <w:color w:val="auto"/>
                <w:sz w:val="28"/>
                <w:szCs w:val="28"/>
                <w:highlight w:val="none"/>
              </w:rPr>
            </w:pPr>
          </w:p>
          <w:p w14:paraId="65E18056">
            <w:pPr>
              <w:spacing w:line="360" w:lineRule="auto"/>
              <w:ind w:right="840"/>
              <w:rPr>
                <w:rFonts w:ascii="仿宋" w:hAnsi="仿宋" w:eastAsia="仿宋" w:cs="Arial"/>
                <w:color w:val="auto"/>
                <w:sz w:val="28"/>
                <w:szCs w:val="28"/>
                <w:highlight w:val="none"/>
              </w:rPr>
            </w:pPr>
            <w:r>
              <w:rPr>
                <w:rFonts w:hint="eastAsia" w:ascii="仿宋" w:hAnsi="仿宋" w:eastAsia="仿宋" w:cs="Times New Roman"/>
                <w:color w:val="auto"/>
                <w:sz w:val="28"/>
                <w:szCs w:val="28"/>
                <w:highlight w:val="none"/>
              </w:rPr>
              <w:t xml:space="preserve">                               采购人</w:t>
            </w:r>
            <w:r>
              <w:rPr>
                <w:rFonts w:hint="eastAsia" w:ascii="仿宋" w:hAnsi="仿宋" w:eastAsia="仿宋" w:cs="Arial"/>
                <w:color w:val="auto"/>
                <w:sz w:val="28"/>
                <w:szCs w:val="28"/>
                <w:highlight w:val="none"/>
              </w:rPr>
              <w:t>（盖章）</w:t>
            </w:r>
            <w:r>
              <w:rPr>
                <w:rFonts w:hint="eastAsia" w:ascii="仿宋" w:hAnsi="仿宋" w:eastAsia="仿宋" w:cs="Times New Roman"/>
                <w:color w:val="auto"/>
                <w:sz w:val="28"/>
                <w:szCs w:val="28"/>
                <w:highlight w:val="none"/>
              </w:rPr>
              <w:t xml:space="preserve">：  </w:t>
            </w:r>
          </w:p>
          <w:p w14:paraId="1D1414A0">
            <w:pPr>
              <w:spacing w:line="360" w:lineRule="auto"/>
              <w:ind w:right="960"/>
              <w:rPr>
                <w:rFonts w:ascii="仿宋" w:hAnsi="仿宋" w:eastAsia="仿宋" w:cs="Times New Roman"/>
                <w:b/>
                <w:color w:val="auto"/>
                <w:sz w:val="40"/>
                <w:szCs w:val="32"/>
                <w:highlight w:val="none"/>
              </w:rPr>
            </w:pPr>
            <w:r>
              <w:rPr>
                <w:rFonts w:hint="eastAsia" w:ascii="仿宋" w:hAnsi="仿宋" w:eastAsia="仿宋" w:cs="Arial"/>
                <w:color w:val="auto"/>
                <w:sz w:val="28"/>
                <w:szCs w:val="28"/>
                <w:highlight w:val="none"/>
              </w:rPr>
              <w:t xml:space="preserve">                               </w:t>
            </w:r>
            <w:r>
              <w:rPr>
                <w:rFonts w:hint="eastAsia" w:ascii="仿宋" w:hAnsi="仿宋" w:eastAsia="仿宋" w:cs="Arial"/>
                <w:color w:val="auto"/>
                <w:sz w:val="28"/>
                <w:szCs w:val="28"/>
                <w:highlight w:val="none"/>
                <w:lang w:val="en-US" w:eastAsia="zh-CN"/>
              </w:rPr>
              <w:t>2026</w:t>
            </w:r>
            <w:r>
              <w:rPr>
                <w:rFonts w:hint="eastAsia" w:ascii="仿宋" w:hAnsi="仿宋" w:eastAsia="仿宋" w:cs="Arial"/>
                <w:color w:val="auto"/>
                <w:sz w:val="28"/>
                <w:szCs w:val="28"/>
                <w:highlight w:val="none"/>
              </w:rPr>
              <w:t>年</w:t>
            </w:r>
            <w:r>
              <w:rPr>
                <w:rFonts w:hint="eastAsia" w:ascii="仿宋" w:hAnsi="仿宋" w:eastAsia="仿宋" w:cs="Arial"/>
                <w:color w:val="auto"/>
                <w:sz w:val="28"/>
                <w:szCs w:val="28"/>
                <w:highlight w:val="none"/>
                <w:lang w:val="en-US" w:eastAsia="zh-CN"/>
              </w:rPr>
              <w:t>6</w:t>
            </w:r>
            <w:r>
              <w:rPr>
                <w:rFonts w:hint="eastAsia" w:ascii="仿宋" w:hAnsi="仿宋" w:eastAsia="仿宋" w:cs="Arial"/>
                <w:color w:val="auto"/>
                <w:sz w:val="28"/>
                <w:szCs w:val="28"/>
                <w:highlight w:val="none"/>
              </w:rPr>
              <w:t>月</w:t>
            </w:r>
            <w:r>
              <w:rPr>
                <w:rFonts w:hint="eastAsia" w:ascii="仿宋" w:hAnsi="仿宋" w:eastAsia="仿宋" w:cs="Arial"/>
                <w:color w:val="auto"/>
                <w:sz w:val="28"/>
                <w:szCs w:val="28"/>
                <w:highlight w:val="none"/>
                <w:lang w:val="en-US" w:eastAsia="zh-CN"/>
              </w:rPr>
              <w:t>05</w:t>
            </w:r>
            <w:r>
              <w:rPr>
                <w:rFonts w:hint="eastAsia" w:ascii="仿宋" w:hAnsi="仿宋" w:eastAsia="仿宋" w:cs="Arial"/>
                <w:color w:val="auto"/>
                <w:sz w:val="28"/>
                <w:szCs w:val="28"/>
                <w:highlight w:val="none"/>
              </w:rPr>
              <w:t>日</w:t>
            </w:r>
          </w:p>
        </w:tc>
      </w:tr>
    </w:tbl>
    <w:p w14:paraId="301545D2">
      <w:pPr>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br w:type="page"/>
      </w:r>
    </w:p>
    <w:p w14:paraId="32E8CF28">
      <w:pPr>
        <w:jc w:val="center"/>
        <w:rPr>
          <w:rFonts w:ascii="仿宋" w:hAnsi="仿宋" w:eastAsia="仿宋" w:cs="仿宋_GB2312"/>
          <w:b/>
          <w:bCs/>
          <w:color w:val="auto"/>
          <w:sz w:val="32"/>
          <w:szCs w:val="32"/>
          <w:highlight w:val="none"/>
        </w:rPr>
      </w:pPr>
      <w:r>
        <w:rPr>
          <w:rFonts w:hint="eastAsia" w:ascii="仿宋" w:hAnsi="仿宋" w:eastAsia="仿宋" w:cs="仿宋_GB2312"/>
          <w:b/>
          <w:bCs/>
          <w:color w:val="auto"/>
          <w:sz w:val="32"/>
          <w:szCs w:val="32"/>
          <w:highlight w:val="none"/>
        </w:rPr>
        <w:t>目  录</w:t>
      </w:r>
    </w:p>
    <w:sdt>
      <w:sdtPr>
        <w:rPr>
          <w:rFonts w:ascii="仿宋" w:hAnsi="仿宋" w:eastAsia="仿宋"/>
          <w:color w:val="auto"/>
          <w:highlight w:val="none"/>
        </w:rPr>
        <w:id w:val="147457632"/>
        <w15:color w:val="DBDBDB"/>
        <w:docPartObj>
          <w:docPartGallery w:val="Table of Contents"/>
          <w:docPartUnique/>
        </w:docPartObj>
      </w:sdtPr>
      <w:sdtEndPr>
        <w:rPr>
          <w:rFonts w:hint="eastAsia" w:ascii="仿宋" w:hAnsi="仿宋" w:eastAsia="仿宋" w:cs="仿宋_GB2312"/>
          <w:b/>
          <w:color w:val="auto"/>
          <w:szCs w:val="32"/>
          <w:highlight w:val="none"/>
        </w:rPr>
      </w:sdtEndPr>
      <w:sdtContent>
        <w:p w14:paraId="1354D1C1">
          <w:pPr>
            <w:rPr>
              <w:rFonts w:hint="eastAsia" w:ascii="仿宋" w:hAnsi="仿宋" w:eastAsia="仿宋" w:cs="仿宋_GB2312"/>
              <w:b/>
              <w:color w:val="auto"/>
              <w:kern w:val="2"/>
              <w:sz w:val="21"/>
              <w:szCs w:val="32"/>
              <w:highlight w:val="none"/>
              <w:lang w:val="en-US" w:eastAsia="zh-CN" w:bidi="ar-SA"/>
            </w:rPr>
          </w:pPr>
          <w:r>
            <w:rPr>
              <w:rFonts w:hint="eastAsia" w:ascii="仿宋" w:hAnsi="仿宋" w:eastAsia="仿宋" w:cs="仿宋_GB2312"/>
              <w:color w:val="auto"/>
              <w:sz w:val="32"/>
              <w:szCs w:val="32"/>
              <w:highlight w:val="none"/>
            </w:rPr>
            <w:fldChar w:fldCharType="begin"/>
          </w:r>
          <w:r>
            <w:rPr>
              <w:rFonts w:hint="eastAsia" w:ascii="仿宋" w:hAnsi="仿宋" w:eastAsia="仿宋" w:cs="仿宋_GB2312"/>
              <w:color w:val="auto"/>
              <w:sz w:val="32"/>
              <w:szCs w:val="32"/>
              <w:highlight w:val="none"/>
            </w:rPr>
            <w:instrText xml:space="preserve">TOC \o "1-2" \h \u </w:instrText>
          </w:r>
          <w:r>
            <w:rPr>
              <w:rFonts w:hint="eastAsia" w:ascii="仿宋" w:hAnsi="仿宋" w:eastAsia="仿宋" w:cs="仿宋_GB2312"/>
              <w:color w:val="auto"/>
              <w:sz w:val="32"/>
              <w:szCs w:val="32"/>
              <w:highlight w:val="none"/>
            </w:rPr>
            <w:fldChar w:fldCharType="separate"/>
          </w:r>
        </w:p>
        <w:p w14:paraId="784B3FB3">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_Toc16892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第一章 公开招标公告</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_Toc16892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43E37D83">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_Toc4796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第二章 投标须知前附表</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_Toc4796 \h </w:instrText>
          </w:r>
          <w:r>
            <w:rPr>
              <w:b/>
              <w:bCs/>
              <w:color w:val="auto"/>
              <w:sz w:val="28"/>
              <w:szCs w:val="28"/>
              <w:highlight w:val="none"/>
            </w:rPr>
            <w:fldChar w:fldCharType="separate"/>
          </w:r>
          <w:r>
            <w:rPr>
              <w:b/>
              <w:bCs/>
              <w:color w:val="auto"/>
              <w:sz w:val="28"/>
              <w:szCs w:val="28"/>
              <w:highlight w:val="none"/>
            </w:rPr>
            <w:t>8</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792EC47E">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_Toc12072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 xml:space="preserve">第三章 </w:t>
          </w:r>
          <w:r>
            <w:rPr>
              <w:rFonts w:hint="eastAsia" w:ascii="仿宋" w:hAnsi="仿宋" w:eastAsia="仿宋" w:cs="仿宋_GB2312"/>
              <w:b/>
              <w:bCs/>
              <w:color w:val="auto"/>
              <w:sz w:val="28"/>
              <w:szCs w:val="28"/>
              <w:highlight w:val="none"/>
              <w:lang w:val="en-US" w:eastAsia="zh-CN"/>
            </w:rPr>
            <w:t>投标人</w:t>
          </w:r>
          <w:r>
            <w:rPr>
              <w:rFonts w:hint="eastAsia" w:ascii="仿宋" w:hAnsi="仿宋" w:eastAsia="仿宋" w:cs="仿宋_GB2312"/>
              <w:b/>
              <w:bCs/>
              <w:color w:val="auto"/>
              <w:sz w:val="28"/>
              <w:szCs w:val="28"/>
              <w:highlight w:val="none"/>
            </w:rPr>
            <w:t>须知</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_Toc12072 \h </w:instrText>
          </w:r>
          <w:r>
            <w:rPr>
              <w:b/>
              <w:bCs/>
              <w:color w:val="auto"/>
              <w:sz w:val="28"/>
              <w:szCs w:val="28"/>
              <w:highlight w:val="none"/>
            </w:rPr>
            <w:fldChar w:fldCharType="separate"/>
          </w:r>
          <w:r>
            <w:rPr>
              <w:b/>
              <w:bCs/>
              <w:color w:val="auto"/>
              <w:sz w:val="28"/>
              <w:szCs w:val="28"/>
              <w:highlight w:val="none"/>
            </w:rPr>
            <w:t>18</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288CECCB">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_Toc20234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第四章 政府采购合同</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_Toc20234 \h </w:instrText>
          </w:r>
          <w:r>
            <w:rPr>
              <w:b/>
              <w:bCs/>
              <w:color w:val="auto"/>
              <w:sz w:val="28"/>
              <w:szCs w:val="28"/>
              <w:highlight w:val="none"/>
            </w:rPr>
            <w:fldChar w:fldCharType="separate"/>
          </w:r>
          <w:r>
            <w:rPr>
              <w:b/>
              <w:bCs/>
              <w:color w:val="auto"/>
              <w:sz w:val="28"/>
              <w:szCs w:val="28"/>
              <w:highlight w:val="none"/>
            </w:rPr>
            <w:t>39</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73E6D9A4">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_Toc28683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第五章 采购需求</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_Toc28683 \h </w:instrText>
          </w:r>
          <w:r>
            <w:rPr>
              <w:b/>
              <w:bCs/>
              <w:color w:val="auto"/>
              <w:sz w:val="28"/>
              <w:szCs w:val="28"/>
              <w:highlight w:val="none"/>
            </w:rPr>
            <w:fldChar w:fldCharType="separate"/>
          </w:r>
          <w:r>
            <w:rPr>
              <w:b/>
              <w:bCs/>
              <w:color w:val="auto"/>
              <w:sz w:val="28"/>
              <w:szCs w:val="28"/>
              <w:highlight w:val="none"/>
            </w:rPr>
            <w:t>51</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41E154A0">
          <w:pPr>
            <w:pStyle w:val="21"/>
            <w:tabs>
              <w:tab w:val="right" w:leader="dot" w:pos="8306"/>
            </w:tabs>
            <w:rPr>
              <w:b/>
              <w:bCs/>
              <w:color w:val="auto"/>
              <w:sz w:val="28"/>
              <w:szCs w:val="28"/>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_Toc12889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第六章 评标程序、评标方法和评标标准</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_Toc12889 \h </w:instrText>
          </w:r>
          <w:r>
            <w:rPr>
              <w:b/>
              <w:bCs/>
              <w:color w:val="auto"/>
              <w:sz w:val="28"/>
              <w:szCs w:val="28"/>
              <w:highlight w:val="none"/>
            </w:rPr>
            <w:fldChar w:fldCharType="separate"/>
          </w:r>
          <w:r>
            <w:rPr>
              <w:b/>
              <w:bCs/>
              <w:color w:val="auto"/>
              <w:sz w:val="28"/>
              <w:szCs w:val="28"/>
              <w:highlight w:val="none"/>
            </w:rPr>
            <w:t>66</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7169CB6A">
          <w:pPr>
            <w:pStyle w:val="21"/>
            <w:tabs>
              <w:tab w:val="right" w:leader="dot" w:pos="8306"/>
            </w:tabs>
            <w:rPr>
              <w:color w:val="auto"/>
              <w:highlight w:val="none"/>
            </w:rPr>
          </w:pPr>
          <w:r>
            <w:rPr>
              <w:rFonts w:hint="eastAsia" w:ascii="仿宋" w:hAnsi="仿宋" w:eastAsia="仿宋" w:cs="仿宋_GB2312"/>
              <w:b/>
              <w:bCs/>
              <w:color w:val="auto"/>
              <w:sz w:val="28"/>
              <w:szCs w:val="28"/>
              <w:highlight w:val="none"/>
            </w:rPr>
            <w:fldChar w:fldCharType="begin"/>
          </w:r>
          <w:r>
            <w:rPr>
              <w:rFonts w:hint="eastAsia" w:ascii="仿宋" w:hAnsi="仿宋" w:eastAsia="仿宋" w:cs="仿宋_GB2312"/>
              <w:b/>
              <w:bCs/>
              <w:color w:val="auto"/>
              <w:sz w:val="28"/>
              <w:szCs w:val="28"/>
              <w:highlight w:val="none"/>
            </w:rPr>
            <w:instrText xml:space="preserve"> HYPERLINK \l _Toc16309 </w:instrText>
          </w:r>
          <w:r>
            <w:rPr>
              <w:rFonts w:hint="eastAsia" w:ascii="仿宋" w:hAnsi="仿宋" w:eastAsia="仿宋" w:cs="仿宋_GB2312"/>
              <w:b/>
              <w:bCs/>
              <w:color w:val="auto"/>
              <w:sz w:val="28"/>
              <w:szCs w:val="28"/>
              <w:highlight w:val="none"/>
            </w:rPr>
            <w:fldChar w:fldCharType="separate"/>
          </w:r>
          <w:r>
            <w:rPr>
              <w:rFonts w:hint="eastAsia" w:ascii="仿宋" w:hAnsi="仿宋" w:eastAsia="仿宋" w:cs="仿宋_GB2312"/>
              <w:b/>
              <w:bCs/>
              <w:color w:val="auto"/>
              <w:sz w:val="28"/>
              <w:szCs w:val="28"/>
              <w:highlight w:val="none"/>
            </w:rPr>
            <w:t>第七章 投标文件格式</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_Toc16309 \h </w:instrText>
          </w:r>
          <w:r>
            <w:rPr>
              <w:b/>
              <w:bCs/>
              <w:color w:val="auto"/>
              <w:sz w:val="28"/>
              <w:szCs w:val="28"/>
              <w:highlight w:val="none"/>
            </w:rPr>
            <w:fldChar w:fldCharType="separate"/>
          </w:r>
          <w:r>
            <w:rPr>
              <w:b/>
              <w:bCs/>
              <w:color w:val="auto"/>
              <w:sz w:val="28"/>
              <w:szCs w:val="28"/>
              <w:highlight w:val="none"/>
            </w:rPr>
            <w:t>83</w:t>
          </w:r>
          <w:r>
            <w:rPr>
              <w:b/>
              <w:bCs/>
              <w:color w:val="auto"/>
              <w:sz w:val="28"/>
              <w:szCs w:val="28"/>
              <w:highlight w:val="none"/>
            </w:rPr>
            <w:fldChar w:fldCharType="end"/>
          </w:r>
          <w:r>
            <w:rPr>
              <w:rFonts w:hint="eastAsia" w:ascii="仿宋" w:hAnsi="仿宋" w:eastAsia="仿宋" w:cs="仿宋_GB2312"/>
              <w:b/>
              <w:bCs/>
              <w:color w:val="auto"/>
              <w:sz w:val="28"/>
              <w:szCs w:val="28"/>
              <w:highlight w:val="none"/>
            </w:rPr>
            <w:fldChar w:fldCharType="end"/>
          </w:r>
        </w:p>
        <w:p w14:paraId="0EECEA92">
          <w:pPr>
            <w:jc w:val="center"/>
            <w:rPr>
              <w:rFonts w:ascii="仿宋" w:hAnsi="仿宋" w:eastAsia="仿宋" w:cs="仿宋_GB2312"/>
              <w:color w:val="auto"/>
              <w:sz w:val="32"/>
              <w:szCs w:val="32"/>
              <w:highlight w:val="none"/>
            </w:rPr>
          </w:pPr>
          <w:r>
            <w:rPr>
              <w:rFonts w:hint="eastAsia" w:ascii="仿宋" w:hAnsi="仿宋" w:eastAsia="仿宋" w:cs="仿宋_GB2312"/>
              <w:b/>
              <w:color w:val="auto"/>
              <w:szCs w:val="32"/>
              <w:highlight w:val="none"/>
            </w:rPr>
            <w:fldChar w:fldCharType="end"/>
          </w:r>
        </w:p>
      </w:sdtContent>
    </w:sdt>
    <w:p w14:paraId="30CCAB94">
      <w:pPr>
        <w:pStyle w:val="2"/>
        <w:numPr>
          <w:ilvl w:val="0"/>
          <w:numId w:val="1"/>
        </w:numPr>
        <w:jc w:val="center"/>
        <w:rPr>
          <w:rFonts w:ascii="仿宋" w:hAnsi="仿宋" w:eastAsia="仿宋" w:cs="仿宋_GB2312"/>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D53E28">
      <w:pPr>
        <w:pStyle w:val="2"/>
        <w:numPr>
          <w:ilvl w:val="0"/>
          <w:numId w:val="1"/>
        </w:numPr>
        <w:jc w:val="center"/>
        <w:rPr>
          <w:rFonts w:ascii="仿宋" w:hAnsi="仿宋" w:eastAsia="仿宋" w:cs="仿宋_GB2312"/>
          <w:color w:val="auto"/>
          <w:sz w:val="32"/>
          <w:szCs w:val="32"/>
          <w:highlight w:val="none"/>
        </w:rPr>
      </w:pPr>
      <w:bookmarkStart w:id="0" w:name="_Toc16892"/>
      <w:r>
        <w:rPr>
          <w:rFonts w:hint="eastAsia" w:ascii="仿宋" w:hAnsi="仿宋" w:eastAsia="仿宋" w:cs="仿宋_GB2312"/>
          <w:color w:val="auto"/>
          <w:sz w:val="32"/>
          <w:szCs w:val="32"/>
          <w:highlight w:val="none"/>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color w:val="auto"/>
          <w:sz w:val="32"/>
          <w:szCs w:val="32"/>
          <w:highlight w:val="none"/>
        </w:rPr>
      </w:pPr>
      <w:r>
        <w:rPr>
          <w:rFonts w:hint="eastAsia" w:ascii="仿宋" w:hAnsi="仿宋" w:eastAsia="仿宋" w:cs="微软雅黑"/>
          <w:color w:val="auto"/>
          <w:sz w:val="24"/>
          <w:highlight w:val="none"/>
          <w:u w:val="single"/>
          <w:lang w:val="en-US" w:eastAsia="zh-CN"/>
        </w:rPr>
        <w:t>乌鲁木齐市天山区2026年老旧小区电梯更换项目</w:t>
      </w:r>
      <w:r>
        <w:rPr>
          <w:rFonts w:hint="eastAsia" w:ascii="仿宋" w:hAnsi="仿宋" w:eastAsia="仿宋" w:cs="仿宋"/>
          <w:i w:val="0"/>
          <w:iCs w:val="0"/>
          <w:caps w:val="0"/>
          <w:color w:val="auto"/>
          <w:spacing w:val="0"/>
          <w:sz w:val="24"/>
          <w:szCs w:val="24"/>
          <w:highlight w:val="none"/>
        </w:rPr>
        <w:t>招标项目的潜在投标人应在政采云平台http://www.zcygov.cn/获取招标文件，并于</w:t>
      </w:r>
      <w:r>
        <w:rPr>
          <w:rFonts w:hint="eastAsia" w:ascii="仿宋" w:hAnsi="仿宋" w:eastAsia="仿宋" w:cs="仿宋"/>
          <w:color w:val="auto"/>
          <w:sz w:val="24"/>
          <w:szCs w:val="24"/>
          <w:highlight w:val="none"/>
          <w:lang w:eastAsia="zh-CN"/>
        </w:rPr>
        <w:t>2026年06月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lang w:eastAsia="zh-CN"/>
        </w:rPr>
        <w:t>日</w:t>
      </w:r>
      <w:r>
        <w:rPr>
          <w:rFonts w:hint="eastAsia" w:ascii="仿宋" w:hAnsi="仿宋" w:eastAsia="仿宋" w:cs="仿宋"/>
          <w:i w:val="0"/>
          <w:iCs w:val="0"/>
          <w:caps w:val="0"/>
          <w:color w:val="auto"/>
          <w:spacing w:val="0"/>
          <w:sz w:val="24"/>
          <w:szCs w:val="24"/>
          <w:highlight w:val="none"/>
          <w:lang w:val="en-US" w:eastAsia="zh-CN"/>
        </w:rPr>
        <w:t>11时00分</w:t>
      </w:r>
      <w:r>
        <w:rPr>
          <w:rFonts w:hint="eastAsia" w:ascii="仿宋" w:hAnsi="仿宋" w:eastAsia="仿宋" w:cs="仿宋"/>
          <w:i w:val="0"/>
          <w:iCs w:val="0"/>
          <w:caps w:val="0"/>
          <w:color w:val="auto"/>
          <w:spacing w:val="0"/>
          <w:sz w:val="24"/>
          <w:szCs w:val="24"/>
          <w:highlight w:val="none"/>
        </w:rPr>
        <w:t>（北京时间）前递交投标文件。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1" w:name="_Toc22991"/>
      <w:bookmarkStart w:id="2" w:name="_Toc21739"/>
      <w:r>
        <w:rPr>
          <w:rFonts w:hint="eastAsia" w:ascii="仿宋" w:hAnsi="仿宋" w:eastAsia="仿宋" w:cs="仿宋_GB2312"/>
          <w:b/>
          <w:bCs/>
          <w:color w:val="auto"/>
          <w:sz w:val="24"/>
          <w:highlight w:val="none"/>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___WRD_EMBED_SUB_41"/>
          <w:color w:val="auto"/>
          <w:sz w:val="24"/>
          <w:highlight w:val="none"/>
          <w:lang w:val="en-US" w:eastAsia="zh-CN"/>
        </w:rPr>
      </w:pPr>
      <w:r>
        <w:rPr>
          <w:rFonts w:hint="eastAsia" w:ascii="仿宋" w:hAnsi="仿宋" w:eastAsia="仿宋" w:cs="___WRD_EMBED_SUB_41"/>
          <w:color w:val="auto"/>
          <w:sz w:val="24"/>
          <w:highlight w:val="none"/>
        </w:rPr>
        <w:t>项目编号：</w:t>
      </w:r>
      <w:r>
        <w:rPr>
          <w:rFonts w:hint="eastAsia" w:ascii="仿宋" w:hAnsi="仿宋" w:eastAsia="仿宋" w:cs="___WRD_EMBED_SUB_41"/>
          <w:color w:val="auto"/>
          <w:sz w:val="24"/>
          <w:highlight w:val="none"/>
          <w:lang w:eastAsia="zh-CN"/>
        </w:rPr>
        <w:t>SJX-202</w:t>
      </w:r>
      <w:r>
        <w:rPr>
          <w:rFonts w:hint="eastAsia" w:ascii="仿宋" w:hAnsi="仿宋" w:eastAsia="仿宋" w:cs="___WRD_EMBED_SUB_41"/>
          <w:color w:val="auto"/>
          <w:sz w:val="24"/>
          <w:highlight w:val="none"/>
          <w:lang w:val="en-US" w:eastAsia="zh-CN"/>
        </w:rPr>
        <w:t>6</w:t>
      </w:r>
      <w:r>
        <w:rPr>
          <w:rFonts w:hint="eastAsia" w:ascii="仿宋" w:hAnsi="仿宋" w:eastAsia="仿宋" w:cs="___WRD_EMBED_SUB_41"/>
          <w:color w:val="auto"/>
          <w:sz w:val="24"/>
          <w:highlight w:val="none"/>
          <w:lang w:eastAsia="zh-CN"/>
        </w:rPr>
        <w:t>-</w:t>
      </w:r>
      <w:r>
        <w:rPr>
          <w:rFonts w:hint="eastAsia" w:ascii="仿宋" w:hAnsi="仿宋" w:eastAsia="仿宋" w:cs="___WRD_EMBED_SUB_41"/>
          <w:color w:val="auto"/>
          <w:sz w:val="24"/>
          <w:highlight w:val="none"/>
          <w:lang w:val="en-US" w:eastAsia="zh-CN"/>
        </w:rPr>
        <w:t>401</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项目名称：</w:t>
      </w:r>
      <w:r>
        <w:rPr>
          <w:rFonts w:hint="eastAsia" w:ascii="仿宋" w:hAnsi="仿宋" w:eastAsia="仿宋" w:cs="仿宋_GB2312"/>
          <w:color w:val="auto"/>
          <w:sz w:val="24"/>
          <w:highlight w:val="none"/>
          <w:lang w:val="en-US" w:eastAsia="zh-CN"/>
        </w:rPr>
        <w:t>乌鲁木齐市天山区2026年老旧小区电梯更换项目</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预算金额（元）：</w:t>
      </w:r>
      <w:r>
        <w:rPr>
          <w:rFonts w:hint="eastAsia" w:ascii="仿宋" w:hAnsi="仿宋" w:eastAsia="仿宋" w:cs="仿宋_GB2312"/>
          <w:color w:val="auto"/>
          <w:sz w:val="24"/>
          <w:highlight w:val="none"/>
          <w:lang w:val="en-US" w:eastAsia="zh-CN"/>
        </w:rPr>
        <w:t>31017640.00</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最高限价（元）：</w:t>
      </w:r>
      <w:r>
        <w:rPr>
          <w:rFonts w:hint="eastAsia" w:ascii="仿宋" w:hAnsi="仿宋" w:eastAsia="仿宋" w:cs="仿宋_GB2312"/>
          <w:color w:val="auto"/>
          <w:sz w:val="24"/>
          <w:highlight w:val="none"/>
          <w:lang w:eastAsia="zh-CN"/>
        </w:rPr>
        <w:t>标项一：</w:t>
      </w:r>
      <w:r>
        <w:rPr>
          <w:rFonts w:hint="eastAsia" w:ascii="仿宋" w:hAnsi="仿宋" w:eastAsia="仿宋" w:cs="仿宋_GB2312"/>
          <w:color w:val="auto"/>
          <w:sz w:val="24"/>
          <w:highlight w:val="none"/>
          <w:lang w:val="en-US" w:eastAsia="zh-CN"/>
        </w:rPr>
        <w:t>16137350.00</w:t>
      </w:r>
      <w:r>
        <w:rPr>
          <w:rFonts w:hint="eastAsia" w:ascii="仿宋" w:hAnsi="仿宋" w:eastAsia="仿宋" w:cs="仿宋_GB2312"/>
          <w:color w:val="auto"/>
          <w:sz w:val="24"/>
          <w:highlight w:val="none"/>
          <w:lang w:eastAsia="zh-CN"/>
        </w:rPr>
        <w:t>；标项二：</w:t>
      </w:r>
      <w:r>
        <w:rPr>
          <w:rFonts w:hint="eastAsia" w:ascii="仿宋" w:hAnsi="仿宋" w:eastAsia="仿宋" w:cs="仿宋_GB2312"/>
          <w:color w:val="auto"/>
          <w:sz w:val="24"/>
          <w:highlight w:val="none"/>
          <w:lang w:val="en-US" w:eastAsia="zh-CN"/>
        </w:rPr>
        <w:t>14880290.00</w:t>
      </w:r>
      <w:r>
        <w:rPr>
          <w:rFonts w:hint="eastAsia" w:ascii="仿宋" w:hAnsi="仿宋" w:eastAsia="仿宋" w:cs="仿宋_GB2312"/>
          <w:color w:val="auto"/>
          <w:sz w:val="24"/>
          <w:highlight w:val="none"/>
          <w:lang w:eastAsia="zh-CN"/>
        </w:rPr>
        <w:t>。</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color w:val="auto"/>
          <w:sz w:val="24"/>
          <w:highlight w:val="none"/>
        </w:rPr>
      </w:pPr>
      <w:r>
        <w:rPr>
          <w:rFonts w:hint="eastAsia" w:ascii="仿宋" w:hAnsi="仿宋" w:eastAsia="仿宋" w:cs="仿宋_GB2312"/>
          <w:color w:val="auto"/>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color w:val="auto"/>
          <w:sz w:val="24"/>
          <w:highlight w:val="none"/>
        </w:rPr>
      </w:pPr>
      <w:r>
        <w:rPr>
          <w:rFonts w:hint="eastAsia" w:ascii="仿宋" w:hAnsi="仿宋" w:eastAsia="仿宋" w:cs="仿宋_GB2312"/>
          <w:b/>
          <w:bCs/>
          <w:color w:val="auto"/>
          <w:sz w:val="24"/>
          <w:highlight w:val="none"/>
          <w:lang w:val="en-US" w:eastAsia="zh-CN"/>
        </w:rPr>
        <w:t>标项一</w:t>
      </w:r>
      <w:r>
        <w:rPr>
          <w:rFonts w:hint="eastAsia" w:ascii="仿宋" w:hAnsi="仿宋" w:eastAsia="仿宋" w:cs="仿宋_GB2312"/>
          <w:color w:val="auto"/>
          <w:sz w:val="24"/>
          <w:highlight w:val="none"/>
        </w:rPr>
        <w:t xml:space="preserve"> </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标项名称:</w:t>
      </w:r>
      <w:r>
        <w:rPr>
          <w:rFonts w:hint="eastAsia" w:ascii="仿宋" w:hAnsi="仿宋" w:eastAsia="仿宋" w:cs="仿宋_GB2312"/>
          <w:color w:val="auto"/>
          <w:sz w:val="24"/>
          <w:highlight w:val="none"/>
          <w:lang w:val="en-US" w:eastAsia="zh-CN"/>
        </w:rPr>
        <w:t>乌鲁木齐市天山区2026年老旧小区电梯更换项目（一标段）</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数量:</w:t>
      </w:r>
      <w:r>
        <w:rPr>
          <w:rFonts w:hint="eastAsia" w:ascii="仿宋" w:hAnsi="仿宋" w:eastAsia="仿宋" w:cs="仿宋_GB2312"/>
          <w:color w:val="auto"/>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预算金额（元）:</w:t>
      </w:r>
      <w:r>
        <w:rPr>
          <w:rFonts w:hint="eastAsia" w:ascii="仿宋" w:hAnsi="仿宋" w:eastAsia="仿宋" w:cs="仿宋_GB2312"/>
          <w:color w:val="auto"/>
          <w:sz w:val="24"/>
          <w:highlight w:val="none"/>
          <w:lang w:eastAsia="zh-CN"/>
        </w:rPr>
        <w:t>16137350.00</w:t>
      </w:r>
    </w:p>
    <w:p w14:paraId="79576FBA">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lang w:val="en-US" w:eastAsia="zh-CN"/>
        </w:rPr>
      </w:pPr>
      <w:r>
        <w:rPr>
          <w:rFonts w:hint="eastAsia" w:ascii="仿宋" w:hAnsi="仿宋" w:eastAsia="仿宋" w:cs="仿宋_GB2312"/>
          <w:color w:val="auto"/>
          <w:sz w:val="24"/>
          <w:highlight w:val="none"/>
          <w:lang w:val="en-US" w:eastAsia="zh-CN"/>
        </w:rPr>
        <w:t>单位：项</w:t>
      </w:r>
    </w:p>
    <w:p w14:paraId="1D424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简要规格描述或项目基本概况介绍、用途：天山区北部核心区</w:t>
      </w:r>
      <w:r>
        <w:rPr>
          <w:rFonts w:hint="eastAsia" w:ascii="仿宋" w:hAnsi="仿宋" w:eastAsia="仿宋" w:cs="仿宋_GB2312"/>
          <w:color w:val="auto"/>
          <w:sz w:val="24"/>
          <w:highlight w:val="none"/>
          <w:lang w:eastAsia="zh-CN"/>
        </w:rPr>
        <w:t>和</w:t>
      </w:r>
      <w:r>
        <w:rPr>
          <w:rFonts w:hint="eastAsia" w:ascii="仿宋" w:hAnsi="仿宋" w:eastAsia="仿宋" w:cs="仿宋_GB2312"/>
          <w:color w:val="auto"/>
          <w:sz w:val="24"/>
          <w:highlight w:val="none"/>
        </w:rPr>
        <w:t>青年路及天山区东片区</w:t>
      </w:r>
      <w:r>
        <w:rPr>
          <w:rFonts w:hint="eastAsia" w:ascii="仿宋" w:hAnsi="仿宋" w:eastAsia="仿宋" w:cs="仿宋_GB2312"/>
          <w:color w:val="auto"/>
          <w:sz w:val="24"/>
          <w:highlight w:val="none"/>
          <w:lang w:val="en-US" w:eastAsia="zh-CN"/>
        </w:rPr>
        <w:t>98部老旧小区电梯更换</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具体</w:t>
      </w:r>
      <w:r>
        <w:rPr>
          <w:rFonts w:hint="eastAsia" w:ascii="仿宋" w:hAnsi="仿宋" w:eastAsia="仿宋" w:cs="宋体"/>
          <w:color w:val="auto"/>
          <w:sz w:val="24"/>
          <w:highlight w:val="none"/>
        </w:rPr>
        <w:t>详见招标文件采购需求。</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color w:val="auto"/>
          <w:sz w:val="24"/>
          <w:highlight w:val="none"/>
        </w:rPr>
        <w:t>合同履约期限：</w:t>
      </w:r>
      <w:r>
        <w:rPr>
          <w:rFonts w:hint="eastAsia" w:ascii="仿宋" w:hAnsi="仿宋" w:eastAsia="仿宋" w:cs="仿宋_GB2312"/>
          <w:color w:val="auto"/>
          <w:sz w:val="24"/>
          <w:highlight w:val="none"/>
          <w:lang w:eastAsia="zh-CN"/>
        </w:rPr>
        <w:t>自</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至质保期结束止</w:t>
      </w:r>
      <w:r>
        <w:rPr>
          <w:rFonts w:hint="eastAsia" w:ascii="仿宋" w:hAnsi="仿宋" w:eastAsia="仿宋" w:cs="仿宋"/>
          <w:color w:val="auto"/>
          <w:sz w:val="24"/>
          <w:szCs w:val="24"/>
          <w:highlight w:val="none"/>
        </w:rPr>
        <w:t>。其中</w:t>
      </w:r>
      <w:r>
        <w:rPr>
          <w:rFonts w:hint="eastAsia" w:ascii="仿宋" w:hAnsi="仿宋" w:eastAsia="仿宋" w:cs="仿宋"/>
          <w:color w:val="auto"/>
          <w:sz w:val="24"/>
          <w:szCs w:val="24"/>
          <w:highlight w:val="none"/>
          <w:lang w:eastAsia="zh-CN"/>
        </w:rPr>
        <w:t>电梯更换拆除、交货、安装调试并运行在合同签订后</w:t>
      </w:r>
      <w:r>
        <w:rPr>
          <w:rFonts w:hint="eastAsia" w:ascii="仿宋" w:hAnsi="仿宋" w:eastAsia="仿宋" w:cs="仿宋"/>
          <w:color w:val="auto"/>
          <w:sz w:val="24"/>
          <w:szCs w:val="24"/>
          <w:highlight w:val="none"/>
          <w:lang w:val="en-US" w:eastAsia="zh-CN"/>
        </w:rPr>
        <w:t>3个月内完成。</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本项目（否）接受联合体投标。</w:t>
      </w:r>
    </w:p>
    <w:p w14:paraId="31968B4A">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color w:val="auto"/>
          <w:sz w:val="24"/>
          <w:highlight w:val="none"/>
        </w:rPr>
      </w:pPr>
      <w:r>
        <w:rPr>
          <w:rFonts w:hint="eastAsia" w:ascii="仿宋" w:hAnsi="仿宋" w:eastAsia="仿宋" w:cs="仿宋_GB2312"/>
          <w:b/>
          <w:bCs/>
          <w:color w:val="auto"/>
          <w:sz w:val="24"/>
          <w:highlight w:val="none"/>
          <w:lang w:val="en-US" w:eastAsia="zh-CN"/>
        </w:rPr>
        <w:t>标项二</w:t>
      </w:r>
      <w:r>
        <w:rPr>
          <w:rFonts w:hint="eastAsia" w:ascii="仿宋" w:hAnsi="仿宋" w:eastAsia="仿宋" w:cs="仿宋_GB2312"/>
          <w:color w:val="auto"/>
          <w:sz w:val="24"/>
          <w:highlight w:val="none"/>
        </w:rPr>
        <w:t xml:space="preserve"> </w:t>
      </w:r>
    </w:p>
    <w:p w14:paraId="4448AD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标项名称:</w:t>
      </w:r>
      <w:r>
        <w:rPr>
          <w:rFonts w:hint="eastAsia" w:ascii="仿宋" w:hAnsi="仿宋" w:eastAsia="仿宋" w:cs="仿宋_GB2312"/>
          <w:color w:val="auto"/>
          <w:sz w:val="24"/>
          <w:highlight w:val="none"/>
          <w:lang w:val="en-US" w:eastAsia="zh-CN"/>
        </w:rPr>
        <w:t>乌鲁木齐市天山区2026年老旧小区电梯更换项目（二标段）</w:t>
      </w:r>
    </w:p>
    <w:p w14:paraId="70DE8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数量:</w:t>
      </w:r>
      <w:r>
        <w:rPr>
          <w:rFonts w:hint="eastAsia" w:ascii="仿宋" w:hAnsi="仿宋" w:eastAsia="仿宋" w:cs="仿宋_GB2312"/>
          <w:color w:val="auto"/>
          <w:sz w:val="24"/>
          <w:highlight w:val="none"/>
          <w:lang w:val="en-US" w:eastAsia="zh-CN"/>
        </w:rPr>
        <w:t>1</w:t>
      </w:r>
    </w:p>
    <w:p w14:paraId="5B3B8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预算金额（元）:</w:t>
      </w:r>
      <w:r>
        <w:rPr>
          <w:rFonts w:hint="eastAsia" w:ascii="仿宋" w:hAnsi="仿宋" w:eastAsia="仿宋" w:cs="仿宋_GB2312"/>
          <w:color w:val="auto"/>
          <w:sz w:val="24"/>
          <w:highlight w:val="none"/>
          <w:lang w:eastAsia="zh-CN"/>
        </w:rPr>
        <w:t>14880290.00</w:t>
      </w:r>
    </w:p>
    <w:p w14:paraId="53401EE7">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highlight w:val="none"/>
          <w:lang w:val="en-US" w:eastAsia="zh-CN"/>
        </w:rPr>
      </w:pPr>
      <w:r>
        <w:rPr>
          <w:rFonts w:hint="eastAsia" w:ascii="仿宋" w:hAnsi="仿宋" w:eastAsia="仿宋" w:cs="仿宋_GB2312"/>
          <w:color w:val="auto"/>
          <w:sz w:val="24"/>
          <w:highlight w:val="none"/>
          <w:lang w:val="en-US" w:eastAsia="zh-CN"/>
        </w:rPr>
        <w:t>单位：项</w:t>
      </w:r>
    </w:p>
    <w:p w14:paraId="728CAE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简要规格描述或项目基本概况介绍、用途：天山区南部片区及天山区中东部片区</w:t>
      </w:r>
      <w:r>
        <w:rPr>
          <w:rFonts w:hint="eastAsia" w:ascii="仿宋" w:hAnsi="仿宋" w:eastAsia="仿宋" w:cs="仿宋_GB2312"/>
          <w:color w:val="auto"/>
          <w:sz w:val="24"/>
          <w:highlight w:val="none"/>
          <w:lang w:val="en-US" w:eastAsia="zh-CN"/>
        </w:rPr>
        <w:t>92部老旧小区电梯更换</w:t>
      </w:r>
      <w:r>
        <w:rPr>
          <w:rFonts w:hint="eastAsia" w:ascii="仿宋" w:hAnsi="仿宋" w:eastAsia="仿宋" w:cs="宋体"/>
          <w:color w:val="auto"/>
          <w:sz w:val="24"/>
          <w:highlight w:val="none"/>
        </w:rPr>
        <w:t>。</w:t>
      </w:r>
      <w:r>
        <w:rPr>
          <w:rFonts w:hint="eastAsia" w:ascii="仿宋" w:hAnsi="仿宋" w:eastAsia="仿宋" w:cs="宋体"/>
          <w:color w:val="auto"/>
          <w:sz w:val="24"/>
          <w:highlight w:val="none"/>
          <w:lang w:val="en-US" w:eastAsia="zh-CN"/>
        </w:rPr>
        <w:t>具体</w:t>
      </w:r>
      <w:r>
        <w:rPr>
          <w:rFonts w:hint="eastAsia" w:ascii="仿宋" w:hAnsi="仿宋" w:eastAsia="仿宋" w:cs="宋体"/>
          <w:color w:val="auto"/>
          <w:sz w:val="24"/>
          <w:highlight w:val="none"/>
        </w:rPr>
        <w:t>详见招标文件采购需求。</w:t>
      </w:r>
    </w:p>
    <w:p w14:paraId="7C6B1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备注：/</w:t>
      </w:r>
    </w:p>
    <w:p w14:paraId="337892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color w:val="auto"/>
          <w:sz w:val="24"/>
          <w:highlight w:val="none"/>
        </w:rPr>
        <w:t>合同履约期限：</w:t>
      </w:r>
      <w:r>
        <w:rPr>
          <w:rFonts w:hint="eastAsia" w:ascii="仿宋" w:hAnsi="仿宋" w:eastAsia="仿宋" w:cs="仿宋_GB2312"/>
          <w:color w:val="auto"/>
          <w:sz w:val="24"/>
          <w:highlight w:val="none"/>
          <w:lang w:eastAsia="zh-CN"/>
        </w:rPr>
        <w:t>自</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至质保期结束止</w:t>
      </w:r>
      <w:r>
        <w:rPr>
          <w:rFonts w:hint="eastAsia" w:ascii="仿宋" w:hAnsi="仿宋" w:eastAsia="仿宋" w:cs="仿宋"/>
          <w:color w:val="auto"/>
          <w:sz w:val="24"/>
          <w:szCs w:val="24"/>
          <w:highlight w:val="none"/>
        </w:rPr>
        <w:t>。其中其中电梯更换拆除、交货、安装调试并运行在合同签订</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3个月内完成。</w:t>
      </w:r>
    </w:p>
    <w:p w14:paraId="6DB6FD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3" w:name="_Toc15364"/>
      <w:bookmarkStart w:id="4" w:name="_Toc21551"/>
      <w:r>
        <w:rPr>
          <w:rFonts w:hint="eastAsia" w:ascii="仿宋" w:hAnsi="仿宋" w:eastAsia="仿宋" w:cs="仿宋_GB2312"/>
          <w:b/>
          <w:bCs/>
          <w:color w:val="auto"/>
          <w:sz w:val="24"/>
          <w:highlight w:val="none"/>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1.满足《中华人民共和国政府采购法》第二十二条规定；</w:t>
      </w:r>
    </w:p>
    <w:p w14:paraId="4E98FE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i/>
          <w:iCs/>
          <w:color w:val="auto"/>
          <w:sz w:val="24"/>
          <w:szCs w:val="24"/>
          <w:highlight w:val="none"/>
          <w:lang w:val="en-US" w:eastAsia="zh-CN"/>
        </w:rPr>
      </w:pPr>
      <w:r>
        <w:rPr>
          <w:rFonts w:hint="eastAsia" w:ascii="仿宋" w:hAnsi="仿宋" w:eastAsia="仿宋" w:cs="仿宋_GB2312"/>
          <w:color w:val="auto"/>
          <w:sz w:val="24"/>
          <w:highlight w:val="none"/>
        </w:rPr>
        <w:t>2.落实政府采购政策需满足的资格要求：</w:t>
      </w:r>
    </w:p>
    <w:p w14:paraId="17A7CFCF">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标项一、标项二：</w:t>
      </w:r>
      <w:r>
        <w:rPr>
          <w:rFonts w:hint="eastAsia" w:ascii="仿宋" w:hAnsi="仿宋" w:eastAsia="仿宋" w:cs="仿宋"/>
          <w:color w:val="auto"/>
          <w:sz w:val="24"/>
          <w:highlight w:val="none"/>
          <w:lang w:val="en-US" w:eastAsia="zh-CN"/>
        </w:rPr>
        <w:t>本标项预留部分采购项目预算专门面向中小企业采购。对于预留份额，</w:t>
      </w:r>
      <w:r>
        <w:rPr>
          <w:rFonts w:hint="eastAsia" w:ascii="仿宋" w:hAnsi="仿宋" w:eastAsia="仿宋" w:cs="仿宋"/>
          <w:color w:val="auto"/>
          <w:sz w:val="24"/>
          <w:szCs w:val="24"/>
          <w:highlight w:val="none"/>
          <w:u w:val="none"/>
          <w:lang w:val="en-US" w:eastAsia="zh-CN"/>
        </w:rPr>
        <w:t>提供的货物由符合政策要求的中小企业或财库〔2014〕68号文规定的企业或残疾人福利性单位所制造</w:t>
      </w:r>
      <w:r>
        <w:rPr>
          <w:rFonts w:hint="eastAsia" w:ascii="仿宋" w:hAnsi="仿宋" w:eastAsia="仿宋" w:cs="仿宋"/>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val="en-US" w:eastAsia="zh-CN"/>
        </w:rPr>
        <w:t>或工程</w:t>
      </w:r>
      <w:r>
        <w:rPr>
          <w:rFonts w:hint="eastAsia" w:ascii="仿宋" w:hAnsi="仿宋" w:eastAsia="仿宋" w:cs="仿宋_GB2312"/>
          <w:color w:val="auto"/>
          <w:sz w:val="24"/>
          <w:highlight w:val="none"/>
        </w:rPr>
        <w:t>由符合政策要求的中小企业</w:t>
      </w:r>
      <w:r>
        <w:rPr>
          <w:rFonts w:hint="eastAsia" w:ascii="仿宋" w:hAnsi="仿宋" w:eastAsia="仿宋" w:cs="仿宋_GB2312"/>
          <w:color w:val="auto"/>
          <w:sz w:val="24"/>
          <w:highlight w:val="none"/>
          <w:lang w:val="en-US" w:eastAsia="zh-CN"/>
        </w:rPr>
        <w:t>或</w:t>
      </w:r>
      <w:r>
        <w:rPr>
          <w:rFonts w:hint="eastAsia" w:ascii="仿宋" w:hAnsi="仿宋" w:eastAsia="仿宋" w:cs="仿宋"/>
          <w:b w:val="0"/>
          <w:bCs w:val="0"/>
          <w:color w:val="auto"/>
          <w:sz w:val="24"/>
          <w:szCs w:val="24"/>
          <w:highlight w:val="none"/>
          <w:lang w:val="en-US" w:eastAsia="zh-CN"/>
        </w:rPr>
        <w:t>财库〔2014〕68号文规定的企业</w:t>
      </w:r>
      <w:r>
        <w:rPr>
          <w:rFonts w:hint="eastAsia" w:ascii="仿宋" w:hAnsi="仿宋" w:eastAsia="仿宋" w:cs="仿宋_GB2312"/>
          <w:color w:val="auto"/>
          <w:sz w:val="24"/>
          <w:highlight w:val="none"/>
          <w:lang w:val="en-US" w:eastAsia="zh-CN"/>
        </w:rPr>
        <w:t>或残疾人福利性单位承接；</w:t>
      </w:r>
      <w:r>
        <w:rPr>
          <w:rFonts w:hint="eastAsia" w:ascii="仿宋" w:hAnsi="仿宋" w:eastAsia="仿宋" w:cs="仿宋"/>
          <w:color w:val="auto"/>
          <w:sz w:val="24"/>
          <w:highlight w:val="none"/>
          <w:lang w:val="en-US" w:eastAsia="zh-CN"/>
        </w:rPr>
        <w:t>具体要求如下：由</w:t>
      </w:r>
      <w:r>
        <w:rPr>
          <w:rFonts w:hint="eastAsia" w:ascii="仿宋" w:hAnsi="仿宋" w:eastAsia="仿宋" w:cs="仿宋"/>
          <w:color w:val="auto"/>
          <w:sz w:val="24"/>
          <w:szCs w:val="24"/>
          <w:highlight w:val="none"/>
          <w:u w:val="none"/>
          <w:lang w:val="en-US" w:eastAsia="zh-CN"/>
        </w:rPr>
        <w:t>中小企业所制造的货物、中小企业所承接服务或工程任意一项或多项之和至少达到合同金额的30%，这其中预留小微企业所承担的比例不低于100%（即至少达本标项合同金额的30%）。如本项目（标项）允许分包，投标人自主选择是否分包，且中小企业承担金额达到上述比例，</w:t>
      </w:r>
      <w:r>
        <w:rPr>
          <w:rFonts w:hint="eastAsia" w:ascii="仿宋" w:hAnsi="仿宋" w:eastAsia="仿宋" w:cs="仿宋"/>
          <w:b/>
          <w:bCs/>
          <w:color w:val="auto"/>
          <w:sz w:val="24"/>
          <w:szCs w:val="24"/>
          <w:highlight w:val="none"/>
          <w:u w:val="none"/>
          <w:lang w:val="en-US" w:eastAsia="zh-CN"/>
        </w:rPr>
        <w:t>否则投标无效</w:t>
      </w:r>
      <w:r>
        <w:rPr>
          <w:rFonts w:hint="eastAsia" w:ascii="仿宋" w:hAnsi="仿宋" w:eastAsia="仿宋" w:cs="仿宋"/>
          <w:color w:val="auto"/>
          <w:sz w:val="24"/>
          <w:szCs w:val="24"/>
          <w:highlight w:val="none"/>
          <w:u w:val="none"/>
          <w:lang w:val="en-US" w:eastAsia="zh-CN"/>
        </w:rPr>
        <w:t>。</w:t>
      </w:r>
    </w:p>
    <w:p w14:paraId="2092E738">
      <w:pPr>
        <w:pStyle w:val="34"/>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3.本项目的特定资格要求：</w:t>
      </w:r>
    </w:p>
    <w:p w14:paraId="1379F2E7">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eastAsia="zh-CN"/>
        </w:rPr>
      </w:pPr>
      <w:bookmarkStart w:id="5" w:name="_Toc29084"/>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①供应商为投标货物经销商的，须具有有效的《中华人民共和国特种设备生产许可证》电梯安装（含修理）；②供应商为投标货物制造商的，须具有有效的《中华人民共和国特种设备生产许可证》电梯制造（含安装、修理、改造）。③若分包，分包供应商需具备有效的《中华人民共和国特种设备生产许可证》电梯安装（含修理）或《中华人民共和国特种设备生产许可证》电梯制造（含安装、修理、改造）。</w:t>
      </w:r>
    </w:p>
    <w:p w14:paraId="192F8729">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）单位负责人为同一人或者存在直接控股、管理关系的不同供应商，不得同时参加本采购项目（或采购包） 投标（响应）。</w:t>
      </w:r>
    </w:p>
    <w:p w14:paraId="579D15BF">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）为本项目提供整体设计、规范编制或者项目管理、监理、检测等服务的供应商，不得再参与本项目投标（响应）</w:t>
      </w:r>
      <w:r>
        <w:rPr>
          <w:rFonts w:hint="eastAsia" w:ascii="仿宋" w:hAnsi="仿宋" w:eastAsia="仿宋" w:cs="仿宋"/>
          <w:b w:val="0"/>
          <w:bCs w:val="0"/>
          <w:color w:val="auto"/>
          <w:sz w:val="24"/>
          <w:szCs w:val="24"/>
          <w:highlight w:val="none"/>
          <w:lang w:eastAsia="zh-CN"/>
        </w:rPr>
        <w:t>。</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6" w:name="_Toc564"/>
      <w:r>
        <w:rPr>
          <w:rFonts w:hint="eastAsia" w:ascii="仿宋" w:hAnsi="仿宋" w:eastAsia="仿宋" w:cs="仿宋_GB2312"/>
          <w:b/>
          <w:bCs/>
          <w:color w:val="auto"/>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lang w:eastAsia="zh-CN"/>
        </w:rPr>
        <w:t>日</w:t>
      </w:r>
      <w:r>
        <w:rPr>
          <w:rFonts w:hint="eastAsia" w:ascii="仿宋" w:hAnsi="仿宋" w:eastAsia="仿宋" w:cs="仿宋_GB2312"/>
          <w:color w:val="auto"/>
          <w:sz w:val="24"/>
          <w:highlight w:val="none"/>
        </w:rPr>
        <w:t>，每天上午00</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00</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至12</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00</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，下午12</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00</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至23</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59</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color w:val="auto"/>
          <w:sz w:val="24"/>
          <w:highlight w:val="none"/>
        </w:rPr>
        <w:t>地点：</w:t>
      </w:r>
      <w:r>
        <w:rPr>
          <w:rFonts w:hint="eastAsia" w:ascii="仿宋" w:hAnsi="仿宋" w:eastAsia="仿宋" w:cs="仿宋"/>
          <w:color w:val="auto"/>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7" w:name="_Toc24224"/>
      <w:bookmarkStart w:id="8" w:name="_Toc14502"/>
      <w:r>
        <w:rPr>
          <w:rFonts w:hint="eastAsia" w:ascii="仿宋" w:hAnsi="仿宋" w:eastAsia="仿宋" w:cs="仿宋_GB2312"/>
          <w:b/>
          <w:bCs/>
          <w:color w:val="auto"/>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提交投标文件截止时间：</w:t>
      </w:r>
      <w:r>
        <w:rPr>
          <w:rFonts w:hint="eastAsia" w:ascii="仿宋" w:hAnsi="仿宋" w:eastAsia="仿宋" w:cs="仿宋_GB2312"/>
          <w:color w:val="auto"/>
          <w:sz w:val="24"/>
          <w:highlight w:val="none"/>
          <w:lang w:eastAsia="zh-CN"/>
        </w:rPr>
        <w:t>2026年</w:t>
      </w:r>
      <w:r>
        <w:rPr>
          <w:rFonts w:hint="eastAsia" w:ascii="仿宋" w:hAnsi="仿宋" w:eastAsia="仿宋" w:cs="仿宋_GB2312"/>
          <w:color w:val="auto"/>
          <w:sz w:val="24"/>
          <w:highlight w:val="none"/>
          <w:lang w:val="en-US" w:eastAsia="zh-CN"/>
        </w:rPr>
        <w:t>06</w:t>
      </w:r>
      <w:r>
        <w:rPr>
          <w:rFonts w:hint="eastAsia" w:ascii="仿宋" w:hAnsi="仿宋" w:eastAsia="仿宋" w:cs="仿宋_GB2312"/>
          <w:color w:val="auto"/>
          <w:sz w:val="24"/>
          <w:highlight w:val="none"/>
          <w:lang w:eastAsia="zh-CN"/>
        </w:rPr>
        <w:t>月</w:t>
      </w:r>
      <w:r>
        <w:rPr>
          <w:rFonts w:hint="eastAsia" w:ascii="仿宋" w:hAnsi="仿宋" w:eastAsia="仿宋" w:cs="仿宋_GB2312"/>
          <w:color w:val="auto"/>
          <w:sz w:val="24"/>
          <w:highlight w:val="none"/>
          <w:lang w:val="en-US" w:eastAsia="zh-CN"/>
        </w:rPr>
        <w:t>26</w:t>
      </w:r>
      <w:r>
        <w:rPr>
          <w:rFonts w:hint="eastAsia" w:ascii="仿宋" w:hAnsi="仿宋" w:eastAsia="仿宋" w:cs="仿宋_GB2312"/>
          <w:color w:val="auto"/>
          <w:sz w:val="24"/>
          <w:highlight w:val="none"/>
          <w:lang w:eastAsia="zh-CN"/>
        </w:rPr>
        <w:t>日</w:t>
      </w:r>
      <w:r>
        <w:rPr>
          <w:rFonts w:hint="eastAsia" w:ascii="仿宋" w:hAnsi="仿宋" w:eastAsia="仿宋" w:cs="仿宋_GB2312"/>
          <w:color w:val="auto"/>
          <w:sz w:val="24"/>
          <w:highlight w:val="none"/>
        </w:rPr>
        <w:t>11</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00</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开标时间：</w:t>
      </w:r>
      <w:r>
        <w:rPr>
          <w:rFonts w:hint="eastAsia" w:ascii="仿宋" w:hAnsi="仿宋" w:eastAsia="仿宋" w:cs="仿宋_GB2312"/>
          <w:color w:val="auto"/>
          <w:sz w:val="24"/>
          <w:highlight w:val="none"/>
          <w:lang w:eastAsia="zh-CN"/>
        </w:rPr>
        <w:t>2026年</w:t>
      </w:r>
      <w:r>
        <w:rPr>
          <w:rFonts w:hint="eastAsia" w:ascii="仿宋" w:hAnsi="仿宋" w:eastAsia="仿宋" w:cs="仿宋_GB2312"/>
          <w:color w:val="auto"/>
          <w:sz w:val="24"/>
          <w:highlight w:val="none"/>
          <w:lang w:val="en-US" w:eastAsia="zh-CN"/>
        </w:rPr>
        <w:t>06</w:t>
      </w:r>
      <w:r>
        <w:rPr>
          <w:rFonts w:hint="eastAsia" w:ascii="仿宋" w:hAnsi="仿宋" w:eastAsia="仿宋" w:cs="仿宋_GB2312"/>
          <w:color w:val="auto"/>
          <w:sz w:val="24"/>
          <w:highlight w:val="none"/>
          <w:lang w:eastAsia="zh-CN"/>
        </w:rPr>
        <w:t>月</w:t>
      </w:r>
      <w:r>
        <w:rPr>
          <w:rFonts w:hint="eastAsia" w:ascii="仿宋" w:hAnsi="仿宋" w:eastAsia="仿宋" w:cs="仿宋_GB2312"/>
          <w:color w:val="auto"/>
          <w:sz w:val="24"/>
          <w:highlight w:val="none"/>
          <w:lang w:val="en-US" w:eastAsia="zh-CN"/>
        </w:rPr>
        <w:t>26</w:t>
      </w:r>
      <w:r>
        <w:rPr>
          <w:rFonts w:hint="eastAsia" w:ascii="仿宋" w:hAnsi="仿宋" w:eastAsia="仿宋" w:cs="仿宋_GB2312"/>
          <w:color w:val="auto"/>
          <w:sz w:val="24"/>
          <w:highlight w:val="none"/>
          <w:lang w:eastAsia="zh-CN"/>
        </w:rPr>
        <w:t>日</w:t>
      </w:r>
      <w:r>
        <w:rPr>
          <w:rFonts w:hint="eastAsia" w:ascii="仿宋" w:hAnsi="仿宋" w:eastAsia="仿宋" w:cs="仿宋_GB2312"/>
          <w:color w:val="auto"/>
          <w:sz w:val="24"/>
          <w:highlight w:val="none"/>
        </w:rPr>
        <w:t>11</w:t>
      </w:r>
      <w:r>
        <w:rPr>
          <w:rFonts w:hint="eastAsia" w:ascii="仿宋" w:hAnsi="仿宋" w:eastAsia="仿宋" w:cs="仿宋_GB2312"/>
          <w:color w:val="auto"/>
          <w:sz w:val="24"/>
          <w:highlight w:val="none"/>
          <w:lang w:eastAsia="zh-CN"/>
        </w:rPr>
        <w:t>时</w:t>
      </w:r>
      <w:r>
        <w:rPr>
          <w:rFonts w:hint="eastAsia" w:ascii="仿宋" w:hAnsi="仿宋" w:eastAsia="仿宋" w:cs="仿宋_GB2312"/>
          <w:color w:val="auto"/>
          <w:sz w:val="24"/>
          <w:highlight w:val="none"/>
        </w:rPr>
        <w:t>00</w:t>
      </w:r>
      <w:r>
        <w:rPr>
          <w:rFonts w:hint="eastAsia" w:ascii="仿宋" w:hAnsi="仿宋" w:eastAsia="仿宋" w:cs="仿宋_GB2312"/>
          <w:color w:val="auto"/>
          <w:sz w:val="24"/>
          <w:highlight w:val="none"/>
          <w:lang w:eastAsia="zh-CN"/>
        </w:rPr>
        <w:t>分</w:t>
      </w:r>
      <w:r>
        <w:rPr>
          <w:rFonts w:hint="eastAsia" w:ascii="仿宋" w:hAnsi="仿宋" w:eastAsia="仿宋" w:cs="仿宋_GB2312"/>
          <w:color w:val="auto"/>
          <w:sz w:val="24"/>
          <w:highlight w:val="none"/>
        </w:rPr>
        <w:t>（北京时间）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9" w:name="_Toc17115"/>
      <w:bookmarkStart w:id="10" w:name="_Toc19454"/>
      <w:r>
        <w:rPr>
          <w:rFonts w:hint="eastAsia" w:ascii="仿宋" w:hAnsi="仿宋" w:eastAsia="仿宋" w:cs="仿宋_GB2312"/>
          <w:b/>
          <w:bCs/>
          <w:color w:val="auto"/>
          <w:sz w:val="24"/>
          <w:highlight w:val="none"/>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11" w:name="_Toc22084"/>
      <w:bookmarkStart w:id="12" w:name="_Toc17752"/>
      <w:r>
        <w:rPr>
          <w:rFonts w:hint="eastAsia" w:ascii="仿宋" w:hAnsi="仿宋" w:eastAsia="仿宋" w:cs="仿宋_GB2312"/>
          <w:b/>
          <w:bCs/>
          <w:color w:val="auto"/>
          <w:sz w:val="24"/>
          <w:highlight w:val="none"/>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1、关于本项目所有公告、公示在新疆政府采购网发布。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2、请投标单位随时关注本项目的澄清、答疑、变更事项。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3、本项目实行电子招投标，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4、各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应在开标前确保成为</w:t>
      </w:r>
      <w:r>
        <w:rPr>
          <w:rFonts w:hint="eastAsia" w:ascii="仿宋" w:hAnsi="仿宋" w:eastAsia="仿宋" w:cs="仿宋_GB2312"/>
          <w:b w:val="0"/>
          <w:bCs w:val="0"/>
          <w:color w:val="auto"/>
          <w:sz w:val="24"/>
          <w:highlight w:val="none"/>
        </w:rPr>
        <w:t>新疆政府采购网</w:t>
      </w:r>
      <w:r>
        <w:rPr>
          <w:rFonts w:hint="eastAsia" w:ascii="仿宋" w:hAnsi="仿宋" w:eastAsia="仿宋" w:cs="仿宋_GB2312"/>
          <w:color w:val="auto"/>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自行承担。如需咨询，请联系新疆CA服务热线4000921999</w:t>
      </w:r>
      <w:r>
        <w:rPr>
          <w:rFonts w:hint="eastAsia" w:ascii="仿宋" w:hAnsi="仿宋" w:eastAsia="仿宋" w:cs="仿宋_GB2312"/>
          <w:color w:val="auto"/>
          <w:sz w:val="24"/>
          <w:highlight w:val="none"/>
          <w:lang w:eastAsia="zh-CN"/>
        </w:rPr>
        <w:t>。</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5、有意向参与电子开评标的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，可访问新疆数字证书认证中心官方网站（https://www.xjca.com.cn/）或下载“新疆政务通”APP自行进行申领。</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color w:val="auto"/>
          <w:sz w:val="24"/>
          <w:highlight w:val="none"/>
        </w:rPr>
      </w:pPr>
      <w:bookmarkStart w:id="13" w:name="_Toc30931"/>
      <w:bookmarkStart w:id="14" w:name="_Toc21999"/>
      <w:r>
        <w:rPr>
          <w:rFonts w:hint="eastAsia" w:ascii="仿宋" w:hAnsi="仿宋" w:eastAsia="仿宋" w:cs="仿宋_GB2312"/>
          <w:b/>
          <w:bCs/>
          <w:color w:val="auto"/>
          <w:sz w:val="24"/>
          <w:highlight w:val="none"/>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color w:val="auto"/>
          <w:sz w:val="24"/>
          <w:highlight w:val="none"/>
        </w:rPr>
      </w:pPr>
      <w:r>
        <w:rPr>
          <w:rFonts w:hint="eastAsia" w:ascii="仿宋" w:hAnsi="仿宋" w:eastAsia="仿宋" w:cs="仿宋_GB2312"/>
          <w:b w:val="0"/>
          <w:bCs w:val="0"/>
          <w:color w:val="auto"/>
          <w:sz w:val="24"/>
          <w:highlight w:val="none"/>
        </w:rPr>
        <w:t>1.采购人信息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名 称：乌鲁木齐市天山区建设局</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eastAsia="zh-CN"/>
        </w:rPr>
        <w:t>地 址：乌鲁木齐市天山区东环路186号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联系方式：18690160455</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color w:val="auto"/>
          <w:sz w:val="24"/>
          <w:highlight w:val="none"/>
        </w:rPr>
      </w:pPr>
      <w:r>
        <w:rPr>
          <w:rFonts w:hint="eastAsia" w:ascii="仿宋" w:hAnsi="仿宋" w:eastAsia="仿宋" w:cs="仿宋_GB2312"/>
          <w:b w:val="0"/>
          <w:bCs w:val="0"/>
          <w:color w:val="auto"/>
          <w:sz w:val="24"/>
          <w:highlight w:val="none"/>
        </w:rPr>
        <w:t>2.采购代理机构信息</w:t>
      </w:r>
    </w:p>
    <w:p w14:paraId="54C9E67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名 称：新疆世纪星工程咨询有限公司</w:t>
      </w:r>
    </w:p>
    <w:p w14:paraId="6BF993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地 址：乌鲁木齐经济技术开发区二期黄山街一品九点阳光德港大厦B座20楼</w:t>
      </w:r>
    </w:p>
    <w:p w14:paraId="230356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联系方式：13999295080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color w:val="auto"/>
          <w:sz w:val="24"/>
          <w:highlight w:val="none"/>
        </w:rPr>
      </w:pPr>
      <w:r>
        <w:rPr>
          <w:rFonts w:hint="eastAsia" w:ascii="仿宋" w:hAnsi="仿宋" w:eastAsia="仿宋" w:cs="仿宋_GB2312"/>
          <w:b w:val="0"/>
          <w:bCs w:val="0"/>
          <w:color w:val="auto"/>
          <w:sz w:val="24"/>
          <w:highlight w:val="none"/>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项目联系人：</w:t>
      </w:r>
      <w:r>
        <w:rPr>
          <w:rFonts w:hint="eastAsia" w:ascii="仿宋" w:hAnsi="仿宋" w:eastAsia="仿宋" w:cs="仿宋_GB2312"/>
          <w:color w:val="auto"/>
          <w:sz w:val="24"/>
          <w:highlight w:val="none"/>
          <w:lang w:eastAsia="zh-CN"/>
        </w:rPr>
        <w:t>李航、訾王贝、范燕娥、杜萍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rPr>
        <w:t>电话：</w:t>
      </w:r>
      <w:r>
        <w:rPr>
          <w:rFonts w:hint="eastAsia" w:ascii="仿宋" w:hAnsi="仿宋" w:eastAsia="仿宋" w:cs="仿宋_GB2312"/>
          <w:color w:val="auto"/>
          <w:sz w:val="24"/>
          <w:highlight w:val="none"/>
          <w:lang w:eastAsia="zh-CN"/>
        </w:rPr>
        <w:t>13999295080</w:t>
      </w:r>
    </w:p>
    <w:p w14:paraId="206A1B82">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color w:val="auto"/>
          <w:sz w:val="32"/>
          <w:szCs w:val="32"/>
          <w:highlight w:val="none"/>
        </w:rPr>
      </w:pPr>
      <w:bookmarkStart w:id="15" w:name="_Toc4796"/>
      <w:r>
        <w:rPr>
          <w:rFonts w:hint="eastAsia" w:ascii="仿宋" w:hAnsi="仿宋" w:eastAsia="仿宋" w:cs="仿宋_GB2312"/>
          <w:color w:val="auto"/>
          <w:sz w:val="32"/>
          <w:szCs w:val="32"/>
          <w:highlight w:val="none"/>
        </w:rPr>
        <w:t>投标须知前附表</w:t>
      </w:r>
      <w:bookmarkEnd w:id="15"/>
    </w:p>
    <w:p w14:paraId="046C8B11">
      <w:pPr>
        <w:spacing w:line="500" w:lineRule="exact"/>
        <w:ind w:firstLine="480" w:firstLineChars="200"/>
        <w:rPr>
          <w:rFonts w:ascii="仿宋" w:hAnsi="仿宋" w:eastAsia="仿宋" w:cs="仿宋_GB2312"/>
          <w:color w:val="auto"/>
          <w:sz w:val="24"/>
          <w:highlight w:val="none"/>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auto"/>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auto"/>
          <w:kern w:val="0"/>
          <w:sz w:val="24"/>
          <w:szCs w:val="24"/>
          <w:highlight w:val="none"/>
          <w:lang w:val="en-US" w:eastAsia="zh-CN" w:bidi="ar"/>
        </w:rPr>
        <w:t>标项 2（或 2）对应为第二包，以此类推。对于多标项项目本表未特别注明的适用于所有标项。</w:t>
      </w:r>
    </w:p>
    <w:tbl>
      <w:tblPr>
        <w:tblStyle w:val="29"/>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595" w:type="dxa"/>
            <w:tcBorders>
              <w:tl2br w:val="nil"/>
              <w:tr2bl w:val="nil"/>
            </w:tcBorders>
            <w:vAlign w:val="center"/>
          </w:tcPr>
          <w:p w14:paraId="3793840C">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采购人：乌鲁木齐市天山区建设局</w:t>
            </w:r>
          </w:p>
          <w:p w14:paraId="1DC60CCB">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地  址：乌鲁木齐市天山区东环路186号</w:t>
            </w:r>
          </w:p>
          <w:p w14:paraId="7CFFD2C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联系人：辛工</w:t>
            </w:r>
          </w:p>
          <w:p w14:paraId="7A7B52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u w:val="none"/>
                <w:vertAlign w:val="baseline"/>
                <w:lang w:val="en-US" w:eastAsia="zh-CN" w:bidi="ar"/>
              </w:rPr>
              <w:t>联系电话：18690160455</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7595" w:type="dxa"/>
            <w:tcBorders>
              <w:tl2br w:val="nil"/>
              <w:tr2bl w:val="nil"/>
            </w:tcBorders>
            <w:vAlign w:val="center"/>
          </w:tcPr>
          <w:p w14:paraId="6E5C74FA">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54B7E4B2">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FCD567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联系人：</w:t>
            </w:r>
            <w:r>
              <w:rPr>
                <w:rFonts w:hint="eastAsia" w:ascii="仿宋" w:hAnsi="仿宋" w:eastAsia="仿宋" w:cs="仿宋"/>
                <w:color w:val="auto"/>
                <w:sz w:val="24"/>
                <w:szCs w:val="24"/>
                <w:highlight w:val="none"/>
                <w:lang w:eastAsia="zh-CN"/>
              </w:rPr>
              <w:t>李航、訾王贝、范燕娥、杜萍</w:t>
            </w:r>
          </w:p>
          <w:p w14:paraId="1795D35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联系电话：13999295080</w:t>
            </w:r>
          </w:p>
          <w:p w14:paraId="37CDCBB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u w:val="none"/>
                <w:vertAlign w:val="baseline"/>
                <w:lang w:val="en-US" w:eastAsia="zh-CN" w:bidi="ar"/>
              </w:rPr>
              <w:t>电子邮箱：1814019006@qq.com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法人</w:t>
            </w:r>
            <w:r>
              <w:rPr>
                <w:rFonts w:hint="eastAsia" w:ascii="仿宋" w:hAnsi="仿宋" w:eastAsia="仿宋" w:cs="仿宋_GB2312"/>
                <w:color w:val="auto"/>
                <w:sz w:val="24"/>
                <w:szCs w:val="24"/>
                <w:highlight w:val="none"/>
                <w:lang w:val="en-US" w:eastAsia="zh-CN"/>
              </w:rPr>
              <w:t>分支机构</w:t>
            </w:r>
            <w:r>
              <w:rPr>
                <w:rFonts w:hint="eastAsia" w:ascii="仿宋" w:hAnsi="仿宋" w:eastAsia="仿宋" w:cs="仿宋_GB2312"/>
                <w:b/>
                <w:bCs/>
                <w:color w:val="auto"/>
                <w:sz w:val="24"/>
                <w:szCs w:val="24"/>
                <w:highlight w:val="none"/>
                <w:lang w:val="en-US" w:eastAsia="zh-CN"/>
              </w:rPr>
              <w:t>不允许</w:t>
            </w:r>
            <w:r>
              <w:rPr>
                <w:rFonts w:hint="eastAsia" w:ascii="仿宋" w:hAnsi="仿宋" w:eastAsia="仿宋" w:cs="仿宋_GB2312"/>
                <w:color w:val="auto"/>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本项目为</w:t>
            </w:r>
            <w:r>
              <w:rPr>
                <w:rFonts w:hint="eastAsia" w:ascii="仿宋" w:hAnsi="仿宋" w:eastAsia="仿宋" w:cs="仿宋_GB2312"/>
                <w:color w:val="auto"/>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color w:val="auto"/>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7595" w:type="dxa"/>
            <w:tcBorders>
              <w:tl2br w:val="nil"/>
              <w:tr2bl w:val="nil"/>
            </w:tcBorders>
            <w:vAlign w:val="center"/>
          </w:tcPr>
          <w:p w14:paraId="3844D6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是否允许采购进口产品：</w:t>
            </w:r>
          </w:p>
          <w:p w14:paraId="175AF0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否</w:t>
            </w:r>
          </w:p>
          <w:p w14:paraId="343580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是，</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本项目标项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全部货物允许进口，</w:t>
            </w:r>
            <w:r>
              <w:rPr>
                <w:rFonts w:hint="eastAsia" w:ascii="仿宋" w:hAnsi="仿宋" w:eastAsia="仿宋" w:cs="仿宋"/>
                <w:b/>
                <w:bCs/>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本项目标项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部分货物允许进口，具体详见本项目采购需求。</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本项目采购标的对应的中小企业划分标准所属行业：根据工业和信息化部、国家统计局、国家发展和改革委员会、财政部《关于印发中小企业划型标准规定的通知》（工信部联企业〔2011〕300 号），具体如下</w:t>
            </w:r>
          </w:p>
          <w:tbl>
            <w:tblPr>
              <w:tblStyle w:val="47"/>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3261"/>
              <w:gridCol w:w="2839"/>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6"/>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3261" w:type="dxa"/>
                  <w:vAlign w:val="top"/>
                </w:tcPr>
                <w:p w14:paraId="01B2CF2D">
                  <w:pPr>
                    <w:pStyle w:val="46"/>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2839" w:type="dxa"/>
                  <w:vAlign w:val="top"/>
                </w:tcPr>
                <w:p w14:paraId="740B8B0F">
                  <w:pPr>
                    <w:pStyle w:val="46"/>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6"/>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3261" w:type="dxa"/>
                  <w:vAlign w:val="top"/>
                </w:tcPr>
                <w:p w14:paraId="7BC07098">
                  <w:pPr>
                    <w:pStyle w:val="46"/>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具体内容详见采购需求</w:t>
                  </w:r>
                </w:p>
              </w:tc>
              <w:tc>
                <w:tcPr>
                  <w:tcW w:w="2839"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具体内容详见采购需求</w:t>
                  </w:r>
                </w:p>
              </w:tc>
            </w:tr>
            <w:tr w14:paraId="59C30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06156AF9">
                  <w:pPr>
                    <w:pStyle w:val="46"/>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p>
              </w:tc>
              <w:tc>
                <w:tcPr>
                  <w:tcW w:w="3261" w:type="dxa"/>
                  <w:vAlign w:val="top"/>
                </w:tcPr>
                <w:p w14:paraId="003BCB1E">
                  <w:pPr>
                    <w:pStyle w:val="46"/>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具体内容详见采购需求</w:t>
                  </w:r>
                </w:p>
              </w:tc>
              <w:tc>
                <w:tcPr>
                  <w:tcW w:w="2839" w:type="dxa"/>
                  <w:vAlign w:val="center"/>
                </w:tcPr>
                <w:p w14:paraId="5FFAA4EA">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eastAsia="zh-CN"/>
                    </w:rPr>
                    <w:t>具体内容详见采购需求</w:t>
                  </w:r>
                </w:p>
              </w:tc>
            </w:tr>
          </w:tbl>
          <w:p w14:paraId="5DDA37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专门面向</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中小□小微</w:t>
            </w:r>
            <w:r>
              <w:rPr>
                <w:rFonts w:hint="eastAsia" w:ascii="仿宋" w:hAnsi="仿宋" w:eastAsia="仿宋" w:cs="仿宋"/>
                <w:color w:val="auto"/>
                <w:sz w:val="24"/>
                <w:szCs w:val="24"/>
                <w:highlight w:val="none"/>
              </w:rPr>
              <w:t>企业采购。即:提供的货物全部由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中小□小微</w:t>
            </w:r>
            <w:r>
              <w:rPr>
                <w:rFonts w:hint="eastAsia" w:ascii="仿宋" w:hAnsi="仿宋" w:eastAsia="仿宋" w:cs="仿宋"/>
                <w:color w:val="auto"/>
                <w:sz w:val="24"/>
                <w:szCs w:val="24"/>
                <w:highlight w:val="none"/>
              </w:rPr>
              <w:t>企业</w:t>
            </w:r>
            <w:r>
              <w:rPr>
                <w:rFonts w:hint="eastAsia" w:ascii="仿宋" w:hAnsi="仿宋" w:eastAsia="仿宋" w:cs="仿宋"/>
                <w:b w:val="0"/>
                <w:bCs w:val="0"/>
                <w:color w:val="auto"/>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16D3B264">
            <w:pPr>
              <w:keepNext w:val="0"/>
              <w:pageBreakBefore w:val="0"/>
              <w:kinsoku/>
              <w:overflowPunct/>
              <w:topLinePunct w:val="0"/>
              <w:autoSpaceDE/>
              <w:autoSpaceDN/>
              <w:bidi w:val="0"/>
              <w:adjustRightInd w:val="0"/>
              <w:snapToGrid w:val="0"/>
              <w:spacing w:line="480" w:lineRule="exact"/>
              <w:ind w:left="0"/>
              <w:textAlignment w:val="auto"/>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☑本项目</w:t>
            </w:r>
            <w:r>
              <w:rPr>
                <w:rFonts w:hint="eastAsia" w:ascii="仿宋" w:hAnsi="仿宋" w:eastAsia="仿宋" w:cs="仿宋"/>
                <w:b w:val="0"/>
                <w:bCs w:val="0"/>
                <w:color w:val="auto"/>
                <w:sz w:val="24"/>
                <w:szCs w:val="24"/>
                <w:highlight w:val="none"/>
                <w:u w:val="single"/>
                <w:lang w:val="en-US" w:eastAsia="zh-CN"/>
              </w:rPr>
              <w:t xml:space="preserve">标项一、二 </w:t>
            </w:r>
            <w:r>
              <w:rPr>
                <w:rFonts w:hint="eastAsia" w:ascii="仿宋" w:hAnsi="仿宋" w:eastAsia="仿宋" w:cs="仿宋"/>
                <w:color w:val="auto"/>
                <w:sz w:val="24"/>
                <w:szCs w:val="24"/>
                <w:highlight w:val="none"/>
                <w:lang w:val="en-US" w:eastAsia="zh-CN"/>
              </w:rPr>
              <w:t>预留部分采购项目预算专门面向中小企业采购</w:t>
            </w:r>
            <w:r>
              <w:rPr>
                <w:rFonts w:hint="eastAsia" w:ascii="仿宋" w:hAnsi="仿宋" w:eastAsia="仿宋" w:cs="仿宋"/>
                <w:color w:val="auto"/>
                <w:sz w:val="24"/>
                <w:highlight w:val="none"/>
                <w:lang w:val="en-US" w:eastAsia="zh-CN"/>
              </w:rPr>
              <w:t>。对于预留份额，</w:t>
            </w:r>
            <w:r>
              <w:rPr>
                <w:rFonts w:hint="eastAsia" w:ascii="仿宋" w:hAnsi="仿宋" w:eastAsia="仿宋" w:cs="仿宋"/>
                <w:color w:val="auto"/>
                <w:sz w:val="24"/>
                <w:szCs w:val="24"/>
                <w:highlight w:val="none"/>
                <w:u w:val="none"/>
                <w:lang w:val="en-US" w:eastAsia="zh-CN"/>
              </w:rPr>
              <w:t>提供的货物由符合政策要求的中小企业或财库〔2014〕68号文规定的企业或残疾人福利性单位所制造</w:t>
            </w:r>
            <w:r>
              <w:rPr>
                <w:rFonts w:hint="eastAsia" w:ascii="仿宋" w:hAnsi="仿宋" w:eastAsia="仿宋" w:cs="仿宋"/>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val="en-US" w:eastAsia="zh-CN"/>
              </w:rPr>
              <w:t>或工程</w:t>
            </w:r>
            <w:r>
              <w:rPr>
                <w:rFonts w:hint="eastAsia" w:ascii="仿宋" w:hAnsi="仿宋" w:eastAsia="仿宋" w:cs="仿宋_GB2312"/>
                <w:color w:val="auto"/>
                <w:sz w:val="24"/>
                <w:highlight w:val="none"/>
              </w:rPr>
              <w:t>由符合政策要求的中小企业</w:t>
            </w:r>
            <w:r>
              <w:rPr>
                <w:rFonts w:hint="eastAsia" w:ascii="仿宋" w:hAnsi="仿宋" w:eastAsia="仿宋" w:cs="仿宋_GB2312"/>
                <w:color w:val="auto"/>
                <w:sz w:val="24"/>
                <w:highlight w:val="none"/>
                <w:lang w:val="en-US" w:eastAsia="zh-CN"/>
              </w:rPr>
              <w:t>或</w:t>
            </w:r>
            <w:r>
              <w:rPr>
                <w:rFonts w:hint="eastAsia" w:ascii="仿宋" w:hAnsi="仿宋" w:eastAsia="仿宋" w:cs="仿宋"/>
                <w:b w:val="0"/>
                <w:bCs w:val="0"/>
                <w:color w:val="auto"/>
                <w:sz w:val="24"/>
                <w:szCs w:val="24"/>
                <w:highlight w:val="none"/>
                <w:lang w:val="en-US" w:eastAsia="zh-CN"/>
              </w:rPr>
              <w:t>财库〔2014〕68号文规定的企业</w:t>
            </w:r>
            <w:r>
              <w:rPr>
                <w:rFonts w:hint="eastAsia" w:ascii="仿宋" w:hAnsi="仿宋" w:eastAsia="仿宋" w:cs="仿宋_GB2312"/>
                <w:color w:val="auto"/>
                <w:sz w:val="24"/>
                <w:highlight w:val="none"/>
                <w:lang w:val="en-US" w:eastAsia="zh-CN"/>
              </w:rPr>
              <w:t>或残疾人福利性单位承接；</w:t>
            </w:r>
            <w:r>
              <w:rPr>
                <w:rFonts w:hint="eastAsia" w:ascii="仿宋" w:hAnsi="仿宋" w:eastAsia="仿宋" w:cs="仿宋"/>
                <w:color w:val="auto"/>
                <w:sz w:val="24"/>
                <w:highlight w:val="none"/>
                <w:lang w:val="en-US" w:eastAsia="zh-CN"/>
              </w:rPr>
              <w:t>具体要求如下：由</w:t>
            </w:r>
            <w:r>
              <w:rPr>
                <w:rFonts w:hint="eastAsia" w:ascii="仿宋" w:hAnsi="仿宋" w:eastAsia="仿宋" w:cs="仿宋"/>
                <w:color w:val="auto"/>
                <w:sz w:val="24"/>
                <w:szCs w:val="24"/>
                <w:highlight w:val="none"/>
                <w:u w:val="none"/>
                <w:lang w:val="en-US" w:eastAsia="zh-CN"/>
              </w:rPr>
              <w:t>中小企业所制造的货物、中小企业所承接服务或工程任意一项或多项之和至少达到合同金额的30%，这其中预留小微企业所承担的比例不低于100%（即至少达本标项合同金额的30%）。如本项目（标项）允许分包，投标人自主选择是否分包，且中小企业承担金额达到上述比例，</w:t>
            </w:r>
            <w:r>
              <w:rPr>
                <w:rFonts w:hint="eastAsia" w:ascii="仿宋" w:hAnsi="仿宋" w:eastAsia="仿宋" w:cs="仿宋"/>
                <w:b/>
                <w:bCs/>
                <w:color w:val="auto"/>
                <w:sz w:val="24"/>
                <w:szCs w:val="24"/>
                <w:highlight w:val="none"/>
                <w:u w:val="none"/>
                <w:lang w:val="en-US" w:eastAsia="zh-CN"/>
              </w:rPr>
              <w:t>否则投标无效。</w:t>
            </w:r>
            <w:r>
              <w:rPr>
                <w:rFonts w:hint="eastAsia" w:ascii="仿宋" w:hAnsi="仿宋" w:eastAsia="仿宋" w:cs="仿宋"/>
                <w:color w:val="auto"/>
                <w:sz w:val="24"/>
                <w:szCs w:val="24"/>
                <w:highlight w:val="none"/>
                <w:lang w:val="en-US" w:eastAsia="zh-CN"/>
              </w:rPr>
              <w:t>如不分包须提供【①《中小企业声明函》（声明函由投标人出具）或由省级以上</w:t>
            </w:r>
            <w:r>
              <w:rPr>
                <w:rFonts w:hint="eastAsia" w:ascii="仿宋" w:hAnsi="仿宋" w:eastAsia="仿宋" w:cs="仿宋"/>
                <w:b/>
                <w:bCs/>
                <w:color w:val="auto"/>
                <w:sz w:val="24"/>
                <w:szCs w:val="24"/>
                <w:highlight w:val="none"/>
                <w:lang w:val="en-US" w:eastAsia="zh-CN"/>
              </w:rPr>
              <w:t>监狱管理局、戒毒管理局</w:t>
            </w:r>
            <w:r>
              <w:rPr>
                <w:rFonts w:hint="eastAsia" w:ascii="仿宋" w:hAnsi="仿宋" w:eastAsia="仿宋" w:cs="仿宋"/>
                <w:color w:val="auto"/>
                <w:sz w:val="24"/>
                <w:szCs w:val="24"/>
                <w:highlight w:val="none"/>
                <w:lang w:val="en-US" w:eastAsia="zh-CN"/>
              </w:rPr>
              <w:t>(含新疆生产建设兵团)出具的</w:t>
            </w:r>
            <w:r>
              <w:rPr>
                <w:rFonts w:hint="eastAsia" w:ascii="仿宋" w:hAnsi="仿宋" w:eastAsia="仿宋" w:cs="仿宋"/>
                <w:b/>
                <w:bCs/>
                <w:color w:val="auto"/>
                <w:sz w:val="24"/>
                <w:szCs w:val="24"/>
                <w:highlight w:val="none"/>
                <w:lang w:val="en-US" w:eastAsia="zh-CN"/>
              </w:rPr>
              <w:t>货物制造商、工程或服务承接方</w:t>
            </w:r>
            <w:r>
              <w:rPr>
                <w:rFonts w:hint="eastAsia" w:ascii="仿宋" w:hAnsi="仿宋" w:eastAsia="仿宋" w:cs="仿宋"/>
                <w:color w:val="auto"/>
                <w:sz w:val="24"/>
                <w:szCs w:val="24"/>
                <w:highlight w:val="none"/>
                <w:lang w:val="en-US" w:eastAsia="zh-CN"/>
              </w:rPr>
              <w:t>属于监狱企业的证明文件或</w:t>
            </w:r>
            <w:r>
              <w:rPr>
                <w:rFonts w:hint="eastAsia" w:ascii="仿宋" w:hAnsi="仿宋" w:eastAsia="仿宋" w:cs="仿宋"/>
                <w:b/>
                <w:bCs/>
                <w:color w:val="auto"/>
                <w:sz w:val="24"/>
                <w:szCs w:val="24"/>
                <w:highlight w:val="none"/>
                <w:lang w:val="en-US" w:eastAsia="zh-CN"/>
              </w:rPr>
              <w:t>货物制造商、工程或服务承接方</w:t>
            </w:r>
            <w:r>
              <w:rPr>
                <w:rFonts w:hint="eastAsia" w:ascii="仿宋" w:hAnsi="仿宋" w:eastAsia="仿宋" w:cs="仿宋"/>
                <w:color w:val="auto"/>
                <w:sz w:val="24"/>
                <w:szCs w:val="24"/>
                <w:highlight w:val="none"/>
                <w:lang w:val="en-US" w:eastAsia="zh-CN"/>
              </w:rPr>
              <w:t>出具的《残疾人福利性单位声明函》，比例符合上述要求】；如分包的须提供【①符合上述比例的分包意向协议书、②《中小企业声明函》（声明函由投标人出具）或由省级以上</w:t>
            </w:r>
            <w:r>
              <w:rPr>
                <w:rFonts w:hint="eastAsia" w:ascii="仿宋" w:hAnsi="仿宋" w:eastAsia="仿宋" w:cs="仿宋"/>
                <w:b/>
                <w:bCs/>
                <w:color w:val="auto"/>
                <w:sz w:val="24"/>
                <w:szCs w:val="24"/>
                <w:highlight w:val="none"/>
                <w:lang w:val="en-US" w:eastAsia="zh-CN"/>
              </w:rPr>
              <w:t>监狱管理局、戒毒管理局</w:t>
            </w:r>
            <w:r>
              <w:rPr>
                <w:rFonts w:hint="eastAsia" w:ascii="仿宋" w:hAnsi="仿宋" w:eastAsia="仿宋" w:cs="仿宋"/>
                <w:color w:val="auto"/>
                <w:sz w:val="24"/>
                <w:szCs w:val="24"/>
                <w:highlight w:val="none"/>
                <w:lang w:val="en-US" w:eastAsia="zh-CN"/>
              </w:rPr>
              <w:t>(含新疆生产建设兵团)出具的</w:t>
            </w:r>
            <w:r>
              <w:rPr>
                <w:rFonts w:hint="eastAsia" w:ascii="仿宋" w:hAnsi="仿宋" w:eastAsia="仿宋" w:cs="仿宋"/>
                <w:b/>
                <w:bCs/>
                <w:color w:val="auto"/>
                <w:sz w:val="24"/>
                <w:szCs w:val="24"/>
                <w:highlight w:val="none"/>
                <w:lang w:val="en-US" w:eastAsia="zh-CN"/>
              </w:rPr>
              <w:t>货物制造商、工程或服务承接方</w:t>
            </w:r>
            <w:r>
              <w:rPr>
                <w:rFonts w:hint="eastAsia" w:ascii="仿宋" w:hAnsi="仿宋" w:eastAsia="仿宋" w:cs="仿宋"/>
                <w:color w:val="auto"/>
                <w:sz w:val="24"/>
                <w:szCs w:val="24"/>
                <w:highlight w:val="none"/>
                <w:lang w:val="en-US" w:eastAsia="zh-CN"/>
              </w:rPr>
              <w:t>属于监狱企业的证明文件或</w:t>
            </w:r>
            <w:r>
              <w:rPr>
                <w:rFonts w:hint="eastAsia" w:ascii="仿宋" w:hAnsi="仿宋" w:eastAsia="仿宋" w:cs="仿宋"/>
                <w:b/>
                <w:bCs/>
                <w:color w:val="auto"/>
                <w:sz w:val="24"/>
                <w:szCs w:val="24"/>
                <w:highlight w:val="none"/>
                <w:lang w:val="en-US" w:eastAsia="zh-CN"/>
              </w:rPr>
              <w:t>货物制造商、工程或服务承接方</w:t>
            </w:r>
            <w:r>
              <w:rPr>
                <w:rFonts w:hint="eastAsia" w:ascii="仿宋" w:hAnsi="仿宋" w:eastAsia="仿宋" w:cs="仿宋"/>
                <w:color w:val="auto"/>
                <w:sz w:val="24"/>
                <w:szCs w:val="24"/>
                <w:highlight w:val="none"/>
                <w:lang w:val="en-US" w:eastAsia="zh-CN"/>
              </w:rPr>
              <w:t>出具的《残疾人福利性单位声明函》，比例符合上述要求】。</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color w:val="auto"/>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color w:val="auto"/>
                <w:sz w:val="24"/>
                <w:szCs w:val="24"/>
                <w:highlight w:val="none"/>
              </w:rPr>
              <w:t>个体工商户</w:t>
            </w:r>
            <w:r>
              <w:rPr>
                <w:rFonts w:hint="eastAsia" w:ascii="仿宋" w:hAnsi="仿宋" w:eastAsia="仿宋" w:cs="仿宋"/>
                <w:color w:val="auto"/>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依据</w:t>
            </w:r>
            <w:r>
              <w:rPr>
                <w:rFonts w:hint="eastAsia" w:ascii="仿宋" w:hAnsi="仿宋" w:eastAsia="仿宋" w:cs="仿宋"/>
                <w:color w:val="auto"/>
                <w:sz w:val="24"/>
                <w:szCs w:val="24"/>
                <w:highlight w:val="none"/>
              </w:rPr>
              <w:t>《关于促进残疾人就业政府采购政策的通知》（财库〔2017〕141号）</w:t>
            </w:r>
            <w:r>
              <w:rPr>
                <w:rFonts w:hint="eastAsia" w:ascii="仿宋" w:hAnsi="仿宋" w:eastAsia="仿宋" w:cs="仿宋"/>
                <w:color w:val="auto"/>
                <w:sz w:val="24"/>
                <w:szCs w:val="24"/>
                <w:highlight w:val="none"/>
                <w:lang w:val="en-US" w:eastAsia="zh-CN"/>
              </w:rPr>
              <w:t>相关规定，</w:t>
            </w:r>
            <w:r>
              <w:rPr>
                <w:rFonts w:hint="eastAsia" w:ascii="仿宋" w:hAnsi="仿宋" w:eastAsia="仿宋" w:cs="仿宋"/>
                <w:b w:val="0"/>
                <w:bCs w:val="0"/>
                <w:color w:val="auto"/>
                <w:sz w:val="24"/>
                <w:szCs w:val="24"/>
                <w:highlight w:val="none"/>
                <w:lang w:val="en-US" w:eastAsia="zh-CN"/>
              </w:rPr>
              <w:t>残疾人福利性单位</w:t>
            </w:r>
            <w:r>
              <w:rPr>
                <w:rFonts w:hint="eastAsia" w:ascii="仿宋" w:hAnsi="仿宋" w:eastAsia="仿宋" w:cs="仿宋"/>
                <w:b/>
                <w:bCs/>
                <w:color w:val="auto"/>
                <w:sz w:val="24"/>
                <w:szCs w:val="24"/>
                <w:highlight w:val="none"/>
                <w:lang w:val="en-US" w:eastAsia="zh-CN"/>
              </w:rPr>
              <w:t>视同小型、微型企业</w:t>
            </w:r>
            <w:r>
              <w:rPr>
                <w:rFonts w:hint="eastAsia" w:ascii="仿宋" w:hAnsi="仿宋" w:eastAsia="仿宋" w:cs="仿宋"/>
                <w:b w:val="0"/>
                <w:bCs w:val="0"/>
                <w:color w:val="auto"/>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b w:val="0"/>
                <w:bCs w:val="0"/>
                <w:color w:val="auto"/>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color w:val="auto"/>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（4）享受扶持政策获得政府采购合同的，小微企业不得将合同分包给大中型企业，中型企业不得将合同分包给大型企业。</w:t>
            </w:r>
          </w:p>
          <w:p w14:paraId="01B8CF8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（5）接受分包合同的中小企业与分包企业之间不得存在直接控股、管理关系。</w:t>
            </w:r>
          </w:p>
          <w:p w14:paraId="0D757BC8">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（6）小微企业含小型、微型企业及相关文件规定视同小型、微型企业的单位</w:t>
            </w:r>
          </w:p>
          <w:p w14:paraId="15FB4C58">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（7）中小企业含中型、小型、微型企业及相关文件规定视同小型、微型企业的单位</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1</w:t>
            </w:r>
          </w:p>
        </w:tc>
        <w:tc>
          <w:tcPr>
            <w:tcW w:w="7595" w:type="dxa"/>
            <w:tcBorders>
              <w:tl2br w:val="nil"/>
              <w:tr2bl w:val="nil"/>
            </w:tcBorders>
            <w:vAlign w:val="center"/>
          </w:tcPr>
          <w:p w14:paraId="1109AA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rPr>
              <w:t>否</w:t>
            </w:r>
            <w:r>
              <w:rPr>
                <w:rFonts w:hint="eastAsia" w:ascii="仿宋" w:hAnsi="仿宋" w:eastAsia="仿宋" w:cs="仿宋"/>
                <w:color w:val="auto"/>
                <w:sz w:val="24"/>
                <w:szCs w:val="24"/>
                <w:highlight w:val="none"/>
                <w:vertAlign w:val="baseline"/>
                <w:lang w:val="en-US" w:eastAsia="zh-CN"/>
              </w:rPr>
              <w:t xml:space="preserve"> </w:t>
            </w:r>
            <w:r>
              <w:rPr>
                <w:rFonts w:hint="eastAsia" w:ascii="仿宋" w:hAnsi="仿宋" w:eastAsia="仿宋" w:cs="仿宋"/>
                <w:color w:val="auto"/>
                <w:sz w:val="24"/>
                <w:szCs w:val="24"/>
                <w:highlight w:val="none"/>
                <w:lang w:val="en-US" w:eastAsia="zh-CN"/>
              </w:rPr>
              <w:t>□是</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0A2BF5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295EFE39">
            <w:pPr>
              <w:spacing w:line="36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14.1</w:t>
            </w:r>
          </w:p>
        </w:tc>
        <w:tc>
          <w:tcPr>
            <w:tcW w:w="7595" w:type="dxa"/>
            <w:tcBorders>
              <w:tl2br w:val="nil"/>
              <w:tr2bl w:val="nil"/>
            </w:tcBorders>
            <w:shd w:val="clear" w:color="auto" w:fill="auto"/>
            <w:vAlign w:val="center"/>
          </w:tcPr>
          <w:p w14:paraId="5BA9689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本项目是否适用本国产品价格评审优惠政策：</w:t>
            </w:r>
          </w:p>
          <w:p w14:paraId="2CED08A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本项目适用支持本国产品标准</w:t>
            </w:r>
          </w:p>
          <w:p w14:paraId="51666AF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本项目不适用</w:t>
            </w:r>
          </w:p>
          <w:p w14:paraId="164FC3E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24"/>
                <w:szCs w:val="24"/>
                <w:highlight w:val="none"/>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7595" w:type="dxa"/>
            <w:tcBorders>
              <w:tl2br w:val="nil"/>
              <w:tr2bl w:val="nil"/>
            </w:tcBorders>
            <w:vAlign w:val="center"/>
          </w:tcPr>
          <w:p w14:paraId="1401BFE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项目预算金额：</w:t>
            </w:r>
            <w:r>
              <w:rPr>
                <w:rFonts w:hint="eastAsia" w:ascii="仿宋" w:hAnsi="仿宋" w:eastAsia="仿宋" w:cs="仿宋"/>
                <w:color w:val="auto"/>
                <w:sz w:val="24"/>
                <w:szCs w:val="24"/>
                <w:highlight w:val="none"/>
                <w:lang w:val="en-US" w:eastAsia="zh-CN"/>
              </w:rPr>
              <w:t>31017640.00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p w14:paraId="7544BE43">
            <w:pPr>
              <w:keepNext w:val="0"/>
              <w:pageBreakBefore w:val="0"/>
              <w:kinsoku/>
              <w:overflowPunct/>
              <w:topLinePunct w:val="0"/>
              <w:autoSpaceDE/>
              <w:autoSpaceDN/>
              <w:bidi w:val="0"/>
              <w:adjustRightInd w:val="0"/>
              <w:snapToGrid w:val="0"/>
              <w:spacing w:line="480" w:lineRule="exact"/>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其中标项1：16137350.00元，标项2：</w:t>
            </w:r>
            <w:r>
              <w:rPr>
                <w:rFonts w:hint="eastAsia" w:ascii="仿宋" w:hAnsi="仿宋" w:eastAsia="仿宋" w:cs="仿宋_GB2312"/>
                <w:color w:val="auto"/>
                <w:sz w:val="24"/>
                <w:highlight w:val="none"/>
                <w:lang w:val="en-US" w:eastAsia="zh-CN"/>
              </w:rPr>
              <w:t>14880290.00</w:t>
            </w:r>
            <w:r>
              <w:rPr>
                <w:rFonts w:hint="eastAsia" w:ascii="仿宋" w:hAnsi="仿宋" w:eastAsia="仿宋" w:cs="仿宋_GB2312"/>
                <w:color w:val="auto"/>
                <w:sz w:val="24"/>
                <w:highlight w:val="none"/>
                <w:lang w:eastAsia="zh-CN"/>
              </w:rPr>
              <w:t>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☑同预算金额</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5.7 </w:t>
            </w:r>
          </w:p>
        </w:tc>
        <w:tc>
          <w:tcPr>
            <w:tcW w:w="7595" w:type="dxa"/>
            <w:tcBorders>
              <w:tl2br w:val="nil"/>
              <w:tr2bl w:val="nil"/>
            </w:tcBorders>
            <w:vAlign w:val="center"/>
          </w:tcPr>
          <w:p w14:paraId="1A755E2A">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4"/>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4"/>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8"/>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地点：乌鲁木齐经济技术开发区二期黄山街一品九点阳光德港大厦B座20楼，逾期提供的样品将不予接受。</w:t>
            </w:r>
            <w:r>
              <w:rPr>
                <w:rFonts w:hint="eastAsia" w:ascii="仿宋" w:hAnsi="仿宋" w:eastAsia="仿宋" w:cs="仿宋"/>
                <w:color w:val="auto"/>
                <w:sz w:val="24"/>
                <w:szCs w:val="24"/>
                <w:highlight w:val="none"/>
                <w:lang w:val="en-US" w:eastAsia="zh-CN"/>
              </w:rPr>
              <w:t xml:space="preserve"> </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如</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对</w:t>
            </w:r>
            <w:r>
              <w:rPr>
                <w:rFonts w:hint="eastAsia" w:ascii="仿宋" w:hAnsi="仿宋" w:eastAsia="仿宋" w:cs="仿宋"/>
                <w:b/>
                <w:bCs/>
                <w:color w:val="auto"/>
                <w:sz w:val="24"/>
                <w:szCs w:val="24"/>
                <w:highlight w:val="none"/>
              </w:rPr>
              <w:t>多</w:t>
            </w:r>
            <w:r>
              <w:rPr>
                <w:rFonts w:hint="eastAsia" w:ascii="仿宋" w:hAnsi="仿宋" w:eastAsia="仿宋" w:cs="仿宋"/>
                <w:color w:val="auto"/>
                <w:sz w:val="24"/>
                <w:szCs w:val="24"/>
                <w:highlight w:val="none"/>
              </w:rPr>
              <w:t>个包进行投标，可以中标</w:t>
            </w:r>
            <w:r>
              <w:rPr>
                <w:rFonts w:hint="eastAsia" w:ascii="仿宋" w:hAnsi="仿宋" w:eastAsia="仿宋" w:cs="仿宋"/>
                <w:b/>
                <w:bCs/>
                <w:color w:val="auto"/>
                <w:sz w:val="24"/>
                <w:szCs w:val="24"/>
                <w:highlight w:val="none"/>
                <w:u w:val="single"/>
              </w:rPr>
              <w:t>多</w:t>
            </w:r>
            <w:r>
              <w:rPr>
                <w:rFonts w:hint="eastAsia" w:ascii="仿宋" w:hAnsi="仿宋" w:eastAsia="仿宋" w:cs="仿宋"/>
                <w:color w:val="auto"/>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包同时进行投标，但第1、2包中一家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将不再被推荐为后一包的中标人。但可以参加其余包的评审，以此类推。</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 xml:space="preserve"> 一、二 </w:t>
            </w:r>
            <w:r>
              <w:rPr>
                <w:rFonts w:hint="eastAsia" w:ascii="仿宋" w:hAnsi="仿宋" w:eastAsia="仿宋" w:cs="仿宋"/>
                <w:color w:val="auto"/>
                <w:sz w:val="24"/>
                <w:szCs w:val="24"/>
                <w:highlight w:val="none"/>
                <w:lang w:val="en-US" w:eastAsia="zh-CN"/>
              </w:rPr>
              <w:t>投标报价方式为：</w:t>
            </w:r>
          </w:p>
          <w:p w14:paraId="6137EC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并须按招标文件规定的投标文件格式提供“投标分项报价表”。</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并须按采购文件规定的响应文件格式提供“投标分项报价表”，投标分项报价表中的数量列数值均为“1”。并须按招标文件规定的投标文件格式提供“投标分项报价表”。</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color w:val="auto"/>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填报下浮率（%），报价单位为%。成交单价为招标文件载明的标的物限价×（1-下浮率（%）），实际支付金额为成交单价×实际成交数量。无须按招标文件规定的投标文件格式提供“投标分项报价表”。</w:t>
            </w:r>
          </w:p>
          <w:p w14:paraId="25266EF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color w:val="auto"/>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填报折扣率率（%），报价单位为%。成交单价为招标文件载明的标的物限价×折扣率（%），实际支付金额为成交单价×实际成交数量。无须按招标文件规定的投标文件格式提供“投标分项报价表”。</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68527C1F">
            <w:pPr>
              <w:keepNext w:val="0"/>
              <w:pageBreakBefore w:val="0"/>
              <w:kinsoku/>
              <w:overflowPunct/>
              <w:topLinePunct w:val="0"/>
              <w:autoSpaceDE/>
              <w:autoSpaceDN/>
              <w:bidi w:val="0"/>
              <w:adjustRightInd w:val="0"/>
              <w:snapToGrid w:val="0"/>
              <w:spacing w:line="480" w:lineRule="exact"/>
              <w:ind w:left="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标项1：160000.00元；标项2：140000.00元。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625618D7">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（提示：此账号为保证金账号，保证金不要转到23.1条规定</w:t>
            </w:r>
            <w:r>
              <w:rPr>
                <w:rFonts w:hint="eastAsia" w:ascii="仿宋" w:hAnsi="仿宋" w:eastAsia="仿宋" w:cs="仿宋"/>
                <w:b/>
                <w:bCs/>
                <w:color w:val="auto"/>
                <w:sz w:val="24"/>
                <w:szCs w:val="24"/>
                <w:highlight w:val="none"/>
                <w:lang w:val="en-US" w:eastAsia="zh-CN"/>
              </w:rPr>
              <w:t>服务费缴纳账号</w:t>
            </w:r>
            <w:r>
              <w:rPr>
                <w:rFonts w:hint="eastAsia" w:ascii="仿宋" w:hAnsi="仿宋" w:eastAsia="仿宋" w:cs="仿宋"/>
                <w:b/>
                <w:bCs/>
                <w:color w:val="auto"/>
                <w:sz w:val="24"/>
                <w:szCs w:val="24"/>
                <w:highlight w:val="none"/>
                <w:vertAlign w:val="baseline"/>
                <w:lang w:val="en-US" w:eastAsia="zh-CN"/>
              </w:rPr>
              <w:t>）</w:t>
            </w:r>
          </w:p>
          <w:p w14:paraId="3DA3E496">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BCA92E2">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7408CE3A">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、联合体投标的，</w:t>
            </w:r>
            <w:r>
              <w:rPr>
                <w:rFonts w:hint="eastAsia" w:ascii="仿宋" w:hAnsi="仿宋" w:eastAsia="仿宋" w:cs="仿宋"/>
                <w:b/>
                <w:bCs/>
                <w:color w:val="auto"/>
                <w:sz w:val="24"/>
                <w:szCs w:val="24"/>
                <w:highlight w:val="none"/>
                <w:lang w:val="en-US" w:eastAsia="zh-CN"/>
              </w:rPr>
              <w:t>建议</w:t>
            </w:r>
            <w:r>
              <w:rPr>
                <w:rFonts w:hint="eastAsia" w:ascii="仿宋" w:hAnsi="仿宋" w:eastAsia="仿宋" w:cs="仿宋"/>
                <w:b/>
                <w:bCs/>
                <w:color w:val="auto"/>
                <w:sz w:val="24"/>
                <w:szCs w:val="24"/>
                <w:highlight w:val="none"/>
              </w:rPr>
              <w:t>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26</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时</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eastAsia="zh-CN"/>
              </w:rPr>
              <w:t>分</w:t>
            </w:r>
            <w:r>
              <w:rPr>
                <w:rFonts w:hint="eastAsia" w:ascii="仿宋" w:hAnsi="仿宋" w:eastAsia="仿宋" w:cs="仿宋"/>
                <w:color w:val="auto"/>
                <w:sz w:val="24"/>
                <w:szCs w:val="24"/>
                <w:highlight w:val="none"/>
              </w:rPr>
              <w:t>（北京时间）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分包供应商需具备有效的《中华人民共和国特种设备生产许可证》电梯安装（含修理）或《中华人民共和国特种设备生产许可证》电梯制造（含安装、修理、改造）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履约保证金金额：合同金额的5%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1、是否由中标人缴纳招标代理费及清单、控制价编制费：</w:t>
            </w:r>
            <w:r>
              <w:rPr>
                <w:rFonts w:hint="eastAsia" w:ascii="仿宋" w:hAnsi="仿宋" w:eastAsia="仿宋" w:cs="仿宋"/>
                <w:b/>
                <w:bCs/>
                <w:color w:val="auto"/>
                <w:sz w:val="24"/>
                <w:szCs w:val="24"/>
                <w:highlight w:val="none"/>
                <w:lang w:val="en-US" w:eastAsia="zh-CN"/>
              </w:rPr>
              <w:t>是</w:t>
            </w:r>
            <w:r>
              <w:rPr>
                <w:rFonts w:hint="eastAsia" w:ascii="仿宋" w:hAnsi="仿宋" w:eastAsia="仿宋" w:cs="仿宋"/>
                <w:color w:val="auto"/>
                <w:sz w:val="24"/>
                <w:szCs w:val="24"/>
                <w:highlight w:val="none"/>
                <w:lang w:val="en-US" w:eastAsia="zh-CN"/>
              </w:rPr>
              <w:t xml:space="preserve"> </w:t>
            </w:r>
          </w:p>
          <w:p w14:paraId="243E7C77">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招标代理费收费标准：</w:t>
            </w:r>
          </w:p>
          <w:p w14:paraId="31136C3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☑参照原国家计委计价格【2002】1980 号文的计算方法收取。</w:t>
            </w:r>
          </w:p>
          <w:p w14:paraId="46981622">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清单、控制价编制费收费标准：</w:t>
            </w:r>
          </w:p>
          <w:p w14:paraId="358BCFE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☑参照中价协《关于规范工程造价咨询服务收费的通知》（中价协[2013]35号）的计算方法收取。</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3、支付时间：领取中标通知书的同时，由中标人向采购代理机构一次性支付全部招标代理服务费及清单、控制价编制费。</w:t>
            </w:r>
          </w:p>
          <w:p w14:paraId="2DBF850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4、服务费缴纳账号（提示：保证金账号详见第10条）：</w:t>
            </w:r>
            <w:r>
              <w:rPr>
                <w:rFonts w:hint="eastAsia" w:ascii="仿宋" w:hAnsi="仿宋" w:eastAsia="仿宋" w:cs="仿宋"/>
                <w:color w:val="auto"/>
                <w:sz w:val="24"/>
                <w:szCs w:val="24"/>
                <w:highlight w:val="none"/>
                <w:lang w:val="en-US" w:eastAsia="zh-CN"/>
              </w:rPr>
              <w:t xml:space="preserve"> </w:t>
            </w:r>
          </w:p>
          <w:p w14:paraId="4A1A14B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收款单位全称：新疆世纪星工程咨询有限公司</w:t>
            </w:r>
          </w:p>
          <w:p w14:paraId="0D20D9A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银行账号：651651056018800020157</w:t>
            </w:r>
          </w:p>
          <w:p w14:paraId="27DBAFD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 交通银行股份有限公司乌鲁木齐卫星路支行</w:t>
            </w:r>
          </w:p>
          <w:p w14:paraId="79923ED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银行行号： 301881000569</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1C4CF0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联系部门：新疆世纪星工程咨询有限公司招标部 </w:t>
            </w:r>
          </w:p>
          <w:p w14:paraId="580600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联系人、联系电话：</w:t>
            </w:r>
            <w:r>
              <w:rPr>
                <w:rFonts w:hint="eastAsia" w:ascii="仿宋" w:hAnsi="仿宋" w:eastAsia="仿宋" w:cs="仿宋"/>
                <w:b w:val="0"/>
                <w:bCs w:val="0"/>
                <w:color w:val="auto"/>
                <w:kern w:val="0"/>
                <w:sz w:val="24"/>
                <w:szCs w:val="24"/>
                <w:highlight w:val="none"/>
                <w:u w:val="none"/>
                <w:vertAlign w:val="baseline"/>
                <w:lang w:val="en-US" w:eastAsia="zh-CN" w:bidi="ar"/>
              </w:rPr>
              <w:t>李航、訾王贝、范燕娥、杜萍</w:t>
            </w:r>
            <w:r>
              <w:rPr>
                <w:rFonts w:hint="eastAsia" w:ascii="仿宋" w:hAnsi="仿宋" w:eastAsia="仿宋" w:cs="仿宋"/>
                <w:color w:val="auto"/>
                <w:sz w:val="24"/>
                <w:szCs w:val="24"/>
                <w:highlight w:val="none"/>
                <w:lang w:val="en-US" w:eastAsia="zh-CN"/>
              </w:rPr>
              <w:t xml:space="preserve"> ，</w:t>
            </w:r>
          </w:p>
          <w:p w14:paraId="640BD510">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通讯地址：乌鲁木齐经济技术开发区二期黄山街一品九点阳光德港大厦 B 座 20 楼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适用于本</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 xml:space="preserve"> 标项  </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标项一、二 </w:t>
            </w:r>
            <w:r>
              <w:rPr>
                <w:rFonts w:hint="eastAsia" w:ascii="仿宋" w:hAnsi="仿宋" w:eastAsia="仿宋" w:cs="仿宋"/>
                <w:color w:val="auto"/>
                <w:kern w:val="2"/>
                <w:sz w:val="24"/>
                <w:szCs w:val="24"/>
                <w:highlight w:val="none"/>
                <w:lang w:val="en-US" w:eastAsia="zh-CN" w:bidi="ar-SA"/>
              </w:rPr>
              <w:t>为非单一产品采购项目，核心产品为小机房乘客电梯。</w:t>
            </w:r>
          </w:p>
          <w:p w14:paraId="1EE622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color w:val="auto"/>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7AD8F7D1">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8"/>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8"/>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适用于本</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br w:type="page"/>
      </w:r>
    </w:p>
    <w:p w14:paraId="03B0E4C7">
      <w:pPr>
        <w:pStyle w:val="2"/>
        <w:numPr>
          <w:ilvl w:val="0"/>
          <w:numId w:val="1"/>
        </w:numPr>
        <w:jc w:val="center"/>
        <w:rPr>
          <w:rFonts w:ascii="仿宋" w:hAnsi="仿宋" w:eastAsia="仿宋" w:cs="仿宋_GB2312"/>
          <w:color w:val="auto"/>
          <w:sz w:val="32"/>
          <w:szCs w:val="32"/>
          <w:highlight w:val="none"/>
        </w:rPr>
      </w:pPr>
      <w:bookmarkStart w:id="16" w:name="_Toc12072"/>
      <w:r>
        <w:rPr>
          <w:rFonts w:hint="eastAsia" w:ascii="仿宋" w:hAnsi="仿宋" w:eastAsia="仿宋" w:cs="仿宋_GB2312"/>
          <w:color w:val="auto"/>
          <w:sz w:val="32"/>
          <w:szCs w:val="32"/>
          <w:highlight w:val="none"/>
          <w:lang w:val="en-US" w:eastAsia="zh-CN"/>
        </w:rPr>
        <w:t>投标人</w:t>
      </w:r>
      <w:r>
        <w:rPr>
          <w:rFonts w:hint="eastAsia" w:ascii="仿宋" w:hAnsi="仿宋" w:eastAsia="仿宋" w:cs="仿宋_GB2312"/>
          <w:color w:val="auto"/>
          <w:sz w:val="32"/>
          <w:szCs w:val="32"/>
          <w:highlight w:val="none"/>
        </w:rPr>
        <w:t>须知</w:t>
      </w:r>
      <w:bookmarkEnd w:id="16"/>
    </w:p>
    <w:p w14:paraId="48FDC5E8">
      <w:pPr>
        <w:numPr>
          <w:ilvl w:val="0"/>
          <w:numId w:val="2"/>
        </w:numPr>
        <w:spacing w:line="500" w:lineRule="exact"/>
        <w:jc w:val="center"/>
        <w:outlineLvl w:val="1"/>
        <w:rPr>
          <w:rFonts w:ascii="仿宋" w:hAnsi="仿宋" w:eastAsia="仿宋" w:cs="仿宋_GB2312"/>
          <w:b/>
          <w:bCs/>
          <w:color w:val="auto"/>
          <w:sz w:val="24"/>
          <w:highlight w:val="none"/>
        </w:rPr>
      </w:pPr>
      <w:bookmarkStart w:id="17" w:name="_Toc17885"/>
      <w:bookmarkStart w:id="18" w:name="_Toc20936"/>
      <w:r>
        <w:rPr>
          <w:rFonts w:hint="eastAsia" w:ascii="仿宋" w:hAnsi="仿宋" w:eastAsia="仿宋" w:cs="仿宋_GB2312"/>
          <w:b/>
          <w:bCs/>
          <w:color w:val="auto"/>
          <w:sz w:val="24"/>
          <w:highlight w:val="none"/>
        </w:rPr>
        <w:t>说 明</w:t>
      </w:r>
      <w:bookmarkEnd w:id="17"/>
      <w:bookmarkEnd w:id="18"/>
    </w:p>
    <w:p w14:paraId="6204FDCB">
      <w:pPr>
        <w:numPr>
          <w:ilvl w:val="0"/>
          <w:numId w:val="3"/>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采购人、采购代理机构及</w:t>
      </w:r>
      <w:r>
        <w:rPr>
          <w:rFonts w:hint="eastAsia" w:ascii="仿宋" w:hAnsi="仿宋" w:eastAsia="仿宋" w:cs="仿宋_GB2312"/>
          <w:b/>
          <w:bCs/>
          <w:color w:val="auto"/>
          <w:sz w:val="24"/>
          <w:highlight w:val="none"/>
          <w:lang w:val="en-US" w:eastAsia="zh-CN"/>
        </w:rPr>
        <w:t>投标人</w:t>
      </w:r>
    </w:p>
    <w:p w14:paraId="03981A87">
      <w:pPr>
        <w:numPr>
          <w:ilvl w:val="1"/>
          <w:numId w:val="4"/>
        </w:numPr>
        <w:spacing w:line="500" w:lineRule="exact"/>
        <w:rPr>
          <w:rFonts w:hint="eastAsia" w:ascii="仿宋" w:hAnsi="仿宋" w:eastAsia="仿宋" w:cs="仿宋_GB2312"/>
          <w:color w:val="auto"/>
          <w:sz w:val="24"/>
          <w:highlight w:val="none"/>
          <w:u w:val="single"/>
          <w:lang w:val="en-US" w:eastAsia="zh-CN"/>
        </w:rPr>
      </w:pPr>
      <w:r>
        <w:rPr>
          <w:rFonts w:hint="eastAsia" w:ascii="仿宋" w:hAnsi="仿宋" w:eastAsia="仿宋" w:cs="仿宋_GB2312"/>
          <w:color w:val="auto"/>
          <w:sz w:val="24"/>
          <w:highlight w:val="none"/>
        </w:rPr>
        <w:t>采购人：是指依法进行政府采购的国家机构、事业单位、团体组织</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color w:val="auto"/>
          <w:sz w:val="24"/>
          <w:highlight w:val="none"/>
          <w:u w:val="single"/>
          <w:lang w:val="en-US" w:eastAsia="zh-CN"/>
        </w:rPr>
        <w:t>详见投标人须知前附表</w:t>
      </w:r>
    </w:p>
    <w:p w14:paraId="4EC78948">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采购代理机构：</w:t>
      </w:r>
      <w:r>
        <w:rPr>
          <w:rFonts w:hint="eastAsia" w:ascii="仿宋" w:hAnsi="仿宋" w:eastAsia="仿宋" w:cs="仿宋_GB2312"/>
          <w:color w:val="auto"/>
          <w:sz w:val="24"/>
          <w:highlight w:val="none"/>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color w:val="auto"/>
          <w:sz w:val="24"/>
          <w:highlight w:val="none"/>
        </w:rPr>
        <w:t>本次招标的采购代理机构</w:t>
      </w:r>
      <w:r>
        <w:rPr>
          <w:rFonts w:hint="eastAsia" w:ascii="仿宋" w:hAnsi="仿宋" w:eastAsia="仿宋" w:cs="仿宋_GB2312"/>
          <w:color w:val="auto"/>
          <w:sz w:val="24"/>
          <w:highlight w:val="none"/>
          <w:u w:val="single"/>
          <w:lang w:val="en-US" w:eastAsia="zh-CN"/>
        </w:rPr>
        <w:t>详见投标人须知前附表</w:t>
      </w:r>
      <w:r>
        <w:rPr>
          <w:rFonts w:hint="eastAsia" w:ascii="仿宋" w:hAnsi="仿宋" w:eastAsia="仿宋" w:cs="仿宋_GB2312"/>
          <w:color w:val="auto"/>
          <w:sz w:val="24"/>
          <w:highlight w:val="none"/>
        </w:rPr>
        <w:t>。</w:t>
      </w:r>
    </w:p>
    <w:p w14:paraId="2EA64F7B">
      <w:pPr>
        <w:numPr>
          <w:ilvl w:val="1"/>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color w:val="auto"/>
          <w:sz w:val="24"/>
          <w:szCs w:val="24"/>
          <w:highlight w:val="none"/>
          <w:lang w:val="en-US" w:eastAsia="zh-CN"/>
        </w:rPr>
        <w:t>本项目（包）是否允许法人分支机构参与磋商</w:t>
      </w:r>
      <w:r>
        <w:rPr>
          <w:rFonts w:hint="eastAsia" w:ascii="仿宋" w:hAnsi="仿宋" w:eastAsia="仿宋" w:cs="仿宋_GB2312"/>
          <w:color w:val="auto"/>
          <w:sz w:val="24"/>
          <w:highlight w:val="none"/>
          <w:u w:val="single"/>
          <w:lang w:val="en-US" w:eastAsia="zh-CN"/>
        </w:rPr>
        <w:t>详见投标人须知前附表</w:t>
      </w:r>
      <w:r>
        <w:rPr>
          <w:rFonts w:hint="eastAsia" w:ascii="仿宋" w:hAnsi="仿宋" w:eastAsia="仿宋" w:cs="仿宋"/>
          <w:b w:val="0"/>
          <w:bCs w:val="0"/>
          <w:color w:val="auto"/>
          <w:sz w:val="24"/>
          <w:szCs w:val="24"/>
          <w:highlight w:val="none"/>
          <w:lang w:val="en-US" w:eastAsia="zh-CN"/>
        </w:rPr>
        <w:t>。</w:t>
      </w:r>
    </w:p>
    <w:p w14:paraId="6D9D1B8B">
      <w:p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lang w:eastAsia="zh-CN"/>
        </w:rPr>
        <w:t>投标人</w:t>
      </w:r>
      <w:r>
        <w:rPr>
          <w:rFonts w:hint="eastAsia" w:ascii="仿宋" w:hAnsi="仿宋" w:eastAsia="仿宋" w:cs="仿宋_GB2312"/>
          <w:b/>
          <w:bCs/>
          <w:color w:val="auto"/>
          <w:sz w:val="24"/>
          <w:highlight w:val="none"/>
        </w:rPr>
        <w:t>须满足以下条件：</w:t>
      </w:r>
    </w:p>
    <w:p w14:paraId="059B4B22">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以招标文件规定的方式获得了本项目的招标文件。</w:t>
      </w:r>
    </w:p>
    <w:p w14:paraId="3083EA8B">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符合</w:t>
      </w:r>
      <w:r>
        <w:rPr>
          <w:rFonts w:hint="eastAsia" w:ascii="仿宋" w:hAnsi="仿宋" w:eastAsia="仿宋" w:cs="仿宋_GB2312"/>
          <w:color w:val="auto"/>
          <w:sz w:val="24"/>
          <w:highlight w:val="none"/>
          <w:u w:val="single"/>
          <w:lang w:val="en-US" w:eastAsia="zh-CN"/>
        </w:rPr>
        <w:t>招标公告</w:t>
      </w:r>
      <w:r>
        <w:rPr>
          <w:rFonts w:hint="eastAsia" w:ascii="仿宋" w:hAnsi="仿宋" w:eastAsia="仿宋" w:cs="仿宋_GB2312"/>
          <w:color w:val="auto"/>
          <w:sz w:val="24"/>
          <w:highlight w:val="none"/>
        </w:rPr>
        <w:t>中规定的落</w:t>
      </w:r>
      <w:r>
        <w:rPr>
          <w:rFonts w:hint="eastAsia" w:ascii="仿宋" w:hAnsi="仿宋" w:eastAsia="仿宋" w:cs="仿宋_GB2312"/>
          <w:color w:val="auto"/>
          <w:sz w:val="24"/>
          <w:highlight w:val="none"/>
          <w:lang w:eastAsia="zh-CN"/>
        </w:rPr>
        <w:t>实政府采购政策需满足的资格要求</w:t>
      </w:r>
      <w:r>
        <w:rPr>
          <w:rFonts w:hint="eastAsia" w:ascii="仿宋" w:hAnsi="仿宋" w:eastAsia="仿宋" w:cs="仿宋_GB2312"/>
          <w:color w:val="auto"/>
          <w:sz w:val="24"/>
          <w:highlight w:val="none"/>
        </w:rPr>
        <w:t>。</w:t>
      </w:r>
    </w:p>
    <w:p w14:paraId="2C4ABECC">
      <w:pPr>
        <w:numPr>
          <w:ilvl w:val="2"/>
          <w:numId w:val="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符合</w:t>
      </w:r>
      <w:r>
        <w:rPr>
          <w:rFonts w:hint="eastAsia" w:ascii="仿宋" w:hAnsi="仿宋" w:eastAsia="仿宋" w:cs="仿宋_GB2312"/>
          <w:color w:val="auto"/>
          <w:sz w:val="24"/>
          <w:highlight w:val="none"/>
          <w:u w:val="single"/>
          <w:lang w:val="en-US" w:eastAsia="zh-CN"/>
        </w:rPr>
        <w:t>招标公告</w:t>
      </w:r>
      <w:r>
        <w:rPr>
          <w:rFonts w:hint="eastAsia" w:ascii="仿宋" w:hAnsi="仿宋" w:eastAsia="仿宋" w:cs="仿宋_GB2312"/>
          <w:color w:val="auto"/>
          <w:sz w:val="24"/>
          <w:highlight w:val="none"/>
        </w:rPr>
        <w:t>规定的</w:t>
      </w:r>
      <w:r>
        <w:rPr>
          <w:rFonts w:hint="eastAsia" w:ascii="仿宋" w:hAnsi="仿宋" w:eastAsia="仿宋" w:cs="仿宋_GB2312"/>
          <w:color w:val="auto"/>
          <w:sz w:val="24"/>
          <w:highlight w:val="none"/>
          <w:lang w:val="en-US" w:eastAsia="zh-CN"/>
        </w:rPr>
        <w:t>本项目特定</w:t>
      </w:r>
      <w:r>
        <w:rPr>
          <w:rFonts w:hint="eastAsia" w:ascii="仿宋" w:hAnsi="仿宋" w:eastAsia="仿宋" w:cs="仿宋_GB2312"/>
          <w:color w:val="auto"/>
          <w:sz w:val="24"/>
          <w:highlight w:val="none"/>
        </w:rPr>
        <w:t>资格要求。</w:t>
      </w:r>
    </w:p>
    <w:p w14:paraId="782480BF">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如经财政主管部门批准可以采购进口产品，将在</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中写明。但</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应保证所投产品可履行合法报通关手续进入中国关境内。若</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中未写明允许采购进口产品，如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所投产品为进口产品，其投标将作为</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 xml:space="preserve">被拒绝。 </w:t>
      </w:r>
    </w:p>
    <w:p w14:paraId="4217C81E">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中小企业、监狱企业及残疾人福利性单位。</w:t>
      </w:r>
    </w:p>
    <w:p w14:paraId="39814D51">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采购标的对应的中小企业划分标准所属行业见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w:t>
      </w:r>
    </w:p>
    <w:p w14:paraId="6E4C868C">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若</w:t>
      </w:r>
      <w:r>
        <w:rPr>
          <w:rFonts w:hint="eastAsia" w:ascii="仿宋" w:hAnsi="仿宋" w:eastAsia="仿宋" w:cs="仿宋_GB2312"/>
          <w:color w:val="auto"/>
          <w:sz w:val="24"/>
          <w:highlight w:val="none"/>
          <w:u w:val="single"/>
          <w:lang w:val="en-US" w:eastAsia="zh-CN"/>
        </w:rPr>
        <w:t>投标须知前附表</w:t>
      </w:r>
      <w:r>
        <w:rPr>
          <w:rFonts w:hint="eastAsia" w:ascii="仿宋" w:hAnsi="仿宋" w:eastAsia="仿宋" w:cs="仿宋_GB2312"/>
          <w:color w:val="auto"/>
          <w:sz w:val="24"/>
          <w:highlight w:val="none"/>
          <w:lang w:val="en-US" w:eastAsia="zh-CN"/>
        </w:rPr>
        <w:t>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color w:val="auto"/>
          <w:sz w:val="24"/>
          <w:highlight w:val="none"/>
          <w:u w:val="single"/>
          <w:lang w:val="en-US" w:eastAsia="zh-CN"/>
        </w:rPr>
        <w:t>见投标须知前附表</w:t>
      </w:r>
      <w:r>
        <w:rPr>
          <w:rFonts w:hint="eastAsia" w:ascii="仿宋" w:hAnsi="仿宋" w:eastAsia="仿宋" w:cs="仿宋_GB2312"/>
          <w:color w:val="auto"/>
          <w:sz w:val="24"/>
          <w:highlight w:val="none"/>
          <w:lang w:val="en-US" w:eastAsia="zh-CN"/>
        </w:rPr>
        <w:t>，未达到上述比例的投标将被认定为</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。承接企业如为监狱企业或残疾人福利性单位的，视同为小型、微型企业。</w:t>
      </w:r>
    </w:p>
    <w:p w14:paraId="3FBC8729">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 </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提供的货物、工程或者服务符合下列情形的，享受中小企业扶持政策：</w:t>
      </w:r>
    </w:p>
    <w:p w14:paraId="4934D487">
      <w:pPr>
        <w:numPr>
          <w:ilvl w:val="0"/>
          <w:numId w:val="5"/>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在货物采购项目中，货物由中小企业制造，即货物由中小企业生产且使用该中小企业商号或者注册商标；</w:t>
      </w:r>
    </w:p>
    <w:p w14:paraId="1CCDDAE1">
      <w:pPr>
        <w:numPr>
          <w:ilvl w:val="0"/>
          <w:numId w:val="5"/>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在工程采购项目中，工程由中小企业承建，即工程施工单位为中小企业；</w:t>
      </w:r>
    </w:p>
    <w:p w14:paraId="161E9E7B">
      <w:pPr>
        <w:numPr>
          <w:ilvl w:val="0"/>
          <w:numId w:val="5"/>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在货物采购项目中，</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提供的货物既有中小企业制造货物，也有大型企业制造货物的，不享受中小企业扶持政策。 </w:t>
      </w:r>
    </w:p>
    <w:p w14:paraId="24F44E13">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安置的残疾人占本单位在职职工人数的比例不低于25%（含25%），并且安置的残疾人人数不少于10人（含10人）； </w:t>
      </w:r>
    </w:p>
    <w:p w14:paraId="31DDB711">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依法与安置的每位残疾人签订了一年以上（含一年）的劳动合同或服务协议；</w:t>
      </w:r>
    </w:p>
    <w:p w14:paraId="3B9C8128">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为安置的每位残疾人按月足额缴纳了基本养老保险、基本医疗保险、失业保险、工伤保险和生育保险等社会保险费；</w:t>
      </w:r>
    </w:p>
    <w:p w14:paraId="28E3D24E">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享受中小企业扶持政策获得政府采购合同的，小微企业不得将合同分包给大中型企业，中型企业不得将合同分包给大型企业。</w:t>
      </w:r>
    </w:p>
    <w:p w14:paraId="7ED60D10">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政府采购节能产品、环境标志产品</w:t>
      </w:r>
    </w:p>
    <w:p w14:paraId="4833AF79">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如本项目采购产品属于实施政府强制采购品目清单范围的节能产品，则</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所报产品必须获得国家确定的认证机构出具的、处于有效期之内的节能产品认证证书，否则</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53A578EB">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支持乡村产业振兴管理</w:t>
      </w:r>
    </w:p>
    <w:p w14:paraId="3F7428FC">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 正版软件</w:t>
      </w:r>
    </w:p>
    <w:p w14:paraId="71146994">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rPr>
        <w:t xml:space="preserve"> </w:t>
      </w:r>
      <w:r>
        <w:rPr>
          <w:rFonts w:hint="eastAsia" w:ascii="仿宋" w:hAnsi="仿宋" w:eastAsia="仿宋" w:cs="仿宋"/>
          <w:b w:val="0"/>
          <w:bCs w:val="0"/>
          <w:color w:val="auto"/>
          <w:sz w:val="24"/>
          <w:szCs w:val="24"/>
          <w:highlight w:val="none"/>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中允许联合体投标，对联合体规定如下：</w:t>
      </w:r>
    </w:p>
    <w:p w14:paraId="6EB405D6">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两个以上</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可以组成一个投标联合体，以一个</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的身份投标。  </w:t>
      </w:r>
    </w:p>
    <w:p w14:paraId="39F1508B">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采购人根据采购项目对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的特殊要求，联合体中至少应当有一方符合相关规定。</w:t>
      </w:r>
    </w:p>
    <w:p w14:paraId="0A6E319E">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联合体中有同类资质的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按照联合体分工承担相同工作的，按照资质等级较低的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确定资质等级。</w:t>
      </w:r>
    </w:p>
    <w:p w14:paraId="17C4F3F9">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对联合体投标的其他资格要求见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w:t>
      </w:r>
    </w:p>
    <w:p w14:paraId="273624E6">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单位负责人为同一人或者存在直接控股、管理关系的不同</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，其投标将被认定为</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 xml:space="preserve">。 </w:t>
      </w:r>
    </w:p>
    <w:p w14:paraId="076A071C">
      <w:pPr>
        <w:numPr>
          <w:ilvl w:val="1"/>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为本项目提供整体设计、规范编制或者项目管理、监理、检测等服务的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，其投标将被认定为</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53798CAA">
      <w:pPr>
        <w:numPr>
          <w:ilvl w:val="1"/>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本国产品标准及支持政策</w:t>
      </w:r>
    </w:p>
    <w:p w14:paraId="08988B43">
      <w:pPr>
        <w:numPr>
          <w:ilvl w:val="2"/>
          <w:numId w:val="4"/>
        </w:numPr>
        <w:spacing w:line="440" w:lineRule="exact"/>
        <w:rPr>
          <w:rFonts w:hint="eastAsia" w:ascii="仿宋" w:hAnsi="仿宋" w:eastAsia="仿宋" w:cs="仿宋_GB2312"/>
          <w:color w:val="auto"/>
          <w:sz w:val="24"/>
          <w:highlight w:val="none"/>
          <w:lang w:val="en-US" w:eastAsia="zh-CN"/>
        </w:rPr>
      </w:pPr>
      <w:r>
        <w:rPr>
          <w:rFonts w:hint="eastAsia" w:ascii="仿宋" w:hAnsi="仿宋" w:eastAsia="仿宋" w:cs="仿宋"/>
          <w:color w:val="auto"/>
          <w:sz w:val="24"/>
          <w:highlight w:val="none"/>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color w:val="auto"/>
          <w:sz w:val="24"/>
          <w:highlight w:val="none"/>
          <w:u w:val="single"/>
        </w:rPr>
        <w:t>见投标须知前附表。</w:t>
      </w:r>
    </w:p>
    <w:p w14:paraId="297183BF">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仅进行包装、贴牌、简单处理等不改变产品核心属性的操作，不视为境内生产。</w:t>
      </w:r>
    </w:p>
    <w:p w14:paraId="5E333DFC">
      <w:pPr>
        <w:numPr>
          <w:ilvl w:val="2"/>
          <w:numId w:val="4"/>
        </w:numPr>
        <w:spacing w:line="500" w:lineRule="exact"/>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50FDA05F">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对国家相关部门后续发布的特定产品清单内的产品，除满足上述条件外，还需同时满足关键组件境内生产、关键工序境内完成等特定要求。</w:t>
      </w:r>
    </w:p>
    <w:p w14:paraId="2DF097B9">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F5BF660">
      <w:pPr>
        <w:numPr>
          <w:ilvl w:val="2"/>
          <w:numId w:val="4"/>
        </w:numPr>
        <w:spacing w:line="500" w:lineRule="exact"/>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采购人、采购代理机构应当随中标、成交结果同时公告中标、成交供应商提供的《关于符合本国产品标准的声明函》或有关证明文件。</w:t>
      </w:r>
    </w:p>
    <w:p w14:paraId="2B40C7E8">
      <w:pPr>
        <w:numPr>
          <w:ilvl w:val="1"/>
          <w:numId w:val="4"/>
        </w:numPr>
        <w:spacing w:line="500" w:lineRule="exact"/>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进口产品</w:t>
      </w:r>
    </w:p>
    <w:p w14:paraId="169666B9">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若采购需求中未写明允许采购进口产品，如投标人所投产品为进口产品，其投标将被认定为</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w:t>
      </w:r>
    </w:p>
    <w:p w14:paraId="08ED064E">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 xml:space="preserve"> 资金来源 </w:t>
      </w:r>
    </w:p>
    <w:p w14:paraId="6FC253F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项目预算金额和最高限价见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w:t>
      </w:r>
    </w:p>
    <w:p w14:paraId="264E9BF8">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报价超过招标文件规定的预算金额或者最高限价的，其投标将被认定为</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 xml:space="preserve">。 </w:t>
      </w:r>
    </w:p>
    <w:p w14:paraId="0D1F788A">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投标费用</w:t>
      </w:r>
    </w:p>
    <w:p w14:paraId="441560F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b/>
          <w:bCs/>
          <w:color w:val="auto"/>
          <w:sz w:val="24"/>
          <w:highlight w:val="none"/>
        </w:rPr>
        <w:t>适用法律</w:t>
      </w:r>
    </w:p>
    <w:p w14:paraId="0C59DF3F">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本项目采购人、采购代理机构、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ascii="仿宋" w:hAnsi="仿宋" w:eastAsia="仿宋" w:cs="仿宋_GB2312"/>
          <w:b/>
          <w:bCs/>
          <w:color w:val="auto"/>
          <w:sz w:val="24"/>
          <w:highlight w:val="none"/>
        </w:rPr>
      </w:pPr>
    </w:p>
    <w:p w14:paraId="3E279297">
      <w:pPr>
        <w:numPr>
          <w:ilvl w:val="0"/>
          <w:numId w:val="8"/>
        </w:numPr>
        <w:tabs>
          <w:tab w:val="left" w:pos="0"/>
        </w:tabs>
        <w:spacing w:line="500" w:lineRule="exact"/>
        <w:jc w:val="center"/>
        <w:outlineLvl w:val="1"/>
        <w:rPr>
          <w:rFonts w:ascii="仿宋" w:hAnsi="仿宋" w:eastAsia="仿宋" w:cs="仿宋_GB2312"/>
          <w:b/>
          <w:bCs/>
          <w:color w:val="auto"/>
          <w:sz w:val="24"/>
          <w:highlight w:val="none"/>
        </w:rPr>
      </w:pPr>
      <w:bookmarkStart w:id="19" w:name="_Toc32389"/>
      <w:bookmarkStart w:id="20" w:name="_Toc6547"/>
      <w:r>
        <w:rPr>
          <w:rFonts w:hint="eastAsia" w:ascii="仿宋" w:hAnsi="仿宋" w:eastAsia="仿宋" w:cs="仿宋_GB2312"/>
          <w:b/>
          <w:bCs/>
          <w:color w:val="auto"/>
          <w:sz w:val="24"/>
          <w:highlight w:val="none"/>
        </w:rPr>
        <w:t>招标文件</w:t>
      </w:r>
      <w:bookmarkEnd w:id="19"/>
      <w:bookmarkEnd w:id="20"/>
    </w:p>
    <w:p w14:paraId="0EE7B2B7">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招标文件构成</w:t>
      </w:r>
    </w:p>
    <w:p w14:paraId="3D1F778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招标文件包括以下部分：</w:t>
      </w:r>
    </w:p>
    <w:p w14:paraId="1F02CAD4">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第一章 招标公告</w:t>
      </w:r>
    </w:p>
    <w:p w14:paraId="7F426FBA">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第二章 投标须知前附表 </w:t>
      </w:r>
    </w:p>
    <w:p w14:paraId="69F9C29C">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第三章 </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须知</w:t>
      </w:r>
    </w:p>
    <w:p w14:paraId="1DA4A67B">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第四章 政府采购合同 </w:t>
      </w:r>
    </w:p>
    <w:p w14:paraId="5350C68F">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第五章 采购需求 </w:t>
      </w:r>
    </w:p>
    <w:p w14:paraId="617FCD05">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第六章 评标程序、评标方法和评标标准</w:t>
      </w:r>
    </w:p>
    <w:p w14:paraId="4DDE93F4">
      <w:pPr>
        <w:tabs>
          <w:tab w:val="left" w:pos="0"/>
        </w:tabs>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第七章 投标文件格式 </w:t>
      </w:r>
    </w:p>
    <w:p w14:paraId="0CD6621F">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应认真阅读招标文件的全部内容。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应按照招标文件要求提交投标文件并保证所提供的全部资料的真实性，并对招标文件做出实质性响应，否则</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67C26DAC">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现场考察或者答疑会及相关事项见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w:t>
      </w:r>
    </w:p>
    <w:p w14:paraId="76464DF2">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采购人在踏勘现场中介绍的资料和数据等，只是为了使</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能够利用招标人现有的资料。招标人对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由此而作出的推论、解释和结论概不负责。</w:t>
      </w:r>
    </w:p>
    <w:p w14:paraId="77FC0B2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自行承担踏勘现场发生的责任、风险和自身费用。</w:t>
      </w:r>
    </w:p>
    <w:p w14:paraId="7F04A55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原则上采购人、采购代理机构不要求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，对样品的评审方法及评审标准见招标文件第六章《评标程序、评标方法和评标标准》。</w:t>
      </w:r>
    </w:p>
    <w:p w14:paraId="5FEC85DB">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招标文件规定</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提交样品的，样品属于投标文件的组成部分。样品的生产、运输、安装、保全等一切费用由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自理。</w:t>
      </w:r>
    </w:p>
    <w:p w14:paraId="79DF091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采购结果公告发布后，中标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的样品由采购人封存，作为履约验收的依据之一。未中标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在接到采购代理机构通知后，应按规定时间尽快自行取回样品，否则视同</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不再认领，代理机构有权进行处理。</w:t>
      </w:r>
    </w:p>
    <w:p w14:paraId="0723325F">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对招标文件的澄清或修改</w:t>
      </w:r>
    </w:p>
    <w:p w14:paraId="3FEFD7F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未及时登陆媒体（网站）查看导致通知未及时收到通知的，采购人或采购代理机构不承担责任。</w:t>
      </w:r>
    </w:p>
    <w:p w14:paraId="61B70F92">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具有约束力。一经在指定媒体上发布后，更正公告将作为通知所有招标文件收受人的书面形式。</w:t>
      </w:r>
    </w:p>
    <w:p w14:paraId="4BAF100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澄清或者修改的内容为招标文件的组成部分，并对所有获取招标文件的潜在</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为了保证对招标文件的澄清和修改满足法律的时限要求，任何要求对招标文件进行澄清的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，均应在投标截止期十五日前，以书面形式将澄清要求通知采购人或采购代理机构。</w:t>
      </w:r>
    </w:p>
    <w:p w14:paraId="5B126C3B">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如更正公告有重新发布电子招标文件的，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应登录电子招投标平台下载最新发布的电子招标文件制作投标文件。</w:t>
      </w:r>
    </w:p>
    <w:p w14:paraId="689CE86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w:t>
      </w:r>
    </w:p>
    <w:p w14:paraId="2CB125AB">
      <w:pPr>
        <w:tabs>
          <w:tab w:val="left" w:pos="0"/>
        </w:tabs>
        <w:spacing w:line="500" w:lineRule="exact"/>
        <w:rPr>
          <w:rFonts w:ascii="仿宋" w:hAnsi="仿宋" w:eastAsia="仿宋" w:cs="仿宋_GB2312"/>
          <w:color w:val="auto"/>
          <w:sz w:val="24"/>
          <w:highlight w:val="none"/>
        </w:rPr>
      </w:pPr>
    </w:p>
    <w:p w14:paraId="543D9501">
      <w:pPr>
        <w:numPr>
          <w:ilvl w:val="0"/>
          <w:numId w:val="8"/>
        </w:numPr>
        <w:tabs>
          <w:tab w:val="left" w:pos="0"/>
        </w:tabs>
        <w:spacing w:line="500" w:lineRule="exact"/>
        <w:jc w:val="center"/>
        <w:outlineLvl w:val="1"/>
        <w:rPr>
          <w:rFonts w:ascii="仿宋" w:hAnsi="仿宋" w:eastAsia="仿宋" w:cs="仿宋_GB2312"/>
          <w:b/>
          <w:bCs/>
          <w:color w:val="auto"/>
          <w:sz w:val="24"/>
          <w:highlight w:val="none"/>
        </w:rPr>
      </w:pPr>
      <w:bookmarkStart w:id="21" w:name="_Toc23591"/>
      <w:bookmarkStart w:id="22" w:name="_Toc9070"/>
      <w:r>
        <w:rPr>
          <w:rFonts w:hint="eastAsia" w:ascii="仿宋" w:hAnsi="仿宋" w:eastAsia="仿宋" w:cs="仿宋_GB2312"/>
          <w:b/>
          <w:bCs/>
          <w:color w:val="auto"/>
          <w:sz w:val="24"/>
          <w:highlight w:val="none"/>
        </w:rPr>
        <w:t>投标文件的编制</w:t>
      </w:r>
      <w:bookmarkEnd w:id="21"/>
      <w:bookmarkEnd w:id="22"/>
    </w:p>
    <w:p w14:paraId="489743A4">
      <w:pPr>
        <w:numPr>
          <w:ilvl w:val="0"/>
          <w:numId w:val="7"/>
        </w:numPr>
        <w:tabs>
          <w:tab w:val="left" w:pos="0"/>
        </w:tabs>
        <w:spacing w:line="500" w:lineRule="exact"/>
        <w:rPr>
          <w:rFonts w:ascii="仿宋" w:hAnsi="仿宋" w:eastAsia="仿宋" w:cs="仿宋_GB2312"/>
          <w:b/>
          <w:bCs/>
          <w:color w:val="auto"/>
          <w:sz w:val="24"/>
          <w:highlight w:val="none"/>
          <w:u w:val="single"/>
        </w:rPr>
      </w:pPr>
      <w:r>
        <w:rPr>
          <w:rFonts w:hint="eastAsia" w:ascii="仿宋" w:hAnsi="仿宋" w:eastAsia="仿宋" w:cs="仿宋_GB2312"/>
          <w:b/>
          <w:bCs/>
          <w:color w:val="auto"/>
          <w:sz w:val="24"/>
          <w:highlight w:val="none"/>
        </w:rPr>
        <w:t>投标范围、投标文件中计量单位的使用及投标语言</w:t>
      </w:r>
    </w:p>
    <w:p w14:paraId="66230E7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可对招标文件中一个或几个分包进行投标，除非在</w:t>
      </w:r>
      <w:r>
        <w:rPr>
          <w:rFonts w:hint="eastAsia" w:ascii="仿宋" w:hAnsi="仿宋" w:eastAsia="仿宋" w:cs="仿宋_GB2312"/>
          <w:color w:val="auto"/>
          <w:sz w:val="24"/>
          <w:highlight w:val="none"/>
          <w:u w:val="single"/>
        </w:rPr>
        <w:t>投标须知前附表中另有规定</w:t>
      </w:r>
      <w:r>
        <w:rPr>
          <w:rFonts w:hint="eastAsia" w:ascii="仿宋" w:hAnsi="仿宋" w:eastAsia="仿宋" w:cs="仿宋_GB2312"/>
          <w:color w:val="auto"/>
          <w:sz w:val="24"/>
          <w:highlight w:val="none"/>
        </w:rPr>
        <w:t xml:space="preserve">。 </w:t>
      </w:r>
    </w:p>
    <w:p w14:paraId="572D0CB6">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6EDDE7D0">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无论招标文件中是否要求，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所投货物或服务均应符合国家强制性标准。</w:t>
      </w:r>
    </w:p>
    <w:p w14:paraId="51E62BB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除专用术语外，投标文件及来往函电均应使用中文书写。必要时专用术语应附有中文解释。</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自行承担。 </w:t>
      </w:r>
    </w:p>
    <w:p w14:paraId="66BD48B5">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投标文件构成</w:t>
      </w:r>
    </w:p>
    <w:p w14:paraId="10F5D9B0">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应当按照招标文件的要求编制投标文件。投标文件应由资格证明文件、报价文件、商务技术文件</w:t>
      </w:r>
      <w:r>
        <w:rPr>
          <w:rFonts w:hint="eastAsia" w:ascii="仿宋" w:hAnsi="仿宋" w:eastAsia="仿宋" w:cs="仿宋_GB2312"/>
          <w:color w:val="auto"/>
          <w:sz w:val="24"/>
          <w:highlight w:val="none"/>
          <w:lang w:val="en-US" w:eastAsia="zh-CN"/>
        </w:rPr>
        <w:t>三</w:t>
      </w:r>
      <w:r>
        <w:rPr>
          <w:rFonts w:hint="eastAsia" w:ascii="仿宋" w:hAnsi="仿宋" w:eastAsia="仿宋" w:cs="仿宋_GB2312"/>
          <w:color w:val="auto"/>
          <w:sz w:val="24"/>
          <w:highlight w:val="none"/>
        </w:rPr>
        <w:t>部分构成。投标文件的部分格式要求，见第七章《投标文件格式》。</w:t>
      </w:r>
    </w:p>
    <w:p w14:paraId="0DC20DD8">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第五章《采购需求》及第六章《评标程序、评标方法和评标标准》中涉及的证明文件。</w:t>
      </w:r>
    </w:p>
    <w:p w14:paraId="23461694">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应当按具体要求提供证明文件。</w:t>
      </w:r>
    </w:p>
    <w:p w14:paraId="4B635B0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认为应附的其他材料。</w:t>
      </w:r>
    </w:p>
    <w:p w14:paraId="1D4902F7">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437BA4">
      <w:pPr>
        <w:numPr>
          <w:ilvl w:val="0"/>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b/>
          <w:bCs/>
          <w:color w:val="auto"/>
          <w:sz w:val="24"/>
          <w:highlight w:val="none"/>
        </w:rPr>
        <w:t>投标报价</w:t>
      </w:r>
    </w:p>
    <w:p w14:paraId="64E2D7D1">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所有响应均以人民币报价</w:t>
      </w:r>
      <w:r>
        <w:rPr>
          <w:rFonts w:hint="eastAsia" w:ascii="仿宋" w:hAnsi="仿宋" w:eastAsia="仿宋" w:cs="仿宋_GB2312"/>
          <w:color w:val="auto"/>
          <w:sz w:val="24"/>
          <w:highlight w:val="none"/>
          <w:lang w:val="zh-CN" w:eastAsia="zh-CN"/>
        </w:rPr>
        <w:t>，</w:t>
      </w:r>
      <w:r>
        <w:rPr>
          <w:rFonts w:hint="eastAsia" w:ascii="仿宋" w:hAnsi="仿宋" w:eastAsia="仿宋" w:cs="仿宋_GB2312"/>
          <w:color w:val="auto"/>
          <w:sz w:val="24"/>
          <w:highlight w:val="none"/>
          <w:lang w:val="en-US" w:eastAsia="zh-CN"/>
        </w:rPr>
        <w:t>除非采购文件另有规定，</w:t>
      </w:r>
      <w:r>
        <w:rPr>
          <w:rFonts w:hint="eastAsia" w:ascii="仿宋" w:hAnsi="仿宋" w:eastAsia="仿宋" w:cs="仿宋_GB2312"/>
          <w:color w:val="auto"/>
          <w:sz w:val="24"/>
          <w:highlight w:val="none"/>
          <w:lang w:val="zh-CN" w:eastAsia="zh-CN"/>
        </w:rPr>
        <w:t>均应以人民币进行报价。</w:t>
      </w:r>
    </w:p>
    <w:p w14:paraId="09AE4887">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供应商应按照</w:t>
      </w:r>
      <w:r>
        <w:rPr>
          <w:rFonts w:hint="eastAsia" w:ascii="仿宋" w:hAnsi="仿宋" w:eastAsia="仿宋" w:cs="仿宋_GB2312"/>
          <w:color w:val="auto"/>
          <w:sz w:val="24"/>
          <w:highlight w:val="none"/>
          <w:u w:val="single"/>
          <w:lang w:val="en-US" w:eastAsia="zh-CN"/>
        </w:rPr>
        <w:t>投标人须知前附表</w:t>
      </w:r>
      <w:r>
        <w:rPr>
          <w:rFonts w:hint="eastAsia" w:ascii="仿宋" w:hAnsi="仿宋" w:eastAsia="仿宋" w:cs="仿宋_GB2312"/>
          <w:color w:val="auto"/>
          <w:sz w:val="24"/>
          <w:highlight w:val="none"/>
          <w:lang w:val="en-US" w:eastAsia="zh-CN"/>
        </w:rPr>
        <w:t>规定的报价方式进行报价，响应报价中不得包含采购文件要求以外的内容，否则，在评标时不予核减。响应报价不得缺漏采购文件所要求的内容，否则其</w:t>
      </w:r>
      <w:r>
        <w:rPr>
          <w:rFonts w:hint="eastAsia" w:ascii="仿宋" w:hAnsi="仿宋" w:eastAsia="仿宋" w:cs="仿宋_GB2312"/>
          <w:b/>
          <w:bCs/>
          <w:color w:val="auto"/>
          <w:sz w:val="24"/>
          <w:highlight w:val="none"/>
          <w:lang w:val="en-US" w:eastAsia="zh-CN"/>
        </w:rPr>
        <w:t>响应无效</w:t>
      </w:r>
      <w:r>
        <w:rPr>
          <w:rFonts w:hint="eastAsia" w:ascii="仿宋" w:hAnsi="仿宋" w:eastAsia="仿宋" w:cs="仿宋_GB2312"/>
          <w:color w:val="auto"/>
          <w:sz w:val="24"/>
          <w:highlight w:val="none"/>
          <w:lang w:val="en-US" w:eastAsia="zh-CN"/>
        </w:rPr>
        <w:t>。</w:t>
      </w:r>
    </w:p>
    <w:p w14:paraId="3E90F478">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供应商的报价应当包括满足本次采购文件全部采购需求所应提供的全部内容。包含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供应商在响应文件中注明免费或投标分项报价表中未填报的项目将视为包含在响应报价中。</w:t>
      </w:r>
    </w:p>
    <w:p w14:paraId="2B64E22E">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供应商的响应报价应遵守《中华人民共和国价格法》。同时，根据《中华人民共和国政府采购法》及相关配套法律、法规的规定，为保证公平竞争，如供应商有赠与行为的，将导致其响应文件被</w:t>
      </w:r>
      <w:r>
        <w:rPr>
          <w:rFonts w:hint="eastAsia" w:ascii="仿宋" w:hAnsi="仿宋" w:eastAsia="仿宋" w:cs="仿宋_GB2312"/>
          <w:b/>
          <w:bCs/>
          <w:color w:val="auto"/>
          <w:sz w:val="24"/>
          <w:highlight w:val="none"/>
          <w:lang w:val="en-US" w:eastAsia="zh-CN"/>
        </w:rPr>
        <w:t>拒绝</w:t>
      </w:r>
      <w:r>
        <w:rPr>
          <w:rFonts w:hint="eastAsia" w:ascii="仿宋" w:hAnsi="仿宋" w:eastAsia="仿宋" w:cs="仿宋_GB2312"/>
          <w:color w:val="auto"/>
          <w:sz w:val="24"/>
          <w:highlight w:val="none"/>
          <w:lang w:val="en-US" w:eastAsia="zh-CN"/>
        </w:rPr>
        <w:t>。</w:t>
      </w:r>
    </w:p>
    <w:p w14:paraId="504CD823">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除政策性文件规定以外，供应商所报的各分项响应单价在合同履行过程中是固定不变的，不得以任何理由予以变更。任何包含价格调整要求的响应，将被认定为其</w:t>
      </w:r>
      <w:r>
        <w:rPr>
          <w:rFonts w:hint="eastAsia" w:ascii="仿宋" w:hAnsi="仿宋" w:eastAsia="仿宋" w:cs="仿宋_GB2312"/>
          <w:b/>
          <w:bCs/>
          <w:color w:val="auto"/>
          <w:sz w:val="24"/>
          <w:highlight w:val="none"/>
          <w:lang w:val="en-US" w:eastAsia="zh-CN"/>
        </w:rPr>
        <w:t>响应文件无效</w:t>
      </w:r>
      <w:r>
        <w:rPr>
          <w:rFonts w:hint="eastAsia" w:ascii="仿宋" w:hAnsi="仿宋" w:eastAsia="仿宋" w:cs="仿宋_GB2312"/>
          <w:color w:val="auto"/>
          <w:sz w:val="24"/>
          <w:highlight w:val="none"/>
          <w:lang w:val="en-US" w:eastAsia="zh-CN"/>
        </w:rPr>
        <w:t>。</w:t>
      </w:r>
    </w:p>
    <w:p w14:paraId="45E988E2">
      <w:pPr>
        <w:numPr>
          <w:ilvl w:val="1"/>
          <w:numId w:val="7"/>
        </w:numPr>
        <w:tabs>
          <w:tab w:val="left" w:pos="0"/>
        </w:tabs>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每一种采购内容只允许有一个报价，否则其响应无效。除非采购文件另有规定，不接受可选择或可调整的投标方案和报价，任何有选择的或可调整的投标方案和报价将被视为非实质性响应采购文件，其</w:t>
      </w:r>
      <w:r>
        <w:rPr>
          <w:rFonts w:hint="eastAsia" w:ascii="仿宋" w:hAnsi="仿宋" w:eastAsia="仿宋" w:cs="仿宋_GB2312"/>
          <w:b/>
          <w:bCs/>
          <w:color w:val="auto"/>
          <w:sz w:val="24"/>
          <w:highlight w:val="none"/>
          <w:lang w:val="en-US" w:eastAsia="zh-CN"/>
        </w:rPr>
        <w:t>响应无效</w:t>
      </w:r>
      <w:r>
        <w:rPr>
          <w:rFonts w:hint="eastAsia" w:ascii="仿宋" w:hAnsi="仿宋" w:eastAsia="仿宋" w:cs="仿宋_GB2312"/>
          <w:color w:val="auto"/>
          <w:sz w:val="24"/>
          <w:highlight w:val="none"/>
          <w:lang w:val="en-US" w:eastAsia="zh-CN"/>
        </w:rPr>
        <w:t>。</w:t>
      </w:r>
    </w:p>
    <w:p w14:paraId="5ABC82EC">
      <w:pPr>
        <w:numPr>
          <w:ilvl w:val="1"/>
          <w:numId w:val="7"/>
        </w:numPr>
        <w:tabs>
          <w:tab w:val="left" w:pos="0"/>
        </w:tabs>
        <w:spacing w:line="500" w:lineRule="exact"/>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供应商应按照““第五章采购需求”的需求内容、责任范围以及第四章政府采购合同”进行报价。并按“开标一览表”和“投标分项报价表”规定的格式报出总价和分项价格。</w:t>
      </w:r>
    </w:p>
    <w:p w14:paraId="6086CB38">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最低报价不能作为中标的保证。</w:t>
      </w:r>
    </w:p>
    <w:p w14:paraId="43809A14">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投标保证金</w:t>
      </w:r>
    </w:p>
    <w:p w14:paraId="35CE4873">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应按</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中规定的金额及要求交纳投标保证金，并作为其投标的一部分。</w:t>
      </w:r>
    </w:p>
    <w:p w14:paraId="31822FA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交纳投标保证金的形式除</w:t>
      </w:r>
      <w:r>
        <w:rPr>
          <w:rFonts w:hint="eastAsia" w:ascii="仿宋" w:hAnsi="仿宋" w:eastAsia="仿宋" w:cs="仿宋_GB2312"/>
          <w:color w:val="auto"/>
          <w:sz w:val="24"/>
          <w:highlight w:val="none"/>
          <w:u w:val="single"/>
        </w:rPr>
        <w:t>投标须知前附表中</w:t>
      </w:r>
      <w:r>
        <w:rPr>
          <w:rFonts w:hint="eastAsia" w:ascii="仿宋" w:hAnsi="仿宋" w:eastAsia="仿宋" w:cs="仿宋_GB2312"/>
          <w:color w:val="auto"/>
          <w:sz w:val="24"/>
          <w:highlight w:val="none"/>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rPr>
        <w:t>。</w:t>
      </w:r>
    </w:p>
    <w:p w14:paraId="798A08D4">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。电子保函与纸质保函具有同样效力。</w:t>
      </w:r>
    </w:p>
    <w:p w14:paraId="37BE7F16">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投标保证金（保函）有效期同投标有效期。</w:t>
      </w:r>
    </w:p>
    <w:p w14:paraId="1687ED9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联合体投标的，可以由联合体中的一方或者共同提交投标保证金，以一方名义提交投标保证金的，对联合体各方均具有约束力。</w:t>
      </w:r>
    </w:p>
    <w:p w14:paraId="6F9AB31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采购人、采购代理机构将及时退还</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的投标保证金，采用银行保函、担保机构担保函等形式递交的投标保证金，经</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同意后采购人、采购代理机构可以不再退还，但因</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自身原因导致无法及时退还的除外。</w:t>
      </w:r>
    </w:p>
    <w:p w14:paraId="0AAA9468">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在投标截止时间前撤回已提交的投标文件的，自收到</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书面撤回通知之日起 5 个工作日内退还已收取的投标保证金。 </w:t>
      </w:r>
    </w:p>
    <w:p w14:paraId="51CF917E">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中标人的投标保证金，自采购合同签订之日起 5 个工作日内退还中标人。 </w:t>
      </w:r>
    </w:p>
    <w:p w14:paraId="1963C98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未中标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的投标保证金，自中标通知书发出之日起 5 个工作日内退还未中标人。</w:t>
      </w:r>
    </w:p>
    <w:p w14:paraId="30AAA38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有下列情形之一的，采购人或采购代理机构可以不予退还投标保证金：</w:t>
      </w:r>
    </w:p>
    <w:p w14:paraId="41C58E72">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在投标有效期内，</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撤回投标的； </w:t>
      </w:r>
    </w:p>
    <w:p w14:paraId="42DB3970">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中标人不按本招标文件的规定与采购人签订合同的； </w:t>
      </w:r>
    </w:p>
    <w:p w14:paraId="40993DDC">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中标人不按本招标文件的规定提交履约保证金的； </w:t>
      </w:r>
    </w:p>
    <w:p w14:paraId="6BF2DF97">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中标人不按本招标文件的规定缴纳中标服务费的； </w:t>
      </w:r>
    </w:p>
    <w:p w14:paraId="77B4D476">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存在的串通投标情形的； </w:t>
      </w:r>
    </w:p>
    <w:p w14:paraId="65EB5D52">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存在向采购人、代理机构或评标专家行贿事实的； </w:t>
      </w:r>
    </w:p>
    <w:p w14:paraId="7A0896B4">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法律、法规规定的其它情况。 </w:t>
      </w:r>
    </w:p>
    <w:p w14:paraId="25E0403E">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投标有效期</w:t>
      </w:r>
    </w:p>
    <w:p w14:paraId="6E4168C9">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投标文件应在</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中规定的投标有效期内保持有效，投标有效期少于招标文件规定期限的，其</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2839E9D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采购人或采购代理机构可根据实际情况，在原投标有效期截止之前，要求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延长投标文件的有效期。接受该要求的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将不会被要求和允许修正其投标，且本须知中有关投标保证金的要求须在延长的有效期内继续有效。</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也可以拒绝延长投标有效期的要求，退还其投标保证金。上述要求和答复都应以书面形式提交。</w:t>
      </w:r>
    </w:p>
    <w:p w14:paraId="49823019">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投标文件的制作</w:t>
      </w:r>
    </w:p>
    <w:p w14:paraId="24B8AF29">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如有对多个采购包投标的，要对每个采购包独立制作电子投标文件。</w:t>
      </w:r>
    </w:p>
    <w:p w14:paraId="58057AF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须对招标文件的对应要求给予唯一的实质性响应，否则将视为</w:t>
      </w:r>
      <w:r>
        <w:rPr>
          <w:rFonts w:hint="eastAsia" w:ascii="仿宋" w:hAnsi="仿宋" w:eastAsia="仿宋" w:cs="仿宋_GB2312"/>
          <w:b/>
          <w:bCs/>
          <w:color w:val="auto"/>
          <w:sz w:val="24"/>
          <w:highlight w:val="none"/>
        </w:rPr>
        <w:t>不响应</w:t>
      </w:r>
      <w:r>
        <w:rPr>
          <w:rFonts w:hint="eastAsia" w:ascii="仿宋" w:hAnsi="仿宋" w:eastAsia="仿宋" w:cs="仿宋_GB2312"/>
          <w:color w:val="auto"/>
          <w:sz w:val="24"/>
          <w:highlight w:val="none"/>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lang w:val="en-US" w:eastAsia="zh-CN"/>
        </w:rPr>
        <w:t>招标文件中，凡标有“★”的地方均为实质性响应条款，投标人若有一项带“★”的条款未响应或不满足，将按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A61B966">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应按招标文件的规定及附件要求的内容和格式完整地填写和提供资料。</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ascii="仿宋" w:hAnsi="仿宋" w:eastAsia="仿宋" w:cs="仿宋_GB2312"/>
          <w:b/>
          <w:bCs/>
          <w:color w:val="auto"/>
          <w:sz w:val="24"/>
          <w:highlight w:val="none"/>
        </w:rPr>
      </w:pPr>
      <w:bookmarkStart w:id="23" w:name="_Toc29343"/>
      <w:bookmarkStart w:id="24" w:name="_Toc21719"/>
      <w:r>
        <w:rPr>
          <w:rFonts w:hint="eastAsia" w:ascii="仿宋" w:hAnsi="仿宋" w:eastAsia="仿宋" w:cs="仿宋_GB2312"/>
          <w:b/>
          <w:bCs/>
          <w:color w:val="auto"/>
          <w:sz w:val="24"/>
          <w:highlight w:val="none"/>
        </w:rPr>
        <w:t>投标文件的提交</w:t>
      </w:r>
      <w:bookmarkEnd w:id="23"/>
      <w:bookmarkEnd w:id="24"/>
    </w:p>
    <w:p w14:paraId="20F48800">
      <w:pPr>
        <w:numPr>
          <w:ilvl w:val="0"/>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投标文件的提交</w:t>
      </w:r>
    </w:p>
    <w:p w14:paraId="0A20228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应在</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上传投标文件，已上传投标文件但未完成传输的文件系统将拒绝接收。</w:t>
      </w:r>
    </w:p>
    <w:p w14:paraId="0023A355">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代理机构对因不可抗力事件造成的投标文件的损坏、丢失的，不承担责任。</w:t>
      </w:r>
    </w:p>
    <w:p w14:paraId="6AB41A7A">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出现下述情形之一，属于未成功提交投标文件，按</w:t>
      </w:r>
      <w:r>
        <w:rPr>
          <w:rFonts w:hint="eastAsia" w:ascii="仿宋" w:hAnsi="仿宋" w:eastAsia="仿宋" w:cs="仿宋_GB2312"/>
          <w:b/>
          <w:bCs/>
          <w:color w:val="auto"/>
          <w:sz w:val="24"/>
          <w:highlight w:val="none"/>
        </w:rPr>
        <w:t>无效投标</w:t>
      </w:r>
      <w:r>
        <w:rPr>
          <w:rFonts w:hint="eastAsia" w:ascii="仿宋" w:hAnsi="仿宋" w:eastAsia="仿宋" w:cs="仿宋_GB2312"/>
          <w:b w:val="0"/>
          <w:bCs w:val="0"/>
          <w:color w:val="auto"/>
          <w:sz w:val="24"/>
          <w:highlight w:val="none"/>
        </w:rPr>
        <w:t>处理</w:t>
      </w:r>
      <w:r>
        <w:rPr>
          <w:rFonts w:hint="eastAsia" w:ascii="仿宋" w:hAnsi="仿宋" w:eastAsia="仿宋" w:cs="仿宋_GB2312"/>
          <w:color w:val="auto"/>
          <w:sz w:val="24"/>
          <w:highlight w:val="none"/>
        </w:rPr>
        <w:t>：</w:t>
      </w:r>
    </w:p>
    <w:p w14:paraId="1FA4B75E">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至提交投标文件截止时，投标文件未完整上传的。 </w:t>
      </w:r>
    </w:p>
    <w:p w14:paraId="2F84D8FC">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投标文件损坏或格式不正确的。</w:t>
      </w:r>
    </w:p>
    <w:p w14:paraId="6249F081">
      <w:pPr>
        <w:numPr>
          <w:ilvl w:val="1"/>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投标文件的修改、撤回与撤销</w:t>
      </w:r>
    </w:p>
    <w:p w14:paraId="73524E0C">
      <w:pPr>
        <w:numPr>
          <w:ilvl w:val="2"/>
          <w:numId w:val="7"/>
        </w:numPr>
        <w:tabs>
          <w:tab w:val="left" w:pos="0"/>
        </w:tabs>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在提交投标文件截止时间前，</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ascii="仿宋" w:hAnsi="仿宋" w:eastAsia="仿宋" w:cs="仿宋_GB2312"/>
          <w:b/>
          <w:bCs/>
          <w:color w:val="auto"/>
          <w:sz w:val="24"/>
          <w:highlight w:val="none"/>
        </w:rPr>
      </w:pPr>
      <w:r>
        <w:rPr>
          <w:rFonts w:hint="eastAsia" w:ascii="仿宋" w:hAnsi="仿宋" w:eastAsia="仿宋" w:cs="仿宋_GB2312"/>
          <w:color w:val="auto"/>
          <w:sz w:val="24"/>
          <w:highlight w:val="none"/>
        </w:rPr>
        <w:t>在提交投标文件截止时间后，</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不得补充、修改和更换投标文件。</w:t>
      </w:r>
      <w:r>
        <w:rPr>
          <w:rFonts w:hint="eastAsia" w:ascii="仿宋" w:hAnsi="仿宋" w:eastAsia="仿宋" w:cs="仿宋_GB2312"/>
          <w:b/>
          <w:bCs/>
          <w:color w:val="auto"/>
          <w:sz w:val="24"/>
          <w:highlight w:val="none"/>
        </w:rPr>
        <w:t xml:space="preserve"> </w:t>
      </w:r>
    </w:p>
    <w:p w14:paraId="600E5414">
      <w:pPr>
        <w:tabs>
          <w:tab w:val="left" w:pos="0"/>
        </w:tabs>
        <w:spacing w:line="500" w:lineRule="exact"/>
        <w:rPr>
          <w:rFonts w:ascii="仿宋" w:hAnsi="仿宋" w:eastAsia="仿宋" w:cs="仿宋_GB2312"/>
          <w:b/>
          <w:bCs/>
          <w:color w:val="auto"/>
          <w:sz w:val="24"/>
          <w:highlight w:val="none"/>
        </w:rPr>
      </w:pPr>
    </w:p>
    <w:p w14:paraId="2F642AF7">
      <w:pPr>
        <w:numPr>
          <w:ilvl w:val="0"/>
          <w:numId w:val="8"/>
        </w:numPr>
        <w:tabs>
          <w:tab w:val="left" w:pos="0"/>
        </w:tabs>
        <w:spacing w:line="500" w:lineRule="exact"/>
        <w:jc w:val="center"/>
        <w:outlineLvl w:val="1"/>
        <w:rPr>
          <w:rFonts w:ascii="仿宋" w:hAnsi="仿宋" w:eastAsia="仿宋" w:cs="仿宋_GB2312"/>
          <w:b/>
          <w:bCs/>
          <w:color w:val="auto"/>
          <w:sz w:val="24"/>
          <w:highlight w:val="none"/>
        </w:rPr>
      </w:pPr>
      <w:bookmarkStart w:id="25" w:name="_Toc3729"/>
      <w:bookmarkStart w:id="26" w:name="_Toc15263"/>
      <w:r>
        <w:rPr>
          <w:rFonts w:hint="eastAsia" w:ascii="仿宋" w:hAnsi="仿宋" w:eastAsia="仿宋" w:cs="仿宋_GB2312"/>
          <w:b/>
          <w:bCs/>
          <w:color w:val="auto"/>
          <w:sz w:val="24"/>
          <w:highlight w:val="none"/>
        </w:rPr>
        <w:t>开标、资格审查及评标</w:t>
      </w:r>
      <w:bookmarkEnd w:id="25"/>
      <w:bookmarkEnd w:id="26"/>
    </w:p>
    <w:p w14:paraId="1FDC314E">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开标</w:t>
      </w:r>
    </w:p>
    <w:p w14:paraId="3C45E855">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采购人和采购代理机构将按</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中规定的开标时间和地点组织公开开标并邀请所有</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代表参加。开标时，由采购人或者采购代理机构工作人员宣布</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名称、解密情况，投标价格和招标文件规定的需要宣布的其他内容（以开标一览表要求为准），开标为远程电子开标。</w:t>
      </w:r>
    </w:p>
    <w:p w14:paraId="6CBD9218">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采用远程电子开标的：</w:t>
      </w:r>
    </w:p>
    <w:p w14:paraId="7DEBF033">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的法定代表人或其授权代表应当按照本招标公告载明的时间和模式等要求参加开标。在</w:t>
      </w:r>
      <w:r>
        <w:rPr>
          <w:rFonts w:hint="eastAsia" w:ascii="仿宋" w:hAnsi="仿宋" w:eastAsia="仿宋" w:cs="仿宋_GB2312"/>
          <w:b/>
          <w:bCs/>
          <w:color w:val="auto"/>
          <w:sz w:val="24"/>
          <w:highlight w:val="none"/>
        </w:rPr>
        <w:t>投标截止时间前30分钟</w:t>
      </w:r>
      <w:r>
        <w:rPr>
          <w:rFonts w:hint="eastAsia" w:ascii="仿宋" w:hAnsi="仿宋" w:eastAsia="仿宋" w:cs="仿宋_GB2312"/>
          <w:color w:val="auto"/>
          <w:sz w:val="24"/>
          <w:highlight w:val="none"/>
        </w:rPr>
        <w:t>，应当登录开标大厅进行签到，并且填写授权代表的姓名与手机号码。若因签到时填写的授权代表信息有误而导致的不良后果，由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自行承担。</w:t>
      </w:r>
    </w:p>
    <w:p w14:paraId="3F18D898">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开标时，</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未携带数字证书或其他非系统原因导致的在规定时间内未解密投标文件，将作</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处理。（采用远程电子开标的，各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在参加开标以前须自行对使用电脑的网络环境、驱动安装、客户端安装以及数字证书的有效性等进行检测，确保可以正常使用）。</w:t>
      </w:r>
    </w:p>
    <w:p w14:paraId="37A94B59">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无法在代理规定的时间内完成备用电子投标文件的上传，投标将被拒绝，作</w:t>
      </w:r>
      <w:r>
        <w:rPr>
          <w:rFonts w:hint="eastAsia" w:ascii="仿宋" w:hAnsi="仿宋" w:eastAsia="仿宋" w:cs="仿宋_GB2312"/>
          <w:b/>
          <w:bCs/>
          <w:color w:val="auto"/>
          <w:sz w:val="24"/>
          <w:highlight w:val="none"/>
        </w:rPr>
        <w:t>无效投标</w:t>
      </w:r>
      <w:r>
        <w:rPr>
          <w:rFonts w:hint="eastAsia" w:ascii="仿宋" w:hAnsi="仿宋" w:eastAsia="仿宋" w:cs="仿宋_GB2312"/>
          <w:b w:val="0"/>
          <w:bCs w:val="0"/>
          <w:color w:val="auto"/>
          <w:sz w:val="24"/>
          <w:highlight w:val="none"/>
        </w:rPr>
        <w:t>处理</w:t>
      </w:r>
      <w:r>
        <w:rPr>
          <w:rFonts w:hint="eastAsia" w:ascii="仿宋" w:hAnsi="仿宋" w:eastAsia="仿宋" w:cs="仿宋_GB2312"/>
          <w:color w:val="auto"/>
          <w:sz w:val="24"/>
          <w:highlight w:val="none"/>
        </w:rPr>
        <w:t>。</w:t>
      </w:r>
    </w:p>
    <w:p w14:paraId="72538BF0">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未参加开标的，视同认可开标结果。</w:t>
      </w:r>
    </w:p>
    <w:p w14:paraId="02B7F7D0">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投标截止时间后，</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不足3家的，不得开标。同时，本次采购活动结束。</w:t>
      </w:r>
    </w:p>
    <w:p w14:paraId="1E86C849">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开标时出现下列情况的，视为</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处理：</w:t>
      </w:r>
    </w:p>
    <w:p w14:paraId="608D7A5C">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因</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自身原因，未在规定时间内完成电子投标文件解密的；</w:t>
      </w:r>
    </w:p>
    <w:p w14:paraId="5A001BFB">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采购人或采购代理机构将对开标过程进行记录，由参加开标的各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代表和相关工作人员签字确认。</w:t>
      </w:r>
    </w:p>
    <w:p w14:paraId="4E90FC18">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资格审查</w:t>
      </w:r>
    </w:p>
    <w:p w14:paraId="3E8ECF8B">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采购人或采购代理机构依据法律法规和招标文件中规定的内容，对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及其投标货物或服务的资格进行审查，未通过资格审查的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 xml:space="preserve">少于三家的，不进行评标。 </w:t>
      </w:r>
    </w:p>
    <w:p w14:paraId="6A9F4631">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资格审查要求详见第六章《评标程序、评标方法和评标标准》。</w:t>
      </w:r>
    </w:p>
    <w:p w14:paraId="354A6A40">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采购人或采购代理机构将按第六章《评标程序、评标方法和评标标准》中规定的时间查询</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的信用记录。采购人或采购代理机构将查询网页打印、签字并存档备查。</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评标委员会</w:t>
      </w:r>
    </w:p>
    <w:p w14:paraId="7FD57CFA">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评标程序、评标方法和评标标准</w:t>
      </w:r>
    </w:p>
    <w:p w14:paraId="0CE2AAB3">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详见第六章《评标程序、评标方法和评标标准》</w:t>
      </w:r>
    </w:p>
    <w:p w14:paraId="2F7D4184">
      <w:pPr>
        <w:spacing w:line="500" w:lineRule="exact"/>
        <w:rPr>
          <w:rFonts w:ascii="仿宋" w:hAnsi="仿宋" w:eastAsia="仿宋" w:cs="仿宋_GB2312"/>
          <w:color w:val="auto"/>
          <w:sz w:val="24"/>
          <w:highlight w:val="none"/>
        </w:rPr>
      </w:pPr>
    </w:p>
    <w:p w14:paraId="2D93D033">
      <w:pPr>
        <w:numPr>
          <w:ilvl w:val="0"/>
          <w:numId w:val="8"/>
        </w:numPr>
        <w:spacing w:line="500" w:lineRule="exact"/>
        <w:jc w:val="center"/>
        <w:outlineLvl w:val="1"/>
        <w:rPr>
          <w:rFonts w:ascii="仿宋" w:hAnsi="仿宋" w:eastAsia="仿宋" w:cs="仿宋_GB2312"/>
          <w:b/>
          <w:bCs/>
          <w:color w:val="auto"/>
          <w:sz w:val="24"/>
          <w:highlight w:val="none"/>
        </w:rPr>
      </w:pPr>
      <w:bookmarkStart w:id="27" w:name="_Toc7787"/>
      <w:bookmarkStart w:id="28" w:name="_Toc5211"/>
      <w:r>
        <w:rPr>
          <w:rFonts w:hint="eastAsia" w:ascii="仿宋" w:hAnsi="仿宋" w:eastAsia="仿宋" w:cs="仿宋_GB2312"/>
          <w:b/>
          <w:bCs/>
          <w:color w:val="auto"/>
          <w:sz w:val="24"/>
          <w:highlight w:val="none"/>
        </w:rPr>
        <w:t>确定中标</w:t>
      </w:r>
      <w:bookmarkEnd w:id="27"/>
      <w:bookmarkEnd w:id="28"/>
    </w:p>
    <w:p w14:paraId="39F62DC6">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确定中标人</w:t>
      </w:r>
    </w:p>
    <w:p w14:paraId="190551B6">
      <w:pPr>
        <w:numPr>
          <w:ilvl w:val="1"/>
          <w:numId w:val="7"/>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color w:val="auto"/>
          <w:sz w:val="24"/>
          <w:highlight w:val="none"/>
          <w:u w:val="single"/>
          <w:lang w:val="en-US" w:eastAsia="zh-CN"/>
        </w:rPr>
        <w:t>投标须知前附表</w:t>
      </w:r>
      <w:r>
        <w:rPr>
          <w:rFonts w:hint="eastAsia" w:ascii="仿宋" w:hAnsi="仿宋" w:eastAsia="仿宋" w:cs="仿宋_GB2312"/>
          <w:color w:val="auto"/>
          <w:sz w:val="24"/>
          <w:highlight w:val="none"/>
        </w:rPr>
        <w:t>。</w:t>
      </w:r>
    </w:p>
    <w:p w14:paraId="6C8D67E8">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中标公告与中标通知书</w:t>
      </w:r>
    </w:p>
    <w:p w14:paraId="008350DC">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中标通知书对采购人和中标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均具有法律效力。中标通知书发出后，中标</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放弃中标项目的，应当依法承担法律责任。</w:t>
      </w:r>
    </w:p>
    <w:p w14:paraId="0E7194E5">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废标</w:t>
      </w:r>
    </w:p>
    <w:p w14:paraId="44BE1064">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在招标采购中，出现下列情形之一的，应予废标：</w:t>
      </w:r>
    </w:p>
    <w:p w14:paraId="1A97CC78">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符合专业条件的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或者对招标文件作实质响应的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不足三家的；</w:t>
      </w:r>
    </w:p>
    <w:p w14:paraId="5FF8BC04">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出现影响采购公正的违法、违规行为的；</w:t>
      </w:r>
    </w:p>
    <w:p w14:paraId="7BDAA83D">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的报价均超过了采购预算，采购人不能支付的；</w:t>
      </w:r>
    </w:p>
    <w:p w14:paraId="22A8F17E">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因重大变故，采购任务取消的。</w:t>
      </w:r>
    </w:p>
    <w:p w14:paraId="7D99A5F6">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废标后，采购人将废标理由通知所有</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w:t>
      </w:r>
    </w:p>
    <w:p w14:paraId="3D33E5CF">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签订合同</w:t>
      </w:r>
    </w:p>
    <w:p w14:paraId="2E5E8486">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政府采购合同不能转包。</w:t>
      </w:r>
      <w:r>
        <w:rPr>
          <w:rFonts w:hint="eastAsia" w:ascii="仿宋" w:hAnsi="仿宋" w:eastAsia="仿宋" w:cs="仿宋"/>
          <w:b w:val="0"/>
          <w:bCs w:val="0"/>
          <w:color w:val="auto"/>
          <w:sz w:val="24"/>
          <w:szCs w:val="24"/>
          <w:highlight w:val="none"/>
          <w:lang w:val="en-US" w:eastAsia="zh-CN"/>
        </w:rPr>
        <w:t>是否允许分包</w:t>
      </w:r>
      <w:r>
        <w:rPr>
          <w:rFonts w:hint="eastAsia" w:ascii="仿宋" w:hAnsi="仿宋" w:eastAsia="仿宋" w:cs="仿宋"/>
          <w:b w:val="0"/>
          <w:bCs w:val="0"/>
          <w:color w:val="auto"/>
          <w:sz w:val="24"/>
          <w:szCs w:val="24"/>
          <w:highlight w:val="none"/>
          <w:u w:val="single"/>
          <w:lang w:val="en-US" w:eastAsia="zh-CN"/>
        </w:rPr>
        <w:t>详见投标人须知前附表</w:t>
      </w:r>
      <w:r>
        <w:rPr>
          <w:rFonts w:hint="eastAsia" w:ascii="仿宋" w:hAnsi="仿宋" w:eastAsia="仿宋" w:cs="仿宋"/>
          <w:b w:val="0"/>
          <w:bCs w:val="0"/>
          <w:color w:val="auto"/>
          <w:sz w:val="24"/>
          <w:szCs w:val="24"/>
          <w:highlight w:val="none"/>
          <w:u w:val="none"/>
          <w:lang w:val="en-US" w:eastAsia="zh-CN"/>
        </w:rPr>
        <w:t>，</w:t>
      </w:r>
      <w:r>
        <w:rPr>
          <w:rFonts w:hint="eastAsia" w:ascii="仿宋" w:hAnsi="仿宋" w:eastAsia="仿宋" w:cs="仿宋_GB2312"/>
          <w:color w:val="auto"/>
          <w:sz w:val="24"/>
          <w:highlight w:val="none"/>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。中标人就采购项目和分包项目向采购人负责，分包供应商就分包项目承担责任。</w:t>
      </w:r>
    </w:p>
    <w:p w14:paraId="3735D3A6">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履约保证金</w:t>
      </w:r>
    </w:p>
    <w:p w14:paraId="1B2C04B1">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中标人应按照</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规定的金额、形式和时间向采购人缴纳履约保证金。</w:t>
      </w:r>
    </w:p>
    <w:p w14:paraId="7884D05B">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经采购人同意，中标人也可以自愿采用其他履约保证金的提供方式。</w:t>
      </w:r>
    </w:p>
    <w:p w14:paraId="3732AD76">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代理服务费</w:t>
      </w:r>
    </w:p>
    <w:p w14:paraId="0032755F">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收费对象、收费标准及缴纳时间见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 xml:space="preserve">。由中标人支付的，中标人须一次性向采购代理机构缴纳代理费，投标报价应包含代理费用。 </w:t>
      </w:r>
    </w:p>
    <w:p w14:paraId="09D35BAA">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询问与质疑</w:t>
      </w:r>
    </w:p>
    <w:p w14:paraId="3B74C36B">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询问</w:t>
      </w:r>
    </w:p>
    <w:p w14:paraId="2D0D746E">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中“采购人、采购代理机构的名称、地址和联系方式”。</w:t>
      </w:r>
    </w:p>
    <w:p w14:paraId="5D98CC99">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质疑</w:t>
      </w:r>
    </w:p>
    <w:p w14:paraId="5BDBDEF8">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派授权代表以书面形式向采购人、采购代理机构提出质疑。采购人、采购代理机构在收到质疑函后 7 个工作日内作出答复。</w:t>
      </w:r>
    </w:p>
    <w:p w14:paraId="33078F9A">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应知其权益受到损害之日是指：</w:t>
      </w:r>
    </w:p>
    <w:p w14:paraId="5AC5BEC0">
      <w:p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（1）对招标文件提出质疑的，为获取招标文件之日或者招标文件获取期限届满之日；</w:t>
      </w:r>
    </w:p>
    <w:p w14:paraId="6A2BEA19">
      <w:p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（2）对采购过程提出质疑的，为各采购程序环节结束之日；</w:t>
      </w:r>
    </w:p>
    <w:p w14:paraId="298CDE74">
      <w:p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（3）对中标结果提出质疑的，为中标结果公告期限届满之日。 </w:t>
      </w:r>
    </w:p>
    <w:p w14:paraId="165BCFE1">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_GB2312"/>
          <w:color w:val="auto"/>
          <w:sz w:val="24"/>
          <w:highlight w:val="none"/>
        </w:rPr>
        <w:t>质疑函须使用财政部制定的范本文件。</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为自然人的，应当由本人签字；</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r>
        <w:rPr>
          <w:rFonts w:hint="eastAsia" w:ascii="仿宋_GB2312" w:hAnsi="仿宋_GB2312" w:eastAsia="仿宋_GB2312" w:cs="仿宋_GB2312"/>
          <w:b w:val="0"/>
          <w:bCs w:val="0"/>
          <w:color w:val="auto"/>
          <w:sz w:val="24"/>
          <w:szCs w:val="24"/>
          <w:highlight w:val="none"/>
          <w:lang w:val="en-US" w:eastAsia="zh-CN"/>
        </w:rPr>
        <w:t>。</w:t>
      </w:r>
    </w:p>
    <w:p w14:paraId="1496F190">
      <w:pPr>
        <w:numPr>
          <w:ilvl w:val="2"/>
          <w:numId w:val="7"/>
        </w:numPr>
        <w:spacing w:line="500" w:lineRule="exact"/>
        <w:rPr>
          <w:color w:val="auto"/>
          <w:highlight w:val="none"/>
        </w:rPr>
      </w:pPr>
      <w:r>
        <w:rPr>
          <w:rFonts w:hint="eastAsia" w:ascii="仿宋" w:hAnsi="仿宋" w:eastAsia="仿宋" w:cs="仿宋_GB2312"/>
          <w:color w:val="auto"/>
          <w:sz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其他</w:t>
      </w:r>
    </w:p>
    <w:p w14:paraId="66822C63">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同意而可以披露关于采购过程、合同文本、签署情况的资料、</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已经泄露或公开的，无须再承担保密责任。</w:t>
      </w:r>
    </w:p>
    <w:p w14:paraId="5A5C6CA2">
      <w:pPr>
        <w:numPr>
          <w:ilvl w:val="1"/>
          <w:numId w:val="7"/>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适用于本</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须知的额外增加的变动详见</w:t>
      </w:r>
      <w:r>
        <w:rPr>
          <w:rFonts w:hint="eastAsia" w:ascii="仿宋" w:hAnsi="仿宋" w:eastAsia="仿宋" w:cs="仿宋_GB2312"/>
          <w:color w:val="auto"/>
          <w:sz w:val="24"/>
          <w:highlight w:val="none"/>
          <w:u w:val="single"/>
        </w:rPr>
        <w:t>投标须知前附表</w:t>
      </w:r>
      <w:r>
        <w:rPr>
          <w:rFonts w:hint="eastAsia" w:ascii="仿宋" w:hAnsi="仿宋" w:eastAsia="仿宋" w:cs="仿宋_GB2312"/>
          <w:color w:val="auto"/>
          <w:sz w:val="24"/>
          <w:highlight w:val="none"/>
        </w:rPr>
        <w:t>。</w:t>
      </w:r>
    </w:p>
    <w:p w14:paraId="21EB1970">
      <w:pPr>
        <w:rPr>
          <w:rFonts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5284CA36">
      <w:pPr>
        <w:pStyle w:val="2"/>
        <w:numPr>
          <w:ilvl w:val="0"/>
          <w:numId w:val="1"/>
        </w:numPr>
        <w:jc w:val="center"/>
        <w:rPr>
          <w:rFonts w:ascii="仿宋" w:hAnsi="仿宋" w:eastAsia="仿宋" w:cs="仿宋_GB2312"/>
          <w:color w:val="auto"/>
          <w:sz w:val="32"/>
          <w:szCs w:val="32"/>
          <w:highlight w:val="none"/>
        </w:rPr>
      </w:pPr>
      <w:bookmarkStart w:id="29" w:name="_Toc20234"/>
      <w:r>
        <w:rPr>
          <w:rFonts w:hint="eastAsia" w:ascii="仿宋" w:hAnsi="仿宋" w:eastAsia="仿宋" w:cs="仿宋_GB2312"/>
          <w:color w:val="auto"/>
          <w:sz w:val="32"/>
          <w:szCs w:val="32"/>
          <w:highlight w:val="none"/>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ascii="仿宋" w:hAnsi="仿宋" w:eastAsia="仿宋" w:cs="Times New Roman"/>
          <w:color w:val="auto"/>
          <w:szCs w:val="22"/>
          <w:highlight w:val="none"/>
        </w:rPr>
      </w:pPr>
    </w:p>
    <w:p w14:paraId="59AF6E8E">
      <w:pPr>
        <w:rPr>
          <w:rFonts w:ascii="仿宋" w:hAnsi="仿宋" w:eastAsia="仿宋" w:cs="宋体"/>
          <w:color w:val="auto"/>
          <w:szCs w:val="22"/>
          <w:highlight w:val="none"/>
        </w:rPr>
      </w:pPr>
    </w:p>
    <w:p w14:paraId="74C61FAA">
      <w:pPr>
        <w:spacing w:line="560" w:lineRule="exact"/>
        <w:jc w:val="center"/>
        <w:rPr>
          <w:rFonts w:hint="eastAsia" w:ascii="宋体" w:hAnsi="宋体" w:eastAsia="宋体" w:cs="Times New Roman"/>
          <w:b/>
          <w:color w:val="auto"/>
          <w:sz w:val="44"/>
          <w:szCs w:val="44"/>
          <w:highlight w:val="none"/>
        </w:rPr>
      </w:pPr>
    </w:p>
    <w:p w14:paraId="4DBED97F">
      <w:pPr>
        <w:rPr>
          <w:rFonts w:hint="eastAsia" w:ascii="仿宋" w:hAnsi="仿宋" w:eastAsia="仿宋" w:cs="仿宋"/>
          <w:b/>
          <w:color w:val="auto"/>
          <w:sz w:val="44"/>
          <w:szCs w:val="44"/>
          <w:highlight w:val="none"/>
          <w:lang w:eastAsia="zh-CN"/>
        </w:rPr>
      </w:pPr>
      <w:r>
        <w:rPr>
          <w:rFonts w:hint="eastAsia" w:ascii="仿宋" w:hAnsi="仿宋" w:eastAsia="仿宋" w:cs="仿宋"/>
          <w:b/>
          <w:color w:val="auto"/>
          <w:sz w:val="44"/>
          <w:szCs w:val="44"/>
          <w:highlight w:val="none"/>
          <w:lang w:eastAsia="zh-CN"/>
        </w:rPr>
        <w:br w:type="page"/>
      </w:r>
    </w:p>
    <w:bookmarkEnd w:id="30"/>
    <w:p w14:paraId="1D4DEA48">
      <w:pPr>
        <w:spacing w:line="6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乌鲁木齐市天山区2026年老旧小区电梯更换项目</w:t>
      </w:r>
      <w:r>
        <w:rPr>
          <w:rFonts w:hint="eastAsia" w:ascii="仿宋" w:hAnsi="仿宋" w:eastAsia="仿宋" w:cs="仿宋"/>
          <w:b/>
          <w:color w:val="auto"/>
          <w:sz w:val="44"/>
          <w:szCs w:val="44"/>
          <w:highlight w:val="none"/>
        </w:rPr>
        <w:t>合同书</w:t>
      </w:r>
    </w:p>
    <w:p w14:paraId="1CF02CA2">
      <w:pPr>
        <w:spacing w:line="560" w:lineRule="exact"/>
        <w:jc w:val="center"/>
        <w:rPr>
          <w:rFonts w:hint="eastAsia" w:ascii="仿宋" w:hAnsi="仿宋" w:eastAsia="仿宋" w:cs="仿宋"/>
          <w:b/>
          <w:color w:val="auto"/>
          <w:sz w:val="44"/>
          <w:szCs w:val="44"/>
          <w:highlight w:val="none"/>
        </w:rPr>
      </w:pPr>
    </w:p>
    <w:p w14:paraId="612FDFC1">
      <w:pPr>
        <w:spacing w:line="560" w:lineRule="exact"/>
        <w:jc w:val="center"/>
        <w:rPr>
          <w:rFonts w:hint="eastAsia" w:ascii="仿宋" w:hAnsi="仿宋" w:eastAsia="仿宋" w:cs="仿宋"/>
          <w:b/>
          <w:color w:val="auto"/>
          <w:sz w:val="44"/>
          <w:szCs w:val="44"/>
          <w:highlight w:val="none"/>
        </w:rPr>
      </w:pPr>
    </w:p>
    <w:p w14:paraId="6B1DF622">
      <w:pPr>
        <w:spacing w:line="560" w:lineRule="exact"/>
        <w:jc w:val="center"/>
        <w:rPr>
          <w:rFonts w:hint="eastAsia" w:ascii="仿宋" w:hAnsi="仿宋" w:eastAsia="仿宋" w:cs="仿宋"/>
          <w:b/>
          <w:color w:val="auto"/>
          <w:sz w:val="44"/>
          <w:szCs w:val="44"/>
          <w:highlight w:val="none"/>
        </w:rPr>
      </w:pPr>
    </w:p>
    <w:p w14:paraId="1C97DD48">
      <w:pPr>
        <w:spacing w:line="560" w:lineRule="exact"/>
        <w:jc w:val="center"/>
        <w:rPr>
          <w:rFonts w:hint="eastAsia" w:ascii="仿宋" w:hAnsi="仿宋" w:eastAsia="仿宋" w:cs="仿宋"/>
          <w:b/>
          <w:color w:val="auto"/>
          <w:sz w:val="44"/>
          <w:szCs w:val="44"/>
          <w:highlight w:val="none"/>
        </w:rPr>
      </w:pPr>
    </w:p>
    <w:p w14:paraId="3C68CC18">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项目名称：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1E7B84A9">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项目编号</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71F4749B">
      <w:pPr>
        <w:spacing w:before="120" w:line="480" w:lineRule="auto"/>
        <w:ind w:left="960"/>
        <w:rPr>
          <w:rFonts w:hint="default"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lang w:val="en-US" w:eastAsia="zh-CN"/>
        </w:rPr>
        <w:t>标项名称</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B1AC381">
      <w:pPr>
        <w:spacing w:before="120" w:line="480" w:lineRule="auto"/>
        <w:ind w:left="96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标    项：第</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标项</w:t>
      </w:r>
    </w:p>
    <w:p w14:paraId="703DE533">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甲方（采购人）：</w:t>
      </w:r>
      <w:r>
        <w:rPr>
          <w:rFonts w:hint="eastAsia" w:ascii="仿宋" w:hAnsi="仿宋" w:eastAsia="仿宋" w:cs="仿宋"/>
          <w:i w:val="0"/>
          <w:iCs w:val="0"/>
          <w:color w:val="auto"/>
          <w:sz w:val="28"/>
          <w:szCs w:val="28"/>
          <w:highlight w:val="none"/>
          <w:u w:val="single"/>
        </w:rPr>
        <w:t xml:space="preserve">                              </w:t>
      </w:r>
    </w:p>
    <w:p w14:paraId="0C45ADF0">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乙方（中标人）：</w:t>
      </w:r>
      <w:r>
        <w:rPr>
          <w:rFonts w:hint="eastAsia" w:ascii="仿宋" w:hAnsi="仿宋" w:eastAsia="仿宋" w:cs="仿宋"/>
          <w:i w:val="0"/>
          <w:iCs w:val="0"/>
          <w:color w:val="auto"/>
          <w:sz w:val="28"/>
          <w:szCs w:val="28"/>
          <w:highlight w:val="none"/>
          <w:u w:val="single"/>
        </w:rPr>
        <w:t xml:space="preserve">                              </w:t>
      </w:r>
    </w:p>
    <w:p w14:paraId="082AF245">
      <w:pPr>
        <w:spacing w:before="120" w:line="480" w:lineRule="auto"/>
        <w:ind w:firstLine="1120" w:firstLineChars="4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签</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订</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71C1DC7B">
      <w:pPr>
        <w:spacing w:before="120" w:line="480" w:lineRule="auto"/>
        <w:ind w:firstLine="1120" w:firstLineChars="4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签订日期：</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年</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月</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日</w:t>
      </w:r>
    </w:p>
    <w:p w14:paraId="151AFF42">
      <w:pPr>
        <w:rPr>
          <w:rFonts w:ascii="仿宋" w:hAnsi="仿宋" w:eastAsia="仿宋" w:cs="仿宋_GB2312"/>
          <w:color w:val="auto"/>
          <w:sz w:val="24"/>
          <w:highlight w:val="none"/>
        </w:rPr>
      </w:pPr>
      <w:r>
        <w:rPr>
          <w:rFonts w:ascii="仿宋" w:hAnsi="仿宋" w:eastAsia="仿宋" w:cs="仿宋_GB2312"/>
          <w:color w:val="auto"/>
          <w:sz w:val="24"/>
          <w:highlight w:val="none"/>
        </w:rPr>
        <w:br w:type="page"/>
      </w:r>
    </w:p>
    <w:p w14:paraId="4EFB114B">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合同编号：</w:t>
      </w:r>
    </w:p>
    <w:p w14:paraId="0945EE4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甲    方：</w:t>
      </w:r>
      <w:r>
        <w:rPr>
          <w:rFonts w:hint="eastAsia" w:ascii="仿宋" w:hAnsi="仿宋" w:eastAsia="仿宋" w:cs="仿宋"/>
          <w:b w:val="0"/>
          <w:bCs/>
          <w:color w:val="auto"/>
          <w:sz w:val="24"/>
          <w:szCs w:val="24"/>
          <w:highlight w:val="none"/>
          <w:u w:val="single"/>
          <w:lang w:val="en-US" w:eastAsia="zh-CN"/>
        </w:rPr>
        <w:t xml:space="preserve">                         </w:t>
      </w:r>
    </w:p>
    <w:p w14:paraId="626CDCB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联系地址：</w:t>
      </w:r>
      <w:r>
        <w:rPr>
          <w:rFonts w:hint="eastAsia" w:ascii="仿宋" w:hAnsi="仿宋" w:eastAsia="仿宋" w:cs="仿宋"/>
          <w:b w:val="0"/>
          <w:bCs/>
          <w:color w:val="auto"/>
          <w:sz w:val="24"/>
          <w:szCs w:val="24"/>
          <w:highlight w:val="none"/>
          <w:u w:val="single"/>
        </w:rPr>
        <w:t xml:space="preserve">                        </w:t>
      </w:r>
    </w:p>
    <w:p w14:paraId="1ABEE37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法定代表人：</w:t>
      </w:r>
      <w:r>
        <w:rPr>
          <w:rFonts w:hint="eastAsia" w:ascii="仿宋" w:hAnsi="仿宋" w:eastAsia="仿宋" w:cs="仿宋"/>
          <w:b w:val="0"/>
          <w:bCs/>
          <w:color w:val="auto"/>
          <w:sz w:val="24"/>
          <w:szCs w:val="24"/>
          <w:highlight w:val="none"/>
          <w:u w:val="single"/>
        </w:rPr>
        <w:t xml:space="preserve">                      </w:t>
      </w:r>
    </w:p>
    <w:p w14:paraId="3F44E3F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联系方式：</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w:t>
      </w:r>
    </w:p>
    <w:p w14:paraId="08C69E8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rPr>
      </w:pPr>
    </w:p>
    <w:p w14:paraId="5789F3C9">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    方：</w:t>
      </w:r>
      <w:r>
        <w:rPr>
          <w:rFonts w:hint="eastAsia" w:ascii="仿宋" w:hAnsi="仿宋" w:eastAsia="仿宋" w:cs="仿宋"/>
          <w:b w:val="0"/>
          <w:bCs/>
          <w:color w:val="auto"/>
          <w:sz w:val="24"/>
          <w:szCs w:val="24"/>
          <w:highlight w:val="none"/>
          <w:u w:val="single"/>
        </w:rPr>
        <w:t xml:space="preserve">                        </w:t>
      </w:r>
    </w:p>
    <w:p w14:paraId="71DCED3A">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法定代表人：</w:t>
      </w:r>
      <w:r>
        <w:rPr>
          <w:rFonts w:hint="eastAsia" w:ascii="仿宋" w:hAnsi="仿宋" w:eastAsia="仿宋" w:cs="仿宋"/>
          <w:b w:val="0"/>
          <w:bCs/>
          <w:color w:val="auto"/>
          <w:sz w:val="24"/>
          <w:szCs w:val="24"/>
          <w:highlight w:val="none"/>
          <w:u w:val="single"/>
        </w:rPr>
        <w:t xml:space="preserve">                      </w:t>
      </w:r>
    </w:p>
    <w:p w14:paraId="2FA7656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联系地址：</w:t>
      </w:r>
      <w:r>
        <w:rPr>
          <w:rFonts w:hint="eastAsia" w:ascii="仿宋" w:hAnsi="仿宋" w:eastAsia="仿宋" w:cs="仿宋"/>
          <w:b w:val="0"/>
          <w:bCs/>
          <w:color w:val="auto"/>
          <w:sz w:val="24"/>
          <w:szCs w:val="24"/>
          <w:highlight w:val="none"/>
          <w:u w:val="single"/>
        </w:rPr>
        <w:t xml:space="preserve">                        </w:t>
      </w:r>
    </w:p>
    <w:p w14:paraId="6BD0D04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联系方式：</w:t>
      </w:r>
      <w:r>
        <w:rPr>
          <w:rFonts w:hint="eastAsia" w:ascii="仿宋" w:hAnsi="仿宋" w:eastAsia="仿宋" w:cs="仿宋"/>
          <w:b w:val="0"/>
          <w:bCs/>
          <w:color w:val="auto"/>
          <w:sz w:val="24"/>
          <w:szCs w:val="24"/>
          <w:highlight w:val="none"/>
          <w:u w:val="single"/>
        </w:rPr>
        <w:t xml:space="preserve">                        </w:t>
      </w:r>
    </w:p>
    <w:p w14:paraId="349C6FB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6286B8F">
      <w:pPr>
        <w:keepNext w:val="0"/>
        <w:keepLines w:val="0"/>
        <w:pageBreakBefore w:val="0"/>
        <w:widowControl w:val="0"/>
        <w:kinsoku/>
        <w:wordWrap w:val="0"/>
        <w:overflowPunct/>
        <w:topLinePunct/>
        <w:autoSpaceDE/>
        <w:autoSpaceDN/>
        <w:bidi w:val="0"/>
        <w:adjustRightInd/>
        <w:snapToGrid/>
        <w:spacing w:line="440" w:lineRule="atLeast"/>
        <w:ind w:left="0" w:leftChars="0" w:right="0" w:firstLine="480" w:firstLineChars="200"/>
        <w:contextualSpacing/>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中华人民共和国建筑法》，《中华人民共和国特种设备安全法》、《特种设备安全监察条例》、《国家市场监督管理总局办公厅文件在大规模设备更新行动中推进住宅老旧电梯更新改造实施方案》大住建发[2025]52号文件等有关法律、法规等规定，甲乙双方经友好协商，在“平等、公正、自愿”原则的基础上，就</w:t>
      </w:r>
      <w:r>
        <w:rPr>
          <w:rFonts w:hint="eastAsia" w:ascii="仿宋" w:hAnsi="仿宋" w:eastAsia="仿宋" w:cs="仿宋"/>
          <w:b/>
          <w:bCs/>
          <w:color w:val="auto"/>
          <w:sz w:val="24"/>
          <w:szCs w:val="24"/>
          <w:highlight w:val="none"/>
          <w:u w:val="single"/>
          <w:lang w:val="en-US" w:eastAsia="zh-CN"/>
        </w:rPr>
        <w:t xml:space="preserve"> 乌鲁木齐市天山区2026年老旧小区电梯更换项目（  标段）</w:t>
      </w:r>
      <w:r>
        <w:rPr>
          <w:rFonts w:hint="eastAsia" w:ascii="仿宋" w:hAnsi="仿宋" w:eastAsia="仿宋" w:cs="仿宋"/>
          <w:color w:val="auto"/>
          <w:sz w:val="24"/>
          <w:szCs w:val="24"/>
          <w:highlight w:val="none"/>
        </w:rPr>
        <w:t>工程总承包服务事宜，签订本合同。</w:t>
      </w:r>
    </w:p>
    <w:p w14:paraId="0C0F1704">
      <w:pPr>
        <w:pStyle w:val="51"/>
        <w:keepNext w:val="0"/>
        <w:keepLines w:val="0"/>
        <w:pageBreakBefore w:val="0"/>
        <w:widowControl w:val="0"/>
        <w:numPr>
          <w:ilvl w:val="0"/>
          <w:numId w:val="9"/>
        </w:numPr>
        <w:kinsoku/>
        <w:wordWrap/>
        <w:overflowPunct/>
        <w:topLinePunct w:val="0"/>
        <w:autoSpaceDE/>
        <w:autoSpaceDN/>
        <w:bidi w:val="0"/>
        <w:snapToGrid/>
        <w:spacing w:line="440" w:lineRule="atLeast"/>
        <w:ind w:left="0" w:leftChars="0" w:right="0" w:firstLine="482" w:firstLineChars="200"/>
        <w:contextualSpacing/>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u w:val="single"/>
          <w:lang w:val="en-US" w:eastAsia="zh-CN"/>
        </w:rPr>
        <w:t xml:space="preserve"> 乌鲁木齐市天山区2026年老旧小区电梯更换项目</w:t>
      </w:r>
      <w:r>
        <w:rPr>
          <w:rFonts w:hint="eastAsia" w:ascii="仿宋" w:hAnsi="仿宋" w:eastAsia="仿宋" w:cs="仿宋"/>
          <w:b/>
          <w:bCs/>
          <w:color w:val="auto"/>
          <w:sz w:val="24"/>
          <w:szCs w:val="24"/>
          <w:highlight w:val="none"/>
          <w:u w:val="single"/>
          <w:lang w:val="en-US" w:eastAsia="zh-CN"/>
        </w:rPr>
        <w:t>（  标段）</w:t>
      </w:r>
      <w:r>
        <w:rPr>
          <w:rFonts w:hint="eastAsia" w:ascii="仿宋" w:hAnsi="仿宋" w:eastAsia="仿宋" w:cs="仿宋"/>
          <w:b/>
          <w:color w:val="auto"/>
          <w:sz w:val="24"/>
          <w:szCs w:val="24"/>
          <w:highlight w:val="none"/>
          <w:u w:val="single"/>
          <w:lang w:val="en-US" w:eastAsia="zh-CN"/>
        </w:rPr>
        <w:t xml:space="preserve"> </w:t>
      </w:r>
    </w:p>
    <w:p w14:paraId="59723CC6">
      <w:pPr>
        <w:pStyle w:val="51"/>
        <w:keepNext w:val="0"/>
        <w:keepLines w:val="0"/>
        <w:pageBreakBefore w:val="0"/>
        <w:widowControl w:val="0"/>
        <w:tabs>
          <w:tab w:val="center" w:pos="4535"/>
        </w:tabs>
        <w:kinsoku/>
        <w:wordWrap/>
        <w:overflowPunct/>
        <w:topLinePunct w:val="0"/>
        <w:autoSpaceDE/>
        <w:autoSpaceDN/>
        <w:bidi w:val="0"/>
        <w:snapToGrid/>
        <w:spacing w:line="440" w:lineRule="atLeast"/>
        <w:ind w:left="0" w:leftChars="0" w:right="0" w:firstLine="482" w:firstLineChars="200"/>
        <w:contextualSpacing/>
        <w:jc w:val="left"/>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二、工程地点：</w:t>
      </w:r>
      <w:r>
        <w:rPr>
          <w:rFonts w:hint="eastAsia" w:ascii="仿宋" w:hAnsi="仿宋" w:eastAsia="仿宋" w:cs="仿宋"/>
          <w:b/>
          <w:color w:val="auto"/>
          <w:sz w:val="24"/>
          <w:szCs w:val="24"/>
          <w:highlight w:val="none"/>
          <w:u w:val="single"/>
        </w:rPr>
        <w:t>乌鲁木齐天山区</w:t>
      </w:r>
      <w:r>
        <w:rPr>
          <w:rFonts w:hint="eastAsia" w:ascii="仿宋" w:hAnsi="仿宋" w:eastAsia="仿宋" w:cs="仿宋"/>
          <w:b/>
          <w:color w:val="auto"/>
          <w:sz w:val="24"/>
          <w:szCs w:val="24"/>
          <w:highlight w:val="none"/>
          <w:u w:val="single"/>
        </w:rPr>
        <w:tab/>
      </w:r>
    </w:p>
    <w:p w14:paraId="372A84AB">
      <w:pPr>
        <w:pStyle w:val="51"/>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三、项目审批（核准、备案）文号：</w:t>
      </w:r>
    </w:p>
    <w:p w14:paraId="4C5A0328">
      <w:pPr>
        <w:pStyle w:val="51"/>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项目代码：</w:t>
      </w:r>
    </w:p>
    <w:p w14:paraId="10F50EB7">
      <w:pPr>
        <w:pStyle w:val="51"/>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四、资金来源：</w:t>
      </w:r>
    </w:p>
    <w:p w14:paraId="2DCCC96A">
      <w:pPr>
        <w:keepNext w:val="0"/>
        <w:keepLines w:val="0"/>
        <w:pageBreakBefore w:val="0"/>
        <w:widowControl w:val="0"/>
        <w:numPr>
          <w:ilvl w:val="0"/>
          <w:numId w:val="0"/>
        </w:numPr>
        <w:kinsoku/>
        <w:wordWrap/>
        <w:overflowPunct/>
        <w:topLinePunct w:val="0"/>
        <w:autoSpaceDE/>
        <w:autoSpaceDN/>
        <w:bidi w:val="0"/>
        <w:snapToGrid/>
        <w:spacing w:line="440" w:lineRule="atLeast"/>
        <w:ind w:right="0" w:rightChars="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超长期特别国债资金补助。按照更新方式实施的，</w:t>
      </w:r>
      <w:r>
        <w:rPr>
          <w:rFonts w:hint="eastAsia" w:ascii="仿宋" w:hAnsi="仿宋" w:eastAsia="仿宋" w:cs="仿宋"/>
          <w:bCs/>
          <w:color w:val="auto"/>
          <w:sz w:val="24"/>
          <w:szCs w:val="24"/>
          <w:highlight w:val="none"/>
          <w:lang w:val="en-US" w:eastAsia="zh-CN"/>
        </w:rPr>
        <w:t>1-9层</w:t>
      </w:r>
      <w:r>
        <w:rPr>
          <w:rFonts w:hint="eastAsia" w:ascii="仿宋" w:hAnsi="仿宋" w:eastAsia="仿宋" w:cs="仿宋"/>
          <w:bCs/>
          <w:color w:val="auto"/>
          <w:sz w:val="24"/>
          <w:szCs w:val="24"/>
          <w:highlight w:val="none"/>
        </w:rPr>
        <w:t>每台电梯定额补贴1</w:t>
      </w:r>
      <w:r>
        <w:rPr>
          <w:rFonts w:hint="eastAsia" w:ascii="仿宋" w:hAnsi="仿宋" w:eastAsia="仿宋" w:cs="仿宋"/>
          <w:bCs/>
          <w:color w:val="auto"/>
          <w:sz w:val="24"/>
          <w:szCs w:val="24"/>
          <w:highlight w:val="none"/>
          <w:lang w:val="en-US" w:eastAsia="zh-CN"/>
        </w:rPr>
        <w:t>0</w:t>
      </w:r>
      <w:r>
        <w:rPr>
          <w:rFonts w:hint="eastAsia" w:ascii="仿宋" w:hAnsi="仿宋" w:eastAsia="仿宋" w:cs="仿宋"/>
          <w:bCs/>
          <w:color w:val="auto"/>
          <w:sz w:val="24"/>
          <w:szCs w:val="24"/>
          <w:highlight w:val="none"/>
        </w:rPr>
        <w:t>万元</w:t>
      </w:r>
      <w:r>
        <w:rPr>
          <w:rFonts w:hint="eastAsia" w:ascii="仿宋" w:hAnsi="仿宋" w:eastAsia="仿宋" w:cs="仿宋"/>
          <w:bCs/>
          <w:color w:val="auto"/>
          <w:sz w:val="24"/>
          <w:szCs w:val="24"/>
          <w:highlight w:val="none"/>
          <w:lang w:val="en-US" w:eastAsia="zh-CN"/>
        </w:rPr>
        <w:t>、10-18层每台电梯定额补贴15万元、19层（含）及以上每台电梯定额补贴20万元</w:t>
      </w:r>
      <w:r>
        <w:rPr>
          <w:rFonts w:hint="eastAsia" w:ascii="仿宋" w:hAnsi="仿宋" w:eastAsia="仿宋" w:cs="仿宋"/>
          <w:bCs/>
          <w:color w:val="auto"/>
          <w:sz w:val="24"/>
          <w:szCs w:val="24"/>
          <w:highlight w:val="none"/>
        </w:rPr>
        <w:t>；</w:t>
      </w:r>
    </w:p>
    <w:p w14:paraId="00E24218">
      <w:pPr>
        <w:keepNext w:val="0"/>
        <w:keepLines w:val="0"/>
        <w:pageBreakBefore w:val="0"/>
        <w:widowControl w:val="0"/>
        <w:numPr>
          <w:ilvl w:val="0"/>
          <w:numId w:val="0"/>
        </w:numPr>
        <w:kinsoku/>
        <w:wordWrap/>
        <w:overflowPunct/>
        <w:topLinePunct w:val="0"/>
        <w:autoSpaceDE/>
        <w:autoSpaceDN/>
        <w:bidi w:val="0"/>
        <w:snapToGrid/>
        <w:spacing w:line="440" w:lineRule="atLeast"/>
        <w:ind w:right="0" w:rightChars="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地方财政补贴。鼓励各地区集合属地财政状况，对住宅老旧电梯更新改造给予适当补助。</w:t>
      </w:r>
    </w:p>
    <w:p w14:paraId="2E00DE12">
      <w:pPr>
        <w:pStyle w:val="51"/>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五、承包方式：</w:t>
      </w:r>
      <w:r>
        <w:rPr>
          <w:rFonts w:hint="eastAsia" w:ascii="仿宋" w:hAnsi="仿宋" w:eastAsia="仿宋" w:cs="仿宋"/>
          <w:color w:val="auto"/>
          <w:sz w:val="24"/>
          <w:szCs w:val="24"/>
          <w:highlight w:val="none"/>
        </w:rPr>
        <w:t>总承包</w:t>
      </w:r>
    </w:p>
    <w:p w14:paraId="1E93FB5E">
      <w:pPr>
        <w:pStyle w:val="51"/>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电梯工程由乙方总承包。包含但不限于井道整改、机房整改、旧梯拆除更新门系统、控制系统、驱动主机、制动系统、轿厢、缆绳等所有电梯零部件和电梯主体设备及运输存放工程设计、土建施工、电梯设备及运输、运输保险、卸货、电梯设备安装调试、验收等。乙方需对承包范围内所有工作的质量、安全及工期承担全部责任，不得将本工程转包或违法分包，否则甲方有权解除合同并要求乙方赔偿损失。</w:t>
      </w:r>
    </w:p>
    <w:p w14:paraId="75D22D9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六、工程内容及承包范围：</w:t>
      </w:r>
    </w:p>
    <w:p w14:paraId="5A2B0F24">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（一）乙方需在合同签订后 5 个工作日内完成对现有电梯进行勘察，出具详细勘察报告（含现场照片、尺寸数据、风险点说明），经甲方书面确认后方可开展后续工作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保证施工前和整个施工过程的安全施工。施工前及施工过程中，乙方需每日提交安全施工日志，报甲方现场代表签字确认。</w:t>
      </w:r>
    </w:p>
    <w:p w14:paraId="1901CCE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（二）乙方向属地相关政府部门申请</w:t>
      </w:r>
      <w:r>
        <w:rPr>
          <w:rFonts w:hint="eastAsia" w:ascii="仿宋" w:hAnsi="仿宋" w:eastAsia="仿宋" w:cs="仿宋"/>
          <w:color w:val="auto"/>
          <w:sz w:val="24"/>
          <w:szCs w:val="24"/>
          <w:highlight w:val="none"/>
          <w:lang w:val="en-US" w:eastAsia="zh-CN"/>
        </w:rPr>
        <w:t>全部的</w:t>
      </w:r>
      <w:r>
        <w:rPr>
          <w:rFonts w:hint="eastAsia" w:ascii="仿宋" w:hAnsi="仿宋" w:eastAsia="仿宋" w:cs="仿宋"/>
          <w:color w:val="auto"/>
          <w:sz w:val="24"/>
          <w:szCs w:val="24"/>
          <w:highlight w:val="none"/>
        </w:rPr>
        <w:t>审批手续，需在开工前 10 个工作日完成所有审批并将审批文件原件交甲方存档</w:t>
      </w:r>
      <w:r>
        <w:rPr>
          <w:rFonts w:hint="eastAsia" w:ascii="仿宋" w:hAnsi="仿宋" w:eastAsia="仿宋" w:cs="仿宋"/>
          <w:color w:val="auto"/>
          <w:sz w:val="24"/>
          <w:szCs w:val="24"/>
          <w:highlight w:val="none"/>
          <w:lang w:eastAsia="zh-CN"/>
        </w:rPr>
        <w:t>，因乙方资料不全或申请延误导致工期推迟的，由乙方承担违约责任</w:t>
      </w:r>
      <w:r>
        <w:rPr>
          <w:rFonts w:hint="eastAsia" w:ascii="仿宋" w:hAnsi="仿宋" w:eastAsia="仿宋" w:cs="仿宋"/>
          <w:color w:val="auto"/>
          <w:sz w:val="24"/>
          <w:szCs w:val="24"/>
          <w:highlight w:val="none"/>
        </w:rPr>
        <w:t>。</w:t>
      </w:r>
    </w:p>
    <w:p w14:paraId="235C034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负责施工垃圾外运等工作，负责电梯施工现场围栏架设、临时道路铺设等一系列电梯施工前准备工作。乙方须在进场2日内向甲方提供施工组织计划、施工方案及施工工期计划，并严格按甲方审定的施工方案及进度要求执行</w:t>
      </w:r>
      <w:r>
        <w:rPr>
          <w:rFonts w:hint="eastAsia" w:ascii="仿宋" w:hAnsi="仿宋" w:eastAsia="仿宋" w:cs="仿宋"/>
          <w:color w:val="auto"/>
          <w:sz w:val="24"/>
          <w:szCs w:val="24"/>
          <w:highlight w:val="none"/>
          <w:lang w:eastAsia="zh-CN"/>
        </w:rPr>
        <w:t>，未经甲方书面同意不得擅自变更</w:t>
      </w:r>
      <w:r>
        <w:rPr>
          <w:rFonts w:hint="eastAsia" w:ascii="仿宋" w:hAnsi="仿宋" w:eastAsia="仿宋" w:cs="仿宋"/>
          <w:color w:val="auto"/>
          <w:sz w:val="24"/>
          <w:szCs w:val="24"/>
          <w:highlight w:val="none"/>
        </w:rPr>
        <w:t>。</w:t>
      </w:r>
    </w:p>
    <w:p w14:paraId="0011637B">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（四）本工程所需全部材料及电梯设备由乙方负责</w:t>
      </w:r>
      <w:r>
        <w:rPr>
          <w:rFonts w:hint="eastAsia" w:ascii="仿宋" w:hAnsi="仿宋" w:eastAsia="仿宋" w:cs="仿宋"/>
          <w:color w:val="auto"/>
          <w:sz w:val="24"/>
          <w:szCs w:val="24"/>
          <w:highlight w:val="none"/>
          <w:lang w:eastAsia="zh-CN"/>
        </w:rPr>
        <w:t>，乙方需在采购前 7 个工作日向甲方提交材料及设备清单（含品牌、型号、规格、厂家资质、价格），经甲方书面确认后方可采购</w:t>
      </w:r>
      <w:r>
        <w:rPr>
          <w:rFonts w:hint="eastAsia" w:ascii="仿宋" w:hAnsi="仿宋" w:eastAsia="仿宋" w:cs="仿宋"/>
          <w:color w:val="auto"/>
          <w:sz w:val="24"/>
          <w:szCs w:val="24"/>
          <w:highlight w:val="none"/>
        </w:rPr>
        <w:t>；电梯设备均应附有出厂合格证书；电梯安装前乙方应报属地特种设备安全监管部门做电梯安装备案。</w:t>
      </w:r>
    </w:p>
    <w:p w14:paraId="0020D17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（五）乙方在更新电梯施工时需严格按照已审定的更新电梯图纸进行施工。乙方负责以下工作：</w:t>
      </w:r>
    </w:p>
    <w:p w14:paraId="5BEA011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1、负责提供</w:t>
      </w:r>
      <w:r>
        <w:rPr>
          <w:rFonts w:hint="eastAsia" w:ascii="仿宋" w:hAnsi="仿宋" w:eastAsia="仿宋" w:cs="仿宋"/>
          <w:color w:val="auto"/>
          <w:sz w:val="24"/>
          <w:szCs w:val="24"/>
          <w:highlight w:val="none"/>
          <w:lang w:val="en-US" w:eastAsia="zh-CN"/>
        </w:rPr>
        <w:t>符合标准的</w:t>
      </w:r>
      <w:r>
        <w:rPr>
          <w:rFonts w:hint="eastAsia" w:ascii="仿宋" w:hAnsi="仿宋" w:eastAsia="仿宋" w:cs="仿宋"/>
          <w:color w:val="auto"/>
          <w:sz w:val="24"/>
          <w:szCs w:val="24"/>
          <w:highlight w:val="none"/>
        </w:rPr>
        <w:t>电梯底坑缓冲器堆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并提供产品合格证明，安装前需经甲方现场验收</w:t>
      </w:r>
      <w:r>
        <w:rPr>
          <w:rFonts w:hint="eastAsia" w:ascii="仿宋" w:hAnsi="仿宋" w:eastAsia="仿宋" w:cs="仿宋"/>
          <w:color w:val="auto"/>
          <w:sz w:val="24"/>
          <w:szCs w:val="24"/>
          <w:highlight w:val="none"/>
        </w:rPr>
        <w:t>。</w:t>
      </w:r>
    </w:p>
    <w:p w14:paraId="2D4BDC0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2、施工期间，如需变更设计，则乙方负责方案设计修改</w:t>
      </w:r>
      <w:r>
        <w:rPr>
          <w:rFonts w:hint="eastAsia" w:ascii="仿宋" w:hAnsi="仿宋" w:eastAsia="仿宋" w:cs="仿宋"/>
          <w:color w:val="auto"/>
          <w:sz w:val="24"/>
          <w:szCs w:val="24"/>
          <w:highlight w:val="none"/>
          <w:lang w:val="en-US" w:eastAsia="zh-CN"/>
        </w:rPr>
        <w:t>并</w:t>
      </w:r>
      <w:r>
        <w:rPr>
          <w:rFonts w:hint="eastAsia" w:ascii="仿宋" w:hAnsi="仿宋" w:eastAsia="仿宋" w:cs="仿宋"/>
          <w:color w:val="auto"/>
          <w:sz w:val="24"/>
          <w:szCs w:val="24"/>
          <w:highlight w:val="none"/>
        </w:rPr>
        <w:t>提交变更方案（含变更原因、费用变化、工期影响）。设计变更须经甲方和特种设备监管部门同意后方可实施。因设计变更增加的费用由乙方承担，因变更导致工期延误的，乙方需承担违约责任</w:t>
      </w:r>
      <w:r>
        <w:rPr>
          <w:rFonts w:hint="eastAsia" w:ascii="仿宋" w:hAnsi="仿宋" w:eastAsia="仿宋" w:cs="仿宋"/>
          <w:color w:val="auto"/>
          <w:sz w:val="24"/>
          <w:szCs w:val="24"/>
          <w:highlight w:val="none"/>
          <w:lang w:eastAsia="zh-CN"/>
        </w:rPr>
        <w:t>。</w:t>
      </w:r>
    </w:p>
    <w:p w14:paraId="522FBF54">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3、乙方应严格按国家施工规范和规程进行施工，并根据项目所在地的有关规定，在开工前或施工中办理各种手续并缴纳相关的费用。因手续不全导致被政府部门处罚的，一切责任及损失均由乙方自行承担。</w:t>
      </w:r>
    </w:p>
    <w:p w14:paraId="73970352">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施工期间，乙方负责施工现场的安全、文明、防火、防盗等工作，乙方需自行投保施工现场人员人身财产意外伤亡的保险、工程的一切保险及第三者责任险，并承担其费用；乙方应遵守工程建设安全生产有关管理规定，严格按照安全标准组织施工，采取必要的安全防护措施，消除事故隐患；凡在施工过程中因乙方责任发生的安全责任事故及其他责任事故，由乙方承担全部赔偿责任（含人员伤亡、财产损失及政府处罚），且甲方有权扣除合同总价款 5%-10% 作为违约金，非乙方责任引发的事故，由责任方承担。</w:t>
      </w:r>
    </w:p>
    <w:p w14:paraId="486597A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5、电梯安装。电梯安装期间，乙方除电梯设备安装外，还应负责向特种设备监管部门申请办理电梯使用登记证。</w:t>
      </w:r>
      <w:r>
        <w:rPr>
          <w:rFonts w:hint="eastAsia" w:ascii="仿宋" w:hAnsi="仿宋" w:eastAsia="仿宋" w:cs="仿宋"/>
          <w:color w:val="auto"/>
          <w:sz w:val="24"/>
          <w:szCs w:val="24"/>
          <w:highlight w:val="none"/>
          <w:lang w:val="en-US" w:eastAsia="zh-CN"/>
        </w:rPr>
        <w:t>乙方应在交付甲方前办理完毕</w:t>
      </w:r>
      <w:r>
        <w:rPr>
          <w:rFonts w:hint="eastAsia" w:ascii="仿宋" w:hAnsi="仿宋" w:eastAsia="仿宋" w:cs="仿宋"/>
          <w:color w:val="auto"/>
          <w:sz w:val="24"/>
          <w:szCs w:val="24"/>
          <w:highlight w:val="none"/>
        </w:rPr>
        <w:t>电梯使用登记证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并于交付电梯时一并交付甲方，如因乙方原因导致验收不合格或无法取得使用登记证，乙方需在 10 个工作日内整改完成，逾期未完成的，甲方有权解除合同并要求乙方退还已付款项。</w:t>
      </w:r>
    </w:p>
    <w:p w14:paraId="0E69256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6、乙方应保证工程最终验收合格，并出具电梯使用登记证。乙方应向相关监管部门提供所有必要手续，保证电梯正常投入使用，合法合规。</w:t>
      </w:r>
    </w:p>
    <w:p w14:paraId="492A41B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7、工程施工完毕通过甲方及有关主管部门验收合格并交付甲方之前，乙方承包范围内的半成品、成品保护，均由乙方负责并承担所发生的全部费用，如有损坏，均由乙方负责修复并承担费用</w:t>
      </w:r>
      <w:r>
        <w:rPr>
          <w:rFonts w:hint="eastAsia" w:ascii="仿宋" w:hAnsi="仿宋" w:eastAsia="仿宋" w:cs="仿宋"/>
          <w:color w:val="auto"/>
          <w:sz w:val="24"/>
          <w:szCs w:val="24"/>
          <w:highlight w:val="none"/>
          <w:lang w:eastAsia="zh-CN"/>
        </w:rPr>
        <w:t>，乙方需在 5 个工作日内修复（修复标准不低于原质量），延误工期的，按工期违约条款处理</w:t>
      </w:r>
      <w:r>
        <w:rPr>
          <w:rFonts w:hint="eastAsia" w:ascii="仿宋" w:hAnsi="仿宋" w:eastAsia="仿宋" w:cs="仿宋"/>
          <w:color w:val="auto"/>
          <w:sz w:val="24"/>
          <w:szCs w:val="24"/>
          <w:highlight w:val="none"/>
        </w:rPr>
        <w:t>。</w:t>
      </w:r>
    </w:p>
    <w:p w14:paraId="4B49261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8、乙方负责原有旧电梯拆除并负责</w:t>
      </w:r>
      <w:r>
        <w:rPr>
          <w:rFonts w:hint="eastAsia" w:ascii="仿宋" w:hAnsi="仿宋" w:eastAsia="仿宋" w:cs="仿宋"/>
          <w:color w:val="auto"/>
          <w:sz w:val="24"/>
          <w:szCs w:val="24"/>
          <w:highlight w:val="none"/>
          <w:lang w:val="en-US" w:eastAsia="zh-CN"/>
        </w:rPr>
        <w:t>在</w:t>
      </w:r>
      <w:r>
        <w:rPr>
          <w:rFonts w:hint="eastAsia" w:ascii="仿宋" w:hAnsi="仿宋" w:eastAsia="仿宋" w:cs="仿宋"/>
          <w:color w:val="auto"/>
          <w:sz w:val="24"/>
          <w:szCs w:val="24"/>
          <w:highlight w:val="none"/>
        </w:rPr>
        <w:t>拆除后 10 个工作日内办理注销手续，注销证明交甲方存档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拆除的旧电梯归乙方所有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因拆除及运输产生的费用由乙方自行负责</w:t>
      </w:r>
      <w:r>
        <w:rPr>
          <w:rFonts w:hint="eastAsia" w:ascii="仿宋" w:hAnsi="仿宋" w:eastAsia="仿宋" w:cs="仿宋"/>
          <w:color w:val="auto"/>
          <w:sz w:val="24"/>
          <w:szCs w:val="24"/>
          <w:highlight w:val="none"/>
        </w:rPr>
        <w:t>。</w:t>
      </w:r>
    </w:p>
    <w:p w14:paraId="6328AE04">
      <w:pPr>
        <w:keepNext w:val="0"/>
        <w:keepLines w:val="0"/>
        <w:pageBreakBefore w:val="0"/>
        <w:widowControl w:val="0"/>
        <w:numPr>
          <w:ilvl w:val="0"/>
          <w:numId w:val="10"/>
        </w:numPr>
        <w:kinsoku/>
        <w:wordWrap/>
        <w:overflowPunct/>
        <w:topLinePunct w:val="0"/>
        <w:autoSpaceDE/>
        <w:autoSpaceDN/>
        <w:bidi w:val="0"/>
        <w:snapToGrid/>
        <w:spacing w:line="440" w:lineRule="atLeast"/>
        <w:ind w:left="0" w:leftChars="0" w:right="0" w:firstLine="480" w:firstLineChars="200"/>
        <w:contextualSpacing/>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合同总价款：</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584"/>
        <w:gridCol w:w="1271"/>
        <w:gridCol w:w="1325"/>
        <w:gridCol w:w="1163"/>
        <w:gridCol w:w="1192"/>
        <w:gridCol w:w="1194"/>
        <w:gridCol w:w="1204"/>
      </w:tblGrid>
      <w:tr w14:paraId="413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0"/>
            <w:vAlign w:val="center"/>
          </w:tcPr>
          <w:p w14:paraId="71C5577E">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43" w:type="pct"/>
            <w:noWrap w:val="0"/>
            <w:vAlign w:val="center"/>
          </w:tcPr>
          <w:p w14:paraId="4986829A">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型号</w:t>
            </w:r>
          </w:p>
        </w:tc>
        <w:tc>
          <w:tcPr>
            <w:tcW w:w="746" w:type="pct"/>
            <w:noWrap w:val="0"/>
            <w:vAlign w:val="center"/>
          </w:tcPr>
          <w:p w14:paraId="612081A7">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载重（KG）</w:t>
            </w:r>
          </w:p>
        </w:tc>
        <w:tc>
          <w:tcPr>
            <w:tcW w:w="778" w:type="pct"/>
            <w:noWrap w:val="0"/>
            <w:vAlign w:val="center"/>
          </w:tcPr>
          <w:p w14:paraId="14828A05">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速度（M/S）</w:t>
            </w:r>
          </w:p>
        </w:tc>
        <w:tc>
          <w:tcPr>
            <w:tcW w:w="683" w:type="pct"/>
            <w:noWrap w:val="0"/>
            <w:vAlign w:val="center"/>
          </w:tcPr>
          <w:p w14:paraId="56260FFC">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层站(层/站/门)</w:t>
            </w:r>
          </w:p>
        </w:tc>
        <w:tc>
          <w:tcPr>
            <w:tcW w:w="700" w:type="pct"/>
            <w:noWrap w:val="0"/>
            <w:vAlign w:val="center"/>
          </w:tcPr>
          <w:p w14:paraId="4B7D5E5C">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价格（元）</w:t>
            </w:r>
          </w:p>
        </w:tc>
        <w:tc>
          <w:tcPr>
            <w:tcW w:w="701" w:type="pct"/>
            <w:noWrap w:val="0"/>
            <w:vAlign w:val="center"/>
          </w:tcPr>
          <w:p w14:paraId="5951B4A0">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数量（台）</w:t>
            </w:r>
          </w:p>
        </w:tc>
        <w:tc>
          <w:tcPr>
            <w:tcW w:w="701" w:type="pct"/>
            <w:noWrap w:val="0"/>
            <w:vAlign w:val="center"/>
          </w:tcPr>
          <w:p w14:paraId="143E1422">
            <w:pPr>
              <w:keepNext w:val="0"/>
              <w:keepLines w:val="0"/>
              <w:pageBreakBefore w:val="0"/>
              <w:widowControl w:val="0"/>
              <w:kinsoku/>
              <w:wordWrap/>
              <w:overflowPunct/>
              <w:topLinePunct w:val="0"/>
              <w:autoSpaceDE/>
              <w:autoSpaceDN/>
              <w:bidi w:val="0"/>
              <w:adjustRightInd/>
              <w:snapToGrid/>
              <w:spacing w:line="240" w:lineRule="auto"/>
              <w:ind w:right="0" w:firstLine="0" w:firstLineChars="0"/>
              <w:contextualSpacing/>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合计（元）</w:t>
            </w:r>
          </w:p>
        </w:tc>
      </w:tr>
      <w:tr w14:paraId="206D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0"/>
            <w:vAlign w:val="center"/>
          </w:tcPr>
          <w:p w14:paraId="4112666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343" w:type="pct"/>
            <w:noWrap w:val="0"/>
            <w:vAlign w:val="center"/>
          </w:tcPr>
          <w:p w14:paraId="652B3AEE">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46" w:type="pct"/>
            <w:noWrap w:val="0"/>
            <w:vAlign w:val="center"/>
          </w:tcPr>
          <w:p w14:paraId="2A75794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78" w:type="pct"/>
            <w:noWrap w:val="0"/>
            <w:vAlign w:val="center"/>
          </w:tcPr>
          <w:p w14:paraId="214C4974">
            <w:pPr>
              <w:keepNext w:val="0"/>
              <w:keepLines w:val="0"/>
              <w:pageBreakBefore w:val="0"/>
              <w:widowControl w:val="0"/>
              <w:tabs>
                <w:tab w:val="left" w:pos="142"/>
              </w:tabs>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p>
        </w:tc>
        <w:tc>
          <w:tcPr>
            <w:tcW w:w="683" w:type="pct"/>
            <w:noWrap w:val="0"/>
            <w:vAlign w:val="center"/>
          </w:tcPr>
          <w:p w14:paraId="1DA629C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0" w:type="pct"/>
            <w:noWrap w:val="0"/>
            <w:vAlign w:val="center"/>
          </w:tcPr>
          <w:p w14:paraId="4704F96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13072F82">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02DF92C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r>
      <w:tr w14:paraId="2DB6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0"/>
            <w:vAlign w:val="center"/>
          </w:tcPr>
          <w:p w14:paraId="0C8FF45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343" w:type="pct"/>
            <w:noWrap w:val="0"/>
            <w:vAlign w:val="center"/>
          </w:tcPr>
          <w:p w14:paraId="595A6DD4">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46" w:type="pct"/>
            <w:noWrap w:val="0"/>
            <w:vAlign w:val="center"/>
          </w:tcPr>
          <w:p w14:paraId="7B203D2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78" w:type="pct"/>
            <w:noWrap w:val="0"/>
            <w:vAlign w:val="center"/>
          </w:tcPr>
          <w:p w14:paraId="5F7823C4">
            <w:pPr>
              <w:keepNext w:val="0"/>
              <w:keepLines w:val="0"/>
              <w:pageBreakBefore w:val="0"/>
              <w:widowControl w:val="0"/>
              <w:tabs>
                <w:tab w:val="left" w:pos="142"/>
              </w:tabs>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p>
        </w:tc>
        <w:tc>
          <w:tcPr>
            <w:tcW w:w="683" w:type="pct"/>
            <w:noWrap w:val="0"/>
            <w:vAlign w:val="center"/>
          </w:tcPr>
          <w:p w14:paraId="5256986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0" w:type="pct"/>
            <w:noWrap w:val="0"/>
            <w:vAlign w:val="center"/>
          </w:tcPr>
          <w:p w14:paraId="76B8A8FC">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22A2A200">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0314A1AD">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r>
      <w:tr w14:paraId="6B80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0"/>
            <w:vAlign w:val="center"/>
          </w:tcPr>
          <w:p w14:paraId="173F212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343" w:type="pct"/>
            <w:noWrap w:val="0"/>
            <w:vAlign w:val="center"/>
          </w:tcPr>
          <w:p w14:paraId="44BF758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46" w:type="pct"/>
            <w:noWrap w:val="0"/>
            <w:vAlign w:val="center"/>
          </w:tcPr>
          <w:p w14:paraId="05651C1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78" w:type="pct"/>
            <w:noWrap w:val="0"/>
            <w:vAlign w:val="center"/>
          </w:tcPr>
          <w:p w14:paraId="565B6F06">
            <w:pPr>
              <w:keepNext w:val="0"/>
              <w:keepLines w:val="0"/>
              <w:pageBreakBefore w:val="0"/>
              <w:widowControl w:val="0"/>
              <w:tabs>
                <w:tab w:val="left" w:pos="142"/>
              </w:tabs>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仿宋" w:hAnsi="仿宋" w:eastAsia="仿宋" w:cs="仿宋"/>
                <w:b/>
                <w:bCs/>
                <w:color w:val="auto"/>
                <w:sz w:val="24"/>
                <w:szCs w:val="24"/>
                <w:highlight w:val="none"/>
              </w:rPr>
            </w:pPr>
          </w:p>
        </w:tc>
        <w:tc>
          <w:tcPr>
            <w:tcW w:w="683" w:type="pct"/>
            <w:noWrap w:val="0"/>
            <w:vAlign w:val="center"/>
          </w:tcPr>
          <w:p w14:paraId="0754DE69">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0" w:type="pct"/>
            <w:noWrap w:val="0"/>
            <w:vAlign w:val="center"/>
          </w:tcPr>
          <w:p w14:paraId="42C7C4F1">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5E1FD4EF">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c>
          <w:tcPr>
            <w:tcW w:w="701" w:type="pct"/>
            <w:noWrap w:val="0"/>
            <w:vAlign w:val="center"/>
          </w:tcPr>
          <w:p w14:paraId="5E32B327">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仿宋" w:hAnsi="仿宋" w:eastAsia="仿宋" w:cs="仿宋"/>
                <w:b/>
                <w:bCs/>
                <w:color w:val="auto"/>
                <w:sz w:val="24"/>
                <w:szCs w:val="24"/>
                <w:highlight w:val="none"/>
              </w:rPr>
            </w:pPr>
          </w:p>
        </w:tc>
      </w:tr>
      <w:tr w14:paraId="37DD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center"/>
          </w:tcPr>
          <w:p w14:paraId="59093088">
            <w:pPr>
              <w:keepNext w:val="0"/>
              <w:keepLines w:val="0"/>
              <w:pageBreakBefore w:val="0"/>
              <w:widowControl w:val="0"/>
              <w:kinsoku/>
              <w:wordWrap/>
              <w:overflowPunct/>
              <w:topLinePunct w:val="0"/>
              <w:autoSpaceDE/>
              <w:autoSpaceDN/>
              <w:bidi w:val="0"/>
              <w:adjustRightInd/>
              <w:snapToGrid/>
              <w:spacing w:line="240" w:lineRule="auto"/>
              <w:ind w:left="0" w:leftChars="0" w:right="0" w:firstLine="0" w:firstLineChars="0"/>
              <w:contextualSpacing/>
              <w:jc w:val="righ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总计： 元</w:t>
            </w:r>
          </w:p>
        </w:tc>
      </w:tr>
    </w:tbl>
    <w:p w14:paraId="43212E2D">
      <w:pPr>
        <w:keepNext w:val="0"/>
        <w:keepLines w:val="0"/>
        <w:pageBreakBefore w:val="0"/>
        <w:widowControl w:val="0"/>
        <w:numPr>
          <w:ilvl w:val="0"/>
          <w:numId w:val="11"/>
        </w:numPr>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本合同共计</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台；总价款为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元整。（大写人民币：</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元整）。其中：</w:t>
      </w:r>
    </w:p>
    <w:p w14:paraId="4740923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设备价格</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元整，不含税价为</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元，税金</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元，税率为13%；</w:t>
      </w:r>
    </w:p>
    <w:p w14:paraId="6543FEBB">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安装价格（含井道整改）</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元整，不含税价为</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元，税金</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元，税率为3%；</w:t>
      </w:r>
    </w:p>
    <w:p w14:paraId="4F277D2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超长期国债政府补贴为</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元整（大写人民币：</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 xml:space="preserve">元整）； </w:t>
      </w:r>
    </w:p>
    <w:p w14:paraId="6C5C9BC5">
      <w:pPr>
        <w:keepNext w:val="0"/>
        <w:keepLines w:val="0"/>
        <w:pageBreakBefore w:val="0"/>
        <w:widowControl w:val="0"/>
        <w:tabs>
          <w:tab w:val="left" w:pos="142"/>
        </w:tabs>
        <w:kinsoku/>
        <w:wordWrap/>
        <w:overflowPunct/>
        <w:topLinePunct w:val="0"/>
        <w:autoSpaceDE/>
        <w:autoSpaceDN/>
        <w:bidi w:val="0"/>
        <w:snapToGrid/>
        <w:spacing w:line="440" w:lineRule="atLeas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本合同总价款元包括：</w:t>
      </w:r>
    </w:p>
    <w:p w14:paraId="334A826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1、包括安全评估、井道整改、机房整改、旧梯拆除及运输存放工程设计、土建施工、电梯设备及运输、运输保险、卸货、电梯设备安装调试等。</w:t>
      </w:r>
    </w:p>
    <w:p w14:paraId="5D79BB15">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2、电梯新梯政府验收费用乙方承担。</w:t>
      </w:r>
    </w:p>
    <w:p w14:paraId="3EC54BCC">
      <w:pPr>
        <w:keepNext w:val="0"/>
        <w:keepLines w:val="0"/>
        <w:pageBreakBefore w:val="0"/>
        <w:widowControl w:val="0"/>
        <w:numPr>
          <w:ilvl w:val="0"/>
          <w:numId w:val="12"/>
        </w:numPr>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总价款明细表含：所需的材料设备费、人工费、加工制作费、运输费、包装费、安装费、施工措施费、施工及生活用水电费、检验试验费、成品保护费、税费、保险费（含第三者险）、等是乙方为完成本合同约定工程内容，并经甲方验收合格且交付甲方投入使用直至期满之前的全部费用，该合同综合单价</w:t>
      </w:r>
      <w:r>
        <w:rPr>
          <w:rFonts w:hint="eastAsia" w:ascii="仿宋" w:hAnsi="仿宋" w:eastAsia="仿宋" w:cs="仿宋"/>
          <w:color w:val="auto"/>
          <w:sz w:val="24"/>
          <w:szCs w:val="24"/>
          <w:highlight w:val="none"/>
          <w:lang w:val="en-US" w:eastAsia="zh-CN"/>
        </w:rPr>
        <w:t>为固定单价，</w:t>
      </w:r>
      <w:r>
        <w:rPr>
          <w:rFonts w:hint="eastAsia" w:ascii="仿宋" w:hAnsi="仿宋" w:eastAsia="仿宋" w:cs="仿宋"/>
          <w:color w:val="auto"/>
          <w:sz w:val="24"/>
          <w:szCs w:val="24"/>
          <w:highlight w:val="none"/>
        </w:rPr>
        <w:t>一次性包死，固定不变，不因包括市场价格涨落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人工成本变化、政策调整等任何因素而调整。</w:t>
      </w:r>
    </w:p>
    <w:p w14:paraId="1407607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八、付款方式：</w:t>
      </w:r>
    </w:p>
    <w:p w14:paraId="3BDB619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（一）付款明细</w:t>
      </w:r>
    </w:p>
    <w:p w14:paraId="0AAB206F">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1、合同签订且乙方完成现场勘察、提交施工方案并经甲方确认后10个工作日内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rPr>
        <w:t>的30%即</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元整（大写人民币：</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货物到达甲方指定地点、</w:t>
      </w:r>
      <w:r>
        <w:rPr>
          <w:rFonts w:hint="eastAsia" w:ascii="仿宋" w:hAnsi="仿宋" w:eastAsia="仿宋" w:cs="仿宋"/>
          <w:color w:val="auto"/>
          <w:sz w:val="24"/>
          <w:szCs w:val="24"/>
          <w:highlight w:val="none"/>
        </w:rPr>
        <w:t>安装完毕</w:t>
      </w:r>
      <w:r>
        <w:rPr>
          <w:rFonts w:hint="eastAsia" w:ascii="仿宋" w:hAnsi="仿宋" w:eastAsia="仿宋" w:cs="仿宋"/>
          <w:color w:val="auto"/>
          <w:sz w:val="24"/>
          <w:szCs w:val="24"/>
          <w:highlight w:val="none"/>
          <w:lang w:val="en-US" w:eastAsia="zh-CN"/>
        </w:rPr>
        <w:t>并经甲方及特种设备监管部门</w:t>
      </w:r>
      <w:r>
        <w:rPr>
          <w:rFonts w:hint="eastAsia" w:ascii="仿宋" w:hAnsi="仿宋" w:eastAsia="仿宋" w:cs="仿宋"/>
          <w:color w:val="auto"/>
          <w:sz w:val="24"/>
          <w:szCs w:val="24"/>
          <w:highlight w:val="none"/>
        </w:rPr>
        <w:t>验收</w:t>
      </w:r>
      <w:r>
        <w:rPr>
          <w:rFonts w:hint="eastAsia" w:ascii="仿宋" w:hAnsi="仿宋" w:eastAsia="仿宋" w:cs="仿宋"/>
          <w:color w:val="auto"/>
          <w:sz w:val="24"/>
          <w:szCs w:val="24"/>
          <w:highlight w:val="none"/>
          <w:lang w:val="en-US" w:eastAsia="zh-CN"/>
        </w:rPr>
        <w:t>合格</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取得特种设备使用登记证交付甲方使用后 10天内，甲方支付至</w:t>
      </w:r>
      <w:r>
        <w:rPr>
          <w:rFonts w:hint="eastAsia" w:ascii="仿宋" w:hAnsi="仿宋" w:eastAsia="仿宋" w:cs="仿宋"/>
          <w:color w:val="auto"/>
          <w:sz w:val="24"/>
          <w:szCs w:val="24"/>
          <w:highlight w:val="none"/>
          <w:lang w:eastAsia="zh-CN"/>
        </w:rPr>
        <w:t>合同总价的</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eastAsia="zh-CN"/>
        </w:rPr>
        <w:t>；质保期到期后支付剩余合同总价的</w:t>
      </w:r>
      <w:r>
        <w:rPr>
          <w:rFonts w:hint="eastAsia" w:ascii="仿宋" w:hAnsi="仿宋" w:eastAsia="仿宋" w:cs="仿宋"/>
          <w:color w:val="auto"/>
          <w:sz w:val="24"/>
          <w:szCs w:val="24"/>
          <w:highlight w:val="none"/>
          <w:lang w:val="en-US" w:eastAsia="zh-CN"/>
        </w:rPr>
        <w:t>3%即</w:t>
      </w:r>
      <w:r>
        <w:rPr>
          <w:rFonts w:hint="eastAsia" w:ascii="仿宋" w:hAnsi="仿宋" w:eastAsia="仿宋" w:cs="仿宋"/>
          <w:color w:val="auto"/>
          <w:sz w:val="24"/>
          <w:szCs w:val="24"/>
          <w:highlight w:val="none"/>
          <w:u w:val="single"/>
        </w:rPr>
        <w:t>￥</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rPr>
        <w:t>元整）</w:t>
      </w:r>
      <w:r>
        <w:rPr>
          <w:rFonts w:hint="eastAsia" w:ascii="仿宋" w:hAnsi="仿宋" w:eastAsia="仿宋" w:cs="仿宋"/>
          <w:color w:val="auto"/>
          <w:sz w:val="24"/>
          <w:szCs w:val="24"/>
          <w:highlight w:val="none"/>
          <w:lang w:eastAsia="zh-CN"/>
        </w:rPr>
        <w:t>。</w:t>
      </w:r>
    </w:p>
    <w:p w14:paraId="2BB26925">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汇入乙方指定收款账户信息如下：</w:t>
      </w:r>
    </w:p>
    <w:p w14:paraId="47E0968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w:t>
      </w:r>
    </w:p>
    <w:p w14:paraId="5962931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p>
    <w:p w14:paraId="0D07F98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 户 行：</w:t>
      </w:r>
    </w:p>
    <w:p w14:paraId="1095097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超长期特别国债资金补助。按照更新方式实施的，1-9层每台电梯定额补贴10万元、10-18层每台电梯定额补贴15万元、19层（含）及以上每台电梯定额补贴20万元；</w:t>
      </w:r>
      <w:r>
        <w:rPr>
          <w:rFonts w:hint="eastAsia" w:ascii="仿宋" w:hAnsi="仿宋" w:eastAsia="仿宋" w:cs="仿宋"/>
          <w:color w:val="auto"/>
          <w:sz w:val="24"/>
          <w:szCs w:val="24"/>
          <w:highlight w:val="none"/>
          <w:lang w:val="en-US" w:eastAsia="zh-CN"/>
        </w:rPr>
        <w:t>补贴</w:t>
      </w:r>
      <w:r>
        <w:rPr>
          <w:rFonts w:hint="eastAsia" w:ascii="仿宋" w:hAnsi="仿宋" w:eastAsia="仿宋" w:cs="仿宋"/>
          <w:color w:val="auto"/>
          <w:sz w:val="24"/>
          <w:szCs w:val="24"/>
          <w:highlight w:val="none"/>
        </w:rPr>
        <w:t>到账后，甲方按上述付款节点同比例支付</w:t>
      </w:r>
      <w:r>
        <w:rPr>
          <w:rFonts w:hint="eastAsia" w:ascii="仿宋" w:hAnsi="仿宋" w:eastAsia="仿宋" w:cs="仿宋"/>
          <w:color w:val="auto"/>
          <w:sz w:val="24"/>
          <w:szCs w:val="24"/>
          <w:highlight w:val="none"/>
          <w:lang w:eastAsia="zh-CN"/>
        </w:rPr>
        <w:t>。</w:t>
      </w:r>
    </w:p>
    <w:p w14:paraId="154301A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2、乙方按照政府相关部门要求，</w:t>
      </w:r>
      <w:r>
        <w:rPr>
          <w:rFonts w:hint="eastAsia" w:ascii="仿宋" w:hAnsi="仿宋" w:eastAsia="仿宋" w:cs="仿宋"/>
          <w:color w:val="auto"/>
          <w:sz w:val="24"/>
          <w:szCs w:val="24"/>
          <w:highlight w:val="none"/>
          <w:lang w:eastAsia="zh-CN"/>
        </w:rPr>
        <w:t>甲方支付上述任何一笔款项前，乙方应提供符合甲方财务做账要求的正规增值税（专用/普通）发票</w:t>
      </w:r>
      <w:r>
        <w:rPr>
          <w:rFonts w:hint="eastAsia" w:ascii="仿宋" w:hAnsi="仿宋" w:eastAsia="仿宋" w:cs="仿宋"/>
          <w:color w:val="auto"/>
          <w:sz w:val="24"/>
          <w:szCs w:val="24"/>
          <w:highlight w:val="none"/>
        </w:rPr>
        <w:t>。如开具虚假发票或不合格发票，甲方有权拒收并要求乙方重新开具，同时乙方需按发票金额的 10% 向甲方支付违约金</w:t>
      </w:r>
      <w:r>
        <w:rPr>
          <w:rFonts w:hint="eastAsia" w:ascii="仿宋" w:hAnsi="仿宋" w:eastAsia="仿宋" w:cs="仿宋"/>
          <w:color w:val="auto"/>
          <w:sz w:val="24"/>
          <w:szCs w:val="24"/>
          <w:highlight w:val="none"/>
          <w:lang w:eastAsia="zh-CN"/>
        </w:rPr>
        <w:t>。</w:t>
      </w:r>
    </w:p>
    <w:p w14:paraId="5C3076D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color w:val="auto"/>
          <w:sz w:val="24"/>
          <w:szCs w:val="24"/>
          <w:highlight w:val="none"/>
          <w:lang w:eastAsia="zh-CN"/>
        </w:rPr>
        <w:t>实施周期</w:t>
      </w:r>
      <w:r>
        <w:rPr>
          <w:rFonts w:hint="eastAsia" w:ascii="仿宋" w:hAnsi="仿宋" w:eastAsia="仿宋" w:cs="仿宋"/>
          <w:color w:val="auto"/>
          <w:sz w:val="24"/>
          <w:szCs w:val="24"/>
          <w:highlight w:val="none"/>
        </w:rPr>
        <w:t>：</w:t>
      </w:r>
    </w:p>
    <w:p w14:paraId="3C5F099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电梯更换拆除、交货、安装调试并运行在合同签订</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3个月内完成。</w:t>
      </w:r>
      <w:r>
        <w:rPr>
          <w:rFonts w:hint="eastAsia" w:ascii="仿宋" w:hAnsi="仿宋" w:eastAsia="仿宋" w:cs="仿宋"/>
          <w:color w:val="auto"/>
          <w:sz w:val="24"/>
          <w:szCs w:val="24"/>
          <w:highlight w:val="none"/>
          <w:lang w:eastAsia="zh-CN"/>
        </w:rPr>
        <w:t>具体以合同签订为准。自</w:t>
      </w:r>
      <w:r>
        <w:rPr>
          <w:rFonts w:hint="eastAsia" w:ascii="仿宋" w:hAnsi="仿宋" w:eastAsia="仿宋" w:cs="仿宋"/>
          <w:color w:val="auto"/>
          <w:sz w:val="24"/>
          <w:szCs w:val="24"/>
          <w:highlight w:val="none"/>
          <w:lang w:val="en-US" w:eastAsia="zh-CN"/>
        </w:rPr>
        <w:t>2026年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lang w:val="en-US" w:eastAsia="zh-CN"/>
        </w:rPr>
        <w:t>2026年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结束。</w:t>
      </w:r>
    </w:p>
    <w:p w14:paraId="2E4EA3F6">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开始施工时间由乙方拆除电梯开始计算。施工工期不包法定假日。因乙方原因导致工期延误的，节假日不顺延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同时乙方需按</w:t>
      </w:r>
      <w:r>
        <w:rPr>
          <w:rFonts w:hint="eastAsia" w:ascii="仿宋" w:hAnsi="仿宋" w:eastAsia="仿宋" w:cs="仿宋"/>
          <w:color w:val="auto"/>
          <w:sz w:val="24"/>
          <w:szCs w:val="24"/>
          <w:highlight w:val="none"/>
          <w:lang w:val="en-US" w:eastAsia="zh-CN"/>
        </w:rPr>
        <w:t>10000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天</w:t>
      </w:r>
      <w:r>
        <w:rPr>
          <w:rFonts w:hint="eastAsia" w:ascii="仿宋" w:hAnsi="仿宋" w:eastAsia="仿宋" w:cs="仿宋"/>
          <w:color w:val="auto"/>
          <w:sz w:val="24"/>
          <w:szCs w:val="24"/>
          <w:highlight w:val="none"/>
        </w:rPr>
        <w:t>向甲方支付违约金</w:t>
      </w:r>
      <w:r>
        <w:rPr>
          <w:rFonts w:hint="eastAsia" w:ascii="仿宋" w:hAnsi="仿宋" w:eastAsia="仿宋" w:cs="仿宋"/>
          <w:color w:val="auto"/>
          <w:sz w:val="24"/>
          <w:szCs w:val="24"/>
          <w:highlight w:val="none"/>
          <w:lang w:eastAsia="zh-CN"/>
        </w:rPr>
        <w:t>。</w:t>
      </w:r>
    </w:p>
    <w:p w14:paraId="191FEF3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十、工程质量标准和质量保修期：</w:t>
      </w:r>
    </w:p>
    <w:p w14:paraId="5969C4D2">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（一）本工程施工质量及验收标准按国家现行施工技术规范、施工安全规范、施工验收规范和本工程合同规定执行，包括但不限于：</w:t>
      </w:r>
    </w:p>
    <w:p w14:paraId="2A822AB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GB7588.1-2020</w:t>
      </w:r>
      <w:r>
        <w:rPr>
          <w:rFonts w:hint="eastAsia" w:ascii="仿宋" w:hAnsi="仿宋" w:eastAsia="仿宋" w:cs="仿宋"/>
          <w:color w:val="auto"/>
          <w:sz w:val="24"/>
          <w:szCs w:val="24"/>
          <w:highlight w:val="none"/>
        </w:rPr>
        <w:t>电梯制造与安装安全规范；</w:t>
      </w:r>
    </w:p>
    <w:p w14:paraId="5843BBDB">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2、GB/T10058-20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电梯技术条件；</w:t>
      </w:r>
    </w:p>
    <w:p w14:paraId="72E1CD2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3、GB/T10059-20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电梯试验方法；</w:t>
      </w:r>
    </w:p>
    <w:p w14:paraId="5B8D56D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4、GB10060-20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电梯安装验收规范；</w:t>
      </w:r>
    </w:p>
    <w:p w14:paraId="61045B8F">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因乙方工程质量不符合合同约定标准，导致电梯无法正常使用或存在安全隐患的，乙方需在甲方提出整改要求后 10 个工作日内完成整改，整改期间产生的费用由乙方承担，且每逾期一日需按合同总价款的</w:t>
      </w:r>
      <w:r>
        <w:rPr>
          <w:rFonts w:hint="eastAsia" w:ascii="仿宋" w:hAnsi="仿宋" w:eastAsia="仿宋" w:cs="仿宋"/>
          <w:color w:val="auto"/>
          <w:sz w:val="24"/>
          <w:szCs w:val="24"/>
          <w:highlight w:val="none"/>
          <w:lang w:val="en-US" w:eastAsia="zh-CN"/>
        </w:rPr>
        <w:t>万分之五</w:t>
      </w:r>
      <w:r>
        <w:rPr>
          <w:rFonts w:hint="eastAsia" w:ascii="仿宋" w:hAnsi="仿宋" w:eastAsia="仿宋" w:cs="仿宋"/>
          <w:color w:val="auto"/>
          <w:sz w:val="24"/>
          <w:szCs w:val="24"/>
          <w:highlight w:val="none"/>
        </w:rPr>
        <w:t xml:space="preserve">支付违约金；若整改后仍不符合标准，甲方有权解除合同，乙方需退还已付款项，并按合同总价款的 </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支付违约金，同时赔偿甲方另行采购设备、重新施工的费用差额</w:t>
      </w:r>
      <w:r>
        <w:rPr>
          <w:rFonts w:hint="eastAsia" w:ascii="仿宋" w:hAnsi="仿宋" w:eastAsia="仿宋" w:cs="仿宋"/>
          <w:color w:val="auto"/>
          <w:sz w:val="24"/>
          <w:szCs w:val="24"/>
          <w:highlight w:val="none"/>
          <w:lang w:val="en-US" w:eastAsia="zh-CN"/>
        </w:rPr>
        <w:t>.</w:t>
      </w:r>
    </w:p>
    <w:p w14:paraId="7D692B7A">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（二）本工程进场的主要设备材料应具有品牌、型号、规格、厂家名称、厂址及联系电话等标识铭牌</w:t>
      </w:r>
      <w:r>
        <w:rPr>
          <w:rFonts w:hint="eastAsia" w:ascii="仿宋" w:hAnsi="仿宋" w:eastAsia="仿宋" w:cs="仿宋"/>
          <w:color w:val="auto"/>
          <w:sz w:val="24"/>
          <w:szCs w:val="24"/>
          <w:highlight w:val="none"/>
          <w:lang w:eastAsia="zh-CN"/>
        </w:rPr>
        <w:t>，且需与甲方确认的清单一致；甲方有权随机抽样送检，检测机构由甲方指定，检测费用由乙方承担，如检测不合格，乙方需在 5 个工作日内无条件更换，且承担检测费及工期延误责任</w:t>
      </w:r>
      <w:r>
        <w:rPr>
          <w:rFonts w:hint="eastAsia" w:ascii="仿宋" w:hAnsi="仿宋" w:eastAsia="仿宋" w:cs="仿宋"/>
          <w:color w:val="auto"/>
          <w:sz w:val="24"/>
          <w:szCs w:val="24"/>
          <w:highlight w:val="none"/>
        </w:rPr>
        <w:t>。</w:t>
      </w:r>
    </w:p>
    <w:p w14:paraId="7D1D00AF">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（三）乙方需在设备安装前向甲方提供《用户使用指南》《维护保养手册》各 3 套，同时对甲方指定的 3-5 名管理人员进行免费操作培训。</w:t>
      </w:r>
    </w:p>
    <w:p w14:paraId="67D9341F">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（四）本合同中的电梯设备的质保期为</w:t>
      </w:r>
      <w:r>
        <w:rPr>
          <w:rFonts w:hint="eastAsia" w:ascii="仿宋" w:hAnsi="仿宋" w:eastAsia="仿宋" w:cs="仿宋"/>
          <w:bCs/>
          <w:color w:val="auto"/>
          <w:sz w:val="24"/>
          <w:szCs w:val="24"/>
          <w:highlight w:val="none"/>
          <w:lang w:val="en-US" w:eastAsia="zh-CN"/>
        </w:rPr>
        <w:t>五年，电梯责任险一年</w:t>
      </w:r>
      <w:r>
        <w:rPr>
          <w:rFonts w:hint="eastAsia" w:ascii="仿宋" w:hAnsi="仿宋" w:eastAsia="仿宋" w:cs="仿宋"/>
          <w:color w:val="auto"/>
          <w:sz w:val="24"/>
          <w:szCs w:val="24"/>
          <w:highlight w:val="none"/>
        </w:rPr>
        <w:t>。自特种设备监管机构验收合格并签发合格证书之日起计算。乙方提供12个月的免费维保服务</w:t>
      </w:r>
      <w:r>
        <w:rPr>
          <w:rFonts w:hint="eastAsia" w:ascii="仿宋" w:hAnsi="仿宋" w:eastAsia="仿宋" w:cs="仿宋"/>
          <w:color w:val="auto"/>
          <w:sz w:val="24"/>
          <w:szCs w:val="24"/>
          <w:highlight w:val="none"/>
          <w:lang w:eastAsia="zh-CN"/>
        </w:rPr>
        <w:t>，质保期内，乙方需提供每月不少于 2 次的定期维保服务（提供维保记录，经甲方签字确认）</w:t>
      </w:r>
      <w:r>
        <w:rPr>
          <w:rFonts w:hint="eastAsia" w:ascii="仿宋" w:hAnsi="仿宋" w:eastAsia="仿宋" w:cs="仿宋"/>
          <w:color w:val="auto"/>
          <w:sz w:val="24"/>
          <w:szCs w:val="24"/>
          <w:highlight w:val="none"/>
        </w:rPr>
        <w:t>。</w:t>
      </w:r>
    </w:p>
    <w:p w14:paraId="74FFFFAF">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质保期内，乙方需对电梯整体系统（含设备本体、安装部件、控制系统、驱动系统、门系统、安全保护装置等）提供免费维修、更换服务，包括但不限于：</w:t>
      </w:r>
    </w:p>
    <w:p w14:paraId="235093D7">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电梯运行过程中出现的异响、震动、卡顿、速度异常等性能问题；​</w:t>
      </w:r>
    </w:p>
    <w:p w14:paraId="3B63BB56">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门机系统故障（如开关门缓慢、夹人、无法自动开关门）；​</w:t>
      </w:r>
    </w:p>
    <w:p w14:paraId="3E1ECA24">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安全保护装置失效（如限速器、安全钳、缓冲器、门锁装置故障）；​</w:t>
      </w:r>
    </w:p>
    <w:p w14:paraId="29245E0A">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电气控制系统故障（如电路板损坏、传感器失灵、按钮失效）；​</w:t>
      </w:r>
    </w:p>
    <w:p w14:paraId="4F351BEA">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驱动主机、曳引系统部件损坏（如电机故障、钢丝绳磨损超标、轴承损坏）</w:t>
      </w:r>
    </w:p>
    <w:p w14:paraId="5A84504C">
      <w:pPr>
        <w:keepNext w:val="0"/>
        <w:keepLines w:val="0"/>
        <w:spacing w:line="440" w:lineRule="atLeas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非紧急故障，</w:t>
      </w:r>
      <w:r>
        <w:rPr>
          <w:rFonts w:hint="eastAsia" w:ascii="仿宋" w:hAnsi="仿宋" w:eastAsia="仿宋" w:cs="仿宋"/>
          <w:color w:val="auto"/>
          <w:sz w:val="24"/>
          <w:szCs w:val="24"/>
          <w:highlight w:val="none"/>
        </w:rPr>
        <w:t>接到甲方故障通知后，乙方需在 2 小时内响应，4 小时内到场维修（乌鲁木齐天山区范围内），24 小时内排除故障；如逾期未到场或未修复，甲方有权委托第三方维修，费用由乙方承担，同时乙方需按 500 元 / 次向甲方支付违约金</w:t>
      </w:r>
      <w:r>
        <w:rPr>
          <w:rFonts w:hint="eastAsia" w:ascii="仿宋" w:hAnsi="仿宋" w:eastAsia="仿宋" w:cs="仿宋"/>
          <w:color w:val="auto"/>
          <w:sz w:val="24"/>
          <w:szCs w:val="24"/>
          <w:highlight w:val="none"/>
          <w:lang w:eastAsia="zh-CN"/>
        </w:rPr>
        <w:t>。</w:t>
      </w:r>
    </w:p>
    <w:p w14:paraId="355E7FD0">
      <w:pPr>
        <w:keepNext w:val="0"/>
        <w:keepLines w:val="0"/>
        <w:spacing w:line="440" w:lineRule="atLeas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紧急故障</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w:t>
      </w:r>
      <w:r>
        <w:rPr>
          <w:rFonts w:hint="eastAsia" w:ascii="仿宋" w:hAnsi="仿宋" w:eastAsia="仿宋" w:cs="仿宋"/>
          <w:color w:val="auto"/>
          <w:sz w:val="24"/>
          <w:szCs w:val="24"/>
          <w:highlight w:val="none"/>
        </w:rPr>
        <w:t>电梯出现困人、冲顶、蹾底、漏电等紧急安全故障，甲方或小区业主通知乙方后，乙方需在1小时内抵达现场，2 小时内完成应急处置（如解救被困人员、排除安全隐患）；逾期未抵达的，每逾期 30 分钟，乙方需向甲方支付 200 元违约金；逾期超过 2 小时，甲方有权委托第三方开展应急救援，费用由乙方承担，且乙方需额外支付 5000 元违约金</w:t>
      </w:r>
      <w:r>
        <w:rPr>
          <w:rFonts w:hint="eastAsia" w:ascii="仿宋" w:hAnsi="仿宋" w:eastAsia="仿宋" w:cs="仿宋"/>
          <w:color w:val="auto"/>
          <w:sz w:val="24"/>
          <w:szCs w:val="24"/>
          <w:highlight w:val="none"/>
          <w:lang w:eastAsia="zh-CN"/>
        </w:rPr>
        <w:t>。</w:t>
      </w:r>
    </w:p>
    <w:p w14:paraId="0B405AB4">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质保期内更换的零部件，需与原设备品牌、型号一致，且提供原厂合格证明；若原厂配件停产，需更换同级别或更高级别的替代配件，且需提前 7 个工作日向甲方提交配件资质证明、性能参数对比表，经甲方书面同意后方可更换，更换后的零部件质保期自更换完成之日起重新计算（不少于 12 个月）</w:t>
      </w:r>
      <w:r>
        <w:rPr>
          <w:rFonts w:hint="eastAsia" w:ascii="仿宋" w:hAnsi="仿宋" w:eastAsia="仿宋" w:cs="仿宋"/>
          <w:color w:val="auto"/>
          <w:sz w:val="24"/>
          <w:szCs w:val="24"/>
          <w:highlight w:val="none"/>
          <w:lang w:eastAsia="zh-CN"/>
        </w:rPr>
        <w:t>。</w:t>
      </w:r>
    </w:p>
    <w:p w14:paraId="5B64BFF5">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（五）若同一台电梯在质保期内出现3 次及以上相同类型的故障（如同一门机系统反复故障、同一电路板多次损坏），或因同一故障导致电梯停运累计超过15 个工作日，乙方需在甲方提出要求后 15 个工作日内为甲方免费更换该故障系统或整台电梯（根据故障严重程度确定），并承担更换过程中的全部费用（含拆除、运输、安装、调试、验收）；逾期未更换的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乙方应</w:t>
      </w:r>
      <w:r>
        <w:rPr>
          <w:rFonts w:hint="eastAsia" w:ascii="仿宋" w:hAnsi="仿宋" w:eastAsia="仿宋" w:cs="仿宋"/>
          <w:color w:val="auto"/>
          <w:sz w:val="24"/>
          <w:szCs w:val="24"/>
          <w:highlight w:val="none"/>
        </w:rPr>
        <w:t>赔偿甲方因此产生的</w:t>
      </w:r>
      <w:r>
        <w:rPr>
          <w:rFonts w:hint="eastAsia" w:ascii="仿宋" w:hAnsi="仿宋" w:eastAsia="仿宋" w:cs="仿宋"/>
          <w:color w:val="auto"/>
          <w:sz w:val="24"/>
          <w:szCs w:val="24"/>
          <w:highlight w:val="none"/>
          <w:lang w:val="en-US" w:eastAsia="zh-CN"/>
        </w:rPr>
        <w:t>全部</w:t>
      </w:r>
      <w:r>
        <w:rPr>
          <w:rFonts w:hint="eastAsia" w:ascii="仿宋" w:hAnsi="仿宋" w:eastAsia="仿宋" w:cs="仿宋"/>
          <w:color w:val="auto"/>
          <w:sz w:val="24"/>
          <w:szCs w:val="24"/>
          <w:highlight w:val="none"/>
        </w:rPr>
        <w:t>损失</w:t>
      </w:r>
      <w:r>
        <w:rPr>
          <w:rFonts w:hint="eastAsia" w:ascii="仿宋" w:hAnsi="仿宋" w:eastAsia="仿宋" w:cs="仿宋"/>
          <w:color w:val="auto"/>
          <w:sz w:val="24"/>
          <w:szCs w:val="24"/>
          <w:highlight w:val="none"/>
          <w:lang w:eastAsia="zh-CN"/>
        </w:rPr>
        <w:t>。</w:t>
      </w:r>
    </w:p>
    <w:p w14:paraId="7DF13FF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（六）质保期届满前 30 个工作日，乙方需对电梯进行全面检测（邀请甲方、小区业主代表、特种设备监管部门参与），出具《质保期届满检测报告》，明确电梯运行状态、存在的问题及后续维护建议；若检测发现仍存在质保期内未彻底修复的故障，乙方需在质保期届满前完成整改，否则质保期顺延至整改完成之日，且乙方需按 500 元 / 日向甲方支付违约金</w:t>
      </w:r>
      <w:r>
        <w:rPr>
          <w:rFonts w:hint="eastAsia" w:ascii="仿宋" w:hAnsi="仿宋" w:eastAsia="仿宋" w:cs="仿宋"/>
          <w:color w:val="auto"/>
          <w:sz w:val="24"/>
          <w:szCs w:val="24"/>
          <w:highlight w:val="none"/>
          <w:lang w:eastAsia="zh-CN"/>
        </w:rPr>
        <w:t>。</w:t>
      </w:r>
    </w:p>
    <w:p w14:paraId="34B6119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竣工后，乙方向甲方提供电梯图纸一套。</w:t>
      </w:r>
    </w:p>
    <w:p w14:paraId="65EB6E26">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乙方委派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为本工程技术负责人、安全生产责任人和防火治安责任人，全面负责施工管理工作。</w:t>
      </w:r>
    </w:p>
    <w:p w14:paraId="7823E5A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十一、施工要求：</w:t>
      </w:r>
    </w:p>
    <w:p w14:paraId="77705B4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（一）安全文明施工，因施工噪音、粉尘等问题引发</w:t>
      </w:r>
      <w:r>
        <w:rPr>
          <w:rFonts w:hint="eastAsia" w:ascii="仿宋" w:hAnsi="仿宋" w:eastAsia="仿宋" w:cs="仿宋"/>
          <w:color w:val="auto"/>
          <w:sz w:val="24"/>
          <w:szCs w:val="24"/>
          <w:highlight w:val="none"/>
          <w:lang w:val="en-US" w:eastAsia="zh-CN"/>
        </w:rPr>
        <w:t>第三人</w:t>
      </w:r>
      <w:r>
        <w:rPr>
          <w:rFonts w:hint="eastAsia" w:ascii="仿宋" w:hAnsi="仿宋" w:eastAsia="仿宋" w:cs="仿宋"/>
          <w:color w:val="auto"/>
          <w:sz w:val="24"/>
          <w:szCs w:val="24"/>
          <w:highlight w:val="none"/>
        </w:rPr>
        <w:t>投诉或政府部门处罚的，责任及损失由乙方承担，且甲方有权扣除合同总价款的 3% 作为违约金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质量验收合格。</w:t>
      </w:r>
    </w:p>
    <w:p w14:paraId="3AB39FF9">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（二）施工应严格按照电梯设计方案及施工图纸施工，满足相应的质量要求. </w:t>
      </w:r>
    </w:p>
    <w:p w14:paraId="7FBBEBB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十二、电梯生产和安装厂商</w:t>
      </w:r>
    </w:p>
    <w:p w14:paraId="1DF3CCE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（一）电梯品牌：</w:t>
      </w:r>
    </w:p>
    <w:p w14:paraId="16EB7D2A">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（二）电梯生产资质为：</w:t>
      </w:r>
    </w:p>
    <w:p w14:paraId="4DBF08E9">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（三）电梯安装资质为：</w:t>
      </w:r>
    </w:p>
    <w:p w14:paraId="02723823">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乙方需在合同签订后 5 个工作日内将上述厂商资质文件原件交甲方审核存档，如资质不符合要求，甲方有权解除合同并要求乙方支付合同总价款 10% 的违约金。​</w:t>
      </w:r>
    </w:p>
    <w:p w14:paraId="33D41838">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十三、双方义务：</w:t>
      </w:r>
    </w:p>
    <w:p w14:paraId="0663FA3F">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（一）甲方义务：</w:t>
      </w:r>
    </w:p>
    <w:p w14:paraId="2769B6C4">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1、甲方委派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为现场管理代表，负责监督检查乙方的工程质量、进度、安全、文明施工及其他事宜。</w:t>
      </w:r>
    </w:p>
    <w:p w14:paraId="2E13AB2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2、甲方提供所需证件或签字，协助办理更新电梯手续。</w:t>
      </w:r>
    </w:p>
    <w:p w14:paraId="18899CE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3、甲方需配合乙方施工，如因甲方原因导致施工不能按时完成，甲方承担相应损失。</w:t>
      </w:r>
    </w:p>
    <w:p w14:paraId="4895204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（二）乙方义务：</w:t>
      </w:r>
    </w:p>
    <w:p w14:paraId="5DE10599">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1、全面履行本合同条款并承担因乙方原因产生的全部责任。负责所承担工程的技术、施工、管理工作，严格按标准、质量、要求和图纸条件安装和施工，并按工期完成施工。</w:t>
      </w:r>
    </w:p>
    <w:p w14:paraId="369644C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2、乙方遵守甲方施工现场的各项规章制度，严格按施工安全规范进行施工作业，对该工程安全施工负全部责任。乙方需为施工现场所有人员购买</w:t>
      </w:r>
      <w:r>
        <w:rPr>
          <w:rFonts w:hint="eastAsia" w:ascii="仿宋" w:hAnsi="仿宋" w:eastAsia="仿宋" w:cs="仿宋"/>
          <w:color w:val="auto"/>
          <w:sz w:val="24"/>
          <w:szCs w:val="24"/>
          <w:highlight w:val="none"/>
          <w:lang w:val="en-US" w:eastAsia="zh-CN"/>
        </w:rPr>
        <w:t>相应</w:t>
      </w:r>
      <w:r>
        <w:rPr>
          <w:rFonts w:hint="eastAsia" w:ascii="仿宋" w:hAnsi="仿宋" w:eastAsia="仿宋" w:cs="仿宋"/>
          <w:color w:val="auto"/>
          <w:sz w:val="24"/>
          <w:szCs w:val="24"/>
          <w:highlight w:val="none"/>
        </w:rPr>
        <w:t>保险，保险期限覆盖整个施工周期，如因乙方未购买保险导致施工人员伤亡无法理赔，乙方需承担全部赔偿责任，且甲方有权解除合同</w:t>
      </w:r>
      <w:r>
        <w:rPr>
          <w:rFonts w:hint="eastAsia" w:ascii="仿宋" w:hAnsi="仿宋" w:eastAsia="仿宋" w:cs="仿宋"/>
          <w:color w:val="auto"/>
          <w:sz w:val="24"/>
          <w:szCs w:val="24"/>
          <w:highlight w:val="none"/>
          <w:lang w:eastAsia="zh-CN"/>
        </w:rPr>
        <w:t>。</w:t>
      </w:r>
    </w:p>
    <w:p w14:paraId="1F16871F">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3、乙方按照双方约定的规格、型号等要求进行采购。并负责自行勘测现场尺寸等</w:t>
      </w:r>
      <w:r>
        <w:rPr>
          <w:rFonts w:hint="eastAsia" w:ascii="仿宋" w:hAnsi="仿宋" w:eastAsia="仿宋" w:cs="仿宋"/>
          <w:color w:val="auto"/>
          <w:sz w:val="24"/>
          <w:szCs w:val="24"/>
          <w:highlight w:val="none"/>
          <w:lang w:eastAsia="zh-CN"/>
        </w:rPr>
        <w:t>，如因乙方勘测失误导致设备尺寸不符、无法安装，或采购的设备品牌、型号与甲方确认清单不一致，乙方需无条件更换，承担更换费用及工期延误责任，且需按该批设备金额的 15% 向甲方支付违约金</w:t>
      </w:r>
      <w:r>
        <w:rPr>
          <w:rFonts w:hint="eastAsia" w:ascii="仿宋" w:hAnsi="仿宋" w:eastAsia="仿宋" w:cs="仿宋"/>
          <w:color w:val="auto"/>
          <w:sz w:val="24"/>
          <w:szCs w:val="24"/>
          <w:highlight w:val="none"/>
        </w:rPr>
        <w:t>。</w:t>
      </w:r>
    </w:p>
    <w:p w14:paraId="0B29BDD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4、乙方向甲方承诺按照合同约定及国家相关规定进行施工、竣工，并在质量保修期内无条件承担工程质量保修责任。</w:t>
      </w:r>
    </w:p>
    <w:p w14:paraId="1B552A37">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5、乙方在施工期间自行清理所产生的垃圾，如不清理干净，则由甲方雇人清理，所产生的费用由乙方承担。</w:t>
      </w:r>
    </w:p>
    <w:p w14:paraId="61F7B05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6、施工中发现特殊问题，应立即通知甲方共同商量处理。施工完毕后应移交相关施工资料、档案。</w:t>
      </w:r>
    </w:p>
    <w:p w14:paraId="65E8DC25">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乙方需建立完整的维修档案（含每台电梯的故障记录、维修记录、配件更换记录、维保报告），在质保期届满后 15 个工作日内将全套档案（纸质版 1 套、电子版 1 套）移交甲方；档案需详细记录每次故障的时间、原因、处置过程、更换部件型号及厂家、维修人员信息</w:t>
      </w:r>
      <w:r>
        <w:rPr>
          <w:rFonts w:hint="eastAsia" w:ascii="仿宋" w:hAnsi="仿宋" w:eastAsia="仿宋" w:cs="仿宋"/>
          <w:color w:val="auto"/>
          <w:sz w:val="24"/>
          <w:szCs w:val="24"/>
          <w:highlight w:val="none"/>
          <w:lang w:eastAsia="zh-CN"/>
        </w:rPr>
        <w:t>。</w:t>
      </w:r>
    </w:p>
    <w:p w14:paraId="0B13378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乙方不得将本合同项下的工程转包或违法分包给第三方，如甲方发现乙方存在转包、违法分包行为，乙方需立即终止转包/分包关系，限期整改，并按合同总价款的 25% 向甲方支付违约金；整改不合格或拒不整改的，甲方有权解除合同，乙方需退还已付款项并赔偿甲方全部损失（含重新招标费用、工期延误损失等）。​</w:t>
      </w:r>
    </w:p>
    <w:p w14:paraId="7ECD6629">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乙方需在工程竣工验收合格后 10 个工作日内完成施工现场的清理退场工作（含施工设备、剩余材料、临时设施的拆除及清运），逾期未退场的，每逾期一日需向甲方支付 2000 元场地占用费，且甲方有权自行处置现场遗留物品，处置费用由乙方承担</w:t>
      </w:r>
    </w:p>
    <w:p w14:paraId="68409BE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十四、违约责任：</w:t>
      </w:r>
    </w:p>
    <w:p w14:paraId="342D6D8F">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（一）由于地震、水灾、战争、暴乱、政府征用征收拆迁等不可抗力的影响乙方不承担违约责任</w:t>
      </w:r>
      <w:r>
        <w:rPr>
          <w:rFonts w:hint="eastAsia" w:ascii="仿宋" w:hAnsi="仿宋" w:eastAsia="仿宋" w:cs="仿宋"/>
          <w:color w:val="auto"/>
          <w:sz w:val="24"/>
          <w:szCs w:val="24"/>
          <w:highlight w:val="none"/>
          <w:lang w:eastAsia="zh-CN"/>
        </w:rPr>
        <w:t>，但乙方需在不可抗力发生后 24 小时内书面通知甲方，并在 7 个工作日内提供政府部门出具的不可抗力证明文件；乙方需采取合理措施减少不可抗力造成的损失，如因乙方未及时通知或未采取减损措施导致损失扩大，扩大部分由乙方承担</w:t>
      </w:r>
      <w:r>
        <w:rPr>
          <w:rFonts w:hint="eastAsia" w:ascii="仿宋" w:hAnsi="仿宋" w:eastAsia="仿宋" w:cs="仿宋"/>
          <w:color w:val="auto"/>
          <w:sz w:val="24"/>
          <w:szCs w:val="24"/>
          <w:highlight w:val="none"/>
        </w:rPr>
        <w:t>。</w:t>
      </w:r>
    </w:p>
    <w:p w14:paraId="1E15CCE2">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（二）因乙方原因，若乙方未在约定工期内完工或逾期履行本协议项下其它义务的，</w:t>
      </w:r>
      <w:r>
        <w:rPr>
          <w:rFonts w:hint="eastAsia" w:ascii="仿宋" w:hAnsi="仿宋" w:eastAsia="仿宋" w:cs="仿宋"/>
          <w:color w:val="auto"/>
          <w:sz w:val="24"/>
          <w:szCs w:val="24"/>
          <w:highlight w:val="none"/>
          <w:lang w:val="en-US" w:eastAsia="zh-CN"/>
        </w:rPr>
        <w:t>除承担相应违约责任外，乙方还应承担</w:t>
      </w:r>
      <w:r>
        <w:rPr>
          <w:rFonts w:hint="eastAsia" w:ascii="仿宋" w:hAnsi="仿宋" w:eastAsia="仿宋" w:cs="仿宋"/>
          <w:color w:val="auto"/>
          <w:sz w:val="24"/>
          <w:szCs w:val="24"/>
          <w:highlight w:val="none"/>
        </w:rPr>
        <w:t>超长期国债政府补贴15万元/台</w:t>
      </w:r>
      <w:r>
        <w:rPr>
          <w:rFonts w:hint="eastAsia" w:ascii="仿宋" w:hAnsi="仿宋" w:eastAsia="仿宋" w:cs="仿宋"/>
          <w:color w:val="auto"/>
          <w:sz w:val="24"/>
          <w:szCs w:val="24"/>
          <w:highlight w:val="none"/>
          <w:lang w:eastAsia="zh-CN"/>
        </w:rPr>
        <w:t>，如该补贴已由甲方支付给乙方，乙方需在工期逾期超过 15 日的当日退还该部分补贴，逾期未退还的，每逾期一日需按补贴金额的</w:t>
      </w:r>
      <w:r>
        <w:rPr>
          <w:rFonts w:hint="eastAsia" w:ascii="仿宋" w:hAnsi="仿宋" w:eastAsia="仿宋" w:cs="仿宋"/>
          <w:color w:val="auto"/>
          <w:sz w:val="24"/>
          <w:szCs w:val="24"/>
          <w:highlight w:val="none"/>
          <w:lang w:val="en-US" w:eastAsia="zh-CN"/>
        </w:rPr>
        <w:t>万分之五</w:t>
      </w:r>
      <w:r>
        <w:rPr>
          <w:rFonts w:hint="eastAsia" w:ascii="仿宋" w:hAnsi="仿宋" w:eastAsia="仿宋" w:cs="仿宋"/>
          <w:color w:val="auto"/>
          <w:sz w:val="24"/>
          <w:szCs w:val="24"/>
          <w:highlight w:val="none"/>
          <w:lang w:eastAsia="zh-CN"/>
        </w:rPr>
        <w:t>支付违约金</w:t>
      </w:r>
      <w:r>
        <w:rPr>
          <w:rFonts w:hint="eastAsia" w:ascii="仿宋" w:hAnsi="仿宋" w:eastAsia="仿宋" w:cs="仿宋"/>
          <w:color w:val="auto"/>
          <w:sz w:val="24"/>
          <w:szCs w:val="24"/>
          <w:highlight w:val="none"/>
        </w:rPr>
        <w:t>。</w:t>
      </w:r>
    </w:p>
    <w:p w14:paraId="70BCB9F3">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若甲方在签署本电梯更新合同后出现违约情形，导致合同无法继续履行或乙方遭受经济损失，甲方应承担相应赔偿责任，因政府政策改变或因超长期国债补贴未能及时到账等情况，甲方不承担责任，但甲方未按约定履行己方义务的除外。赔偿范围包括但不限于乙方已投入的人力成本（按[具体人工费用计算标准]核算）、材料采购费用（依据乙方已实际采购且无法退货或转售的材料发票金额为准）、运输费、乙方为履行合同实际支出的费用、预期可得利益损失（按照本合同正常履行后乙方预估可获得的利润[具体计算方式或预估金额范围]计算）以及因处理违约事宜而产生的合理费用（如律师费、诉讼费、差旅费、公告费、执行费等，以实际发生且有合法票据证明的金额为准）。甲方应在乙方提出书面索赔通知后的30 天内完成赔偿支付，若逾期未支付，每逾期一日，应按照未支付金额的</w:t>
      </w:r>
      <w:r>
        <w:rPr>
          <w:rFonts w:hint="eastAsia" w:ascii="仿宋" w:hAnsi="仿宋" w:eastAsia="仿宋" w:cs="仿宋"/>
          <w:color w:val="auto"/>
          <w:sz w:val="24"/>
          <w:szCs w:val="24"/>
          <w:highlight w:val="none"/>
          <w:lang w:val="en-US" w:eastAsia="zh-CN"/>
        </w:rPr>
        <w:t>万分之五</w:t>
      </w:r>
      <w:r>
        <w:rPr>
          <w:rFonts w:hint="eastAsia" w:ascii="仿宋" w:hAnsi="仿宋" w:eastAsia="仿宋" w:cs="仿宋"/>
          <w:color w:val="auto"/>
          <w:sz w:val="24"/>
          <w:szCs w:val="24"/>
          <w:highlight w:val="none"/>
        </w:rPr>
        <w:t>向乙方支付违约金。逾期超过三十日，乙方有权解除合同，甲方需按照合同总价款30%向乙方承担违约责任</w:t>
      </w:r>
      <w:r>
        <w:rPr>
          <w:rFonts w:hint="eastAsia" w:ascii="仿宋" w:hAnsi="仿宋" w:eastAsia="仿宋" w:cs="仿宋"/>
          <w:color w:val="auto"/>
          <w:sz w:val="24"/>
          <w:szCs w:val="24"/>
          <w:highlight w:val="none"/>
          <w:lang w:eastAsia="zh-CN"/>
        </w:rPr>
        <w:t>。但甲方因乙方先存在违约行为（如工程质量不合格、工期严重逾期）而拒绝支付款项或解除合同的，不视为甲方违约</w:t>
      </w:r>
      <w:r>
        <w:rPr>
          <w:rFonts w:hint="eastAsia" w:ascii="仿宋" w:hAnsi="仿宋" w:eastAsia="仿宋" w:cs="仿宋"/>
          <w:color w:val="auto"/>
          <w:sz w:val="24"/>
          <w:szCs w:val="24"/>
          <w:highlight w:val="none"/>
        </w:rPr>
        <w:t>。</w:t>
      </w:r>
    </w:p>
    <w:p w14:paraId="6FC5564D">
      <w:pPr>
        <w:keepNext w:val="0"/>
        <w:keepLines w:val="0"/>
        <w:spacing w:line="440" w:lineRule="atLeas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因乙方违约，甲方为主张权利所支出的包含但不限于诉讼费、诉讼责任险费、律师费、保全费、鉴定费等全部费用由乙方承担。</w:t>
      </w:r>
    </w:p>
    <w:p w14:paraId="4620107C">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十五、合同附件</w:t>
      </w:r>
    </w:p>
    <w:p w14:paraId="5E156DF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附件1.《电梯技术规格》</w:t>
      </w:r>
    </w:p>
    <w:p w14:paraId="6FCD189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合同附件与本同有同等法律效力。</w:t>
      </w:r>
    </w:p>
    <w:p w14:paraId="41E5EEE0">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十六、本合同未尽事宜，双方协商解决，如协商不成，应向</w:t>
      </w:r>
      <w:r>
        <w:rPr>
          <w:rFonts w:hint="eastAsia" w:ascii="仿宋" w:hAnsi="仿宋" w:eastAsia="仿宋" w:cs="仿宋"/>
          <w:color w:val="auto"/>
          <w:sz w:val="24"/>
          <w:szCs w:val="24"/>
          <w:highlight w:val="none"/>
          <w:lang w:val="en-US" w:eastAsia="zh-CN"/>
        </w:rPr>
        <w:t>工程所在地</w:t>
      </w:r>
      <w:r>
        <w:rPr>
          <w:rFonts w:hint="eastAsia" w:ascii="仿宋" w:hAnsi="仿宋" w:eastAsia="仿宋" w:cs="仿宋"/>
          <w:color w:val="auto"/>
          <w:sz w:val="24"/>
          <w:szCs w:val="24"/>
          <w:highlight w:val="none"/>
        </w:rPr>
        <w:t>人民法院提起诉讼。</w:t>
      </w:r>
    </w:p>
    <w:p w14:paraId="75DC8301">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十七、合同执行期间，如因故不能履行或需要修改，必须经双方同意，并另订书面合同，方为有效。</w:t>
      </w:r>
    </w:p>
    <w:p w14:paraId="36A1FE26">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十八、</w:t>
      </w:r>
      <w:r>
        <w:rPr>
          <w:rFonts w:hint="eastAsia" w:ascii="仿宋" w:hAnsi="仿宋" w:eastAsia="仿宋" w:cs="仿宋"/>
          <w:color w:val="auto"/>
          <w:sz w:val="24"/>
          <w:szCs w:val="24"/>
          <w:highlight w:val="none"/>
        </w:rPr>
        <w:t>本合同一式四份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甲乙双方各二份，本合同自甲、乙双方签章后生效</w:t>
      </w:r>
      <w:r>
        <w:rPr>
          <w:rFonts w:hint="eastAsia" w:ascii="仿宋" w:hAnsi="仿宋" w:eastAsia="仿宋" w:cs="仿宋"/>
          <w:color w:val="auto"/>
          <w:sz w:val="24"/>
          <w:szCs w:val="24"/>
          <w:highlight w:val="none"/>
          <w:lang w:eastAsia="zh-CN"/>
        </w:rPr>
        <w:t>，具有同等法律效力</w:t>
      </w:r>
      <w:r>
        <w:rPr>
          <w:rFonts w:hint="eastAsia" w:ascii="仿宋" w:hAnsi="仿宋" w:eastAsia="仿宋" w:cs="仿宋"/>
          <w:color w:val="auto"/>
          <w:sz w:val="24"/>
          <w:szCs w:val="24"/>
          <w:highlight w:val="none"/>
        </w:rPr>
        <w:t>。</w:t>
      </w:r>
    </w:p>
    <w:p w14:paraId="4B111F24">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（以下无正文，为本合同签字盖章页）</w:t>
      </w:r>
    </w:p>
    <w:p w14:paraId="45D47BEB">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p>
    <w:p w14:paraId="0A5C0B4A">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p>
    <w:p w14:paraId="20E9676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 （签章）                    乙方：（签章）</w:t>
      </w:r>
    </w:p>
    <w:p w14:paraId="6BB2ACA4">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p>
    <w:p w14:paraId="238DA1FD">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甲方代表：                         乙方代表：</w:t>
      </w:r>
    </w:p>
    <w:p w14:paraId="5B6E07AA">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rPr>
          <w:rFonts w:hint="eastAsia" w:ascii="仿宋" w:hAnsi="仿宋" w:eastAsia="仿宋" w:cs="仿宋"/>
          <w:color w:val="auto"/>
          <w:sz w:val="24"/>
          <w:szCs w:val="24"/>
          <w:highlight w:val="none"/>
        </w:rPr>
      </w:pPr>
    </w:p>
    <w:p w14:paraId="51BAF1A9">
      <w:pPr>
        <w:keepNext w:val="0"/>
        <w:keepLines w:val="0"/>
        <w:pageBreakBefore w:val="0"/>
        <w:widowControl w:val="0"/>
        <w:kinsoku/>
        <w:wordWrap/>
        <w:overflowPunct/>
        <w:topLinePunct w:val="0"/>
        <w:autoSpaceDE/>
        <w:autoSpaceDN/>
        <w:bidi w:val="0"/>
        <w:snapToGrid/>
        <w:spacing w:line="440" w:lineRule="atLeast"/>
        <w:ind w:left="0" w:leftChars="0" w:right="0"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年   月   日                       年   月   日</w:t>
      </w:r>
    </w:p>
    <w:p w14:paraId="02E34682">
      <w:pPr>
        <w:keepNext w:val="0"/>
        <w:keepLines w:val="0"/>
        <w:pageBreakBefore w:val="0"/>
        <w:widowControl w:val="0"/>
        <w:kinsoku/>
        <w:wordWrap/>
        <w:overflowPunct/>
        <w:topLinePunct w:val="0"/>
        <w:autoSpaceDE/>
        <w:autoSpaceDN/>
        <w:bidi w:val="0"/>
        <w:snapToGrid/>
        <w:spacing w:line="440" w:lineRule="atLeast"/>
        <w:ind w:left="0" w:leftChars="0" w:right="0" w:firstLine="1200" w:firstLineChars="500"/>
        <w:rPr>
          <w:rFonts w:ascii="仿宋" w:hAnsi="仿宋" w:eastAsia="仿宋" w:cs="仿宋_GB2312"/>
          <w:color w:val="auto"/>
          <w:sz w:val="24"/>
          <w:highlight w:val="none"/>
        </w:rPr>
      </w:pPr>
    </w:p>
    <w:p w14:paraId="61E0C727">
      <w:pPr>
        <w:rPr>
          <w:rFonts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421DC479">
      <w:pPr>
        <w:pStyle w:val="2"/>
        <w:numPr>
          <w:ilvl w:val="0"/>
          <w:numId w:val="1"/>
        </w:numPr>
        <w:jc w:val="center"/>
        <w:rPr>
          <w:rFonts w:ascii="仿宋" w:hAnsi="仿宋" w:eastAsia="仿宋" w:cs="仿宋_GB2312"/>
          <w:color w:val="auto"/>
          <w:sz w:val="32"/>
          <w:szCs w:val="32"/>
          <w:highlight w:val="none"/>
        </w:rPr>
      </w:pPr>
      <w:bookmarkStart w:id="31" w:name="_Toc28683"/>
      <w:r>
        <w:rPr>
          <w:rFonts w:hint="eastAsia" w:ascii="仿宋" w:hAnsi="仿宋" w:eastAsia="仿宋" w:cs="仿宋_GB2312"/>
          <w:color w:val="auto"/>
          <w:sz w:val="32"/>
          <w:szCs w:val="32"/>
          <w:highlight w:val="none"/>
        </w:rPr>
        <w:t>采购需求</w:t>
      </w:r>
      <w:bookmarkEnd w:id="31"/>
    </w:p>
    <w:p w14:paraId="18325085">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说明：</w:t>
      </w:r>
    </w:p>
    <w:p w14:paraId="2174082D">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采购项目内容中凡标有“</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”的地方均为</w:t>
      </w:r>
      <w:r>
        <w:rPr>
          <w:rFonts w:hint="eastAsia" w:ascii="仿宋" w:hAnsi="仿宋" w:eastAsia="仿宋" w:cs="仿宋"/>
          <w:color w:val="auto"/>
          <w:sz w:val="24"/>
          <w:szCs w:val="24"/>
          <w:highlight w:val="none"/>
          <w:lang w:val="en-US" w:eastAsia="zh-CN"/>
        </w:rPr>
        <w:t>实质性条款，</w:t>
      </w:r>
      <w:r>
        <w:rPr>
          <w:rFonts w:hint="eastAsia" w:ascii="仿宋" w:hAnsi="仿宋" w:eastAsia="仿宋" w:cs="仿宋"/>
          <w:color w:val="auto"/>
          <w:sz w:val="24"/>
          <w:szCs w:val="24"/>
          <w:highlight w:val="none"/>
        </w:rPr>
        <w:t>必须完全满足条款，投标人要特别加以注意，必须完全满足或优于这些要求，若有一项带“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”的指标要求未响应或不满足，将按</w:t>
      </w:r>
      <w:r>
        <w:rPr>
          <w:rFonts w:hint="eastAsia" w:ascii="仿宋" w:hAnsi="仿宋" w:eastAsia="仿宋" w:cs="仿宋"/>
          <w:b/>
          <w:bCs/>
          <w:color w:val="auto"/>
          <w:sz w:val="24"/>
          <w:szCs w:val="24"/>
          <w:highlight w:val="none"/>
        </w:rPr>
        <w:t>投标无效</w:t>
      </w:r>
      <w:r>
        <w:rPr>
          <w:rFonts w:hint="eastAsia" w:ascii="仿宋" w:hAnsi="仿宋" w:eastAsia="仿宋" w:cs="仿宋"/>
          <w:color w:val="auto"/>
          <w:sz w:val="24"/>
          <w:szCs w:val="24"/>
          <w:highlight w:val="none"/>
        </w:rPr>
        <w:t>处理。</w:t>
      </w:r>
    </w:p>
    <w:p w14:paraId="3FBCA5C6">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需求书中如有标注“▲”号条款为重要指标，供应商若有部分“▲”条款未响应或不满足，将导致失分，但不作为</w:t>
      </w:r>
      <w:r>
        <w:rPr>
          <w:rFonts w:hint="eastAsia" w:ascii="仿宋" w:hAnsi="仿宋" w:eastAsia="仿宋" w:cs="仿宋"/>
          <w:b/>
          <w:bCs/>
          <w:color w:val="auto"/>
          <w:sz w:val="24"/>
          <w:szCs w:val="24"/>
          <w:highlight w:val="none"/>
        </w:rPr>
        <w:t>无效</w:t>
      </w:r>
      <w:r>
        <w:rPr>
          <w:rFonts w:hint="eastAsia" w:ascii="仿宋" w:hAnsi="仿宋" w:eastAsia="仿宋" w:cs="仿宋"/>
          <w:b/>
          <w:bCs/>
          <w:color w:val="auto"/>
          <w:sz w:val="24"/>
          <w:szCs w:val="24"/>
          <w:highlight w:val="none"/>
          <w:lang w:val="en-US" w:eastAsia="zh-CN"/>
        </w:rPr>
        <w:t>投标</w:t>
      </w:r>
      <w:r>
        <w:rPr>
          <w:rFonts w:hint="eastAsia" w:ascii="仿宋" w:hAnsi="仿宋" w:eastAsia="仿宋" w:cs="仿宋"/>
          <w:color w:val="auto"/>
          <w:sz w:val="24"/>
          <w:szCs w:val="24"/>
          <w:highlight w:val="none"/>
        </w:rPr>
        <w:t>条款。</w:t>
      </w:r>
    </w:p>
    <w:p w14:paraId="116C16F8">
      <w:pPr>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color w:val="auto"/>
          <w:sz w:val="24"/>
          <w:szCs w:val="24"/>
          <w:highlight w:val="none"/>
        </w:rPr>
        <w:t>投标人可以选用替代品牌，但必须要实质上满足或超过招标文件的要求。</w:t>
      </w:r>
    </w:p>
    <w:p w14:paraId="2724D49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（一）标项一、标项二采购标的物清单</w:t>
      </w:r>
    </w:p>
    <w:p w14:paraId="1C46E72E">
      <w:p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1.1标项一采购标的物清单</w:t>
      </w:r>
    </w:p>
    <w:p w14:paraId="1AA3CE0B">
      <w:pPr>
        <w:pStyle w:val="1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注：①投标文件格式中“投标分项报价表一”中相关内容按本表“设备采购部分”内容填写，投标文件格式中“投标分项报价表二”中相关内容按本表“其他部分”内容填写。</w:t>
      </w:r>
    </w:p>
    <w:p w14:paraId="6F67CE2D">
      <w:pPr>
        <w:pStyle w:val="1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②电梯井道尺寸投标单位自行勘测，以实际为主，报价中应包含原有旧电梯拆除费并综合考虑拆除费用与拆除后设备变卖残值、清运费、安全文明施工费、新装电梯采购费、运杂费、保险费、卸货费、安装费、调试费、现场服务费、税金、技术培训、产品备品备件费用及电梯控制箱、电源线接入等各项（所有）费用。本招标文件明确为本项目采购内容，此表中未列明的，包含在投标报价中。</w:t>
      </w:r>
    </w:p>
    <w:p w14:paraId="14D265C8">
      <w:pPr>
        <w:pStyle w:val="18"/>
        <w:rPr>
          <w:rFonts w:hint="eastAsia" w:ascii="仿宋" w:hAnsi="仿宋" w:eastAsia="仿宋" w:cs="仿宋"/>
          <w:b/>
          <w:bCs/>
          <w:color w:val="auto"/>
          <w:sz w:val="24"/>
          <w:szCs w:val="24"/>
          <w:highlight w:val="none"/>
          <w:lang w:val="en-US" w:eastAsia="zh-CN"/>
        </w:rPr>
      </w:pPr>
    </w:p>
    <w:tbl>
      <w:tblPr>
        <w:tblStyle w:val="28"/>
        <w:tblW w:w="823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532"/>
        <w:gridCol w:w="1560"/>
        <w:gridCol w:w="1064"/>
        <w:gridCol w:w="778"/>
        <w:gridCol w:w="736"/>
        <w:gridCol w:w="477"/>
        <w:gridCol w:w="536"/>
        <w:gridCol w:w="719"/>
        <w:gridCol w:w="914"/>
        <w:gridCol w:w="914"/>
      </w:tblGrid>
      <w:tr w14:paraId="137F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97" w:hRule="atLeast"/>
        </w:trPr>
        <w:tc>
          <w:tcPr>
            <w:tcW w:w="532" w:type="dxa"/>
            <w:tcBorders>
              <w:tl2br w:val="nil"/>
              <w:tr2bl w:val="nil"/>
            </w:tcBorders>
            <w:shd w:val="clear" w:color="auto" w:fill="auto"/>
            <w:noWrap/>
            <w:vAlign w:val="center"/>
          </w:tcPr>
          <w:p w14:paraId="2C2D0673">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序号</w:t>
            </w:r>
          </w:p>
        </w:tc>
        <w:tc>
          <w:tcPr>
            <w:tcW w:w="1560" w:type="dxa"/>
            <w:tcBorders>
              <w:tl2br w:val="nil"/>
              <w:tr2bl w:val="nil"/>
            </w:tcBorders>
            <w:shd w:val="clear" w:color="auto" w:fill="auto"/>
            <w:noWrap/>
            <w:vAlign w:val="center"/>
          </w:tcPr>
          <w:p w14:paraId="3F8A47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标的名称</w:t>
            </w:r>
          </w:p>
        </w:tc>
        <w:tc>
          <w:tcPr>
            <w:tcW w:w="1064" w:type="dxa"/>
            <w:tcBorders>
              <w:tl2br w:val="nil"/>
              <w:tr2bl w:val="nil"/>
            </w:tcBorders>
            <w:shd w:val="clear" w:color="auto" w:fill="auto"/>
            <w:noWrap/>
            <w:vAlign w:val="center"/>
          </w:tcPr>
          <w:p w14:paraId="1DE1B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层站门</w:t>
            </w:r>
          </w:p>
        </w:tc>
        <w:tc>
          <w:tcPr>
            <w:tcW w:w="778" w:type="dxa"/>
            <w:tcBorders>
              <w:tl2br w:val="nil"/>
              <w:tr2bl w:val="nil"/>
            </w:tcBorders>
            <w:shd w:val="clear" w:color="auto" w:fill="auto"/>
            <w:noWrap/>
            <w:vAlign w:val="center"/>
          </w:tcPr>
          <w:p w14:paraId="60D2E3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速度</w:t>
            </w:r>
          </w:p>
        </w:tc>
        <w:tc>
          <w:tcPr>
            <w:tcW w:w="736" w:type="dxa"/>
            <w:tcBorders>
              <w:tl2br w:val="nil"/>
              <w:tr2bl w:val="nil"/>
            </w:tcBorders>
            <w:shd w:val="clear" w:color="auto" w:fill="auto"/>
            <w:noWrap/>
            <w:vAlign w:val="center"/>
          </w:tcPr>
          <w:p w14:paraId="149AAD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载重</w:t>
            </w:r>
          </w:p>
        </w:tc>
        <w:tc>
          <w:tcPr>
            <w:tcW w:w="477" w:type="dxa"/>
            <w:tcBorders>
              <w:tl2br w:val="nil"/>
              <w:tr2bl w:val="nil"/>
            </w:tcBorders>
            <w:shd w:val="clear" w:color="auto" w:fill="auto"/>
            <w:noWrap/>
            <w:vAlign w:val="center"/>
          </w:tcPr>
          <w:p w14:paraId="26684A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单位</w:t>
            </w:r>
          </w:p>
        </w:tc>
        <w:tc>
          <w:tcPr>
            <w:tcW w:w="536" w:type="dxa"/>
            <w:tcBorders>
              <w:tl2br w:val="nil"/>
              <w:tr2bl w:val="nil"/>
            </w:tcBorders>
            <w:shd w:val="clear" w:color="auto" w:fill="auto"/>
            <w:noWrap/>
            <w:vAlign w:val="center"/>
          </w:tcPr>
          <w:p w14:paraId="3ECE83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数量</w:t>
            </w:r>
          </w:p>
        </w:tc>
        <w:tc>
          <w:tcPr>
            <w:tcW w:w="719" w:type="dxa"/>
            <w:tcBorders>
              <w:tl2br w:val="nil"/>
              <w:tr2bl w:val="nil"/>
            </w:tcBorders>
            <w:shd w:val="clear" w:color="auto" w:fill="auto"/>
            <w:noWrap/>
            <w:vAlign w:val="center"/>
          </w:tcPr>
          <w:p w14:paraId="470B98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中小企业划分标准所属行业</w:t>
            </w:r>
          </w:p>
        </w:tc>
        <w:tc>
          <w:tcPr>
            <w:tcW w:w="914" w:type="dxa"/>
            <w:tcBorders>
              <w:tl2br w:val="nil"/>
              <w:tr2bl w:val="nil"/>
            </w:tcBorders>
            <w:shd w:val="clear" w:color="auto" w:fill="auto"/>
            <w:noWrap/>
            <w:vAlign w:val="center"/>
          </w:tcPr>
          <w:p w14:paraId="0A2F2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提供中小企业声明函的类型</w:t>
            </w:r>
          </w:p>
        </w:tc>
        <w:tc>
          <w:tcPr>
            <w:tcW w:w="914" w:type="dxa"/>
            <w:tcBorders>
              <w:tl2br w:val="nil"/>
              <w:tr2bl w:val="nil"/>
            </w:tcBorders>
            <w:shd w:val="clear" w:color="auto" w:fill="auto"/>
            <w:noWrap/>
            <w:vAlign w:val="center"/>
          </w:tcPr>
          <w:p w14:paraId="066A51C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街道</w:t>
            </w:r>
          </w:p>
        </w:tc>
      </w:tr>
      <w:tr w14:paraId="105D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noWrap/>
            <w:vAlign w:val="center"/>
          </w:tcPr>
          <w:p w14:paraId="3FBA7E7E">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一</w:t>
            </w:r>
          </w:p>
        </w:tc>
        <w:tc>
          <w:tcPr>
            <w:tcW w:w="7698" w:type="dxa"/>
            <w:gridSpan w:val="9"/>
            <w:tcBorders>
              <w:tl2br w:val="nil"/>
              <w:tr2bl w:val="nil"/>
            </w:tcBorders>
            <w:shd w:val="clear" w:color="auto" w:fill="auto"/>
            <w:noWrap/>
            <w:vAlign w:val="center"/>
          </w:tcPr>
          <w:p w14:paraId="62418F46">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设备采购部分</w:t>
            </w:r>
          </w:p>
        </w:tc>
      </w:tr>
      <w:tr w14:paraId="65E56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108E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560" w:type="dxa"/>
            <w:tcBorders>
              <w:tl2br w:val="nil"/>
              <w:tr2bl w:val="nil"/>
            </w:tcBorders>
            <w:shd w:val="clear" w:color="auto" w:fill="auto"/>
            <w:vAlign w:val="center"/>
          </w:tcPr>
          <w:p w14:paraId="20EF23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6ECF20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19/19/19</w:t>
            </w:r>
          </w:p>
        </w:tc>
        <w:tc>
          <w:tcPr>
            <w:tcW w:w="778" w:type="dxa"/>
            <w:tcBorders>
              <w:tl2br w:val="nil"/>
              <w:tr2bl w:val="nil"/>
            </w:tcBorders>
            <w:shd w:val="clear" w:color="auto" w:fill="auto"/>
            <w:vAlign w:val="center"/>
          </w:tcPr>
          <w:p w14:paraId="072AB0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532B05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3795B9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5C6460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76F07D74">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4C3F789A">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tcBorders>
              <w:tl2br w:val="nil"/>
              <w:tr2bl w:val="nil"/>
            </w:tcBorders>
            <w:shd w:val="clear" w:color="auto" w:fill="auto"/>
            <w:noWrap/>
            <w:vAlign w:val="center"/>
          </w:tcPr>
          <w:p w14:paraId="1454D5A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天山区解放北路街道</w:t>
            </w:r>
          </w:p>
        </w:tc>
      </w:tr>
      <w:tr w14:paraId="20788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78D80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560" w:type="dxa"/>
            <w:tcBorders>
              <w:tl2br w:val="nil"/>
              <w:tr2bl w:val="nil"/>
            </w:tcBorders>
            <w:shd w:val="clear" w:color="auto" w:fill="auto"/>
            <w:vAlign w:val="center"/>
          </w:tcPr>
          <w:p w14:paraId="4D8FC0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073A93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15/15/15</w:t>
            </w:r>
          </w:p>
        </w:tc>
        <w:tc>
          <w:tcPr>
            <w:tcW w:w="778" w:type="dxa"/>
            <w:tcBorders>
              <w:tl2br w:val="nil"/>
              <w:tr2bl w:val="nil"/>
            </w:tcBorders>
            <w:shd w:val="clear" w:color="auto" w:fill="auto"/>
            <w:vAlign w:val="center"/>
          </w:tcPr>
          <w:p w14:paraId="509837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5C084A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477" w:type="dxa"/>
            <w:tcBorders>
              <w:tl2br w:val="nil"/>
              <w:tr2bl w:val="nil"/>
            </w:tcBorders>
            <w:shd w:val="clear" w:color="auto" w:fill="auto"/>
            <w:vAlign w:val="center"/>
          </w:tcPr>
          <w:p w14:paraId="179B28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63FD81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04E36A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6D83978C">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restart"/>
            <w:tcBorders>
              <w:tl2br w:val="nil"/>
              <w:tr2bl w:val="nil"/>
            </w:tcBorders>
            <w:shd w:val="clear" w:color="auto" w:fill="auto"/>
            <w:noWrap/>
            <w:vAlign w:val="center"/>
          </w:tcPr>
          <w:p w14:paraId="40C634C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天山区新华北路</w:t>
            </w:r>
          </w:p>
        </w:tc>
      </w:tr>
      <w:tr w14:paraId="07881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5A5F1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560" w:type="dxa"/>
            <w:tcBorders>
              <w:tl2br w:val="nil"/>
              <w:tr2bl w:val="nil"/>
            </w:tcBorders>
            <w:shd w:val="clear" w:color="auto" w:fill="auto"/>
            <w:vAlign w:val="center"/>
          </w:tcPr>
          <w:p w14:paraId="17EBF0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17567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778" w:type="dxa"/>
            <w:tcBorders>
              <w:tl2br w:val="nil"/>
              <w:tr2bl w:val="nil"/>
            </w:tcBorders>
            <w:shd w:val="clear" w:color="auto" w:fill="auto"/>
            <w:vAlign w:val="center"/>
          </w:tcPr>
          <w:p w14:paraId="728A3E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1786A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477" w:type="dxa"/>
            <w:tcBorders>
              <w:tl2br w:val="nil"/>
              <w:tr2bl w:val="nil"/>
            </w:tcBorders>
            <w:shd w:val="clear" w:color="auto" w:fill="auto"/>
            <w:vAlign w:val="center"/>
          </w:tcPr>
          <w:p w14:paraId="2299EA4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1F56D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637EC5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466CB317">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052D3D0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CDE9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7DA46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560" w:type="dxa"/>
            <w:tcBorders>
              <w:tl2br w:val="nil"/>
              <w:tr2bl w:val="nil"/>
            </w:tcBorders>
            <w:shd w:val="clear" w:color="auto" w:fill="auto"/>
            <w:vAlign w:val="center"/>
          </w:tcPr>
          <w:p w14:paraId="7BFF35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67BE26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27/23/23</w:t>
            </w:r>
          </w:p>
        </w:tc>
        <w:tc>
          <w:tcPr>
            <w:tcW w:w="778" w:type="dxa"/>
            <w:tcBorders>
              <w:tl2br w:val="nil"/>
              <w:tr2bl w:val="nil"/>
            </w:tcBorders>
            <w:shd w:val="clear" w:color="auto" w:fill="auto"/>
            <w:vAlign w:val="center"/>
          </w:tcPr>
          <w:p w14:paraId="4BAEFA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43961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43ABCD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FF77D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796632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24B7E6C4">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24F9A9B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F8C9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7BB11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1560" w:type="dxa"/>
            <w:tcBorders>
              <w:tl2br w:val="nil"/>
              <w:tr2bl w:val="nil"/>
            </w:tcBorders>
            <w:shd w:val="clear" w:color="auto" w:fill="auto"/>
            <w:vAlign w:val="center"/>
          </w:tcPr>
          <w:p w14:paraId="734960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1930E0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21/17/17</w:t>
            </w:r>
          </w:p>
        </w:tc>
        <w:tc>
          <w:tcPr>
            <w:tcW w:w="778" w:type="dxa"/>
            <w:tcBorders>
              <w:tl2br w:val="nil"/>
              <w:tr2bl w:val="nil"/>
            </w:tcBorders>
            <w:shd w:val="clear" w:color="auto" w:fill="auto"/>
            <w:vAlign w:val="center"/>
          </w:tcPr>
          <w:p w14:paraId="2C99E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53A57D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4E6633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0A9A71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273BB8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41EB24D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7869376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004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FEBC8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1560" w:type="dxa"/>
            <w:tcBorders>
              <w:tl2br w:val="nil"/>
              <w:tr2bl w:val="nil"/>
            </w:tcBorders>
            <w:shd w:val="clear" w:color="auto" w:fill="auto"/>
            <w:vAlign w:val="center"/>
          </w:tcPr>
          <w:p w14:paraId="14FA1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6E8307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22/17/17</w:t>
            </w:r>
          </w:p>
        </w:tc>
        <w:tc>
          <w:tcPr>
            <w:tcW w:w="778" w:type="dxa"/>
            <w:tcBorders>
              <w:tl2br w:val="nil"/>
              <w:tr2bl w:val="nil"/>
            </w:tcBorders>
            <w:shd w:val="clear" w:color="auto" w:fill="auto"/>
            <w:vAlign w:val="center"/>
          </w:tcPr>
          <w:p w14:paraId="3DA9DA8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404A2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5FBE6D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4C789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2EBD6D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6A9DE318">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7530D46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9DD6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72759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560" w:type="dxa"/>
            <w:tcBorders>
              <w:tl2br w:val="nil"/>
              <w:tr2bl w:val="nil"/>
            </w:tcBorders>
            <w:shd w:val="clear" w:color="auto" w:fill="auto"/>
            <w:vAlign w:val="center"/>
          </w:tcPr>
          <w:p w14:paraId="7F492C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51F37C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29/27/27</w:t>
            </w:r>
          </w:p>
        </w:tc>
        <w:tc>
          <w:tcPr>
            <w:tcW w:w="778" w:type="dxa"/>
            <w:tcBorders>
              <w:tl2br w:val="nil"/>
              <w:tr2bl w:val="nil"/>
            </w:tcBorders>
            <w:shd w:val="clear" w:color="auto" w:fill="auto"/>
            <w:vAlign w:val="center"/>
          </w:tcPr>
          <w:p w14:paraId="062A863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45311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66D058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76C067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719" w:type="dxa"/>
            <w:tcBorders>
              <w:tl2br w:val="nil"/>
              <w:tr2bl w:val="nil"/>
            </w:tcBorders>
            <w:shd w:val="clear" w:color="auto" w:fill="auto"/>
            <w:noWrap/>
            <w:vAlign w:val="center"/>
          </w:tcPr>
          <w:p w14:paraId="466FE5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4740E19B">
            <w:pPr>
              <w:keepNext w:val="0"/>
              <w:keepLines w:val="0"/>
              <w:widowControl/>
              <w:suppressLineNumbers w:val="0"/>
              <w:jc w:val="center"/>
              <w:textAlignment w:val="center"/>
              <w:rPr>
                <w:rFonts w:hint="eastAsia" w:ascii="仿宋" w:hAnsi="仿宋" w:eastAsia="仿宋" w:cs="仿宋"/>
                <w:i w:val="0"/>
                <w:iCs w:val="0"/>
                <w:color w:val="auto"/>
                <w:kern w:val="2"/>
                <w:sz w:val="20"/>
                <w:szCs w:val="20"/>
                <w:highlight w:val="none"/>
                <w:u w:val="none"/>
                <w:lang w:val="en-US" w:eastAsia="zh-CN" w:bidi="ar-SA"/>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44DE61E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E2B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076426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560" w:type="dxa"/>
            <w:tcBorders>
              <w:tl2br w:val="nil"/>
              <w:tr2bl w:val="nil"/>
            </w:tcBorders>
            <w:shd w:val="clear" w:color="auto" w:fill="auto"/>
            <w:vAlign w:val="center"/>
          </w:tcPr>
          <w:p w14:paraId="0A2A0E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069759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29/28/28</w:t>
            </w:r>
          </w:p>
        </w:tc>
        <w:tc>
          <w:tcPr>
            <w:tcW w:w="778" w:type="dxa"/>
            <w:tcBorders>
              <w:tl2br w:val="nil"/>
              <w:tr2bl w:val="nil"/>
            </w:tcBorders>
            <w:shd w:val="clear" w:color="auto" w:fill="auto"/>
            <w:vAlign w:val="center"/>
          </w:tcPr>
          <w:p w14:paraId="2DD9E2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1DB655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45C5A2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355B1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3463B8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05DC3F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519BCAB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4D6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4F3608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1560" w:type="dxa"/>
            <w:tcBorders>
              <w:tl2br w:val="nil"/>
              <w:tr2bl w:val="nil"/>
            </w:tcBorders>
            <w:shd w:val="clear" w:color="auto" w:fill="auto"/>
            <w:vAlign w:val="center"/>
          </w:tcPr>
          <w:p w14:paraId="5B7575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0CB3B4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31/31/31</w:t>
            </w:r>
          </w:p>
        </w:tc>
        <w:tc>
          <w:tcPr>
            <w:tcW w:w="778" w:type="dxa"/>
            <w:tcBorders>
              <w:tl2br w:val="nil"/>
              <w:tr2bl w:val="nil"/>
            </w:tcBorders>
            <w:shd w:val="clear" w:color="auto" w:fill="auto"/>
            <w:vAlign w:val="center"/>
          </w:tcPr>
          <w:p w14:paraId="5CD4C9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03C0F8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784418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173A0D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4F89B4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11CFFF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0740980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A5C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22ABF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1560" w:type="dxa"/>
            <w:tcBorders>
              <w:tl2br w:val="nil"/>
              <w:tr2bl w:val="nil"/>
            </w:tcBorders>
            <w:shd w:val="clear" w:color="auto" w:fill="auto"/>
            <w:vAlign w:val="center"/>
          </w:tcPr>
          <w:p w14:paraId="1B138A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10BFA5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32/32/32</w:t>
            </w:r>
          </w:p>
        </w:tc>
        <w:tc>
          <w:tcPr>
            <w:tcW w:w="778" w:type="dxa"/>
            <w:tcBorders>
              <w:tl2br w:val="nil"/>
              <w:tr2bl w:val="nil"/>
            </w:tcBorders>
            <w:shd w:val="clear" w:color="auto" w:fill="auto"/>
            <w:vAlign w:val="center"/>
          </w:tcPr>
          <w:p w14:paraId="13348B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2B53AE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7DCEB8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0DB491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62BA41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2E747D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14BBA95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31FA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BFB23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1560" w:type="dxa"/>
            <w:tcBorders>
              <w:tl2br w:val="nil"/>
              <w:tr2bl w:val="nil"/>
            </w:tcBorders>
            <w:shd w:val="clear" w:color="auto" w:fill="auto"/>
            <w:vAlign w:val="center"/>
          </w:tcPr>
          <w:p w14:paraId="425263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459198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18/17/17</w:t>
            </w:r>
          </w:p>
        </w:tc>
        <w:tc>
          <w:tcPr>
            <w:tcW w:w="778" w:type="dxa"/>
            <w:tcBorders>
              <w:tl2br w:val="nil"/>
              <w:tr2bl w:val="nil"/>
            </w:tcBorders>
            <w:shd w:val="clear" w:color="auto" w:fill="auto"/>
            <w:vAlign w:val="center"/>
          </w:tcPr>
          <w:p w14:paraId="310A72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0F5907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477" w:type="dxa"/>
            <w:tcBorders>
              <w:tl2br w:val="nil"/>
              <w:tr2bl w:val="nil"/>
            </w:tcBorders>
            <w:shd w:val="clear" w:color="auto" w:fill="auto"/>
            <w:vAlign w:val="center"/>
          </w:tcPr>
          <w:p w14:paraId="4AA430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C7FEA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25AA8C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651C67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restart"/>
            <w:tcBorders>
              <w:tl2br w:val="nil"/>
              <w:tr2bl w:val="nil"/>
            </w:tcBorders>
            <w:shd w:val="clear" w:color="auto" w:fill="auto"/>
            <w:noWrap/>
            <w:vAlign w:val="center"/>
          </w:tcPr>
          <w:p w14:paraId="78DA32D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天山区青年路街道</w:t>
            </w:r>
          </w:p>
        </w:tc>
      </w:tr>
      <w:tr w14:paraId="2E1A4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0BF3B9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1560" w:type="dxa"/>
            <w:tcBorders>
              <w:tl2br w:val="nil"/>
              <w:tr2bl w:val="nil"/>
            </w:tcBorders>
            <w:shd w:val="clear" w:color="auto" w:fill="auto"/>
            <w:vAlign w:val="center"/>
          </w:tcPr>
          <w:p w14:paraId="6E19E4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0EFA003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19/17/17</w:t>
            </w:r>
          </w:p>
        </w:tc>
        <w:tc>
          <w:tcPr>
            <w:tcW w:w="778" w:type="dxa"/>
            <w:tcBorders>
              <w:tl2br w:val="nil"/>
              <w:tr2bl w:val="nil"/>
            </w:tcBorders>
            <w:shd w:val="clear" w:color="auto" w:fill="auto"/>
            <w:vAlign w:val="center"/>
          </w:tcPr>
          <w:p w14:paraId="06BE14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1F8E89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316A75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254C52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4AB235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371EBF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2ADA93E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A7F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9E459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w:t>
            </w:r>
          </w:p>
        </w:tc>
        <w:tc>
          <w:tcPr>
            <w:tcW w:w="1560" w:type="dxa"/>
            <w:tcBorders>
              <w:tl2br w:val="nil"/>
              <w:tr2bl w:val="nil"/>
            </w:tcBorders>
            <w:shd w:val="clear" w:color="auto" w:fill="auto"/>
            <w:vAlign w:val="center"/>
          </w:tcPr>
          <w:p w14:paraId="76AA9F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1DC691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33/32/32</w:t>
            </w:r>
          </w:p>
        </w:tc>
        <w:tc>
          <w:tcPr>
            <w:tcW w:w="778" w:type="dxa"/>
            <w:tcBorders>
              <w:tl2br w:val="nil"/>
              <w:tr2bl w:val="nil"/>
            </w:tcBorders>
            <w:shd w:val="clear" w:color="auto" w:fill="auto"/>
            <w:vAlign w:val="center"/>
          </w:tcPr>
          <w:p w14:paraId="08B82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41B766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53236D3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0BFA8D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1434C0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65C120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restart"/>
            <w:tcBorders>
              <w:tl2br w:val="nil"/>
              <w:tr2bl w:val="nil"/>
            </w:tcBorders>
            <w:shd w:val="clear" w:color="auto" w:fill="auto"/>
            <w:noWrap/>
            <w:vAlign w:val="center"/>
          </w:tcPr>
          <w:p w14:paraId="7952497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天山区新华南路街道</w:t>
            </w:r>
          </w:p>
        </w:tc>
      </w:tr>
      <w:tr w14:paraId="4227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352E0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w:t>
            </w:r>
          </w:p>
        </w:tc>
        <w:tc>
          <w:tcPr>
            <w:tcW w:w="1560" w:type="dxa"/>
            <w:tcBorders>
              <w:tl2br w:val="nil"/>
              <w:tr2bl w:val="nil"/>
            </w:tcBorders>
            <w:shd w:val="clear" w:color="auto" w:fill="auto"/>
            <w:vAlign w:val="center"/>
          </w:tcPr>
          <w:p w14:paraId="6B21B7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272DAC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34/32/32</w:t>
            </w:r>
          </w:p>
        </w:tc>
        <w:tc>
          <w:tcPr>
            <w:tcW w:w="778" w:type="dxa"/>
            <w:tcBorders>
              <w:tl2br w:val="nil"/>
              <w:tr2bl w:val="nil"/>
            </w:tcBorders>
            <w:shd w:val="clear" w:color="auto" w:fill="auto"/>
            <w:vAlign w:val="center"/>
          </w:tcPr>
          <w:p w14:paraId="550DCA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2A3C27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518219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4043D3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5B34F1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075D22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022FF20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1E01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35AF7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w:t>
            </w:r>
          </w:p>
        </w:tc>
        <w:tc>
          <w:tcPr>
            <w:tcW w:w="1560" w:type="dxa"/>
            <w:tcBorders>
              <w:tl2br w:val="nil"/>
              <w:tr2bl w:val="nil"/>
            </w:tcBorders>
            <w:shd w:val="clear" w:color="auto" w:fill="auto"/>
            <w:vAlign w:val="center"/>
          </w:tcPr>
          <w:p w14:paraId="67D354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7C243C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29/29/29</w:t>
            </w:r>
          </w:p>
        </w:tc>
        <w:tc>
          <w:tcPr>
            <w:tcW w:w="778" w:type="dxa"/>
            <w:tcBorders>
              <w:tl2br w:val="nil"/>
              <w:tr2bl w:val="nil"/>
            </w:tcBorders>
            <w:shd w:val="clear" w:color="auto" w:fill="auto"/>
            <w:vAlign w:val="center"/>
          </w:tcPr>
          <w:p w14:paraId="53712B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15887E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1C1039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04E810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719" w:type="dxa"/>
            <w:tcBorders>
              <w:tl2br w:val="nil"/>
              <w:tr2bl w:val="nil"/>
            </w:tcBorders>
            <w:shd w:val="clear" w:color="auto" w:fill="auto"/>
            <w:noWrap/>
            <w:vAlign w:val="center"/>
          </w:tcPr>
          <w:p w14:paraId="71CAD2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1282A9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351FA10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E5A2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3EE22E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w:t>
            </w:r>
          </w:p>
        </w:tc>
        <w:tc>
          <w:tcPr>
            <w:tcW w:w="1560" w:type="dxa"/>
            <w:tcBorders>
              <w:tl2br w:val="nil"/>
              <w:tr2bl w:val="nil"/>
            </w:tcBorders>
            <w:shd w:val="clear" w:color="auto" w:fill="auto"/>
            <w:vAlign w:val="center"/>
          </w:tcPr>
          <w:p w14:paraId="42E89B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6B980FF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16/14/14</w:t>
            </w:r>
          </w:p>
        </w:tc>
        <w:tc>
          <w:tcPr>
            <w:tcW w:w="778" w:type="dxa"/>
            <w:tcBorders>
              <w:tl2br w:val="nil"/>
              <w:tr2bl w:val="nil"/>
            </w:tcBorders>
            <w:shd w:val="clear" w:color="auto" w:fill="auto"/>
            <w:vAlign w:val="center"/>
          </w:tcPr>
          <w:p w14:paraId="40709C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24E0C8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46ABC7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6CD826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6A3EAA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101DD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tcBorders>
              <w:tl2br w:val="nil"/>
              <w:tr2bl w:val="nil"/>
            </w:tcBorders>
            <w:shd w:val="clear" w:color="auto" w:fill="auto"/>
            <w:noWrap/>
            <w:vAlign w:val="center"/>
          </w:tcPr>
          <w:p w14:paraId="1EAD3E7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天山区二道桥街道</w:t>
            </w:r>
          </w:p>
        </w:tc>
      </w:tr>
      <w:tr w14:paraId="1F35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35FE3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w:t>
            </w:r>
          </w:p>
        </w:tc>
        <w:tc>
          <w:tcPr>
            <w:tcW w:w="1560" w:type="dxa"/>
            <w:tcBorders>
              <w:tl2br w:val="nil"/>
              <w:tr2bl w:val="nil"/>
            </w:tcBorders>
            <w:shd w:val="clear" w:color="auto" w:fill="auto"/>
            <w:vAlign w:val="center"/>
          </w:tcPr>
          <w:p w14:paraId="7E21F3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3714BB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6/6/6</w:t>
            </w:r>
          </w:p>
        </w:tc>
        <w:tc>
          <w:tcPr>
            <w:tcW w:w="778" w:type="dxa"/>
            <w:tcBorders>
              <w:tl2br w:val="nil"/>
              <w:tr2bl w:val="nil"/>
            </w:tcBorders>
            <w:shd w:val="clear" w:color="auto" w:fill="auto"/>
            <w:vAlign w:val="center"/>
          </w:tcPr>
          <w:p w14:paraId="3169BC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1m/s</w:t>
            </w:r>
          </w:p>
        </w:tc>
        <w:tc>
          <w:tcPr>
            <w:tcW w:w="736" w:type="dxa"/>
            <w:tcBorders>
              <w:tl2br w:val="nil"/>
              <w:tr2bl w:val="nil"/>
            </w:tcBorders>
            <w:shd w:val="clear" w:color="auto" w:fill="auto"/>
            <w:vAlign w:val="center"/>
          </w:tcPr>
          <w:p w14:paraId="2C188D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680kg</w:t>
            </w:r>
          </w:p>
        </w:tc>
        <w:tc>
          <w:tcPr>
            <w:tcW w:w="477" w:type="dxa"/>
            <w:tcBorders>
              <w:tl2br w:val="nil"/>
              <w:tr2bl w:val="nil"/>
            </w:tcBorders>
            <w:shd w:val="clear" w:color="auto" w:fill="auto"/>
            <w:vAlign w:val="center"/>
          </w:tcPr>
          <w:p w14:paraId="3C57AB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309F0D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719" w:type="dxa"/>
            <w:tcBorders>
              <w:tl2br w:val="nil"/>
              <w:tr2bl w:val="nil"/>
            </w:tcBorders>
            <w:shd w:val="clear" w:color="auto" w:fill="auto"/>
            <w:noWrap/>
            <w:vAlign w:val="center"/>
          </w:tcPr>
          <w:p w14:paraId="51C088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088C14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restart"/>
            <w:tcBorders>
              <w:tl2br w:val="nil"/>
              <w:tr2bl w:val="nil"/>
            </w:tcBorders>
            <w:shd w:val="clear" w:color="auto" w:fill="auto"/>
            <w:noWrap/>
            <w:vAlign w:val="center"/>
          </w:tcPr>
          <w:p w14:paraId="6E0545C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天山区碱泉街</w:t>
            </w:r>
          </w:p>
        </w:tc>
      </w:tr>
      <w:tr w14:paraId="1418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414D7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w:t>
            </w:r>
          </w:p>
        </w:tc>
        <w:tc>
          <w:tcPr>
            <w:tcW w:w="1560" w:type="dxa"/>
            <w:tcBorders>
              <w:tl2br w:val="nil"/>
              <w:tr2bl w:val="nil"/>
            </w:tcBorders>
            <w:shd w:val="clear" w:color="auto" w:fill="auto"/>
            <w:vAlign w:val="center"/>
          </w:tcPr>
          <w:p w14:paraId="116CA3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0D109E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7/7/7</w:t>
            </w:r>
          </w:p>
        </w:tc>
        <w:tc>
          <w:tcPr>
            <w:tcW w:w="778" w:type="dxa"/>
            <w:tcBorders>
              <w:tl2br w:val="nil"/>
              <w:tr2bl w:val="nil"/>
            </w:tcBorders>
            <w:shd w:val="clear" w:color="auto" w:fill="auto"/>
            <w:vAlign w:val="center"/>
          </w:tcPr>
          <w:p w14:paraId="5AA95B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1.5m/s</w:t>
            </w:r>
          </w:p>
        </w:tc>
        <w:tc>
          <w:tcPr>
            <w:tcW w:w="736" w:type="dxa"/>
            <w:tcBorders>
              <w:tl2br w:val="nil"/>
              <w:tr2bl w:val="nil"/>
            </w:tcBorders>
            <w:shd w:val="clear" w:color="auto" w:fill="auto"/>
            <w:vAlign w:val="center"/>
          </w:tcPr>
          <w:p w14:paraId="595017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477" w:type="dxa"/>
            <w:tcBorders>
              <w:tl2br w:val="nil"/>
              <w:tr2bl w:val="nil"/>
            </w:tcBorders>
            <w:shd w:val="clear" w:color="auto" w:fill="auto"/>
            <w:vAlign w:val="center"/>
          </w:tcPr>
          <w:p w14:paraId="42A8CD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0AAFBF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719" w:type="dxa"/>
            <w:tcBorders>
              <w:tl2br w:val="nil"/>
              <w:tr2bl w:val="nil"/>
            </w:tcBorders>
            <w:shd w:val="clear" w:color="auto" w:fill="auto"/>
            <w:noWrap/>
            <w:vAlign w:val="center"/>
          </w:tcPr>
          <w:p w14:paraId="098591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5697FB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5F04314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5651F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3ABDE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w:t>
            </w:r>
          </w:p>
        </w:tc>
        <w:tc>
          <w:tcPr>
            <w:tcW w:w="1560" w:type="dxa"/>
            <w:tcBorders>
              <w:tl2br w:val="nil"/>
              <w:tr2bl w:val="nil"/>
            </w:tcBorders>
            <w:shd w:val="clear" w:color="auto" w:fill="auto"/>
            <w:vAlign w:val="center"/>
          </w:tcPr>
          <w:p w14:paraId="3B91F9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6D19D3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13/13/13</w:t>
            </w:r>
          </w:p>
        </w:tc>
        <w:tc>
          <w:tcPr>
            <w:tcW w:w="778" w:type="dxa"/>
            <w:tcBorders>
              <w:tl2br w:val="nil"/>
              <w:tr2bl w:val="nil"/>
            </w:tcBorders>
            <w:shd w:val="clear" w:color="auto" w:fill="auto"/>
            <w:vAlign w:val="center"/>
          </w:tcPr>
          <w:p w14:paraId="6C7A48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709CB5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477" w:type="dxa"/>
            <w:tcBorders>
              <w:tl2br w:val="nil"/>
              <w:tr2bl w:val="nil"/>
            </w:tcBorders>
            <w:shd w:val="clear" w:color="auto" w:fill="auto"/>
            <w:vAlign w:val="center"/>
          </w:tcPr>
          <w:p w14:paraId="07B45C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24DA3A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42</w:t>
            </w:r>
          </w:p>
        </w:tc>
        <w:tc>
          <w:tcPr>
            <w:tcW w:w="719" w:type="dxa"/>
            <w:tcBorders>
              <w:tl2br w:val="nil"/>
              <w:tr2bl w:val="nil"/>
            </w:tcBorders>
            <w:shd w:val="clear" w:color="auto" w:fill="auto"/>
            <w:noWrap/>
            <w:vAlign w:val="center"/>
          </w:tcPr>
          <w:p w14:paraId="0897F8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11A4FE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3C1574F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F55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4521C2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20</w:t>
            </w:r>
          </w:p>
        </w:tc>
        <w:tc>
          <w:tcPr>
            <w:tcW w:w="1560" w:type="dxa"/>
            <w:tcBorders>
              <w:tl2br w:val="nil"/>
              <w:tr2bl w:val="nil"/>
            </w:tcBorders>
            <w:shd w:val="clear" w:color="auto" w:fill="auto"/>
            <w:vAlign w:val="center"/>
          </w:tcPr>
          <w:p w14:paraId="4DDB87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2AA2D6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14/14/14</w:t>
            </w:r>
          </w:p>
        </w:tc>
        <w:tc>
          <w:tcPr>
            <w:tcW w:w="778" w:type="dxa"/>
            <w:tcBorders>
              <w:tl2br w:val="nil"/>
              <w:tr2bl w:val="nil"/>
            </w:tcBorders>
            <w:shd w:val="clear" w:color="auto" w:fill="auto"/>
            <w:vAlign w:val="center"/>
          </w:tcPr>
          <w:p w14:paraId="3F6641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3618C9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477" w:type="dxa"/>
            <w:tcBorders>
              <w:tl2br w:val="nil"/>
              <w:tr2bl w:val="nil"/>
            </w:tcBorders>
            <w:shd w:val="clear" w:color="auto" w:fill="auto"/>
            <w:vAlign w:val="center"/>
          </w:tcPr>
          <w:p w14:paraId="22920B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317A1A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719" w:type="dxa"/>
            <w:tcBorders>
              <w:tl2br w:val="nil"/>
              <w:tr2bl w:val="nil"/>
            </w:tcBorders>
            <w:shd w:val="clear" w:color="auto" w:fill="auto"/>
            <w:noWrap/>
            <w:vAlign w:val="center"/>
          </w:tcPr>
          <w:p w14:paraId="41D91A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470280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656A0EE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FBC4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7E016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w:t>
            </w:r>
          </w:p>
        </w:tc>
        <w:tc>
          <w:tcPr>
            <w:tcW w:w="1560" w:type="dxa"/>
            <w:tcBorders>
              <w:tl2br w:val="nil"/>
              <w:tr2bl w:val="nil"/>
            </w:tcBorders>
            <w:shd w:val="clear" w:color="auto" w:fill="auto"/>
            <w:vAlign w:val="center"/>
          </w:tcPr>
          <w:p w14:paraId="4DEA03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459019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19/19/19</w:t>
            </w:r>
          </w:p>
        </w:tc>
        <w:tc>
          <w:tcPr>
            <w:tcW w:w="778" w:type="dxa"/>
            <w:tcBorders>
              <w:tl2br w:val="nil"/>
              <w:tr2bl w:val="nil"/>
            </w:tcBorders>
            <w:shd w:val="clear" w:color="auto" w:fill="auto"/>
            <w:vAlign w:val="center"/>
          </w:tcPr>
          <w:p w14:paraId="6C246E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346736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477" w:type="dxa"/>
            <w:tcBorders>
              <w:tl2br w:val="nil"/>
              <w:tr2bl w:val="nil"/>
            </w:tcBorders>
            <w:shd w:val="clear" w:color="auto" w:fill="auto"/>
            <w:vAlign w:val="center"/>
          </w:tcPr>
          <w:p w14:paraId="162340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2CFD34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719" w:type="dxa"/>
            <w:tcBorders>
              <w:tl2br w:val="nil"/>
              <w:tr2bl w:val="nil"/>
            </w:tcBorders>
            <w:shd w:val="clear" w:color="auto" w:fill="auto"/>
            <w:noWrap/>
            <w:vAlign w:val="center"/>
          </w:tcPr>
          <w:p w14:paraId="369173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2FD523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2432E41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DFE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352C2A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w:t>
            </w:r>
          </w:p>
        </w:tc>
        <w:tc>
          <w:tcPr>
            <w:tcW w:w="1560" w:type="dxa"/>
            <w:tcBorders>
              <w:tl2br w:val="nil"/>
              <w:tr2bl w:val="nil"/>
            </w:tcBorders>
            <w:shd w:val="clear" w:color="auto" w:fill="auto"/>
            <w:vAlign w:val="center"/>
          </w:tcPr>
          <w:p w14:paraId="737632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064" w:type="dxa"/>
            <w:tcBorders>
              <w:tl2br w:val="nil"/>
              <w:tr2bl w:val="nil"/>
            </w:tcBorders>
            <w:shd w:val="clear" w:color="auto" w:fill="auto"/>
            <w:vAlign w:val="center"/>
          </w:tcPr>
          <w:p w14:paraId="5B93AC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25/24/24</w:t>
            </w:r>
          </w:p>
        </w:tc>
        <w:tc>
          <w:tcPr>
            <w:tcW w:w="778" w:type="dxa"/>
            <w:tcBorders>
              <w:tl2br w:val="nil"/>
              <w:tr2bl w:val="nil"/>
            </w:tcBorders>
            <w:shd w:val="clear" w:color="auto" w:fill="auto"/>
            <w:vAlign w:val="center"/>
          </w:tcPr>
          <w:p w14:paraId="3C43C0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736" w:type="dxa"/>
            <w:tcBorders>
              <w:tl2br w:val="nil"/>
              <w:tr2bl w:val="nil"/>
            </w:tcBorders>
            <w:shd w:val="clear" w:color="auto" w:fill="auto"/>
            <w:vAlign w:val="center"/>
          </w:tcPr>
          <w:p w14:paraId="7F5237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477" w:type="dxa"/>
            <w:tcBorders>
              <w:tl2br w:val="nil"/>
              <w:tr2bl w:val="nil"/>
            </w:tcBorders>
            <w:shd w:val="clear" w:color="auto" w:fill="auto"/>
            <w:vAlign w:val="center"/>
          </w:tcPr>
          <w:p w14:paraId="6E2043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36" w:type="dxa"/>
            <w:tcBorders>
              <w:tl2br w:val="nil"/>
              <w:tr2bl w:val="nil"/>
            </w:tcBorders>
            <w:shd w:val="clear" w:color="auto" w:fill="auto"/>
            <w:noWrap/>
            <w:vAlign w:val="center"/>
          </w:tcPr>
          <w:p w14:paraId="275CC1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719" w:type="dxa"/>
            <w:tcBorders>
              <w:tl2br w:val="nil"/>
              <w:tr2bl w:val="nil"/>
            </w:tcBorders>
            <w:shd w:val="clear" w:color="auto" w:fill="auto"/>
            <w:noWrap/>
            <w:vAlign w:val="center"/>
          </w:tcPr>
          <w:p w14:paraId="14E9ED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914" w:type="dxa"/>
            <w:tcBorders>
              <w:tl2br w:val="nil"/>
              <w:tr2bl w:val="nil"/>
            </w:tcBorders>
            <w:shd w:val="clear" w:color="auto" w:fill="auto"/>
            <w:noWrap/>
            <w:vAlign w:val="center"/>
          </w:tcPr>
          <w:p w14:paraId="185002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914" w:type="dxa"/>
            <w:vMerge w:val="continue"/>
            <w:tcBorders>
              <w:tl2br w:val="nil"/>
              <w:tr2bl w:val="nil"/>
            </w:tcBorders>
            <w:shd w:val="clear" w:color="auto" w:fill="auto"/>
            <w:noWrap/>
            <w:vAlign w:val="center"/>
          </w:tcPr>
          <w:p w14:paraId="12DC772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B18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B820458">
            <w:pPr>
              <w:keepNext w:val="0"/>
              <w:keepLines w:val="0"/>
              <w:widowControl/>
              <w:suppressLineNumbers w:val="0"/>
              <w:jc w:val="center"/>
              <w:textAlignment w:val="center"/>
              <w:rPr>
                <w:rFonts w:hint="default"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二</w:t>
            </w:r>
          </w:p>
        </w:tc>
        <w:tc>
          <w:tcPr>
            <w:tcW w:w="7698" w:type="dxa"/>
            <w:gridSpan w:val="9"/>
            <w:tcBorders>
              <w:tl2br w:val="nil"/>
              <w:tr2bl w:val="nil"/>
            </w:tcBorders>
            <w:shd w:val="clear" w:color="auto" w:fill="auto"/>
            <w:vAlign w:val="center"/>
          </w:tcPr>
          <w:p w14:paraId="70A9F11D">
            <w:pPr>
              <w:keepNext w:val="0"/>
              <w:keepLines w:val="0"/>
              <w:widowControl/>
              <w:suppressLineNumbers w:val="0"/>
              <w:jc w:val="left"/>
              <w:textAlignment w:val="center"/>
              <w:rPr>
                <w:rFonts w:hint="eastAsia" w:ascii="仿宋" w:hAnsi="仿宋" w:eastAsia="仿宋" w:cs="仿宋"/>
                <w:b/>
                <w:bCs/>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其他部分</w:t>
            </w:r>
          </w:p>
        </w:tc>
      </w:tr>
      <w:tr w14:paraId="56826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B7DB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4138" w:type="dxa"/>
            <w:gridSpan w:val="4"/>
            <w:tcBorders>
              <w:tl2br w:val="nil"/>
              <w:tr2bl w:val="nil"/>
            </w:tcBorders>
            <w:shd w:val="clear" w:color="auto" w:fill="auto"/>
            <w:vAlign w:val="center"/>
          </w:tcPr>
          <w:p w14:paraId="7A04A6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老旧电梯拆除、井道整改、新梯安装及调试、因拆除或安装电梯导致损坏的部分进行二次装修等</w:t>
            </w:r>
          </w:p>
        </w:tc>
        <w:tc>
          <w:tcPr>
            <w:tcW w:w="477" w:type="dxa"/>
            <w:tcBorders>
              <w:tl2br w:val="nil"/>
              <w:tr2bl w:val="nil"/>
            </w:tcBorders>
            <w:shd w:val="clear" w:color="auto" w:fill="auto"/>
            <w:vAlign w:val="center"/>
          </w:tcPr>
          <w:p w14:paraId="554DC1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536" w:type="dxa"/>
            <w:tcBorders>
              <w:tl2br w:val="nil"/>
              <w:tr2bl w:val="nil"/>
            </w:tcBorders>
            <w:shd w:val="clear" w:color="auto" w:fill="auto"/>
            <w:noWrap/>
            <w:vAlign w:val="center"/>
          </w:tcPr>
          <w:p w14:paraId="126153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719" w:type="dxa"/>
            <w:tcBorders>
              <w:tl2br w:val="nil"/>
              <w:tr2bl w:val="nil"/>
            </w:tcBorders>
            <w:shd w:val="clear" w:color="auto" w:fill="auto"/>
            <w:noWrap/>
            <w:vAlign w:val="center"/>
          </w:tcPr>
          <w:p w14:paraId="33B2CA7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建筑业</w:t>
            </w:r>
          </w:p>
        </w:tc>
        <w:tc>
          <w:tcPr>
            <w:tcW w:w="914" w:type="dxa"/>
            <w:tcBorders>
              <w:tl2br w:val="nil"/>
              <w:tr2bl w:val="nil"/>
            </w:tcBorders>
            <w:shd w:val="clear" w:color="auto" w:fill="auto"/>
            <w:noWrap/>
            <w:vAlign w:val="center"/>
          </w:tcPr>
          <w:p w14:paraId="79DA6D33">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工程、服务</w:t>
            </w:r>
          </w:p>
        </w:tc>
        <w:tc>
          <w:tcPr>
            <w:tcW w:w="914" w:type="dxa"/>
            <w:tcBorders>
              <w:tl2br w:val="nil"/>
              <w:tr2bl w:val="nil"/>
            </w:tcBorders>
            <w:shd w:val="clear" w:color="auto" w:fill="auto"/>
            <w:noWrap/>
            <w:vAlign w:val="center"/>
          </w:tcPr>
          <w:p w14:paraId="7D926F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r>
    </w:tbl>
    <w:p w14:paraId="3CF6AB90">
      <w:p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1.2标项二采购标的物清单</w:t>
      </w:r>
    </w:p>
    <w:p w14:paraId="059B8A52">
      <w:pPr>
        <w:pStyle w:val="1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注：①投标文件格式中“投标分项报价表一”中相关内容按本表“设备采购部分”内容填写，投标文件格式中“投标分项报价表二”中相关内容按本表“其他部分”内容填写。</w:t>
      </w:r>
    </w:p>
    <w:p w14:paraId="588FA206">
      <w:pPr>
        <w:pStyle w:val="1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②电梯井道尺寸投标单位自行勘测，以实际为主，报价中应包含原有旧电梯拆除费并综合考虑拆除费用与拆除后设备变卖残值、清运费、安全文明施工费、新装电梯采购费、运杂费、保险费、卸货费、安装费、调试费、现场服务费、税金、技术培训、产品备品备件费用及电梯控制箱、电源线接入等各项（所有）费用。本招标文件明确为本项目采购内容，此表中未列明的，包含在投标报价中。</w:t>
      </w:r>
    </w:p>
    <w:tbl>
      <w:tblPr>
        <w:tblStyle w:val="28"/>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561"/>
        <w:gridCol w:w="1490"/>
        <w:gridCol w:w="1105"/>
        <w:gridCol w:w="791"/>
        <w:gridCol w:w="777"/>
        <w:gridCol w:w="478"/>
        <w:gridCol w:w="481"/>
        <w:gridCol w:w="1039"/>
        <w:gridCol w:w="996"/>
        <w:gridCol w:w="812"/>
      </w:tblGrid>
      <w:tr w14:paraId="3198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37" w:hRule="atLeast"/>
        </w:trPr>
        <w:tc>
          <w:tcPr>
            <w:tcW w:w="328" w:type="pct"/>
            <w:tcBorders>
              <w:tl2br w:val="nil"/>
              <w:tr2bl w:val="nil"/>
            </w:tcBorders>
            <w:shd w:val="clear" w:color="auto" w:fill="auto"/>
            <w:noWrap/>
            <w:vAlign w:val="center"/>
          </w:tcPr>
          <w:p w14:paraId="7D2D4E18">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序号</w:t>
            </w:r>
          </w:p>
        </w:tc>
        <w:tc>
          <w:tcPr>
            <w:tcW w:w="873" w:type="pct"/>
            <w:tcBorders>
              <w:tl2br w:val="nil"/>
              <w:tr2bl w:val="nil"/>
            </w:tcBorders>
            <w:shd w:val="clear" w:color="auto" w:fill="auto"/>
            <w:noWrap/>
            <w:vAlign w:val="center"/>
          </w:tcPr>
          <w:p w14:paraId="5E173E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标的名称</w:t>
            </w:r>
          </w:p>
        </w:tc>
        <w:tc>
          <w:tcPr>
            <w:tcW w:w="647" w:type="pct"/>
            <w:tcBorders>
              <w:tl2br w:val="nil"/>
              <w:tr2bl w:val="nil"/>
            </w:tcBorders>
            <w:shd w:val="clear" w:color="auto" w:fill="auto"/>
            <w:noWrap/>
            <w:vAlign w:val="center"/>
          </w:tcPr>
          <w:p w14:paraId="4870F9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层站门</w:t>
            </w:r>
          </w:p>
        </w:tc>
        <w:tc>
          <w:tcPr>
            <w:tcW w:w="463" w:type="pct"/>
            <w:tcBorders>
              <w:tl2br w:val="nil"/>
              <w:tr2bl w:val="nil"/>
            </w:tcBorders>
            <w:shd w:val="clear" w:color="auto" w:fill="auto"/>
            <w:noWrap/>
            <w:vAlign w:val="center"/>
          </w:tcPr>
          <w:p w14:paraId="457954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速度</w:t>
            </w:r>
          </w:p>
        </w:tc>
        <w:tc>
          <w:tcPr>
            <w:tcW w:w="455" w:type="pct"/>
            <w:tcBorders>
              <w:tl2br w:val="nil"/>
              <w:tr2bl w:val="nil"/>
            </w:tcBorders>
            <w:shd w:val="clear" w:color="auto" w:fill="auto"/>
            <w:noWrap/>
            <w:vAlign w:val="center"/>
          </w:tcPr>
          <w:p w14:paraId="7CB9F3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载重</w:t>
            </w:r>
          </w:p>
        </w:tc>
        <w:tc>
          <w:tcPr>
            <w:tcW w:w="280" w:type="pct"/>
            <w:tcBorders>
              <w:tl2br w:val="nil"/>
              <w:tr2bl w:val="nil"/>
            </w:tcBorders>
            <w:shd w:val="clear" w:color="auto" w:fill="auto"/>
            <w:noWrap/>
            <w:vAlign w:val="center"/>
          </w:tcPr>
          <w:p w14:paraId="2B10B6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单位</w:t>
            </w:r>
          </w:p>
        </w:tc>
        <w:tc>
          <w:tcPr>
            <w:tcW w:w="281" w:type="pct"/>
            <w:tcBorders>
              <w:tl2br w:val="nil"/>
              <w:tr2bl w:val="nil"/>
            </w:tcBorders>
            <w:shd w:val="clear" w:color="auto" w:fill="auto"/>
            <w:noWrap/>
            <w:vAlign w:val="center"/>
          </w:tcPr>
          <w:p w14:paraId="411529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数量</w:t>
            </w:r>
          </w:p>
        </w:tc>
        <w:tc>
          <w:tcPr>
            <w:tcW w:w="609" w:type="pct"/>
            <w:tcBorders>
              <w:tl2br w:val="nil"/>
              <w:tr2bl w:val="nil"/>
            </w:tcBorders>
            <w:shd w:val="clear" w:color="auto" w:fill="auto"/>
            <w:noWrap/>
            <w:vAlign w:val="center"/>
          </w:tcPr>
          <w:p w14:paraId="45B26F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中小企业划分标准所属行业</w:t>
            </w:r>
          </w:p>
        </w:tc>
        <w:tc>
          <w:tcPr>
            <w:tcW w:w="583" w:type="pct"/>
            <w:tcBorders>
              <w:tl2br w:val="nil"/>
              <w:tr2bl w:val="nil"/>
            </w:tcBorders>
            <w:shd w:val="clear" w:color="auto" w:fill="auto"/>
            <w:noWrap/>
            <w:vAlign w:val="center"/>
          </w:tcPr>
          <w:p w14:paraId="45861C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提供中小企业声明函的类型</w:t>
            </w:r>
          </w:p>
        </w:tc>
        <w:tc>
          <w:tcPr>
            <w:tcW w:w="475" w:type="pct"/>
            <w:tcBorders>
              <w:tl2br w:val="nil"/>
              <w:tr2bl w:val="nil"/>
            </w:tcBorders>
            <w:shd w:val="clear" w:color="auto" w:fill="auto"/>
            <w:noWrap/>
            <w:vAlign w:val="center"/>
          </w:tcPr>
          <w:p w14:paraId="5F712B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街道</w:t>
            </w:r>
          </w:p>
        </w:tc>
      </w:tr>
      <w:tr w14:paraId="3846E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7" w:hRule="atLeast"/>
        </w:trPr>
        <w:tc>
          <w:tcPr>
            <w:tcW w:w="328" w:type="pct"/>
            <w:tcBorders>
              <w:tl2br w:val="nil"/>
              <w:tr2bl w:val="nil"/>
            </w:tcBorders>
            <w:shd w:val="clear" w:color="auto" w:fill="auto"/>
            <w:noWrap/>
            <w:vAlign w:val="center"/>
          </w:tcPr>
          <w:p w14:paraId="32C5178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一</w:t>
            </w:r>
          </w:p>
        </w:tc>
        <w:tc>
          <w:tcPr>
            <w:tcW w:w="4671" w:type="pct"/>
            <w:gridSpan w:val="9"/>
            <w:tcBorders>
              <w:tl2br w:val="nil"/>
              <w:tr2bl w:val="nil"/>
            </w:tcBorders>
            <w:shd w:val="clear" w:color="auto" w:fill="auto"/>
            <w:noWrap/>
            <w:vAlign w:val="center"/>
          </w:tcPr>
          <w:p w14:paraId="6165E4C5">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设备采购部分</w:t>
            </w:r>
          </w:p>
        </w:tc>
      </w:tr>
      <w:tr w14:paraId="12182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2FBDEA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873" w:type="pct"/>
            <w:tcBorders>
              <w:tl2br w:val="nil"/>
              <w:tr2bl w:val="nil"/>
            </w:tcBorders>
            <w:shd w:val="clear" w:color="auto" w:fill="auto"/>
            <w:vAlign w:val="center"/>
          </w:tcPr>
          <w:p w14:paraId="39DBA4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07354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463" w:type="pct"/>
            <w:tcBorders>
              <w:tl2br w:val="nil"/>
              <w:tr2bl w:val="nil"/>
            </w:tcBorders>
            <w:shd w:val="clear" w:color="auto" w:fill="auto"/>
            <w:vAlign w:val="center"/>
          </w:tcPr>
          <w:p w14:paraId="0D061F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13E2EA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06DDDC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4FC28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4C51E5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7DE6E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货物</w:t>
            </w:r>
          </w:p>
        </w:tc>
        <w:tc>
          <w:tcPr>
            <w:tcW w:w="475" w:type="pct"/>
            <w:tcBorders>
              <w:tl2br w:val="nil"/>
              <w:tr2bl w:val="nil"/>
            </w:tcBorders>
            <w:shd w:val="clear" w:color="auto" w:fill="auto"/>
            <w:noWrap/>
            <w:vAlign w:val="center"/>
          </w:tcPr>
          <w:p w14:paraId="0D759BE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天山区南湾街街道</w:t>
            </w:r>
          </w:p>
        </w:tc>
      </w:tr>
      <w:tr w14:paraId="12BBF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7516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873" w:type="pct"/>
            <w:tcBorders>
              <w:tl2br w:val="nil"/>
              <w:tr2bl w:val="nil"/>
            </w:tcBorders>
            <w:shd w:val="clear" w:color="auto" w:fill="auto"/>
            <w:vAlign w:val="center"/>
          </w:tcPr>
          <w:p w14:paraId="088924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260A54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9/9/9</w:t>
            </w:r>
          </w:p>
        </w:tc>
        <w:tc>
          <w:tcPr>
            <w:tcW w:w="463" w:type="pct"/>
            <w:tcBorders>
              <w:tl2br w:val="nil"/>
              <w:tr2bl w:val="nil"/>
            </w:tcBorders>
            <w:shd w:val="clear" w:color="auto" w:fill="auto"/>
            <w:vAlign w:val="center"/>
          </w:tcPr>
          <w:p w14:paraId="6DE587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1.5m/s</w:t>
            </w:r>
          </w:p>
        </w:tc>
        <w:tc>
          <w:tcPr>
            <w:tcW w:w="455" w:type="pct"/>
            <w:tcBorders>
              <w:tl2br w:val="nil"/>
              <w:tr2bl w:val="nil"/>
            </w:tcBorders>
            <w:shd w:val="clear" w:color="auto" w:fill="auto"/>
            <w:vAlign w:val="center"/>
          </w:tcPr>
          <w:p w14:paraId="039C41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016353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4B6B6E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70B4CE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6FE6E9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0E1BA9B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天山区胜利路街道</w:t>
            </w:r>
          </w:p>
        </w:tc>
      </w:tr>
      <w:tr w14:paraId="2A50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4B2F5B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873" w:type="pct"/>
            <w:tcBorders>
              <w:tl2br w:val="nil"/>
              <w:tr2bl w:val="nil"/>
            </w:tcBorders>
            <w:shd w:val="clear" w:color="auto" w:fill="auto"/>
            <w:vAlign w:val="center"/>
          </w:tcPr>
          <w:p w14:paraId="4DC7EC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3BB3D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12/10/10</w:t>
            </w:r>
          </w:p>
        </w:tc>
        <w:tc>
          <w:tcPr>
            <w:tcW w:w="463" w:type="pct"/>
            <w:tcBorders>
              <w:tl2br w:val="nil"/>
              <w:tr2bl w:val="nil"/>
            </w:tcBorders>
            <w:shd w:val="clear" w:color="auto" w:fill="auto"/>
            <w:vAlign w:val="center"/>
          </w:tcPr>
          <w:p w14:paraId="477732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3BC460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5596B0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5A0303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419DDC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3B3223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640A3EE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3D64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3BCB57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873" w:type="pct"/>
            <w:tcBorders>
              <w:tl2br w:val="nil"/>
              <w:tr2bl w:val="nil"/>
            </w:tcBorders>
            <w:shd w:val="clear" w:color="auto" w:fill="auto"/>
            <w:vAlign w:val="center"/>
          </w:tcPr>
          <w:p w14:paraId="5AD6E7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5B7748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13/11/11</w:t>
            </w:r>
          </w:p>
        </w:tc>
        <w:tc>
          <w:tcPr>
            <w:tcW w:w="463" w:type="pct"/>
            <w:tcBorders>
              <w:tl2br w:val="nil"/>
              <w:tr2bl w:val="nil"/>
            </w:tcBorders>
            <w:shd w:val="clear" w:color="auto" w:fill="auto"/>
            <w:vAlign w:val="center"/>
          </w:tcPr>
          <w:p w14:paraId="6F9987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18EA4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39E4C6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3C2D11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3C3830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0A09D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05113F9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3EF7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540DE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873" w:type="pct"/>
            <w:tcBorders>
              <w:tl2br w:val="nil"/>
              <w:tr2bl w:val="nil"/>
            </w:tcBorders>
            <w:shd w:val="clear" w:color="auto" w:fill="auto"/>
            <w:vAlign w:val="center"/>
          </w:tcPr>
          <w:p w14:paraId="3D88BE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5516C9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11/11/11</w:t>
            </w:r>
          </w:p>
        </w:tc>
        <w:tc>
          <w:tcPr>
            <w:tcW w:w="463" w:type="pct"/>
            <w:tcBorders>
              <w:tl2br w:val="nil"/>
              <w:tr2bl w:val="nil"/>
            </w:tcBorders>
            <w:shd w:val="clear" w:color="auto" w:fill="auto"/>
            <w:vAlign w:val="center"/>
          </w:tcPr>
          <w:p w14:paraId="2766B9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0AB5C8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280" w:type="pct"/>
            <w:tcBorders>
              <w:tl2br w:val="nil"/>
              <w:tr2bl w:val="nil"/>
            </w:tcBorders>
            <w:shd w:val="clear" w:color="auto" w:fill="auto"/>
            <w:vAlign w:val="center"/>
          </w:tcPr>
          <w:p w14:paraId="1B1103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50FACB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609" w:type="pct"/>
            <w:tcBorders>
              <w:tl2br w:val="nil"/>
              <w:tr2bl w:val="nil"/>
            </w:tcBorders>
            <w:shd w:val="clear" w:color="auto" w:fill="auto"/>
            <w:noWrap/>
            <w:vAlign w:val="center"/>
          </w:tcPr>
          <w:p w14:paraId="627267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EE7A4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720355F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B6DB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20DA0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873" w:type="pct"/>
            <w:tcBorders>
              <w:tl2br w:val="nil"/>
              <w:tr2bl w:val="nil"/>
            </w:tcBorders>
            <w:shd w:val="clear" w:color="auto" w:fill="auto"/>
            <w:vAlign w:val="center"/>
          </w:tcPr>
          <w:p w14:paraId="68DBDB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CCC8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21/21/21</w:t>
            </w:r>
          </w:p>
        </w:tc>
        <w:tc>
          <w:tcPr>
            <w:tcW w:w="463" w:type="pct"/>
            <w:tcBorders>
              <w:tl2br w:val="nil"/>
              <w:tr2bl w:val="nil"/>
            </w:tcBorders>
            <w:shd w:val="clear" w:color="auto" w:fill="auto"/>
            <w:vAlign w:val="center"/>
          </w:tcPr>
          <w:p w14:paraId="0D44A5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A5CB5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141F71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735012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2526AE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15260A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3360E44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75E5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F167F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873" w:type="pct"/>
            <w:tcBorders>
              <w:tl2br w:val="nil"/>
              <w:tr2bl w:val="nil"/>
            </w:tcBorders>
            <w:shd w:val="clear" w:color="auto" w:fill="auto"/>
            <w:vAlign w:val="center"/>
          </w:tcPr>
          <w:p w14:paraId="58D24F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05810C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22/20/20</w:t>
            </w:r>
          </w:p>
        </w:tc>
        <w:tc>
          <w:tcPr>
            <w:tcW w:w="463" w:type="pct"/>
            <w:tcBorders>
              <w:tl2br w:val="nil"/>
              <w:tr2bl w:val="nil"/>
            </w:tcBorders>
            <w:shd w:val="clear" w:color="auto" w:fill="auto"/>
            <w:vAlign w:val="center"/>
          </w:tcPr>
          <w:p w14:paraId="3EF6FA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364E9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121413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7C29E31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573C85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AC172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7873888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3A2D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435232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873" w:type="pct"/>
            <w:tcBorders>
              <w:tl2br w:val="nil"/>
              <w:tr2bl w:val="nil"/>
            </w:tcBorders>
            <w:shd w:val="clear" w:color="auto" w:fill="auto"/>
            <w:vAlign w:val="center"/>
          </w:tcPr>
          <w:p w14:paraId="0F54E5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4634EA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23/21/21</w:t>
            </w:r>
          </w:p>
        </w:tc>
        <w:tc>
          <w:tcPr>
            <w:tcW w:w="463" w:type="pct"/>
            <w:tcBorders>
              <w:tl2br w:val="nil"/>
              <w:tr2bl w:val="nil"/>
            </w:tcBorders>
            <w:shd w:val="clear" w:color="auto" w:fill="auto"/>
            <w:vAlign w:val="center"/>
          </w:tcPr>
          <w:p w14:paraId="6FCA2F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68EFEE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5CE070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3453B0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53876B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328EEB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6DA5719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2574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24028C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873" w:type="pct"/>
            <w:tcBorders>
              <w:tl2br w:val="nil"/>
              <w:tr2bl w:val="nil"/>
            </w:tcBorders>
            <w:shd w:val="clear" w:color="auto" w:fill="auto"/>
            <w:vAlign w:val="center"/>
          </w:tcPr>
          <w:p w14:paraId="3B78AA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36A314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24/24/24</w:t>
            </w:r>
          </w:p>
        </w:tc>
        <w:tc>
          <w:tcPr>
            <w:tcW w:w="463" w:type="pct"/>
            <w:tcBorders>
              <w:tl2br w:val="nil"/>
              <w:tr2bl w:val="nil"/>
            </w:tcBorders>
            <w:shd w:val="clear" w:color="auto" w:fill="auto"/>
            <w:vAlign w:val="center"/>
          </w:tcPr>
          <w:p w14:paraId="76F468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2A2E41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3EE582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1C4532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3F45A0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7DF99B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5183397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D39A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3D6D9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873" w:type="pct"/>
            <w:tcBorders>
              <w:tl2br w:val="nil"/>
              <w:tr2bl w:val="nil"/>
            </w:tcBorders>
            <w:shd w:val="clear" w:color="auto" w:fill="auto"/>
            <w:vAlign w:val="center"/>
          </w:tcPr>
          <w:p w14:paraId="6FB31A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0BA89F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25/25/25</w:t>
            </w:r>
          </w:p>
        </w:tc>
        <w:tc>
          <w:tcPr>
            <w:tcW w:w="463" w:type="pct"/>
            <w:tcBorders>
              <w:tl2br w:val="nil"/>
              <w:tr2bl w:val="nil"/>
            </w:tcBorders>
            <w:shd w:val="clear" w:color="auto" w:fill="auto"/>
            <w:vAlign w:val="center"/>
          </w:tcPr>
          <w:p w14:paraId="016905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F25F8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481F45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58B8B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7E6B5A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F6EAF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4D77F9B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EB62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B7FDE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873" w:type="pct"/>
            <w:tcBorders>
              <w:tl2br w:val="nil"/>
              <w:tr2bl w:val="nil"/>
            </w:tcBorders>
            <w:shd w:val="clear" w:color="auto" w:fill="auto"/>
            <w:vAlign w:val="center"/>
          </w:tcPr>
          <w:p w14:paraId="31211DB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2F61B6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15/15/15</w:t>
            </w:r>
          </w:p>
        </w:tc>
        <w:tc>
          <w:tcPr>
            <w:tcW w:w="463" w:type="pct"/>
            <w:tcBorders>
              <w:tl2br w:val="nil"/>
              <w:tr2bl w:val="nil"/>
            </w:tcBorders>
            <w:shd w:val="clear" w:color="auto" w:fill="auto"/>
            <w:vAlign w:val="center"/>
          </w:tcPr>
          <w:p w14:paraId="06961E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1F2986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08D027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5AB157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34D112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7E8DC2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69C5240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天山区延安路街道</w:t>
            </w:r>
          </w:p>
        </w:tc>
      </w:tr>
      <w:tr w14:paraId="4254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7BF1F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873" w:type="pct"/>
            <w:tcBorders>
              <w:tl2br w:val="nil"/>
              <w:tr2bl w:val="nil"/>
            </w:tcBorders>
            <w:shd w:val="clear" w:color="auto" w:fill="auto"/>
            <w:vAlign w:val="center"/>
          </w:tcPr>
          <w:p w14:paraId="05B68C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4C1F10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463" w:type="pct"/>
            <w:tcBorders>
              <w:tl2br w:val="nil"/>
              <w:tr2bl w:val="nil"/>
            </w:tcBorders>
            <w:shd w:val="clear" w:color="auto" w:fill="auto"/>
            <w:vAlign w:val="center"/>
          </w:tcPr>
          <w:p w14:paraId="2F92167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33C03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517BE6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5CFA45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609" w:type="pct"/>
            <w:tcBorders>
              <w:tl2br w:val="nil"/>
              <w:tr2bl w:val="nil"/>
            </w:tcBorders>
            <w:shd w:val="clear" w:color="auto" w:fill="auto"/>
            <w:noWrap/>
            <w:vAlign w:val="center"/>
          </w:tcPr>
          <w:p w14:paraId="03905A9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7F3A9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0A93CF6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0138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1E9851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w:t>
            </w:r>
          </w:p>
        </w:tc>
        <w:tc>
          <w:tcPr>
            <w:tcW w:w="873" w:type="pct"/>
            <w:tcBorders>
              <w:tl2br w:val="nil"/>
              <w:tr2bl w:val="nil"/>
            </w:tcBorders>
            <w:shd w:val="clear" w:color="auto" w:fill="auto"/>
            <w:vAlign w:val="center"/>
          </w:tcPr>
          <w:p w14:paraId="17A190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56A99C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11/11/11</w:t>
            </w:r>
          </w:p>
        </w:tc>
        <w:tc>
          <w:tcPr>
            <w:tcW w:w="463" w:type="pct"/>
            <w:tcBorders>
              <w:tl2br w:val="nil"/>
              <w:tr2bl w:val="nil"/>
            </w:tcBorders>
            <w:shd w:val="clear" w:color="auto" w:fill="auto"/>
            <w:vAlign w:val="center"/>
          </w:tcPr>
          <w:p w14:paraId="15A37C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4410AA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280" w:type="pct"/>
            <w:tcBorders>
              <w:tl2br w:val="nil"/>
              <w:tr2bl w:val="nil"/>
            </w:tcBorders>
            <w:shd w:val="clear" w:color="auto" w:fill="auto"/>
            <w:vAlign w:val="center"/>
          </w:tcPr>
          <w:p w14:paraId="380430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73603E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609" w:type="pct"/>
            <w:tcBorders>
              <w:tl2br w:val="nil"/>
              <w:tr2bl w:val="nil"/>
            </w:tcBorders>
            <w:shd w:val="clear" w:color="auto" w:fill="auto"/>
            <w:noWrap/>
            <w:vAlign w:val="center"/>
          </w:tcPr>
          <w:p w14:paraId="2FA090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774C8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1124A6E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天山区东门街道</w:t>
            </w:r>
          </w:p>
        </w:tc>
      </w:tr>
      <w:tr w14:paraId="4A5ED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79F6E7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w:t>
            </w:r>
          </w:p>
        </w:tc>
        <w:tc>
          <w:tcPr>
            <w:tcW w:w="873" w:type="pct"/>
            <w:tcBorders>
              <w:tl2br w:val="nil"/>
              <w:tr2bl w:val="nil"/>
            </w:tcBorders>
            <w:shd w:val="clear" w:color="auto" w:fill="auto"/>
            <w:vAlign w:val="center"/>
          </w:tcPr>
          <w:p w14:paraId="2E0B13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37A2EF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463" w:type="pct"/>
            <w:tcBorders>
              <w:tl2br w:val="nil"/>
              <w:tr2bl w:val="nil"/>
            </w:tcBorders>
            <w:shd w:val="clear" w:color="auto" w:fill="auto"/>
            <w:vAlign w:val="center"/>
          </w:tcPr>
          <w:p w14:paraId="01FD9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0FA8C6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280" w:type="pct"/>
            <w:tcBorders>
              <w:tl2br w:val="nil"/>
              <w:tr2bl w:val="nil"/>
            </w:tcBorders>
            <w:shd w:val="clear" w:color="auto" w:fill="auto"/>
            <w:vAlign w:val="center"/>
          </w:tcPr>
          <w:p w14:paraId="10A0FB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47D925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09BBE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50D3D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2590A7B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404B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362B66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w:t>
            </w:r>
          </w:p>
        </w:tc>
        <w:tc>
          <w:tcPr>
            <w:tcW w:w="873" w:type="pct"/>
            <w:tcBorders>
              <w:tl2br w:val="nil"/>
              <w:tr2bl w:val="nil"/>
            </w:tcBorders>
            <w:shd w:val="clear" w:color="auto" w:fill="auto"/>
            <w:vAlign w:val="center"/>
          </w:tcPr>
          <w:p w14:paraId="253B6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56209E6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463" w:type="pct"/>
            <w:tcBorders>
              <w:tl2br w:val="nil"/>
              <w:tr2bl w:val="nil"/>
            </w:tcBorders>
            <w:shd w:val="clear" w:color="auto" w:fill="auto"/>
            <w:vAlign w:val="center"/>
          </w:tcPr>
          <w:p w14:paraId="5AB6AF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29AF68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6C30C7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00FDBF9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089B6B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EBE12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0E7E303E">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B5D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C4C723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w:t>
            </w:r>
          </w:p>
        </w:tc>
        <w:tc>
          <w:tcPr>
            <w:tcW w:w="873" w:type="pct"/>
            <w:tcBorders>
              <w:tl2br w:val="nil"/>
              <w:tr2bl w:val="nil"/>
            </w:tcBorders>
            <w:shd w:val="clear" w:color="auto" w:fill="auto"/>
            <w:vAlign w:val="center"/>
          </w:tcPr>
          <w:p w14:paraId="2B9276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20374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13/12/12</w:t>
            </w:r>
          </w:p>
        </w:tc>
        <w:tc>
          <w:tcPr>
            <w:tcW w:w="463" w:type="pct"/>
            <w:tcBorders>
              <w:tl2br w:val="nil"/>
              <w:tr2bl w:val="nil"/>
            </w:tcBorders>
            <w:shd w:val="clear" w:color="auto" w:fill="auto"/>
            <w:vAlign w:val="center"/>
          </w:tcPr>
          <w:p w14:paraId="7B2BEA8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97CDC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280" w:type="pct"/>
            <w:tcBorders>
              <w:tl2br w:val="nil"/>
              <w:tr2bl w:val="nil"/>
            </w:tcBorders>
            <w:shd w:val="clear" w:color="auto" w:fill="auto"/>
            <w:vAlign w:val="center"/>
          </w:tcPr>
          <w:p w14:paraId="18BF01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1960FF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57D9D0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DD5DA7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231CF7E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7C42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387842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w:t>
            </w:r>
          </w:p>
        </w:tc>
        <w:tc>
          <w:tcPr>
            <w:tcW w:w="873" w:type="pct"/>
            <w:tcBorders>
              <w:tl2br w:val="nil"/>
              <w:tr2bl w:val="nil"/>
            </w:tcBorders>
            <w:shd w:val="clear" w:color="auto" w:fill="auto"/>
            <w:vAlign w:val="center"/>
          </w:tcPr>
          <w:p w14:paraId="22F62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2FB82B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15/14/14</w:t>
            </w:r>
          </w:p>
        </w:tc>
        <w:tc>
          <w:tcPr>
            <w:tcW w:w="463" w:type="pct"/>
            <w:tcBorders>
              <w:tl2br w:val="nil"/>
              <w:tr2bl w:val="nil"/>
            </w:tcBorders>
            <w:shd w:val="clear" w:color="auto" w:fill="auto"/>
            <w:vAlign w:val="center"/>
          </w:tcPr>
          <w:p w14:paraId="16E4325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5D1538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54B0690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BAE4A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0E10D9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68E618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3898A5B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天山区和平路街道</w:t>
            </w:r>
          </w:p>
        </w:tc>
      </w:tr>
      <w:tr w14:paraId="01C1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5787F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w:t>
            </w:r>
          </w:p>
        </w:tc>
        <w:tc>
          <w:tcPr>
            <w:tcW w:w="873" w:type="pct"/>
            <w:tcBorders>
              <w:tl2br w:val="nil"/>
              <w:tr2bl w:val="nil"/>
            </w:tcBorders>
            <w:shd w:val="clear" w:color="auto" w:fill="auto"/>
            <w:vAlign w:val="center"/>
          </w:tcPr>
          <w:p w14:paraId="6F49F4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244D8D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463" w:type="pct"/>
            <w:tcBorders>
              <w:tl2br w:val="nil"/>
              <w:tr2bl w:val="nil"/>
            </w:tcBorders>
            <w:shd w:val="clear" w:color="auto" w:fill="auto"/>
            <w:vAlign w:val="center"/>
          </w:tcPr>
          <w:p w14:paraId="23D79C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4D6ED4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27FA01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1F80E2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246C8A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6560F7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23DEE17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D85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4775CB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w:t>
            </w:r>
          </w:p>
        </w:tc>
        <w:tc>
          <w:tcPr>
            <w:tcW w:w="873" w:type="pct"/>
            <w:tcBorders>
              <w:tl2br w:val="nil"/>
              <w:tr2bl w:val="nil"/>
            </w:tcBorders>
            <w:shd w:val="clear" w:color="auto" w:fill="auto"/>
            <w:vAlign w:val="center"/>
          </w:tcPr>
          <w:p w14:paraId="573130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327887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463" w:type="pct"/>
            <w:tcBorders>
              <w:tl2br w:val="nil"/>
              <w:tr2bl w:val="nil"/>
            </w:tcBorders>
            <w:shd w:val="clear" w:color="auto" w:fill="auto"/>
            <w:vAlign w:val="center"/>
          </w:tcPr>
          <w:p w14:paraId="644EAE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3D3019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280" w:type="pct"/>
            <w:tcBorders>
              <w:tl2br w:val="nil"/>
              <w:tr2bl w:val="nil"/>
            </w:tcBorders>
            <w:shd w:val="clear" w:color="auto" w:fill="auto"/>
            <w:vAlign w:val="center"/>
          </w:tcPr>
          <w:p w14:paraId="651DFF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4FB31D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609" w:type="pct"/>
            <w:tcBorders>
              <w:tl2br w:val="nil"/>
              <w:tr2bl w:val="nil"/>
            </w:tcBorders>
            <w:shd w:val="clear" w:color="auto" w:fill="auto"/>
            <w:noWrap/>
            <w:vAlign w:val="center"/>
          </w:tcPr>
          <w:p w14:paraId="7C4801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9C614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61E9D98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天山区黑甲山街道</w:t>
            </w:r>
          </w:p>
        </w:tc>
      </w:tr>
      <w:tr w14:paraId="3AE80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13B87E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20</w:t>
            </w:r>
          </w:p>
        </w:tc>
        <w:tc>
          <w:tcPr>
            <w:tcW w:w="873" w:type="pct"/>
            <w:tcBorders>
              <w:tl2br w:val="nil"/>
              <w:tr2bl w:val="nil"/>
            </w:tcBorders>
            <w:shd w:val="clear" w:color="auto" w:fill="auto"/>
            <w:vAlign w:val="center"/>
          </w:tcPr>
          <w:p w14:paraId="121BEA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38915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463" w:type="pct"/>
            <w:tcBorders>
              <w:tl2br w:val="nil"/>
              <w:tr2bl w:val="nil"/>
            </w:tcBorders>
            <w:shd w:val="clear" w:color="auto" w:fill="auto"/>
            <w:vAlign w:val="center"/>
          </w:tcPr>
          <w:p w14:paraId="510C1D2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A36AA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280" w:type="pct"/>
            <w:tcBorders>
              <w:tl2br w:val="nil"/>
              <w:tr2bl w:val="nil"/>
            </w:tcBorders>
            <w:shd w:val="clear" w:color="auto" w:fill="auto"/>
            <w:vAlign w:val="center"/>
          </w:tcPr>
          <w:p w14:paraId="77AF37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0401E3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41D5A7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DCFA0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56A70A0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07B1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F4855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w:t>
            </w:r>
          </w:p>
        </w:tc>
        <w:tc>
          <w:tcPr>
            <w:tcW w:w="873" w:type="pct"/>
            <w:tcBorders>
              <w:tl2br w:val="nil"/>
              <w:tr2bl w:val="nil"/>
            </w:tcBorders>
            <w:shd w:val="clear" w:color="auto" w:fill="auto"/>
            <w:vAlign w:val="center"/>
          </w:tcPr>
          <w:p w14:paraId="2049E6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07B21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19/16/16</w:t>
            </w:r>
          </w:p>
        </w:tc>
        <w:tc>
          <w:tcPr>
            <w:tcW w:w="463" w:type="pct"/>
            <w:tcBorders>
              <w:tl2br w:val="nil"/>
              <w:tr2bl w:val="nil"/>
            </w:tcBorders>
            <w:shd w:val="clear" w:color="auto" w:fill="auto"/>
            <w:vAlign w:val="center"/>
          </w:tcPr>
          <w:p w14:paraId="592D4A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44F6FE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280" w:type="pct"/>
            <w:tcBorders>
              <w:tl2br w:val="nil"/>
              <w:tr2bl w:val="nil"/>
            </w:tcBorders>
            <w:shd w:val="clear" w:color="auto" w:fill="auto"/>
            <w:vAlign w:val="center"/>
          </w:tcPr>
          <w:p w14:paraId="01F924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DB587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5C6A6D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648ECB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68C3997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5050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11CD26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w:t>
            </w:r>
          </w:p>
        </w:tc>
        <w:tc>
          <w:tcPr>
            <w:tcW w:w="873" w:type="pct"/>
            <w:tcBorders>
              <w:tl2br w:val="nil"/>
              <w:tr2bl w:val="nil"/>
            </w:tcBorders>
            <w:shd w:val="clear" w:color="auto" w:fill="auto"/>
            <w:vAlign w:val="center"/>
          </w:tcPr>
          <w:p w14:paraId="473F62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134DFCB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18/15/15</w:t>
            </w:r>
          </w:p>
        </w:tc>
        <w:tc>
          <w:tcPr>
            <w:tcW w:w="463" w:type="pct"/>
            <w:tcBorders>
              <w:tl2br w:val="nil"/>
              <w:tr2bl w:val="nil"/>
            </w:tcBorders>
            <w:shd w:val="clear" w:color="auto" w:fill="auto"/>
            <w:vAlign w:val="center"/>
          </w:tcPr>
          <w:p w14:paraId="3836B3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219A57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5E5B3D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1CD9A3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116E52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7764BD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3A4A8E1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3045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5D9895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23</w:t>
            </w:r>
          </w:p>
        </w:tc>
        <w:tc>
          <w:tcPr>
            <w:tcW w:w="873" w:type="pct"/>
            <w:tcBorders>
              <w:tl2br w:val="nil"/>
              <w:tr2bl w:val="nil"/>
            </w:tcBorders>
            <w:shd w:val="clear" w:color="auto" w:fill="auto"/>
            <w:vAlign w:val="center"/>
          </w:tcPr>
          <w:p w14:paraId="7B5C5E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0AB80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11/10/10</w:t>
            </w:r>
          </w:p>
        </w:tc>
        <w:tc>
          <w:tcPr>
            <w:tcW w:w="463" w:type="pct"/>
            <w:tcBorders>
              <w:tl2br w:val="nil"/>
              <w:tr2bl w:val="nil"/>
            </w:tcBorders>
            <w:shd w:val="clear" w:color="auto" w:fill="auto"/>
            <w:vAlign w:val="center"/>
          </w:tcPr>
          <w:p w14:paraId="025FA4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18B065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280" w:type="pct"/>
            <w:tcBorders>
              <w:tl2br w:val="nil"/>
              <w:tr2bl w:val="nil"/>
            </w:tcBorders>
            <w:shd w:val="clear" w:color="auto" w:fill="auto"/>
            <w:vAlign w:val="center"/>
          </w:tcPr>
          <w:p w14:paraId="762622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3919D2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58F6BA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38C415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60CC4ED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天山区团结路街道</w:t>
            </w:r>
          </w:p>
        </w:tc>
      </w:tr>
      <w:tr w14:paraId="4F38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2A9816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24</w:t>
            </w:r>
          </w:p>
        </w:tc>
        <w:tc>
          <w:tcPr>
            <w:tcW w:w="873" w:type="pct"/>
            <w:tcBorders>
              <w:tl2br w:val="nil"/>
              <w:tr2bl w:val="nil"/>
            </w:tcBorders>
            <w:shd w:val="clear" w:color="auto" w:fill="auto"/>
            <w:vAlign w:val="center"/>
          </w:tcPr>
          <w:p w14:paraId="789673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88AB3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463" w:type="pct"/>
            <w:tcBorders>
              <w:tl2br w:val="nil"/>
              <w:tr2bl w:val="nil"/>
            </w:tcBorders>
            <w:shd w:val="clear" w:color="auto" w:fill="auto"/>
            <w:vAlign w:val="center"/>
          </w:tcPr>
          <w:p w14:paraId="374EC2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7B6EE1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0199C8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550FEA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716D3D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67D169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7465C5C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6AF5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47D29C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w:t>
            </w:r>
          </w:p>
        </w:tc>
        <w:tc>
          <w:tcPr>
            <w:tcW w:w="873" w:type="pct"/>
            <w:tcBorders>
              <w:tl2br w:val="nil"/>
              <w:tr2bl w:val="nil"/>
            </w:tcBorders>
            <w:shd w:val="clear" w:color="auto" w:fill="auto"/>
            <w:vAlign w:val="center"/>
          </w:tcPr>
          <w:p w14:paraId="0530737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1EF956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463" w:type="pct"/>
            <w:tcBorders>
              <w:tl2br w:val="nil"/>
              <w:tr2bl w:val="nil"/>
            </w:tcBorders>
            <w:shd w:val="clear" w:color="auto" w:fill="auto"/>
            <w:vAlign w:val="center"/>
          </w:tcPr>
          <w:p w14:paraId="467185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4EE2E3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0F2D47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0C6147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609" w:type="pct"/>
            <w:tcBorders>
              <w:tl2br w:val="nil"/>
              <w:tr2bl w:val="nil"/>
            </w:tcBorders>
            <w:shd w:val="clear" w:color="auto" w:fill="auto"/>
            <w:noWrap/>
            <w:vAlign w:val="center"/>
          </w:tcPr>
          <w:p w14:paraId="257016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A7BE3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41D50CA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534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2B8EEA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26</w:t>
            </w:r>
          </w:p>
        </w:tc>
        <w:tc>
          <w:tcPr>
            <w:tcW w:w="873" w:type="pct"/>
            <w:tcBorders>
              <w:tl2br w:val="nil"/>
              <w:tr2bl w:val="nil"/>
            </w:tcBorders>
            <w:shd w:val="clear" w:color="auto" w:fill="auto"/>
            <w:vAlign w:val="center"/>
          </w:tcPr>
          <w:p w14:paraId="7868D5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44098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26/26/26</w:t>
            </w:r>
          </w:p>
        </w:tc>
        <w:tc>
          <w:tcPr>
            <w:tcW w:w="463" w:type="pct"/>
            <w:tcBorders>
              <w:tl2br w:val="nil"/>
              <w:tr2bl w:val="nil"/>
            </w:tcBorders>
            <w:shd w:val="clear" w:color="auto" w:fill="auto"/>
            <w:vAlign w:val="center"/>
          </w:tcPr>
          <w:p w14:paraId="4E3B3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1DD15C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2BD350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7BFE261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74120E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0C7D2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32DDFF0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18B9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2827FC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27</w:t>
            </w:r>
          </w:p>
        </w:tc>
        <w:tc>
          <w:tcPr>
            <w:tcW w:w="873" w:type="pct"/>
            <w:tcBorders>
              <w:tl2br w:val="nil"/>
              <w:tr2bl w:val="nil"/>
            </w:tcBorders>
            <w:shd w:val="clear" w:color="auto" w:fill="auto"/>
            <w:vAlign w:val="center"/>
          </w:tcPr>
          <w:p w14:paraId="11DFD2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06B9B3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463" w:type="pct"/>
            <w:tcBorders>
              <w:tl2br w:val="nil"/>
              <w:tr2bl w:val="nil"/>
            </w:tcBorders>
            <w:shd w:val="clear" w:color="auto" w:fill="auto"/>
            <w:vAlign w:val="center"/>
          </w:tcPr>
          <w:p w14:paraId="150B96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6E08DC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25F53C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0CE856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388E58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073505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restart"/>
            <w:tcBorders>
              <w:tl2br w:val="nil"/>
              <w:tr2bl w:val="nil"/>
            </w:tcBorders>
            <w:shd w:val="clear" w:color="auto" w:fill="auto"/>
            <w:noWrap/>
            <w:vAlign w:val="center"/>
          </w:tcPr>
          <w:p w14:paraId="7CB96EA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天山区幸福路街道</w:t>
            </w:r>
          </w:p>
        </w:tc>
      </w:tr>
      <w:tr w14:paraId="5B14A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7DB56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28</w:t>
            </w:r>
          </w:p>
        </w:tc>
        <w:tc>
          <w:tcPr>
            <w:tcW w:w="873" w:type="pct"/>
            <w:tcBorders>
              <w:tl2br w:val="nil"/>
              <w:tr2bl w:val="nil"/>
            </w:tcBorders>
            <w:shd w:val="clear" w:color="auto" w:fill="auto"/>
            <w:vAlign w:val="center"/>
          </w:tcPr>
          <w:p w14:paraId="290426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647B8D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14/14/14</w:t>
            </w:r>
          </w:p>
        </w:tc>
        <w:tc>
          <w:tcPr>
            <w:tcW w:w="463" w:type="pct"/>
            <w:tcBorders>
              <w:tl2br w:val="nil"/>
              <w:tr2bl w:val="nil"/>
            </w:tcBorders>
            <w:shd w:val="clear" w:color="auto" w:fill="auto"/>
            <w:vAlign w:val="center"/>
          </w:tcPr>
          <w:p w14:paraId="503442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1FC96F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6AA10EB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66042C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187A2B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35DCA1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0320B5E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6B2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47611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w:t>
            </w:r>
          </w:p>
        </w:tc>
        <w:tc>
          <w:tcPr>
            <w:tcW w:w="873" w:type="pct"/>
            <w:tcBorders>
              <w:tl2br w:val="nil"/>
              <w:tr2bl w:val="nil"/>
            </w:tcBorders>
            <w:shd w:val="clear" w:color="auto" w:fill="auto"/>
            <w:vAlign w:val="center"/>
          </w:tcPr>
          <w:p w14:paraId="3FD8E9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FC03D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463" w:type="pct"/>
            <w:tcBorders>
              <w:tl2br w:val="nil"/>
              <w:tr2bl w:val="nil"/>
            </w:tcBorders>
            <w:shd w:val="clear" w:color="auto" w:fill="auto"/>
            <w:vAlign w:val="center"/>
          </w:tcPr>
          <w:p w14:paraId="2AE6062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4F8293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280" w:type="pct"/>
            <w:tcBorders>
              <w:tl2br w:val="nil"/>
              <w:tr2bl w:val="nil"/>
            </w:tcBorders>
            <w:shd w:val="clear" w:color="auto" w:fill="auto"/>
            <w:vAlign w:val="center"/>
          </w:tcPr>
          <w:p w14:paraId="38F6E8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5AAC6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0D2025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51B5F3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63C55EE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162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3A753B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30</w:t>
            </w:r>
          </w:p>
        </w:tc>
        <w:tc>
          <w:tcPr>
            <w:tcW w:w="873" w:type="pct"/>
            <w:tcBorders>
              <w:tl2br w:val="nil"/>
              <w:tr2bl w:val="nil"/>
            </w:tcBorders>
            <w:shd w:val="clear" w:color="auto" w:fill="auto"/>
            <w:vAlign w:val="center"/>
          </w:tcPr>
          <w:p w14:paraId="1FC873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3F2430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463" w:type="pct"/>
            <w:tcBorders>
              <w:tl2br w:val="nil"/>
              <w:tr2bl w:val="nil"/>
            </w:tcBorders>
            <w:shd w:val="clear" w:color="auto" w:fill="auto"/>
            <w:vAlign w:val="center"/>
          </w:tcPr>
          <w:p w14:paraId="6A5FF2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57115A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065051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009A3F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609" w:type="pct"/>
            <w:tcBorders>
              <w:tl2br w:val="nil"/>
              <w:tr2bl w:val="nil"/>
            </w:tcBorders>
            <w:shd w:val="clear" w:color="auto" w:fill="auto"/>
            <w:noWrap/>
            <w:vAlign w:val="center"/>
          </w:tcPr>
          <w:p w14:paraId="133876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B7F05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3C9B591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A351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0ABA4A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31</w:t>
            </w:r>
          </w:p>
        </w:tc>
        <w:tc>
          <w:tcPr>
            <w:tcW w:w="873" w:type="pct"/>
            <w:tcBorders>
              <w:tl2br w:val="nil"/>
              <w:tr2bl w:val="nil"/>
            </w:tcBorders>
            <w:shd w:val="clear" w:color="auto" w:fill="auto"/>
            <w:vAlign w:val="center"/>
          </w:tcPr>
          <w:p w14:paraId="2E1B42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5F98C1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18/17/17</w:t>
            </w:r>
          </w:p>
        </w:tc>
        <w:tc>
          <w:tcPr>
            <w:tcW w:w="463" w:type="pct"/>
            <w:tcBorders>
              <w:tl2br w:val="nil"/>
              <w:tr2bl w:val="nil"/>
            </w:tcBorders>
            <w:shd w:val="clear" w:color="auto" w:fill="auto"/>
            <w:vAlign w:val="center"/>
          </w:tcPr>
          <w:p w14:paraId="2D04FC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25E5D3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1EC0B2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756A6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609" w:type="pct"/>
            <w:tcBorders>
              <w:tl2br w:val="nil"/>
              <w:tr2bl w:val="nil"/>
            </w:tcBorders>
            <w:shd w:val="clear" w:color="auto" w:fill="auto"/>
            <w:noWrap/>
            <w:vAlign w:val="center"/>
          </w:tcPr>
          <w:p w14:paraId="2022FD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4E43DA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5031A6C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CFD1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197A8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32</w:t>
            </w:r>
          </w:p>
        </w:tc>
        <w:tc>
          <w:tcPr>
            <w:tcW w:w="873" w:type="pct"/>
            <w:tcBorders>
              <w:tl2br w:val="nil"/>
              <w:tr2bl w:val="nil"/>
            </w:tcBorders>
            <w:shd w:val="clear" w:color="auto" w:fill="auto"/>
            <w:vAlign w:val="center"/>
          </w:tcPr>
          <w:p w14:paraId="2EB75E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647" w:type="pct"/>
            <w:tcBorders>
              <w:tl2br w:val="nil"/>
              <w:tr2bl w:val="nil"/>
            </w:tcBorders>
            <w:shd w:val="clear" w:color="auto" w:fill="auto"/>
            <w:vAlign w:val="center"/>
          </w:tcPr>
          <w:p w14:paraId="7B868AE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463" w:type="pct"/>
            <w:tcBorders>
              <w:tl2br w:val="nil"/>
              <w:tr2bl w:val="nil"/>
            </w:tcBorders>
            <w:shd w:val="clear" w:color="auto" w:fill="auto"/>
            <w:vAlign w:val="center"/>
          </w:tcPr>
          <w:p w14:paraId="0D8B15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455" w:type="pct"/>
            <w:tcBorders>
              <w:tl2br w:val="nil"/>
              <w:tr2bl w:val="nil"/>
            </w:tcBorders>
            <w:shd w:val="clear" w:color="auto" w:fill="auto"/>
            <w:vAlign w:val="center"/>
          </w:tcPr>
          <w:p w14:paraId="6F2ACB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280" w:type="pct"/>
            <w:tcBorders>
              <w:tl2br w:val="nil"/>
              <w:tr2bl w:val="nil"/>
            </w:tcBorders>
            <w:shd w:val="clear" w:color="auto" w:fill="auto"/>
            <w:vAlign w:val="center"/>
          </w:tcPr>
          <w:p w14:paraId="0C5ABB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281" w:type="pct"/>
            <w:tcBorders>
              <w:tl2br w:val="nil"/>
              <w:tr2bl w:val="nil"/>
            </w:tcBorders>
            <w:shd w:val="clear" w:color="auto" w:fill="auto"/>
            <w:noWrap/>
            <w:vAlign w:val="center"/>
          </w:tcPr>
          <w:p w14:paraId="2398A3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609" w:type="pct"/>
            <w:tcBorders>
              <w:tl2br w:val="nil"/>
              <w:tr2bl w:val="nil"/>
            </w:tcBorders>
            <w:shd w:val="clear" w:color="auto" w:fill="auto"/>
            <w:noWrap/>
            <w:vAlign w:val="center"/>
          </w:tcPr>
          <w:p w14:paraId="68F1EC0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工业</w:t>
            </w:r>
          </w:p>
        </w:tc>
        <w:tc>
          <w:tcPr>
            <w:tcW w:w="583" w:type="pct"/>
            <w:tcBorders>
              <w:tl2br w:val="nil"/>
              <w:tr2bl w:val="nil"/>
            </w:tcBorders>
            <w:shd w:val="clear" w:color="auto" w:fill="auto"/>
            <w:noWrap/>
            <w:vAlign w:val="center"/>
          </w:tcPr>
          <w:p w14:paraId="2F1C69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货物</w:t>
            </w:r>
          </w:p>
        </w:tc>
        <w:tc>
          <w:tcPr>
            <w:tcW w:w="475" w:type="pct"/>
            <w:vMerge w:val="continue"/>
            <w:tcBorders>
              <w:tl2br w:val="nil"/>
              <w:tr2bl w:val="nil"/>
            </w:tcBorders>
            <w:shd w:val="clear" w:color="auto" w:fill="auto"/>
            <w:noWrap/>
            <w:vAlign w:val="center"/>
          </w:tcPr>
          <w:p w14:paraId="2C3C5D4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DA9B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7EDE832B">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二</w:t>
            </w:r>
          </w:p>
        </w:tc>
        <w:tc>
          <w:tcPr>
            <w:tcW w:w="873" w:type="pct"/>
            <w:tcBorders>
              <w:tl2br w:val="nil"/>
              <w:tr2bl w:val="nil"/>
            </w:tcBorders>
            <w:shd w:val="clear" w:color="auto" w:fill="auto"/>
            <w:vAlign w:val="center"/>
          </w:tcPr>
          <w:p w14:paraId="44637851">
            <w:pPr>
              <w:keepNext w:val="0"/>
              <w:keepLines w:val="0"/>
              <w:widowControl/>
              <w:suppressLineNumbers w:val="0"/>
              <w:jc w:val="left"/>
              <w:textAlignment w:val="center"/>
              <w:rPr>
                <w:rFonts w:hint="eastAsia" w:ascii="仿宋" w:hAnsi="仿宋" w:eastAsia="仿宋" w:cs="仿宋"/>
                <w:b/>
                <w:bCs/>
                <w:i w:val="0"/>
                <w:iCs w:val="0"/>
                <w:color w:val="auto"/>
                <w:kern w:val="0"/>
                <w:sz w:val="20"/>
                <w:szCs w:val="20"/>
                <w:highlight w:val="none"/>
                <w:u w:val="none"/>
                <w:lang w:val="en-US" w:eastAsia="zh-CN" w:bidi="ar"/>
              </w:rPr>
            </w:pPr>
            <w: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t>其他部分</w:t>
            </w:r>
          </w:p>
        </w:tc>
        <w:tc>
          <w:tcPr>
            <w:tcW w:w="3321" w:type="pct"/>
            <w:gridSpan w:val="7"/>
            <w:tcBorders>
              <w:tl2br w:val="nil"/>
              <w:tr2bl w:val="nil"/>
            </w:tcBorders>
            <w:shd w:val="clear" w:color="auto" w:fill="auto"/>
            <w:vAlign w:val="center"/>
          </w:tcPr>
          <w:p w14:paraId="6A337AB8">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c>
          <w:tcPr>
            <w:tcW w:w="475" w:type="pct"/>
            <w:tcBorders>
              <w:tl2br w:val="nil"/>
              <w:tr2bl w:val="nil"/>
            </w:tcBorders>
            <w:shd w:val="clear" w:color="auto" w:fill="auto"/>
            <w:vAlign w:val="center"/>
          </w:tcPr>
          <w:p w14:paraId="3D0D4E04">
            <w:pPr>
              <w:keepNext w:val="0"/>
              <w:keepLines w:val="0"/>
              <w:widowControl/>
              <w:suppressLineNumbers w:val="0"/>
              <w:jc w:val="left"/>
              <w:textAlignment w:val="center"/>
              <w:rPr>
                <w:rFonts w:hint="eastAsia" w:ascii="方正仿宋_GB2312" w:hAnsi="方正仿宋_GB2312" w:eastAsia="方正仿宋_GB2312" w:cs="方正仿宋_GB2312"/>
                <w:b/>
                <w:bCs/>
                <w:i w:val="0"/>
                <w:iCs w:val="0"/>
                <w:color w:val="auto"/>
                <w:kern w:val="0"/>
                <w:sz w:val="18"/>
                <w:szCs w:val="18"/>
                <w:highlight w:val="none"/>
                <w:u w:val="none"/>
                <w:lang w:val="en-US" w:eastAsia="zh-CN" w:bidi="ar"/>
              </w:rPr>
            </w:pPr>
          </w:p>
        </w:tc>
      </w:tr>
      <w:tr w14:paraId="6D12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28" w:type="pct"/>
            <w:tcBorders>
              <w:tl2br w:val="nil"/>
              <w:tr2bl w:val="nil"/>
            </w:tcBorders>
            <w:shd w:val="clear" w:color="auto" w:fill="auto"/>
            <w:vAlign w:val="center"/>
          </w:tcPr>
          <w:p w14:paraId="6A64B3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2440" w:type="pct"/>
            <w:gridSpan w:val="4"/>
            <w:tcBorders>
              <w:tl2br w:val="nil"/>
              <w:tr2bl w:val="nil"/>
            </w:tcBorders>
            <w:shd w:val="clear" w:color="auto" w:fill="auto"/>
            <w:vAlign w:val="center"/>
          </w:tcPr>
          <w:p w14:paraId="1C5479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老旧电梯拆除、井道整改、新梯安装及调试、因拆除或安装电梯导致损坏的部分进行二次装修等</w:t>
            </w:r>
          </w:p>
        </w:tc>
        <w:tc>
          <w:tcPr>
            <w:tcW w:w="280" w:type="pct"/>
            <w:tcBorders>
              <w:tl2br w:val="nil"/>
              <w:tr2bl w:val="nil"/>
            </w:tcBorders>
            <w:shd w:val="clear" w:color="auto" w:fill="auto"/>
            <w:vAlign w:val="center"/>
          </w:tcPr>
          <w:p w14:paraId="1C3714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项</w:t>
            </w:r>
          </w:p>
        </w:tc>
        <w:tc>
          <w:tcPr>
            <w:tcW w:w="281" w:type="pct"/>
            <w:tcBorders>
              <w:tl2br w:val="nil"/>
              <w:tr2bl w:val="nil"/>
            </w:tcBorders>
            <w:shd w:val="clear" w:color="auto" w:fill="auto"/>
            <w:noWrap/>
            <w:vAlign w:val="center"/>
          </w:tcPr>
          <w:p w14:paraId="4DE8E2A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609" w:type="pct"/>
            <w:tcBorders>
              <w:tl2br w:val="nil"/>
              <w:tr2bl w:val="nil"/>
            </w:tcBorders>
            <w:shd w:val="clear" w:color="auto" w:fill="auto"/>
            <w:noWrap/>
            <w:vAlign w:val="center"/>
          </w:tcPr>
          <w:p w14:paraId="116EB1F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建筑业</w:t>
            </w:r>
          </w:p>
        </w:tc>
        <w:tc>
          <w:tcPr>
            <w:tcW w:w="583" w:type="pct"/>
            <w:tcBorders>
              <w:tl2br w:val="nil"/>
              <w:tr2bl w:val="nil"/>
            </w:tcBorders>
            <w:shd w:val="clear" w:color="auto" w:fill="auto"/>
            <w:noWrap/>
            <w:vAlign w:val="center"/>
          </w:tcPr>
          <w:p w14:paraId="4CFA45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工程、服务</w:t>
            </w:r>
          </w:p>
        </w:tc>
        <w:tc>
          <w:tcPr>
            <w:tcW w:w="475" w:type="pct"/>
            <w:tcBorders>
              <w:tl2br w:val="nil"/>
              <w:tr2bl w:val="nil"/>
            </w:tcBorders>
            <w:shd w:val="clear" w:color="auto" w:fill="auto"/>
            <w:noWrap/>
            <w:vAlign w:val="center"/>
          </w:tcPr>
          <w:p w14:paraId="70CC86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p>
        </w:tc>
      </w:tr>
    </w:tbl>
    <w:p w14:paraId="6410B1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（二）标项一、标项二标的技术要求</w:t>
      </w:r>
    </w:p>
    <w:p w14:paraId="57C164E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1.基本要求</w:t>
      </w:r>
    </w:p>
    <w:p w14:paraId="6A277C02">
      <w:pPr>
        <w:rPr>
          <w:rFonts w:hint="eastAsia" w:ascii="方正仿宋_GB2312" w:hAnsi="方正仿宋_GB2312" w:eastAsia="方正仿宋_GB2312" w:cs="方正仿宋_GB2312"/>
          <w:color w:val="auto"/>
          <w:kern w:val="0"/>
          <w:sz w:val="24"/>
          <w:szCs w:val="24"/>
          <w:highlight w:val="none"/>
          <w:lang w:val="en-US" w:eastAsia="zh-CN" w:bidi="zh-CN"/>
        </w:rPr>
      </w:pPr>
      <w:r>
        <w:rPr>
          <w:rFonts w:hint="eastAsia" w:ascii="方正仿宋_GB2312" w:hAnsi="方正仿宋_GB2312" w:eastAsia="方正仿宋_GB2312" w:cs="方正仿宋_GB2312"/>
          <w:color w:val="auto"/>
          <w:sz w:val="24"/>
          <w:szCs w:val="24"/>
          <w:highlight w:val="none"/>
          <w:lang w:val="en-US" w:eastAsia="zh-CN"/>
        </w:rPr>
        <w:t>1.1 更换的新电梯基本参数要求详见下述新电梯基本参数要求。其中厅门面板材料至少由一层公称厚度不小于1.5mm的不锈钢单一金属板材构成，根据原有电梯控制方式配置。此次招标包含原有一标段98台、二标段92台老旧电梯拆除、井道整改、新梯安装、因拆除或安装电梯导致损坏的部分进行二次装修、验收、质保期5年（免费保养1年）等与之相关的一切费用，采购人不再另支付其他费用。</w:t>
      </w:r>
      <w:r>
        <w:rPr>
          <w:rFonts w:hint="eastAsia" w:ascii="方正仿宋_GB2312" w:hAnsi="方正仿宋_GB2312" w:eastAsia="方正仿宋_GB2312" w:cs="方正仿宋_GB2312"/>
          <w:color w:val="auto"/>
          <w:kern w:val="0"/>
          <w:sz w:val="24"/>
          <w:szCs w:val="24"/>
          <w:highlight w:val="none"/>
          <w:lang w:val="en-US" w:eastAsia="zh-CN" w:bidi="zh-CN"/>
        </w:rPr>
        <w:t>参与投标的企业，须在乌鲁木齐有自己的维保站或满足响应要求（接到通知后1小时内抵达现场，2小时内完成应急处置）。</w:t>
      </w:r>
    </w:p>
    <w:p w14:paraId="0C28BDE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 拆除：中标供应商负责将现有老旧电梯拆除并处置，（各投标人在投标报价时应合理估算处置旧物所产生的收益，充分考虑后慎重报价）。</w:t>
      </w:r>
    </w:p>
    <w:p w14:paraId="458D0FD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 井道整改：中标供应商如需对现有电梯井道及机房等部位进行必要整改（不影响井道剪力结构受力），如电梯井道整改会影响并改变井道剪力结构受力，须出具经有设计资质的单位确认的正式施工图，经采购人同意后实施（因整改而产生的所有整改、设计、恢复等费用均由中标供应商承担）。</w:t>
      </w:r>
    </w:p>
    <w:p w14:paraId="153A5BB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 安装：为最大限度减小施工期间对于业主的影响，一标段98台、二标段92台电梯按批次拆除并安装。每批次安装完成后取得特种设备检验检测院检验检测合格手续和市场监督管理局颁发的《电梯使用登记证》。</w:t>
      </w:r>
    </w:p>
    <w:p w14:paraId="488092E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 二次装修：包含但不限于电梯前室、电梯门洞口、机房等拆除恢复，机房机座拆除、洞口封堵、地面及墙面恢复。电梯门框及周边踢脚线采用不锈钢材质。正对电梯门安装适老化电梯扶手。</w:t>
      </w:r>
    </w:p>
    <w:p w14:paraId="69F8643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1.6 验收：中标供应商须负责取得特种设备检验检测院检验检测合格手续和市场监督管理局颁发的《电梯使用登记证》。</w:t>
      </w:r>
    </w:p>
    <w:p w14:paraId="7F8FD68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1.7 其他：一标段98台、二标段92台电梯经政府相关部门验收合格后，中标供应商须提供安装图纸、出厂合格证、电气图纸、部件型式报告等相关随机资料，以及电梯使用标志等备案资料，以上全部资料纸质版资料和电子版资料，各 1 套。</w:t>
      </w:r>
    </w:p>
    <w:p w14:paraId="0C458EE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2.管理要求</w:t>
      </w:r>
    </w:p>
    <w:p w14:paraId="269A543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2.1 施工要求：整个工程不得影响采购人正常运行，施工应符合相关消防疏散、环境保护及采购人管理等相关要求。在施工过程中如遇第三方管线及其他问题应及时与相关部门协调，有安全隐患时及时上报采购人。</w:t>
      </w:r>
    </w:p>
    <w:p w14:paraId="6BED149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2.1.1 室外：1层货物存放地采用围挡。</w:t>
      </w:r>
    </w:p>
    <w:p w14:paraId="68F2A9C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2.1.2 室内：对施工的电梯井道门洞全封闭封堵，设置安全防护警示标志，专人巡查，不得造成粉尘外溢，可设置安全门但必须有随时锁闭功能，并保证不影响消防疏散及另一台电梯的运行使用。</w:t>
      </w:r>
    </w:p>
    <w:p w14:paraId="0873B62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3.电梯技术要求：</w:t>
      </w:r>
    </w:p>
    <w:p w14:paraId="1E74DCC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 技术标准部分</w:t>
      </w:r>
    </w:p>
    <w:p w14:paraId="4E2FA12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3.1.1 工作环境</w:t>
      </w:r>
    </w:p>
    <w:p w14:paraId="7583515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3.1.1.1 温度：-5℃—40℃；</w:t>
      </w:r>
    </w:p>
    <w:p w14:paraId="144900C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3.1.1.2 相对湿度：≤85%；</w:t>
      </w:r>
    </w:p>
    <w:p w14:paraId="435F146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3.1.1.3 抗地震烈度：满足8级；</w:t>
      </w:r>
    </w:p>
    <w:p w14:paraId="1914857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3.1.1.4 电源：动力电源—AC 三相 380V、50HZ，照明电源—AC 单相 220V、50HZ，电压允许波动范围±10%；</w:t>
      </w:r>
    </w:p>
    <w:p w14:paraId="3610D9F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 国家标准</w:t>
      </w:r>
    </w:p>
    <w:p w14:paraId="1A668ED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3.2.1《电梯制造与安装安全规范》：GB7588.1-2020</w:t>
      </w:r>
    </w:p>
    <w:p w14:paraId="1B04CFC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3.2.2《自动扶梯和自动人行道的制造与安装安全规范》GB16899-2011</w:t>
      </w:r>
    </w:p>
    <w:p w14:paraId="00CBF3B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3.2.3《电梯技术条件》：GB/T10058-2023</w:t>
      </w:r>
    </w:p>
    <w:p w14:paraId="0CD8723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3.2.4《电梯试验方法》：GB/T10059-2023</w:t>
      </w:r>
    </w:p>
    <w:p w14:paraId="0F2D199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3.2.5《电梯安装验收规范》：GB10060-2023</w:t>
      </w:r>
    </w:p>
    <w:p w14:paraId="621EA28A">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3.2.6 GB/T 7025.1-2023 电梯主参数及轿厢、井道、机房的型式与尺寸 </w:t>
      </w:r>
    </w:p>
    <w:p w14:paraId="60C5714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第1部分：Ⅰ、Ⅱ、Ⅲ、Ⅵ类电梯</w:t>
      </w:r>
    </w:p>
    <w:p w14:paraId="7DBDE5A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GB/T 7025.2-2008 电梯主参数及轿厢、井道、机房型式与尺寸 </w:t>
      </w:r>
    </w:p>
    <w:p w14:paraId="1F017FD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第2部分：Ⅳ类电梯</w:t>
      </w:r>
      <w:r>
        <w:rPr>
          <w:rFonts w:hint="eastAsia" w:ascii="方正仿宋_GB2312" w:hAnsi="方正仿宋_GB2312" w:eastAsia="方正仿宋_GB2312" w:cs="方正仿宋_GB2312"/>
          <w:color w:val="auto"/>
          <w:sz w:val="24"/>
          <w:szCs w:val="24"/>
          <w:highlight w:val="none"/>
          <w:lang w:val="en-US" w:eastAsia="zh-CN"/>
        </w:rPr>
        <w:br w:type="textWrapping"/>
      </w:r>
      <w:r>
        <w:rPr>
          <w:rFonts w:hint="eastAsia" w:ascii="方正仿宋_GB2312" w:hAnsi="方正仿宋_GB2312" w:eastAsia="方正仿宋_GB2312" w:cs="方正仿宋_GB2312"/>
          <w:color w:val="auto"/>
          <w:sz w:val="24"/>
          <w:szCs w:val="24"/>
          <w:highlight w:val="none"/>
          <w:lang w:val="en-US" w:eastAsia="zh-CN"/>
        </w:rPr>
        <w:t xml:space="preserve">GB/T 7025.3-1997 电梯主参数及轿厢、井道、机房型式与尺寸 </w:t>
      </w:r>
    </w:p>
    <w:p w14:paraId="46DE980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第3部分：Ⅴ类电梯</w:t>
      </w:r>
    </w:p>
    <w:p w14:paraId="1453667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3.2.7《电梯、自动扶梯、自动人行道名词术语》：GB/T7024-2025</w:t>
      </w:r>
    </w:p>
    <w:p w14:paraId="17484DE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3.2.8《电梯工程施工质量验收规范》：GB50310-2002</w:t>
      </w:r>
    </w:p>
    <w:p w14:paraId="3042260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3.2.9《特种设备安全监察条例》</w:t>
      </w:r>
    </w:p>
    <w:p w14:paraId="637DF58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3.2.10《电梯监督检验规程》</w:t>
      </w:r>
    </w:p>
    <w:p w14:paraId="2EDBD7B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3.2.11 满足新国标制造及验收规范。</w:t>
      </w:r>
    </w:p>
    <w:p w14:paraId="3C0278F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3.2.12 更新电梯同时满足《国家市场监督管理总局办公厅文件》市监特设发〔2025〕52号文件中的要求。</w:t>
      </w:r>
      <w:bookmarkStart w:id="145" w:name="_GoBack"/>
      <w:bookmarkEnd w:id="145"/>
    </w:p>
    <w:p w14:paraId="07EEB01C">
      <w:pPr>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3.2.13 满足国家关于电梯能耗的相关规定，提供在有效期内的VDI 4707或ISO 25745电梯能源效率认证。</w:t>
      </w:r>
    </w:p>
    <w:p w14:paraId="56AE423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4.技术参数</w:t>
      </w:r>
    </w:p>
    <w:p w14:paraId="78C1B45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4.1 电梯编号 一般的规格 </w:t>
      </w:r>
    </w:p>
    <w:p w14:paraId="57422B4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名称：小机房乘客电梯</w:t>
      </w:r>
    </w:p>
    <w:p w14:paraId="613EFE0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载重：</w:t>
      </w:r>
      <w:bookmarkStart w:id="32" w:name="OLE_LINK2"/>
      <w:r>
        <w:rPr>
          <w:rFonts w:hint="eastAsia" w:ascii="方正仿宋_GB2312" w:hAnsi="方正仿宋_GB2312" w:eastAsia="方正仿宋_GB2312" w:cs="方正仿宋_GB2312"/>
          <w:color w:val="auto"/>
          <w:sz w:val="24"/>
          <w:szCs w:val="24"/>
          <w:highlight w:val="none"/>
          <w:lang w:val="en-US" w:eastAsia="zh-CN"/>
        </w:rPr>
        <w:t>同原有电梯数据</w:t>
      </w:r>
    </w:p>
    <w:bookmarkEnd w:id="32"/>
    <w:p w14:paraId="300F878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速度：同原有电梯数据</w:t>
      </w:r>
    </w:p>
    <w:p w14:paraId="17BD698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行程：同原有电梯数据</w:t>
      </w:r>
    </w:p>
    <w:p w14:paraId="39D1772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服务楼层/停站/门：同原有电梯数据</w:t>
      </w:r>
    </w:p>
    <w:p w14:paraId="2529954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控制系统：电脑智能控制，串行传输系统</w:t>
      </w:r>
    </w:p>
    <w:p w14:paraId="180696A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控制方式：同原有控制方式（单控或并联）</w:t>
      </w:r>
    </w:p>
    <w:p w14:paraId="39946BD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驱动系统：交流变频调速</w:t>
      </w:r>
    </w:p>
    <w:p w14:paraId="57F1F8D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曳引系统：永磁同步无齿轮曳引机</w:t>
      </w:r>
    </w:p>
    <w:p w14:paraId="1039DAE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门保护装置：光幕保护</w:t>
      </w:r>
    </w:p>
    <w:p w14:paraId="11BA480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门机系统：永磁同步门机，变压变频调速</w:t>
      </w:r>
    </w:p>
    <w:p w14:paraId="2C09458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井道尺寸：同原有电梯数据（以中标供应商实际测量值为准）</w:t>
      </w:r>
    </w:p>
    <w:p w14:paraId="3305DE7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井道线缆：符合GB/T4208-2017标准要求</w:t>
      </w:r>
    </w:p>
    <w:p w14:paraId="4DB86DB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顶层高度：同原有电梯数据</w:t>
      </w:r>
    </w:p>
    <w:p w14:paraId="6FFDF77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底坑深度：同原有电梯数据</w:t>
      </w:r>
    </w:p>
    <w:p w14:paraId="517D78C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开门类型：两扇中分自动门</w:t>
      </w:r>
    </w:p>
    <w:p w14:paraId="131F99B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开门净尺寸：同原有电梯数据</w:t>
      </w:r>
    </w:p>
    <w:p w14:paraId="0543071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层门：同原有电梯数据</w:t>
      </w:r>
    </w:p>
    <w:p w14:paraId="62C1D18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门套：标准小门套</w:t>
      </w:r>
    </w:p>
    <w:p w14:paraId="1C9A877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轿顶类型：铝合金框架+亚克力+LED照明</w:t>
      </w:r>
    </w:p>
    <w:p w14:paraId="09CE431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轿厢材质：发纹不锈钢</w:t>
      </w:r>
    </w:p>
    <w:p w14:paraId="354C701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轿厢净尺寸：标准</w:t>
      </w:r>
    </w:p>
    <w:p w14:paraId="57DA7FB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轿内操纵盘：断码显示、不锈钢按钮</w:t>
      </w:r>
    </w:p>
    <w:p w14:paraId="4FE549F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召唤指示器：断码显示、不锈钢按钮</w:t>
      </w:r>
    </w:p>
    <w:p w14:paraId="1F5979A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轿底材质：PVC厚度3mm</w:t>
      </w:r>
    </w:p>
    <w:p w14:paraId="15831E3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地坎材质：硬质铝挤压成型品</w:t>
      </w:r>
    </w:p>
    <w:p w14:paraId="6374BB3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具有不允许电动车及大功率锂电池进入的感应装置</w:t>
      </w:r>
    </w:p>
    <w:p w14:paraId="5B0A534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5.功能配置要求</w:t>
      </w:r>
    </w:p>
    <w:tbl>
      <w:tblPr>
        <w:tblStyle w:val="28"/>
        <w:tblW w:w="5000" w:type="pct"/>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1962"/>
        <w:gridCol w:w="5721"/>
      </w:tblGrid>
      <w:tr w14:paraId="2B4AE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3B7CC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5DF4E2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577E5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功能描述</w:t>
            </w:r>
          </w:p>
        </w:tc>
      </w:tr>
      <w:tr w14:paraId="2A1CA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3696F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7D5E42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电梯变频驱动</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5BEA79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精确调整电动机转速，令电梯启动、运行、停止时的速度曲线平稳，圆滑，获得良好的舒适感。</w:t>
            </w:r>
          </w:p>
        </w:tc>
      </w:tr>
      <w:tr w14:paraId="51C1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395F6C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5EF604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门机变频驱动</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AB459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精确调整门电机转速，是电梯门的开启、关闭更轻柔灵敏。</w:t>
            </w:r>
          </w:p>
        </w:tc>
      </w:tr>
      <w:tr w14:paraId="774E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A0BA8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763716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自动运行</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AC34E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电梯在无人操作的情况下，按照乘客给出的指令自动运行，将乘客送至目的层。</w:t>
            </w:r>
          </w:p>
        </w:tc>
      </w:tr>
      <w:tr w14:paraId="51349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34B262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5041FF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司机运行</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5B539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电梯由司机进行操控，司机按乘客的要求给出指令，电梯按指令要求驶向目的层。</w:t>
            </w:r>
          </w:p>
        </w:tc>
      </w:tr>
      <w:tr w14:paraId="7F594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5948A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43257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消防返回</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8667E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消防状态下，所有召唤均被取消，电梯立即驶往指定救援层站停靠，并自动开门。</w:t>
            </w:r>
          </w:p>
        </w:tc>
      </w:tr>
      <w:tr w14:paraId="7919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289083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4D14937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空闲返基站</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81D6A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自动状态下，在设定的时间范围内电梯未使用，电梯自动返基站等候乘客。</w:t>
            </w:r>
          </w:p>
        </w:tc>
      </w:tr>
      <w:tr w14:paraId="333F2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C3695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452CF3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驻停</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08A89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关闭电锁后电梯进入驻停状态，电梯不再响应任何外呼。</w:t>
            </w:r>
          </w:p>
        </w:tc>
      </w:tr>
      <w:tr w14:paraId="156F7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577D7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232F34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直接停靠</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13AD9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自动运算生成运行曲线，没有爬行，直接停靠平层位置，提高运行效率。</w:t>
            </w:r>
          </w:p>
        </w:tc>
      </w:tr>
      <w:tr w14:paraId="08FB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2FFBE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01D3A1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最佳曲线自动生成</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775F4C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系统根据需要运行的距离，自动运算出最适合人机功能原理的曲线，没有个数的限制，而且不受短楼层的限制。</w:t>
            </w:r>
          </w:p>
        </w:tc>
      </w:tr>
      <w:tr w14:paraId="3E073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50D340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767D8F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加速段截车响应</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E479D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系统允许在电梯加速的过程中截车，自动响应相应的服务楼层指令，提高运行效率。</w:t>
            </w:r>
          </w:p>
        </w:tc>
      </w:tr>
      <w:tr w14:paraId="0B587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5BD0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5DCA83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满载直驶</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95336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当轿内满载时，为保持最大运行效率，电梯不响应经过的厅外召唤信号。</w:t>
            </w:r>
          </w:p>
        </w:tc>
      </w:tr>
      <w:tr w14:paraId="4A9F2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6567A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77EEC8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本层重开门</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E8DC4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关门途中，可以按本层站召唤按钮使门重新开启。</w:t>
            </w:r>
          </w:p>
        </w:tc>
      </w:tr>
      <w:tr w14:paraId="29608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10B01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08EF4E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即时关门</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471BF8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电梯停站关门到位时，按下关门按钮，门立即被关闭。</w:t>
            </w:r>
          </w:p>
        </w:tc>
      </w:tr>
      <w:tr w14:paraId="29A8F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73246E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2A73B5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停梯开门</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0932F2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电梯减速平层，直到完全停稳后方可开门。</w:t>
            </w:r>
          </w:p>
        </w:tc>
      </w:tr>
      <w:tr w14:paraId="3BE0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E0B7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225856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开门时间自动调整</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5D2B3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按照层站召唤或轿厢召唤的区别，自动调整保持开门时间。</w:t>
            </w:r>
          </w:p>
        </w:tc>
      </w:tr>
      <w:tr w14:paraId="7B71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6BB835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16</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3D0071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指令误登记消除</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6045B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乘客在操纵箱内可以采用连续按动指令按钮两次的方法来取消上次错误登记的指令。</w:t>
            </w:r>
          </w:p>
        </w:tc>
      </w:tr>
      <w:tr w14:paraId="6A2E0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78F0ED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17</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7D034F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按钮嵌入自诊断</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18788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若某层呼梯按钮嵌入持续未断开，系统不再登记该层呼梯。</w:t>
            </w:r>
          </w:p>
        </w:tc>
      </w:tr>
      <w:tr w14:paraId="19E6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6A722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18</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0C946F7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换站停靠</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16727B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如果电梯在开门超过开门保护时间后，开门到位信号仍然无效，电梯将自动关门，自动运行至下一层停靠。</w:t>
            </w:r>
          </w:p>
        </w:tc>
      </w:tr>
      <w:tr w14:paraId="1558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54E8E5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19</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2E07F8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低速自救</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47D6BC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当电梯处于非检修状态，且未停在平层区，此时如符合运行的安全要求，电梯将自动以慢速运行至平层区，然后开门。</w:t>
            </w:r>
          </w:p>
        </w:tc>
      </w:tr>
      <w:tr w14:paraId="091B5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18E01D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20</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6813F4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启动转矩自动补偿</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7695C0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电梯在运行前，自动根据电梯的载重情况，进行启动补偿，达到平稳的启动效果，提高乘坐舒适感。</w:t>
            </w:r>
          </w:p>
        </w:tc>
      </w:tr>
      <w:tr w14:paraId="45777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13D365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21</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2109C0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防捣乱</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5F4C44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当电梯连续多次到站开门光幕不动作，系统判断为捣乱。取消已登记的内指令。</w:t>
            </w:r>
          </w:p>
        </w:tc>
      </w:tr>
      <w:tr w14:paraId="243C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2055B5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22</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06202A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分时服务层选择</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389698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系统可以灵活设定分时服务时间段和相应的分时服务楼层。</w:t>
            </w:r>
          </w:p>
        </w:tc>
      </w:tr>
      <w:tr w14:paraId="7F881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92" w:type="pct"/>
            <w:tcBorders>
              <w:top w:val="single" w:color="000000" w:sz="4" w:space="0"/>
              <w:left w:val="single" w:color="000000" w:sz="4" w:space="0"/>
              <w:bottom w:val="single" w:color="000000" w:sz="4" w:space="0"/>
              <w:right w:val="single" w:color="000000" w:sz="4" w:space="0"/>
            </w:tcBorders>
            <w:noWrap w:val="0"/>
            <w:vAlign w:val="center"/>
          </w:tcPr>
          <w:p w14:paraId="0350E7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23</w:t>
            </w:r>
          </w:p>
        </w:tc>
        <w:tc>
          <w:tcPr>
            <w:tcW w:w="1151" w:type="pct"/>
            <w:tcBorders>
              <w:top w:val="single" w:color="000000" w:sz="4" w:space="0"/>
              <w:left w:val="single" w:color="000000" w:sz="4" w:space="0"/>
              <w:bottom w:val="single" w:color="000000" w:sz="4" w:space="0"/>
              <w:right w:val="single" w:color="000000" w:sz="4" w:space="0"/>
            </w:tcBorders>
            <w:noWrap w:val="0"/>
            <w:vAlign w:val="center"/>
          </w:tcPr>
          <w:p w14:paraId="5A3175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电动自行车智能阻止系统</w:t>
            </w:r>
          </w:p>
        </w:tc>
        <w:tc>
          <w:tcPr>
            <w:tcW w:w="3355" w:type="pct"/>
            <w:tcBorders>
              <w:top w:val="single" w:color="000000" w:sz="4" w:space="0"/>
              <w:left w:val="single" w:color="000000" w:sz="4" w:space="0"/>
              <w:bottom w:val="single" w:color="000000" w:sz="4" w:space="0"/>
              <w:right w:val="single" w:color="000000" w:sz="4" w:space="0"/>
            </w:tcBorders>
            <w:noWrap w:val="0"/>
            <w:vAlign w:val="center"/>
          </w:tcPr>
          <w:p w14:paraId="678FBF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其功能是当检测到电动自行车进入电梯时，会触发警报并阻止电梯运行，同时通过语音或视频提醒车主移出车辆，待车辆移出后电梯恢复正常运行</w:t>
            </w:r>
          </w:p>
        </w:tc>
      </w:tr>
    </w:tbl>
    <w:p w14:paraId="0CEBBE3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应急功能</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2228"/>
        <w:gridCol w:w="5428"/>
      </w:tblGrid>
      <w:tr w14:paraId="3D82A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2424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2B220F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7FA31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功能描述</w:t>
            </w:r>
          </w:p>
        </w:tc>
      </w:tr>
      <w:tr w14:paraId="34736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C0AB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204BDD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应急照明</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05E0CC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停电时，自动打开轿内应急照明。</w:t>
            </w:r>
          </w:p>
        </w:tc>
      </w:tr>
      <w:tr w14:paraId="1F67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8209B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752A15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紧急电动运行</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1E0963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当进入紧急电动状态时，轿厢以低速点动运行。</w:t>
            </w:r>
          </w:p>
        </w:tc>
      </w:tr>
      <w:tr w14:paraId="47E38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155EE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6337C9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五方通话装置</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C1074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通过对讲机，可在轿内、轿顶、电梯机房、井道底坑、救援值班室之间通话。</w:t>
            </w:r>
          </w:p>
        </w:tc>
      </w:tr>
      <w:tr w14:paraId="01CA2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1F2032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40CD44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警铃</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6E4343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紧急时，连续按下轿内操纵箱上的警铃按钮，安装于轿厢顶上的警铃会鸣响。</w:t>
            </w:r>
          </w:p>
        </w:tc>
      </w:tr>
      <w:tr w14:paraId="3D1B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8AC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26131E9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预留视频接口</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78186C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可接摄像头</w:t>
            </w:r>
          </w:p>
        </w:tc>
      </w:tr>
      <w:tr w14:paraId="7CE8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70CB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307" w:type="pct"/>
            <w:tcBorders>
              <w:top w:val="single" w:color="000000" w:sz="4" w:space="0"/>
              <w:left w:val="single" w:color="000000" w:sz="4" w:space="0"/>
              <w:bottom w:val="single" w:color="000000" w:sz="4" w:space="0"/>
              <w:right w:val="single" w:color="000000" w:sz="4" w:space="0"/>
            </w:tcBorders>
            <w:noWrap w:val="0"/>
            <w:vAlign w:val="center"/>
          </w:tcPr>
          <w:p w14:paraId="5582B4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消防功能</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72328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轿内消防员功能</w:t>
            </w:r>
          </w:p>
        </w:tc>
      </w:tr>
    </w:tbl>
    <w:p w14:paraId="7130350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节能功能</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2423"/>
        <w:gridCol w:w="5234"/>
      </w:tblGrid>
      <w:tr w14:paraId="5B772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97732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064B9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44D2CC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功能描述</w:t>
            </w:r>
          </w:p>
        </w:tc>
      </w:tr>
      <w:tr w14:paraId="30EDB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170E9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5513C43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风扇、照明自动关闭</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4030D5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在规定的时间内没有召唤或指令信号，轿厢内风扇和照明会自动关闭，节约能源。</w:t>
            </w:r>
          </w:p>
        </w:tc>
      </w:tr>
      <w:tr w14:paraId="79A3A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57AD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7DCB5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定时自动开关梯</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249D49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系统按所设置时间自动开梯/关梯。</w:t>
            </w:r>
          </w:p>
        </w:tc>
      </w:tr>
    </w:tbl>
    <w:p w14:paraId="461F77C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安全功能</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5"/>
        <w:gridCol w:w="2423"/>
        <w:gridCol w:w="5234"/>
      </w:tblGrid>
      <w:tr w14:paraId="6C045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37EC0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C10E5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03D99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功能描述</w:t>
            </w:r>
          </w:p>
        </w:tc>
      </w:tr>
      <w:tr w14:paraId="074F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62C47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4EB713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轿厢意外移动保护功能</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6AAAF6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在开锁区域且轿门未关闭的情况下，由于相关元件失效引起轿厢离开层站，保护装置将立即动作，停止轿厢移动。</w:t>
            </w:r>
          </w:p>
        </w:tc>
      </w:tr>
      <w:tr w14:paraId="3FA7B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04B40D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649F24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抱闸力自动检测</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1544A5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系统将定期自动对制动器的制动力进行检测，如制动力不符合要求，采取保护措施。</w:t>
            </w:r>
          </w:p>
        </w:tc>
      </w:tr>
      <w:tr w14:paraId="76EC7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439E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0FA15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光幕保护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356277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光幕被遮挡时，关门动作立即停止且自动开门。</w:t>
            </w:r>
          </w:p>
        </w:tc>
      </w:tr>
      <w:tr w14:paraId="5198F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43E7B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B95BD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超载保护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776D1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电梯超载时，电梯门常开，蜂鸣器鸣响并停止于该层站。</w:t>
            </w:r>
          </w:p>
        </w:tc>
      </w:tr>
      <w:tr w14:paraId="083A0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0A3102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9B2EE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曳引绳滑动检测</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06DE37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实时检测电梯运行位置偏移量，钢丝绳打滑超出允许值时，电梯减速，停止运行。</w:t>
            </w:r>
          </w:p>
        </w:tc>
      </w:tr>
      <w:tr w14:paraId="1F74B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A577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02E048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检修操作</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7A379D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当进入检修状态时，轿厢以低速点动运行。</w:t>
            </w:r>
          </w:p>
        </w:tc>
      </w:tr>
      <w:tr w14:paraId="33184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5D09F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F96F1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故障自诊断</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50D8DC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系统自动获取故障发生时的状态信息，以便快速排除故障，迅速恢复电梯运行。</w:t>
            </w:r>
          </w:p>
        </w:tc>
      </w:tr>
      <w:tr w14:paraId="2260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8AD92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633BBE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故障自动停靠</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151EF5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运行中系统发生故障，满足安全运行要求的前提下，电梯就近平层开门。</w:t>
            </w:r>
          </w:p>
        </w:tc>
      </w:tr>
      <w:tr w14:paraId="26FF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F0920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068CD7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重复开关门</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6E8BE9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电梯开关门时因阻碍或干扰，电梯门会重复打开或关闭。</w:t>
            </w:r>
          </w:p>
        </w:tc>
      </w:tr>
      <w:tr w14:paraId="6489B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33DB17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7C1B2FE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上下越层及上下极限保护装置</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6D84EA0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该装置可有效的防止当电梯万一发生失控时的冲顶或撞底现象，使电梯更安全可靠。</w:t>
            </w:r>
          </w:p>
        </w:tc>
      </w:tr>
      <w:tr w14:paraId="5683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747FF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632CF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上行超速保护装置</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7C2014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当电梯上行超速时，该装置自动将电梯减速或制停。</w:t>
            </w:r>
          </w:p>
        </w:tc>
      </w:tr>
      <w:tr w14:paraId="6A5F9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3EEAB3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7395B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下行超速保护装置</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0F8569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当电梯下行运行超速时，该装置自动切断控制电源，使电机停止运转，安全钳动作，强制电梯停止运行。</w:t>
            </w:r>
          </w:p>
        </w:tc>
      </w:tr>
      <w:tr w14:paraId="7EBC2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EA6C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0625D5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安全回路保护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595B13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安全回路断开或安全回路接触器粘连，电梯立即停止。</w:t>
            </w:r>
          </w:p>
        </w:tc>
      </w:tr>
      <w:tr w14:paraId="556C1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5624F4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14</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27DF1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门联锁保护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249BC5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门全部关闭，电梯方可运行，或门锁接触器粘连，电梯立即停止。</w:t>
            </w:r>
          </w:p>
        </w:tc>
      </w:tr>
      <w:tr w14:paraId="69E51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781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15</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3DE7B8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接触器黏连保护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4D3FC11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系统随时检测接触器动作是否可靠，发现异常，立即停止运行。</w:t>
            </w:r>
          </w:p>
        </w:tc>
      </w:tr>
      <w:tr w14:paraId="3612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572D4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16</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2C141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抱闸检测保护</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400F59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对抱闸的打开或闭合实时检测，若发生异常，或抱闸接触器粘连，电梯禁止启动。</w:t>
            </w:r>
          </w:p>
        </w:tc>
      </w:tr>
      <w:tr w14:paraId="1EBA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40CC2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17</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156006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保安层功能</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4A4C30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启用功能后，电梯在规定的时间段内，每次会先运行到保安层开门，然后再运行到目的层，提高安全性。</w:t>
            </w:r>
          </w:p>
        </w:tc>
      </w:tr>
      <w:tr w14:paraId="163E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594EBA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18</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14:paraId="39659B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电压自动识别功能</w:t>
            </w:r>
          </w:p>
        </w:tc>
        <w:tc>
          <w:tcPr>
            <w:tcW w:w="3070" w:type="pct"/>
            <w:tcBorders>
              <w:top w:val="single" w:color="000000" w:sz="4" w:space="0"/>
              <w:left w:val="single" w:color="000000" w:sz="4" w:space="0"/>
              <w:bottom w:val="single" w:color="000000" w:sz="4" w:space="0"/>
              <w:right w:val="single" w:color="000000" w:sz="4" w:space="0"/>
            </w:tcBorders>
            <w:noWrap w:val="0"/>
            <w:vAlign w:val="center"/>
          </w:tcPr>
          <w:p w14:paraId="309721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系统通过检测输入电压的大小，自动调节电梯运行速度，以适应电源功率不足的情况（如应急运行）。</w:t>
            </w:r>
          </w:p>
        </w:tc>
      </w:tr>
    </w:tbl>
    <w:p w14:paraId="7BD641D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人机界面</w:t>
      </w:r>
    </w:p>
    <w:tbl>
      <w:tblPr>
        <w:tblStyle w:val="2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6"/>
        <w:gridCol w:w="2229"/>
        <w:gridCol w:w="5427"/>
      </w:tblGrid>
      <w:tr w14:paraId="630A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4A1C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序号</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30BD9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2AE20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功能描述</w:t>
            </w:r>
          </w:p>
        </w:tc>
      </w:tr>
      <w:tr w14:paraId="6A6D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11F40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0769A68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微动指令按钮</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254DE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轿内操纵箱指令按钮及层站召唤按钮采用新型微动按钮。</w:t>
            </w:r>
          </w:p>
        </w:tc>
      </w:tr>
      <w:tr w14:paraId="59F0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4EC8D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73F14B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运行状态显示</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0D90A65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系统能显示电梯运行方向、层楼、开关门、故障等信息。</w:t>
            </w:r>
          </w:p>
        </w:tc>
      </w:tr>
      <w:tr w14:paraId="11AF6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79F2C6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594420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语音报站</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C164C3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在正常运行到站的情况下，利用语音装置告知乘客有关信息。</w:t>
            </w:r>
          </w:p>
        </w:tc>
      </w:tr>
      <w:tr w14:paraId="21376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50249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1E175F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机房选层</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12EF5B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通过控制柜内的按键操作，进行内选登记。</w:t>
            </w:r>
          </w:p>
        </w:tc>
      </w:tr>
      <w:tr w14:paraId="6F8B6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161AC1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508DDC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不停层任意设定</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3761401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可以根据用户需要任意设定不停靠层站。</w:t>
            </w:r>
          </w:p>
        </w:tc>
      </w:tr>
      <w:tr w14:paraId="4D28A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607D1C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41A4E1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待梯层任意设定</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012E3E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可以根据用户需要任意设定待梯层站。</w:t>
            </w:r>
          </w:p>
        </w:tc>
      </w:tr>
      <w:tr w14:paraId="5390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5D06E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76DEE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楼层显示设定</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6A1C98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可以根据用户需要设置各楼层的显示字符（字母、数字）</w:t>
            </w:r>
          </w:p>
        </w:tc>
      </w:tr>
      <w:tr w14:paraId="34BC3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17277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51711C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井道参数自学习</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0986AF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通过自学习，系统将测出各层楼的间距数据，并自动保存。</w:t>
            </w:r>
          </w:p>
        </w:tc>
      </w:tr>
      <w:tr w14:paraId="6BCBD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2BD1D0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6D6884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干扰评价</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2533A0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对通讯信号传输进行干扰评价，反映当前干扰程度。</w:t>
            </w:r>
          </w:p>
        </w:tc>
      </w:tr>
      <w:tr w14:paraId="708C7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08" w:type="pct"/>
            <w:tcBorders>
              <w:top w:val="single" w:color="000000" w:sz="4" w:space="0"/>
              <w:left w:val="single" w:color="000000" w:sz="4" w:space="0"/>
              <w:bottom w:val="single" w:color="000000" w:sz="4" w:space="0"/>
              <w:right w:val="single" w:color="000000" w:sz="4" w:space="0"/>
            </w:tcBorders>
            <w:noWrap w:val="0"/>
            <w:vAlign w:val="center"/>
          </w:tcPr>
          <w:p w14:paraId="3C361A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308" w:type="pct"/>
            <w:tcBorders>
              <w:top w:val="single" w:color="000000" w:sz="4" w:space="0"/>
              <w:left w:val="single" w:color="000000" w:sz="4" w:space="0"/>
              <w:bottom w:val="single" w:color="000000" w:sz="4" w:space="0"/>
              <w:right w:val="single" w:color="000000" w:sz="4" w:space="0"/>
            </w:tcBorders>
            <w:noWrap w:val="0"/>
            <w:vAlign w:val="center"/>
          </w:tcPr>
          <w:p w14:paraId="22D181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运行次数及时间记录</w:t>
            </w:r>
          </w:p>
        </w:tc>
        <w:tc>
          <w:tcPr>
            <w:tcW w:w="3184" w:type="pct"/>
            <w:tcBorders>
              <w:top w:val="single" w:color="000000" w:sz="4" w:space="0"/>
              <w:left w:val="single" w:color="000000" w:sz="4" w:space="0"/>
              <w:bottom w:val="single" w:color="000000" w:sz="4" w:space="0"/>
              <w:right w:val="single" w:color="000000" w:sz="4" w:space="0"/>
            </w:tcBorders>
            <w:noWrap w:val="0"/>
            <w:vAlign w:val="center"/>
          </w:tcPr>
          <w:p w14:paraId="6FD1EA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系统可自动记录电梯运行次数及时间。</w:t>
            </w:r>
          </w:p>
        </w:tc>
      </w:tr>
    </w:tbl>
    <w:p w14:paraId="18542BE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电梯配置要求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2"/>
        <w:gridCol w:w="5989"/>
        <w:gridCol w:w="771"/>
      </w:tblGrid>
      <w:tr w14:paraId="1F15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28E60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w:t>
            </w:r>
          </w:p>
        </w:tc>
        <w:tc>
          <w:tcPr>
            <w:tcW w:w="5989" w:type="dxa"/>
            <w:noWrap w:val="0"/>
            <w:vAlign w:val="center"/>
          </w:tcPr>
          <w:p w14:paraId="2C8FF6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客梯</w:t>
            </w:r>
          </w:p>
        </w:tc>
        <w:tc>
          <w:tcPr>
            <w:tcW w:w="771" w:type="dxa"/>
            <w:noWrap w:val="0"/>
            <w:vAlign w:val="center"/>
          </w:tcPr>
          <w:p w14:paraId="683F2A5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其他</w:t>
            </w:r>
          </w:p>
        </w:tc>
      </w:tr>
      <w:tr w14:paraId="55CE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413B45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轿厢</w:t>
            </w:r>
          </w:p>
        </w:tc>
        <w:tc>
          <w:tcPr>
            <w:tcW w:w="5989" w:type="dxa"/>
            <w:noWrap w:val="0"/>
            <w:vAlign w:val="center"/>
          </w:tcPr>
          <w:p w14:paraId="11AA6F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发纹不锈钢，轿壁厚度≥1.5mm</w:t>
            </w:r>
          </w:p>
        </w:tc>
        <w:tc>
          <w:tcPr>
            <w:tcW w:w="771" w:type="dxa"/>
            <w:vMerge w:val="restart"/>
            <w:noWrap w:val="0"/>
            <w:vAlign w:val="top"/>
          </w:tcPr>
          <w:p w14:paraId="6C232A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56D0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1AFD4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轿顶</w:t>
            </w:r>
          </w:p>
        </w:tc>
        <w:tc>
          <w:tcPr>
            <w:tcW w:w="5989" w:type="dxa"/>
            <w:noWrap w:val="0"/>
            <w:vAlign w:val="center"/>
          </w:tcPr>
          <w:p w14:paraId="53088D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铝合金框架+亚克力+LED照明</w:t>
            </w:r>
          </w:p>
        </w:tc>
        <w:tc>
          <w:tcPr>
            <w:tcW w:w="771" w:type="dxa"/>
            <w:vMerge w:val="continue"/>
            <w:noWrap w:val="0"/>
            <w:vAlign w:val="top"/>
          </w:tcPr>
          <w:p w14:paraId="212679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2237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217843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轿底</w:t>
            </w:r>
          </w:p>
        </w:tc>
        <w:tc>
          <w:tcPr>
            <w:tcW w:w="5989" w:type="dxa"/>
            <w:noWrap w:val="0"/>
            <w:vAlign w:val="center"/>
          </w:tcPr>
          <w:p w14:paraId="68C26C7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PVC厚度≥3mm</w:t>
            </w:r>
          </w:p>
        </w:tc>
        <w:tc>
          <w:tcPr>
            <w:tcW w:w="771" w:type="dxa"/>
            <w:vMerge w:val="continue"/>
            <w:noWrap w:val="0"/>
            <w:vAlign w:val="top"/>
          </w:tcPr>
          <w:p w14:paraId="20C12A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0BC6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798CAC4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门保护系统</w:t>
            </w:r>
          </w:p>
        </w:tc>
        <w:tc>
          <w:tcPr>
            <w:tcW w:w="5989" w:type="dxa"/>
            <w:noWrap w:val="0"/>
            <w:vAlign w:val="center"/>
          </w:tcPr>
          <w:p w14:paraId="4C0C85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＞90束光幕保护系统</w:t>
            </w:r>
          </w:p>
        </w:tc>
        <w:tc>
          <w:tcPr>
            <w:tcW w:w="771" w:type="dxa"/>
            <w:vMerge w:val="continue"/>
            <w:noWrap w:val="0"/>
            <w:vAlign w:val="top"/>
          </w:tcPr>
          <w:p w14:paraId="01AA0F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49A5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4AE3A1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层门材料</w:t>
            </w:r>
          </w:p>
        </w:tc>
        <w:tc>
          <w:tcPr>
            <w:tcW w:w="5989" w:type="dxa"/>
            <w:noWrap w:val="0"/>
            <w:vAlign w:val="center"/>
          </w:tcPr>
          <w:p w14:paraId="1B373C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发纹不锈钢厚度≥1.5mm</w:t>
            </w:r>
          </w:p>
        </w:tc>
        <w:tc>
          <w:tcPr>
            <w:tcW w:w="771" w:type="dxa"/>
            <w:vMerge w:val="continue"/>
            <w:noWrap w:val="0"/>
            <w:vAlign w:val="top"/>
          </w:tcPr>
          <w:p w14:paraId="57FA58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309D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2DAE4F3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小门套材料</w:t>
            </w:r>
          </w:p>
        </w:tc>
        <w:tc>
          <w:tcPr>
            <w:tcW w:w="5989" w:type="dxa"/>
            <w:noWrap w:val="0"/>
            <w:vAlign w:val="center"/>
          </w:tcPr>
          <w:p w14:paraId="6C2799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发纹不锈钢（宽度≥5cm）</w:t>
            </w:r>
          </w:p>
        </w:tc>
        <w:tc>
          <w:tcPr>
            <w:tcW w:w="771" w:type="dxa"/>
            <w:vMerge w:val="continue"/>
            <w:noWrap w:val="0"/>
            <w:vAlign w:val="top"/>
          </w:tcPr>
          <w:p w14:paraId="43D3272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36B7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6AEE74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地坎</w:t>
            </w:r>
          </w:p>
        </w:tc>
        <w:tc>
          <w:tcPr>
            <w:tcW w:w="5989" w:type="dxa"/>
            <w:noWrap w:val="0"/>
            <w:vAlign w:val="center"/>
          </w:tcPr>
          <w:p w14:paraId="7D6C28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硬质铝挤压成型品</w:t>
            </w:r>
          </w:p>
        </w:tc>
        <w:tc>
          <w:tcPr>
            <w:tcW w:w="771" w:type="dxa"/>
            <w:vMerge w:val="continue"/>
            <w:noWrap w:val="0"/>
            <w:vAlign w:val="top"/>
          </w:tcPr>
          <w:p w14:paraId="6CE6F7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161A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3D5628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操纵箱（COP）</w:t>
            </w:r>
          </w:p>
        </w:tc>
        <w:tc>
          <w:tcPr>
            <w:tcW w:w="5989" w:type="dxa"/>
            <w:noWrap w:val="0"/>
            <w:vAlign w:val="center"/>
          </w:tcPr>
          <w:p w14:paraId="51C1CF3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面板：发纹不锈钢，显示：段码，按钮：不锈钢带盲文</w:t>
            </w:r>
          </w:p>
        </w:tc>
        <w:tc>
          <w:tcPr>
            <w:tcW w:w="771" w:type="dxa"/>
            <w:vMerge w:val="continue"/>
            <w:noWrap w:val="0"/>
            <w:vAlign w:val="top"/>
          </w:tcPr>
          <w:p w14:paraId="11BA44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4B75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57BF54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语音报站</w:t>
            </w:r>
          </w:p>
        </w:tc>
        <w:tc>
          <w:tcPr>
            <w:tcW w:w="5989" w:type="dxa"/>
            <w:noWrap w:val="0"/>
            <w:vAlign w:val="center"/>
          </w:tcPr>
          <w:p w14:paraId="4AA982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标配</w:t>
            </w:r>
          </w:p>
        </w:tc>
        <w:tc>
          <w:tcPr>
            <w:tcW w:w="771" w:type="dxa"/>
            <w:vMerge w:val="continue"/>
            <w:noWrap w:val="0"/>
            <w:vAlign w:val="top"/>
          </w:tcPr>
          <w:p w14:paraId="4F47A4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2FC3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2F7357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按钮</w:t>
            </w:r>
          </w:p>
        </w:tc>
        <w:tc>
          <w:tcPr>
            <w:tcW w:w="5989" w:type="dxa"/>
            <w:noWrap w:val="0"/>
            <w:vAlign w:val="center"/>
          </w:tcPr>
          <w:p w14:paraId="003E3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带盲文</w:t>
            </w:r>
          </w:p>
        </w:tc>
        <w:tc>
          <w:tcPr>
            <w:tcW w:w="771" w:type="dxa"/>
            <w:vMerge w:val="continue"/>
            <w:noWrap w:val="0"/>
            <w:vAlign w:val="top"/>
          </w:tcPr>
          <w:p w14:paraId="41AEA38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r w14:paraId="69B6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62" w:type="dxa"/>
            <w:noWrap w:val="0"/>
            <w:vAlign w:val="center"/>
          </w:tcPr>
          <w:p w14:paraId="59561C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召唤盒</w:t>
            </w:r>
          </w:p>
        </w:tc>
        <w:tc>
          <w:tcPr>
            <w:tcW w:w="5989" w:type="dxa"/>
            <w:noWrap w:val="0"/>
            <w:vAlign w:val="center"/>
          </w:tcPr>
          <w:p w14:paraId="79A30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发纹不锈钢，显示：段码，按钮不锈钢带盲文</w:t>
            </w:r>
          </w:p>
        </w:tc>
        <w:tc>
          <w:tcPr>
            <w:tcW w:w="771" w:type="dxa"/>
            <w:vMerge w:val="continue"/>
            <w:noWrap w:val="0"/>
            <w:vAlign w:val="top"/>
          </w:tcPr>
          <w:p w14:paraId="71451B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_GB2312" w:hAnsi="方正仿宋_GB2312" w:eastAsia="方正仿宋_GB2312" w:cs="方正仿宋_GB2312"/>
                <w:color w:val="auto"/>
                <w:sz w:val="24"/>
                <w:szCs w:val="24"/>
                <w:highlight w:val="none"/>
                <w:lang w:val="en-US" w:eastAsia="zh-CN"/>
              </w:rPr>
            </w:pPr>
          </w:p>
        </w:tc>
      </w:tr>
    </w:tbl>
    <w:p w14:paraId="5FEF96BC">
      <w:pPr>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标项一现有电梯参数数量附表：</w:t>
      </w:r>
    </w:p>
    <w:tbl>
      <w:tblPr>
        <w:tblStyle w:val="28"/>
        <w:tblW w:w="83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532"/>
        <w:gridCol w:w="1560"/>
        <w:gridCol w:w="1167"/>
        <w:gridCol w:w="940"/>
        <w:gridCol w:w="873"/>
        <w:gridCol w:w="559"/>
        <w:gridCol w:w="941"/>
        <w:gridCol w:w="1732"/>
      </w:tblGrid>
      <w:tr w14:paraId="142DB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97" w:hRule="atLeast"/>
        </w:trPr>
        <w:tc>
          <w:tcPr>
            <w:tcW w:w="532" w:type="dxa"/>
            <w:tcBorders>
              <w:tl2br w:val="nil"/>
              <w:tr2bl w:val="nil"/>
            </w:tcBorders>
            <w:shd w:val="clear" w:color="auto" w:fill="auto"/>
            <w:noWrap/>
            <w:vAlign w:val="center"/>
          </w:tcPr>
          <w:p w14:paraId="1221888D">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序号</w:t>
            </w:r>
          </w:p>
        </w:tc>
        <w:tc>
          <w:tcPr>
            <w:tcW w:w="1560" w:type="dxa"/>
            <w:tcBorders>
              <w:tl2br w:val="nil"/>
              <w:tr2bl w:val="nil"/>
            </w:tcBorders>
            <w:shd w:val="clear" w:color="auto" w:fill="auto"/>
            <w:noWrap/>
            <w:vAlign w:val="center"/>
          </w:tcPr>
          <w:p w14:paraId="203B0A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标的名称</w:t>
            </w:r>
          </w:p>
        </w:tc>
        <w:tc>
          <w:tcPr>
            <w:tcW w:w="1167" w:type="dxa"/>
            <w:tcBorders>
              <w:tl2br w:val="nil"/>
              <w:tr2bl w:val="nil"/>
            </w:tcBorders>
            <w:shd w:val="clear" w:color="auto" w:fill="auto"/>
            <w:noWrap/>
            <w:vAlign w:val="center"/>
          </w:tcPr>
          <w:p w14:paraId="1DE2F7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层站门</w:t>
            </w:r>
          </w:p>
        </w:tc>
        <w:tc>
          <w:tcPr>
            <w:tcW w:w="940" w:type="dxa"/>
            <w:tcBorders>
              <w:tl2br w:val="nil"/>
              <w:tr2bl w:val="nil"/>
            </w:tcBorders>
            <w:shd w:val="clear" w:color="auto" w:fill="auto"/>
            <w:noWrap/>
            <w:vAlign w:val="center"/>
          </w:tcPr>
          <w:p w14:paraId="149A13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速度</w:t>
            </w:r>
          </w:p>
        </w:tc>
        <w:tc>
          <w:tcPr>
            <w:tcW w:w="873" w:type="dxa"/>
            <w:tcBorders>
              <w:tl2br w:val="nil"/>
              <w:tr2bl w:val="nil"/>
            </w:tcBorders>
            <w:shd w:val="clear" w:color="auto" w:fill="auto"/>
            <w:noWrap/>
            <w:vAlign w:val="center"/>
          </w:tcPr>
          <w:p w14:paraId="4E36BA6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载重</w:t>
            </w:r>
          </w:p>
        </w:tc>
        <w:tc>
          <w:tcPr>
            <w:tcW w:w="559" w:type="dxa"/>
            <w:tcBorders>
              <w:tl2br w:val="nil"/>
              <w:tr2bl w:val="nil"/>
            </w:tcBorders>
            <w:shd w:val="clear" w:color="auto" w:fill="auto"/>
            <w:noWrap/>
            <w:vAlign w:val="center"/>
          </w:tcPr>
          <w:p w14:paraId="4AAD23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单位</w:t>
            </w:r>
          </w:p>
        </w:tc>
        <w:tc>
          <w:tcPr>
            <w:tcW w:w="941" w:type="dxa"/>
            <w:tcBorders>
              <w:tl2br w:val="nil"/>
              <w:tr2bl w:val="nil"/>
            </w:tcBorders>
            <w:shd w:val="clear" w:color="auto" w:fill="auto"/>
            <w:noWrap/>
            <w:vAlign w:val="center"/>
          </w:tcPr>
          <w:p w14:paraId="709319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数量</w:t>
            </w:r>
          </w:p>
        </w:tc>
        <w:tc>
          <w:tcPr>
            <w:tcW w:w="1732" w:type="dxa"/>
            <w:tcBorders>
              <w:tl2br w:val="nil"/>
              <w:tr2bl w:val="nil"/>
            </w:tcBorders>
            <w:shd w:val="clear" w:color="auto" w:fill="auto"/>
            <w:noWrap/>
            <w:vAlign w:val="center"/>
          </w:tcPr>
          <w:p w14:paraId="03B6AF89">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街道</w:t>
            </w:r>
          </w:p>
        </w:tc>
      </w:tr>
      <w:tr w14:paraId="36B0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59C90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560" w:type="dxa"/>
            <w:tcBorders>
              <w:tl2br w:val="nil"/>
              <w:tr2bl w:val="nil"/>
            </w:tcBorders>
            <w:shd w:val="clear" w:color="auto" w:fill="auto"/>
            <w:vAlign w:val="center"/>
          </w:tcPr>
          <w:p w14:paraId="281EEA7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664EC1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19/19/19</w:t>
            </w:r>
          </w:p>
        </w:tc>
        <w:tc>
          <w:tcPr>
            <w:tcW w:w="940" w:type="dxa"/>
            <w:tcBorders>
              <w:tl2br w:val="nil"/>
              <w:tr2bl w:val="nil"/>
            </w:tcBorders>
            <w:shd w:val="clear" w:color="auto" w:fill="auto"/>
            <w:vAlign w:val="center"/>
          </w:tcPr>
          <w:p w14:paraId="1E947D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25C726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03CAD0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1FC788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tcBorders>
              <w:tl2br w:val="nil"/>
              <w:tr2bl w:val="nil"/>
            </w:tcBorders>
            <w:shd w:val="clear" w:color="auto" w:fill="auto"/>
            <w:noWrap/>
            <w:vAlign w:val="center"/>
          </w:tcPr>
          <w:p w14:paraId="57AEB5B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天山区解放北路街道</w:t>
            </w:r>
          </w:p>
        </w:tc>
      </w:tr>
      <w:tr w14:paraId="094F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EE589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560" w:type="dxa"/>
            <w:tcBorders>
              <w:tl2br w:val="nil"/>
              <w:tr2bl w:val="nil"/>
            </w:tcBorders>
            <w:shd w:val="clear" w:color="auto" w:fill="auto"/>
            <w:vAlign w:val="center"/>
          </w:tcPr>
          <w:p w14:paraId="5D009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137C81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15/15/15</w:t>
            </w:r>
          </w:p>
        </w:tc>
        <w:tc>
          <w:tcPr>
            <w:tcW w:w="940" w:type="dxa"/>
            <w:tcBorders>
              <w:tl2br w:val="nil"/>
              <w:tr2bl w:val="nil"/>
            </w:tcBorders>
            <w:shd w:val="clear" w:color="auto" w:fill="auto"/>
            <w:vAlign w:val="center"/>
          </w:tcPr>
          <w:p w14:paraId="15410E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1F9F95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559" w:type="dxa"/>
            <w:tcBorders>
              <w:tl2br w:val="nil"/>
              <w:tr2bl w:val="nil"/>
            </w:tcBorders>
            <w:shd w:val="clear" w:color="auto" w:fill="auto"/>
            <w:vAlign w:val="center"/>
          </w:tcPr>
          <w:p w14:paraId="25B062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3099BE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restart"/>
            <w:tcBorders>
              <w:tl2br w:val="nil"/>
              <w:tr2bl w:val="nil"/>
            </w:tcBorders>
            <w:shd w:val="clear" w:color="auto" w:fill="auto"/>
            <w:noWrap/>
            <w:vAlign w:val="center"/>
          </w:tcPr>
          <w:p w14:paraId="6DCF0D3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天山区新华北路</w:t>
            </w:r>
          </w:p>
        </w:tc>
      </w:tr>
      <w:tr w14:paraId="6CB3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5EAFAC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560" w:type="dxa"/>
            <w:tcBorders>
              <w:tl2br w:val="nil"/>
              <w:tr2bl w:val="nil"/>
            </w:tcBorders>
            <w:shd w:val="clear" w:color="auto" w:fill="auto"/>
            <w:vAlign w:val="center"/>
          </w:tcPr>
          <w:p w14:paraId="098FB2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1E945E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940" w:type="dxa"/>
            <w:tcBorders>
              <w:tl2br w:val="nil"/>
              <w:tr2bl w:val="nil"/>
            </w:tcBorders>
            <w:shd w:val="clear" w:color="auto" w:fill="auto"/>
            <w:vAlign w:val="center"/>
          </w:tcPr>
          <w:p w14:paraId="2DB511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6D86CC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559" w:type="dxa"/>
            <w:tcBorders>
              <w:tl2br w:val="nil"/>
              <w:tr2bl w:val="nil"/>
            </w:tcBorders>
            <w:shd w:val="clear" w:color="auto" w:fill="auto"/>
            <w:vAlign w:val="center"/>
          </w:tcPr>
          <w:p w14:paraId="610FD9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D6144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continue"/>
            <w:tcBorders>
              <w:tl2br w:val="nil"/>
              <w:tr2bl w:val="nil"/>
            </w:tcBorders>
            <w:shd w:val="clear" w:color="auto" w:fill="auto"/>
            <w:noWrap/>
            <w:vAlign w:val="center"/>
          </w:tcPr>
          <w:p w14:paraId="3C18C4E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51B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0712B0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560" w:type="dxa"/>
            <w:tcBorders>
              <w:tl2br w:val="nil"/>
              <w:tr2bl w:val="nil"/>
            </w:tcBorders>
            <w:shd w:val="clear" w:color="auto" w:fill="auto"/>
            <w:vAlign w:val="center"/>
          </w:tcPr>
          <w:p w14:paraId="0A0F53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78F744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27/23/23</w:t>
            </w:r>
          </w:p>
        </w:tc>
        <w:tc>
          <w:tcPr>
            <w:tcW w:w="940" w:type="dxa"/>
            <w:tcBorders>
              <w:tl2br w:val="nil"/>
              <w:tr2bl w:val="nil"/>
            </w:tcBorders>
            <w:shd w:val="clear" w:color="auto" w:fill="auto"/>
            <w:vAlign w:val="center"/>
          </w:tcPr>
          <w:p w14:paraId="54CAE17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29A084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7980612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5C25FD3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195DC69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362E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44C517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1560" w:type="dxa"/>
            <w:tcBorders>
              <w:tl2br w:val="nil"/>
              <w:tr2bl w:val="nil"/>
            </w:tcBorders>
            <w:shd w:val="clear" w:color="auto" w:fill="auto"/>
            <w:vAlign w:val="center"/>
          </w:tcPr>
          <w:p w14:paraId="6327D4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56344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21/17/17</w:t>
            </w:r>
          </w:p>
        </w:tc>
        <w:tc>
          <w:tcPr>
            <w:tcW w:w="940" w:type="dxa"/>
            <w:tcBorders>
              <w:tl2br w:val="nil"/>
              <w:tr2bl w:val="nil"/>
            </w:tcBorders>
            <w:shd w:val="clear" w:color="auto" w:fill="auto"/>
            <w:vAlign w:val="center"/>
          </w:tcPr>
          <w:p w14:paraId="2DF149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26742F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77C5F6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C96AC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63FE16D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FD8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4DD22B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1560" w:type="dxa"/>
            <w:tcBorders>
              <w:tl2br w:val="nil"/>
              <w:tr2bl w:val="nil"/>
            </w:tcBorders>
            <w:shd w:val="clear" w:color="auto" w:fill="auto"/>
            <w:vAlign w:val="center"/>
          </w:tcPr>
          <w:p w14:paraId="56477AA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64FAAD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22/17/17</w:t>
            </w:r>
          </w:p>
        </w:tc>
        <w:tc>
          <w:tcPr>
            <w:tcW w:w="940" w:type="dxa"/>
            <w:tcBorders>
              <w:tl2br w:val="nil"/>
              <w:tr2bl w:val="nil"/>
            </w:tcBorders>
            <w:shd w:val="clear" w:color="auto" w:fill="auto"/>
            <w:vAlign w:val="center"/>
          </w:tcPr>
          <w:p w14:paraId="20D2A3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096540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34288B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7CEA3D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1ABC253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56C9C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08BD3B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560" w:type="dxa"/>
            <w:tcBorders>
              <w:tl2br w:val="nil"/>
              <w:tr2bl w:val="nil"/>
            </w:tcBorders>
            <w:shd w:val="clear" w:color="auto" w:fill="auto"/>
            <w:vAlign w:val="center"/>
          </w:tcPr>
          <w:p w14:paraId="4181D3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48F105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29/27/27</w:t>
            </w:r>
          </w:p>
        </w:tc>
        <w:tc>
          <w:tcPr>
            <w:tcW w:w="940" w:type="dxa"/>
            <w:tcBorders>
              <w:tl2br w:val="nil"/>
              <w:tr2bl w:val="nil"/>
            </w:tcBorders>
            <w:shd w:val="clear" w:color="auto" w:fill="auto"/>
            <w:vAlign w:val="center"/>
          </w:tcPr>
          <w:p w14:paraId="60DC63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600047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6F49E25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56AE99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732" w:type="dxa"/>
            <w:vMerge w:val="continue"/>
            <w:tcBorders>
              <w:tl2br w:val="nil"/>
              <w:tr2bl w:val="nil"/>
            </w:tcBorders>
            <w:shd w:val="clear" w:color="auto" w:fill="auto"/>
            <w:noWrap/>
            <w:vAlign w:val="center"/>
          </w:tcPr>
          <w:p w14:paraId="6D73D33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83A7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34CDD0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560" w:type="dxa"/>
            <w:tcBorders>
              <w:tl2br w:val="nil"/>
              <w:tr2bl w:val="nil"/>
            </w:tcBorders>
            <w:shd w:val="clear" w:color="auto" w:fill="auto"/>
            <w:vAlign w:val="center"/>
          </w:tcPr>
          <w:p w14:paraId="5DCFBEE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5B7E8D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29/28/28</w:t>
            </w:r>
          </w:p>
        </w:tc>
        <w:tc>
          <w:tcPr>
            <w:tcW w:w="940" w:type="dxa"/>
            <w:tcBorders>
              <w:tl2br w:val="nil"/>
              <w:tr2bl w:val="nil"/>
            </w:tcBorders>
            <w:shd w:val="clear" w:color="auto" w:fill="auto"/>
            <w:vAlign w:val="center"/>
          </w:tcPr>
          <w:p w14:paraId="37477E2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242F0B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2E5ACC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7983A7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65760F7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5A0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E39DE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1560" w:type="dxa"/>
            <w:tcBorders>
              <w:tl2br w:val="nil"/>
              <w:tr2bl w:val="nil"/>
            </w:tcBorders>
            <w:shd w:val="clear" w:color="auto" w:fill="auto"/>
            <w:vAlign w:val="center"/>
          </w:tcPr>
          <w:p w14:paraId="7F1B7E2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460634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31/31/31</w:t>
            </w:r>
          </w:p>
        </w:tc>
        <w:tc>
          <w:tcPr>
            <w:tcW w:w="940" w:type="dxa"/>
            <w:tcBorders>
              <w:tl2br w:val="nil"/>
              <w:tr2bl w:val="nil"/>
            </w:tcBorders>
            <w:shd w:val="clear" w:color="auto" w:fill="auto"/>
            <w:vAlign w:val="center"/>
          </w:tcPr>
          <w:p w14:paraId="13A3D6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5C690DD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0FFF4B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7BECFD2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316B3EF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5393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2693B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1560" w:type="dxa"/>
            <w:tcBorders>
              <w:tl2br w:val="nil"/>
              <w:tr2bl w:val="nil"/>
            </w:tcBorders>
            <w:shd w:val="clear" w:color="auto" w:fill="auto"/>
            <w:vAlign w:val="center"/>
          </w:tcPr>
          <w:p w14:paraId="6CC9A4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6EF8FE3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32/32/32</w:t>
            </w:r>
          </w:p>
        </w:tc>
        <w:tc>
          <w:tcPr>
            <w:tcW w:w="940" w:type="dxa"/>
            <w:tcBorders>
              <w:tl2br w:val="nil"/>
              <w:tr2bl w:val="nil"/>
            </w:tcBorders>
            <w:shd w:val="clear" w:color="auto" w:fill="auto"/>
            <w:vAlign w:val="center"/>
          </w:tcPr>
          <w:p w14:paraId="57089F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30B7A19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7ABC1E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77C4D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continue"/>
            <w:tcBorders>
              <w:tl2br w:val="nil"/>
              <w:tr2bl w:val="nil"/>
            </w:tcBorders>
            <w:shd w:val="clear" w:color="auto" w:fill="auto"/>
            <w:noWrap/>
            <w:vAlign w:val="center"/>
          </w:tcPr>
          <w:p w14:paraId="63C500C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FE20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3CA423C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1560" w:type="dxa"/>
            <w:tcBorders>
              <w:tl2br w:val="nil"/>
              <w:tr2bl w:val="nil"/>
            </w:tcBorders>
            <w:shd w:val="clear" w:color="auto" w:fill="auto"/>
            <w:vAlign w:val="center"/>
          </w:tcPr>
          <w:p w14:paraId="1813DFE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1875F1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18/17/17</w:t>
            </w:r>
          </w:p>
        </w:tc>
        <w:tc>
          <w:tcPr>
            <w:tcW w:w="940" w:type="dxa"/>
            <w:tcBorders>
              <w:tl2br w:val="nil"/>
              <w:tr2bl w:val="nil"/>
            </w:tcBorders>
            <w:shd w:val="clear" w:color="auto" w:fill="auto"/>
            <w:vAlign w:val="center"/>
          </w:tcPr>
          <w:p w14:paraId="5A398D4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136FDA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559" w:type="dxa"/>
            <w:tcBorders>
              <w:tl2br w:val="nil"/>
              <w:tr2bl w:val="nil"/>
            </w:tcBorders>
            <w:shd w:val="clear" w:color="auto" w:fill="auto"/>
            <w:vAlign w:val="center"/>
          </w:tcPr>
          <w:p w14:paraId="70DCFB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29DE77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restart"/>
            <w:tcBorders>
              <w:tl2br w:val="nil"/>
              <w:tr2bl w:val="nil"/>
            </w:tcBorders>
            <w:shd w:val="clear" w:color="auto" w:fill="auto"/>
            <w:noWrap/>
            <w:vAlign w:val="center"/>
          </w:tcPr>
          <w:p w14:paraId="7ECA61B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天山区青年路街道</w:t>
            </w:r>
          </w:p>
        </w:tc>
      </w:tr>
      <w:tr w14:paraId="0355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4C890CF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1560" w:type="dxa"/>
            <w:tcBorders>
              <w:tl2br w:val="nil"/>
              <w:tr2bl w:val="nil"/>
            </w:tcBorders>
            <w:shd w:val="clear" w:color="auto" w:fill="auto"/>
            <w:vAlign w:val="center"/>
          </w:tcPr>
          <w:p w14:paraId="522F2B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5E7CA5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19/17/17</w:t>
            </w:r>
          </w:p>
        </w:tc>
        <w:tc>
          <w:tcPr>
            <w:tcW w:w="940" w:type="dxa"/>
            <w:tcBorders>
              <w:tl2br w:val="nil"/>
              <w:tr2bl w:val="nil"/>
            </w:tcBorders>
            <w:shd w:val="clear" w:color="auto" w:fill="auto"/>
            <w:vAlign w:val="center"/>
          </w:tcPr>
          <w:p w14:paraId="284C09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2868B0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224684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99C3B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5F6AF5F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3CC7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7432626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w:t>
            </w:r>
          </w:p>
        </w:tc>
        <w:tc>
          <w:tcPr>
            <w:tcW w:w="1560" w:type="dxa"/>
            <w:tcBorders>
              <w:tl2br w:val="nil"/>
              <w:tr2bl w:val="nil"/>
            </w:tcBorders>
            <w:shd w:val="clear" w:color="auto" w:fill="auto"/>
            <w:vAlign w:val="center"/>
          </w:tcPr>
          <w:p w14:paraId="62240A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0088B1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33/32/32</w:t>
            </w:r>
          </w:p>
        </w:tc>
        <w:tc>
          <w:tcPr>
            <w:tcW w:w="940" w:type="dxa"/>
            <w:tcBorders>
              <w:tl2br w:val="nil"/>
              <w:tr2bl w:val="nil"/>
            </w:tcBorders>
            <w:shd w:val="clear" w:color="auto" w:fill="auto"/>
            <w:vAlign w:val="center"/>
          </w:tcPr>
          <w:p w14:paraId="2F0842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4EA2109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6878D04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1074EA0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restart"/>
            <w:tcBorders>
              <w:tl2br w:val="nil"/>
              <w:tr2bl w:val="nil"/>
            </w:tcBorders>
            <w:shd w:val="clear" w:color="auto" w:fill="auto"/>
            <w:noWrap/>
            <w:vAlign w:val="center"/>
          </w:tcPr>
          <w:p w14:paraId="37A05B1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天山区新华南路街道</w:t>
            </w:r>
          </w:p>
        </w:tc>
      </w:tr>
      <w:tr w14:paraId="44639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260B0D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w:t>
            </w:r>
          </w:p>
        </w:tc>
        <w:tc>
          <w:tcPr>
            <w:tcW w:w="1560" w:type="dxa"/>
            <w:tcBorders>
              <w:tl2br w:val="nil"/>
              <w:tr2bl w:val="nil"/>
            </w:tcBorders>
            <w:shd w:val="clear" w:color="auto" w:fill="auto"/>
            <w:vAlign w:val="center"/>
          </w:tcPr>
          <w:p w14:paraId="26C11B1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0A8786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34/32/32</w:t>
            </w:r>
          </w:p>
        </w:tc>
        <w:tc>
          <w:tcPr>
            <w:tcW w:w="940" w:type="dxa"/>
            <w:tcBorders>
              <w:tl2br w:val="nil"/>
              <w:tr2bl w:val="nil"/>
            </w:tcBorders>
            <w:shd w:val="clear" w:color="auto" w:fill="auto"/>
            <w:vAlign w:val="center"/>
          </w:tcPr>
          <w:p w14:paraId="599798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44F55C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1B535A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56133E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732" w:type="dxa"/>
            <w:vMerge w:val="continue"/>
            <w:tcBorders>
              <w:tl2br w:val="nil"/>
              <w:tr2bl w:val="nil"/>
            </w:tcBorders>
            <w:shd w:val="clear" w:color="auto" w:fill="auto"/>
            <w:noWrap/>
            <w:vAlign w:val="center"/>
          </w:tcPr>
          <w:p w14:paraId="23143D5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B27D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78B9F15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w:t>
            </w:r>
          </w:p>
        </w:tc>
        <w:tc>
          <w:tcPr>
            <w:tcW w:w="1560" w:type="dxa"/>
            <w:tcBorders>
              <w:tl2br w:val="nil"/>
              <w:tr2bl w:val="nil"/>
            </w:tcBorders>
            <w:shd w:val="clear" w:color="auto" w:fill="auto"/>
            <w:vAlign w:val="center"/>
          </w:tcPr>
          <w:p w14:paraId="1BA4A8F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76C840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29/29/29</w:t>
            </w:r>
          </w:p>
        </w:tc>
        <w:tc>
          <w:tcPr>
            <w:tcW w:w="940" w:type="dxa"/>
            <w:tcBorders>
              <w:tl2br w:val="nil"/>
              <w:tr2bl w:val="nil"/>
            </w:tcBorders>
            <w:shd w:val="clear" w:color="auto" w:fill="auto"/>
            <w:vAlign w:val="center"/>
          </w:tcPr>
          <w:p w14:paraId="2ED9FE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409116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1E5301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3B6BE8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732" w:type="dxa"/>
            <w:vMerge w:val="continue"/>
            <w:tcBorders>
              <w:tl2br w:val="nil"/>
              <w:tr2bl w:val="nil"/>
            </w:tcBorders>
            <w:shd w:val="clear" w:color="auto" w:fill="auto"/>
            <w:noWrap/>
            <w:vAlign w:val="center"/>
          </w:tcPr>
          <w:p w14:paraId="7C7DDFE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BE48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EF2D0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w:t>
            </w:r>
          </w:p>
        </w:tc>
        <w:tc>
          <w:tcPr>
            <w:tcW w:w="1560" w:type="dxa"/>
            <w:tcBorders>
              <w:tl2br w:val="nil"/>
              <w:tr2bl w:val="nil"/>
            </w:tcBorders>
            <w:shd w:val="clear" w:color="auto" w:fill="auto"/>
            <w:vAlign w:val="center"/>
          </w:tcPr>
          <w:p w14:paraId="2403A3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0B0B1A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16/14/14</w:t>
            </w:r>
          </w:p>
        </w:tc>
        <w:tc>
          <w:tcPr>
            <w:tcW w:w="940" w:type="dxa"/>
            <w:tcBorders>
              <w:tl2br w:val="nil"/>
              <w:tr2bl w:val="nil"/>
            </w:tcBorders>
            <w:shd w:val="clear" w:color="auto" w:fill="auto"/>
            <w:vAlign w:val="center"/>
          </w:tcPr>
          <w:p w14:paraId="5BD77FC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3776280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1BBEB4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11ADC2D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tcBorders>
              <w:tl2br w:val="nil"/>
              <w:tr2bl w:val="nil"/>
            </w:tcBorders>
            <w:shd w:val="clear" w:color="auto" w:fill="auto"/>
            <w:noWrap/>
            <w:vAlign w:val="center"/>
          </w:tcPr>
          <w:p w14:paraId="62BBDFA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天山区二道桥街道</w:t>
            </w:r>
          </w:p>
        </w:tc>
      </w:tr>
      <w:tr w14:paraId="3F235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1A10FE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w:t>
            </w:r>
          </w:p>
        </w:tc>
        <w:tc>
          <w:tcPr>
            <w:tcW w:w="1560" w:type="dxa"/>
            <w:tcBorders>
              <w:tl2br w:val="nil"/>
              <w:tr2bl w:val="nil"/>
            </w:tcBorders>
            <w:shd w:val="clear" w:color="auto" w:fill="auto"/>
            <w:vAlign w:val="center"/>
          </w:tcPr>
          <w:p w14:paraId="431DEA3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7C75E5F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6/6/6</w:t>
            </w:r>
          </w:p>
        </w:tc>
        <w:tc>
          <w:tcPr>
            <w:tcW w:w="940" w:type="dxa"/>
            <w:tcBorders>
              <w:tl2br w:val="nil"/>
              <w:tr2bl w:val="nil"/>
            </w:tcBorders>
            <w:shd w:val="clear" w:color="auto" w:fill="auto"/>
            <w:vAlign w:val="center"/>
          </w:tcPr>
          <w:p w14:paraId="1DE19B1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1m/s</w:t>
            </w:r>
          </w:p>
        </w:tc>
        <w:tc>
          <w:tcPr>
            <w:tcW w:w="873" w:type="dxa"/>
            <w:tcBorders>
              <w:tl2br w:val="nil"/>
              <w:tr2bl w:val="nil"/>
            </w:tcBorders>
            <w:shd w:val="clear" w:color="auto" w:fill="auto"/>
            <w:vAlign w:val="center"/>
          </w:tcPr>
          <w:p w14:paraId="31D6F4C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680kg</w:t>
            </w:r>
          </w:p>
        </w:tc>
        <w:tc>
          <w:tcPr>
            <w:tcW w:w="559" w:type="dxa"/>
            <w:tcBorders>
              <w:tl2br w:val="nil"/>
              <w:tr2bl w:val="nil"/>
            </w:tcBorders>
            <w:shd w:val="clear" w:color="auto" w:fill="auto"/>
            <w:vAlign w:val="center"/>
          </w:tcPr>
          <w:p w14:paraId="5D8904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6D6FF7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732" w:type="dxa"/>
            <w:vMerge w:val="restart"/>
            <w:tcBorders>
              <w:tl2br w:val="nil"/>
              <w:tr2bl w:val="nil"/>
            </w:tcBorders>
            <w:shd w:val="clear" w:color="auto" w:fill="auto"/>
            <w:noWrap/>
            <w:vAlign w:val="center"/>
          </w:tcPr>
          <w:p w14:paraId="3B1FC06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天山区碱泉街</w:t>
            </w:r>
          </w:p>
        </w:tc>
      </w:tr>
      <w:tr w14:paraId="15B2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7F7075E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w:t>
            </w:r>
          </w:p>
        </w:tc>
        <w:tc>
          <w:tcPr>
            <w:tcW w:w="1560" w:type="dxa"/>
            <w:tcBorders>
              <w:tl2br w:val="nil"/>
              <w:tr2bl w:val="nil"/>
            </w:tcBorders>
            <w:shd w:val="clear" w:color="auto" w:fill="auto"/>
            <w:vAlign w:val="center"/>
          </w:tcPr>
          <w:p w14:paraId="065333C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4B1EB9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7/7/7</w:t>
            </w:r>
          </w:p>
        </w:tc>
        <w:tc>
          <w:tcPr>
            <w:tcW w:w="940" w:type="dxa"/>
            <w:tcBorders>
              <w:tl2br w:val="nil"/>
              <w:tr2bl w:val="nil"/>
            </w:tcBorders>
            <w:shd w:val="clear" w:color="auto" w:fill="auto"/>
            <w:vAlign w:val="center"/>
          </w:tcPr>
          <w:p w14:paraId="101EEE2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1.5m/s</w:t>
            </w:r>
          </w:p>
        </w:tc>
        <w:tc>
          <w:tcPr>
            <w:tcW w:w="873" w:type="dxa"/>
            <w:tcBorders>
              <w:tl2br w:val="nil"/>
              <w:tr2bl w:val="nil"/>
            </w:tcBorders>
            <w:shd w:val="clear" w:color="auto" w:fill="auto"/>
            <w:vAlign w:val="center"/>
          </w:tcPr>
          <w:p w14:paraId="09B9C6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559" w:type="dxa"/>
            <w:tcBorders>
              <w:tl2br w:val="nil"/>
              <w:tr2bl w:val="nil"/>
            </w:tcBorders>
            <w:shd w:val="clear" w:color="auto" w:fill="auto"/>
            <w:vAlign w:val="center"/>
          </w:tcPr>
          <w:p w14:paraId="096F63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0DE8CB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732" w:type="dxa"/>
            <w:vMerge w:val="continue"/>
            <w:tcBorders>
              <w:tl2br w:val="nil"/>
              <w:tr2bl w:val="nil"/>
            </w:tcBorders>
            <w:shd w:val="clear" w:color="auto" w:fill="auto"/>
            <w:noWrap/>
            <w:vAlign w:val="center"/>
          </w:tcPr>
          <w:p w14:paraId="3D792435">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6DF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D126D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w:t>
            </w:r>
          </w:p>
        </w:tc>
        <w:tc>
          <w:tcPr>
            <w:tcW w:w="1560" w:type="dxa"/>
            <w:tcBorders>
              <w:tl2br w:val="nil"/>
              <w:tr2bl w:val="nil"/>
            </w:tcBorders>
            <w:shd w:val="clear" w:color="auto" w:fill="auto"/>
            <w:vAlign w:val="center"/>
          </w:tcPr>
          <w:p w14:paraId="0475FDB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6F4A07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13/13/13</w:t>
            </w:r>
          </w:p>
        </w:tc>
        <w:tc>
          <w:tcPr>
            <w:tcW w:w="940" w:type="dxa"/>
            <w:tcBorders>
              <w:tl2br w:val="nil"/>
              <w:tr2bl w:val="nil"/>
            </w:tcBorders>
            <w:shd w:val="clear" w:color="auto" w:fill="auto"/>
            <w:vAlign w:val="center"/>
          </w:tcPr>
          <w:p w14:paraId="6C20F82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4E7C304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559" w:type="dxa"/>
            <w:tcBorders>
              <w:tl2br w:val="nil"/>
              <w:tr2bl w:val="nil"/>
            </w:tcBorders>
            <w:shd w:val="clear" w:color="auto" w:fill="auto"/>
            <w:vAlign w:val="center"/>
          </w:tcPr>
          <w:p w14:paraId="0F104F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0FB08F5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42</w:t>
            </w:r>
          </w:p>
        </w:tc>
        <w:tc>
          <w:tcPr>
            <w:tcW w:w="1732" w:type="dxa"/>
            <w:vMerge w:val="continue"/>
            <w:tcBorders>
              <w:tl2br w:val="nil"/>
              <w:tr2bl w:val="nil"/>
            </w:tcBorders>
            <w:shd w:val="clear" w:color="auto" w:fill="auto"/>
            <w:noWrap/>
            <w:vAlign w:val="center"/>
          </w:tcPr>
          <w:p w14:paraId="10AAC44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4595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16EF82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20</w:t>
            </w:r>
          </w:p>
        </w:tc>
        <w:tc>
          <w:tcPr>
            <w:tcW w:w="1560" w:type="dxa"/>
            <w:tcBorders>
              <w:tl2br w:val="nil"/>
              <w:tr2bl w:val="nil"/>
            </w:tcBorders>
            <w:shd w:val="clear" w:color="auto" w:fill="auto"/>
            <w:vAlign w:val="center"/>
          </w:tcPr>
          <w:p w14:paraId="006776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399EF2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14/14/14</w:t>
            </w:r>
          </w:p>
        </w:tc>
        <w:tc>
          <w:tcPr>
            <w:tcW w:w="940" w:type="dxa"/>
            <w:tcBorders>
              <w:tl2br w:val="nil"/>
              <w:tr2bl w:val="nil"/>
            </w:tcBorders>
            <w:shd w:val="clear" w:color="auto" w:fill="auto"/>
            <w:vAlign w:val="center"/>
          </w:tcPr>
          <w:p w14:paraId="18740C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0E51A8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559" w:type="dxa"/>
            <w:tcBorders>
              <w:tl2br w:val="nil"/>
              <w:tr2bl w:val="nil"/>
            </w:tcBorders>
            <w:shd w:val="clear" w:color="auto" w:fill="auto"/>
            <w:vAlign w:val="center"/>
          </w:tcPr>
          <w:p w14:paraId="6B4BC0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77FBC6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1732" w:type="dxa"/>
            <w:vMerge w:val="continue"/>
            <w:tcBorders>
              <w:tl2br w:val="nil"/>
              <w:tr2bl w:val="nil"/>
            </w:tcBorders>
            <w:shd w:val="clear" w:color="auto" w:fill="auto"/>
            <w:noWrap/>
            <w:vAlign w:val="center"/>
          </w:tcPr>
          <w:p w14:paraId="402ED11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7392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3B6263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w:t>
            </w:r>
          </w:p>
        </w:tc>
        <w:tc>
          <w:tcPr>
            <w:tcW w:w="1560" w:type="dxa"/>
            <w:tcBorders>
              <w:tl2br w:val="nil"/>
              <w:tr2bl w:val="nil"/>
            </w:tcBorders>
            <w:shd w:val="clear" w:color="auto" w:fill="auto"/>
            <w:vAlign w:val="center"/>
          </w:tcPr>
          <w:p w14:paraId="27839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1D670E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19/19/19</w:t>
            </w:r>
          </w:p>
        </w:tc>
        <w:tc>
          <w:tcPr>
            <w:tcW w:w="940" w:type="dxa"/>
            <w:tcBorders>
              <w:tl2br w:val="nil"/>
              <w:tr2bl w:val="nil"/>
            </w:tcBorders>
            <w:shd w:val="clear" w:color="auto" w:fill="auto"/>
            <w:vAlign w:val="center"/>
          </w:tcPr>
          <w:p w14:paraId="023A2AB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62BBBB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559" w:type="dxa"/>
            <w:tcBorders>
              <w:tl2br w:val="nil"/>
              <w:tr2bl w:val="nil"/>
            </w:tcBorders>
            <w:shd w:val="clear" w:color="auto" w:fill="auto"/>
            <w:vAlign w:val="center"/>
          </w:tcPr>
          <w:p w14:paraId="3A83B2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2B780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1732" w:type="dxa"/>
            <w:vMerge w:val="continue"/>
            <w:tcBorders>
              <w:tl2br w:val="nil"/>
              <w:tr2bl w:val="nil"/>
            </w:tcBorders>
            <w:shd w:val="clear" w:color="auto" w:fill="auto"/>
            <w:noWrap/>
            <w:vAlign w:val="center"/>
          </w:tcPr>
          <w:p w14:paraId="2A9F3A2E">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4026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7" w:hRule="atLeast"/>
        </w:trPr>
        <w:tc>
          <w:tcPr>
            <w:tcW w:w="532" w:type="dxa"/>
            <w:tcBorders>
              <w:tl2br w:val="nil"/>
              <w:tr2bl w:val="nil"/>
            </w:tcBorders>
            <w:shd w:val="clear" w:color="auto" w:fill="auto"/>
            <w:vAlign w:val="center"/>
          </w:tcPr>
          <w:p w14:paraId="637A6A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w:t>
            </w:r>
          </w:p>
        </w:tc>
        <w:tc>
          <w:tcPr>
            <w:tcW w:w="1560" w:type="dxa"/>
            <w:tcBorders>
              <w:tl2br w:val="nil"/>
              <w:tr2bl w:val="nil"/>
            </w:tcBorders>
            <w:shd w:val="clear" w:color="auto" w:fill="auto"/>
            <w:vAlign w:val="center"/>
          </w:tcPr>
          <w:p w14:paraId="6F9C9A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1167" w:type="dxa"/>
            <w:tcBorders>
              <w:tl2br w:val="nil"/>
              <w:tr2bl w:val="nil"/>
            </w:tcBorders>
            <w:shd w:val="clear" w:color="auto" w:fill="auto"/>
            <w:vAlign w:val="center"/>
          </w:tcPr>
          <w:p w14:paraId="5C86806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25/24/24</w:t>
            </w:r>
          </w:p>
        </w:tc>
        <w:tc>
          <w:tcPr>
            <w:tcW w:w="940" w:type="dxa"/>
            <w:tcBorders>
              <w:tl2br w:val="nil"/>
              <w:tr2bl w:val="nil"/>
            </w:tcBorders>
            <w:shd w:val="clear" w:color="auto" w:fill="auto"/>
            <w:vAlign w:val="center"/>
          </w:tcPr>
          <w:p w14:paraId="5C5BA4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873" w:type="dxa"/>
            <w:tcBorders>
              <w:tl2br w:val="nil"/>
              <w:tr2bl w:val="nil"/>
            </w:tcBorders>
            <w:shd w:val="clear" w:color="auto" w:fill="auto"/>
            <w:vAlign w:val="center"/>
          </w:tcPr>
          <w:p w14:paraId="48375A6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559" w:type="dxa"/>
            <w:tcBorders>
              <w:tl2br w:val="nil"/>
              <w:tr2bl w:val="nil"/>
            </w:tcBorders>
            <w:shd w:val="clear" w:color="auto" w:fill="auto"/>
            <w:vAlign w:val="center"/>
          </w:tcPr>
          <w:p w14:paraId="50BC5E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941" w:type="dxa"/>
            <w:tcBorders>
              <w:tl2br w:val="nil"/>
              <w:tr2bl w:val="nil"/>
            </w:tcBorders>
            <w:shd w:val="clear" w:color="auto" w:fill="auto"/>
            <w:noWrap/>
            <w:vAlign w:val="center"/>
          </w:tcPr>
          <w:p w14:paraId="75FDDB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732" w:type="dxa"/>
            <w:vMerge w:val="continue"/>
            <w:tcBorders>
              <w:tl2br w:val="nil"/>
              <w:tr2bl w:val="nil"/>
            </w:tcBorders>
            <w:shd w:val="clear" w:color="auto" w:fill="auto"/>
            <w:noWrap/>
            <w:vAlign w:val="center"/>
          </w:tcPr>
          <w:p w14:paraId="0B69388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bl>
    <w:p w14:paraId="71835E72">
      <w:pPr>
        <w:keepNext w:val="0"/>
        <w:keepLines w:val="0"/>
        <w:pageBreakBefore w:val="0"/>
        <w:kinsoku/>
        <w:wordWrap/>
        <w:overflowPunct/>
        <w:topLinePunct w:val="0"/>
        <w:autoSpaceDE/>
        <w:autoSpaceDN/>
        <w:bidi w:val="0"/>
        <w:adjustRightInd/>
        <w:snapToGrid/>
        <w:spacing w:line="360" w:lineRule="auto"/>
        <w:outlineLvl w:val="9"/>
        <w:rPr>
          <w:rFonts w:hint="eastAsia" w:ascii="方正仿宋_GB2312" w:hAnsi="方正仿宋_GB2312" w:eastAsia="方正仿宋_GB2312" w:cs="方正仿宋_GB2312"/>
          <w:b/>
          <w:bCs/>
          <w:color w:val="auto"/>
          <w:sz w:val="24"/>
          <w:szCs w:val="24"/>
          <w:highlight w:val="none"/>
          <w:lang w:val="en-US" w:eastAsia="zh-CN"/>
        </w:rPr>
      </w:pPr>
      <w:bookmarkStart w:id="33" w:name="_Toc14928"/>
      <w:r>
        <w:rPr>
          <w:rFonts w:hint="eastAsia" w:ascii="方正仿宋_GB2312" w:hAnsi="方正仿宋_GB2312" w:eastAsia="方正仿宋_GB2312" w:cs="方正仿宋_GB2312"/>
          <w:b/>
          <w:bCs/>
          <w:color w:val="auto"/>
          <w:sz w:val="24"/>
          <w:szCs w:val="24"/>
          <w:highlight w:val="none"/>
          <w:lang w:val="en-US" w:eastAsia="zh-CN"/>
        </w:rPr>
        <w:t>标项二现有电梯参数数量附表：</w:t>
      </w:r>
    </w:p>
    <w:tbl>
      <w:tblPr>
        <w:tblStyle w:val="28"/>
        <w:tblW w:w="4856"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561"/>
        <w:gridCol w:w="1490"/>
        <w:gridCol w:w="1221"/>
        <w:gridCol w:w="927"/>
        <w:gridCol w:w="887"/>
        <w:gridCol w:w="559"/>
        <w:gridCol w:w="927"/>
        <w:gridCol w:w="1705"/>
      </w:tblGrid>
      <w:tr w14:paraId="490C0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37" w:hRule="atLeast"/>
        </w:trPr>
        <w:tc>
          <w:tcPr>
            <w:tcW w:w="338" w:type="pct"/>
            <w:tcBorders>
              <w:tl2br w:val="nil"/>
              <w:tr2bl w:val="nil"/>
            </w:tcBorders>
            <w:shd w:val="clear" w:color="auto" w:fill="auto"/>
            <w:noWrap/>
            <w:vAlign w:val="center"/>
          </w:tcPr>
          <w:p w14:paraId="72E8919A">
            <w:pPr>
              <w:keepNext w:val="0"/>
              <w:keepLines w:val="0"/>
              <w:widowControl/>
              <w:suppressLineNumbers w:val="0"/>
              <w:jc w:val="center"/>
              <w:textAlignment w:val="center"/>
              <w:rPr>
                <w:rFonts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序号</w:t>
            </w:r>
          </w:p>
        </w:tc>
        <w:tc>
          <w:tcPr>
            <w:tcW w:w="900" w:type="pct"/>
            <w:tcBorders>
              <w:tl2br w:val="nil"/>
              <w:tr2bl w:val="nil"/>
            </w:tcBorders>
            <w:shd w:val="clear" w:color="auto" w:fill="auto"/>
            <w:noWrap/>
            <w:vAlign w:val="center"/>
          </w:tcPr>
          <w:p w14:paraId="280734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标的名称</w:t>
            </w:r>
          </w:p>
        </w:tc>
        <w:tc>
          <w:tcPr>
            <w:tcW w:w="737" w:type="pct"/>
            <w:tcBorders>
              <w:tl2br w:val="nil"/>
              <w:tr2bl w:val="nil"/>
            </w:tcBorders>
            <w:shd w:val="clear" w:color="auto" w:fill="auto"/>
            <w:noWrap/>
            <w:vAlign w:val="center"/>
          </w:tcPr>
          <w:p w14:paraId="226634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层站门</w:t>
            </w:r>
          </w:p>
        </w:tc>
        <w:tc>
          <w:tcPr>
            <w:tcW w:w="559" w:type="pct"/>
            <w:tcBorders>
              <w:tl2br w:val="nil"/>
              <w:tr2bl w:val="nil"/>
            </w:tcBorders>
            <w:shd w:val="clear" w:color="auto" w:fill="auto"/>
            <w:noWrap/>
            <w:vAlign w:val="center"/>
          </w:tcPr>
          <w:p w14:paraId="4F35875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速度</w:t>
            </w:r>
          </w:p>
        </w:tc>
        <w:tc>
          <w:tcPr>
            <w:tcW w:w="535" w:type="pct"/>
            <w:tcBorders>
              <w:tl2br w:val="nil"/>
              <w:tr2bl w:val="nil"/>
            </w:tcBorders>
            <w:shd w:val="clear" w:color="auto" w:fill="auto"/>
            <w:noWrap/>
            <w:vAlign w:val="center"/>
          </w:tcPr>
          <w:p w14:paraId="1CC46D9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载重</w:t>
            </w:r>
          </w:p>
        </w:tc>
        <w:tc>
          <w:tcPr>
            <w:tcW w:w="337" w:type="pct"/>
            <w:tcBorders>
              <w:tl2br w:val="nil"/>
              <w:tr2bl w:val="nil"/>
            </w:tcBorders>
            <w:shd w:val="clear" w:color="auto" w:fill="auto"/>
            <w:noWrap/>
            <w:vAlign w:val="center"/>
          </w:tcPr>
          <w:p w14:paraId="3EB84A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单位</w:t>
            </w:r>
          </w:p>
        </w:tc>
        <w:tc>
          <w:tcPr>
            <w:tcW w:w="559" w:type="pct"/>
            <w:tcBorders>
              <w:tl2br w:val="nil"/>
              <w:tr2bl w:val="nil"/>
            </w:tcBorders>
            <w:shd w:val="clear" w:color="auto" w:fill="auto"/>
            <w:noWrap/>
            <w:vAlign w:val="center"/>
          </w:tcPr>
          <w:p w14:paraId="03B96E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数量</w:t>
            </w:r>
          </w:p>
        </w:tc>
        <w:tc>
          <w:tcPr>
            <w:tcW w:w="1029" w:type="pct"/>
            <w:tcBorders>
              <w:tl2br w:val="nil"/>
              <w:tr2bl w:val="nil"/>
            </w:tcBorders>
            <w:shd w:val="clear" w:color="auto" w:fill="auto"/>
            <w:noWrap/>
            <w:vAlign w:val="center"/>
          </w:tcPr>
          <w:p w14:paraId="7010F8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街道</w:t>
            </w:r>
          </w:p>
        </w:tc>
      </w:tr>
      <w:tr w14:paraId="086B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1AC017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900" w:type="pct"/>
            <w:tcBorders>
              <w:tl2br w:val="nil"/>
              <w:tr2bl w:val="nil"/>
            </w:tcBorders>
            <w:shd w:val="clear" w:color="auto" w:fill="auto"/>
            <w:vAlign w:val="center"/>
          </w:tcPr>
          <w:p w14:paraId="3241D5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72148EC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559" w:type="pct"/>
            <w:tcBorders>
              <w:tl2br w:val="nil"/>
              <w:tr2bl w:val="nil"/>
            </w:tcBorders>
            <w:shd w:val="clear" w:color="auto" w:fill="auto"/>
            <w:vAlign w:val="center"/>
          </w:tcPr>
          <w:p w14:paraId="5C8B3FA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30D38DC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0EEF57F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798315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tcBorders>
              <w:tl2br w:val="nil"/>
              <w:tr2bl w:val="nil"/>
            </w:tcBorders>
            <w:shd w:val="clear" w:color="auto" w:fill="auto"/>
            <w:noWrap/>
            <w:vAlign w:val="center"/>
          </w:tcPr>
          <w:p w14:paraId="215AF18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天山区南湾街街道</w:t>
            </w:r>
          </w:p>
        </w:tc>
      </w:tr>
      <w:tr w14:paraId="5376B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B38F8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900" w:type="pct"/>
            <w:tcBorders>
              <w:tl2br w:val="nil"/>
              <w:tr2bl w:val="nil"/>
            </w:tcBorders>
            <w:shd w:val="clear" w:color="auto" w:fill="auto"/>
            <w:vAlign w:val="center"/>
          </w:tcPr>
          <w:p w14:paraId="370508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260B3C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9/9/9</w:t>
            </w:r>
          </w:p>
        </w:tc>
        <w:tc>
          <w:tcPr>
            <w:tcW w:w="559" w:type="pct"/>
            <w:tcBorders>
              <w:tl2br w:val="nil"/>
              <w:tr2bl w:val="nil"/>
            </w:tcBorders>
            <w:shd w:val="clear" w:color="auto" w:fill="auto"/>
            <w:vAlign w:val="center"/>
          </w:tcPr>
          <w:p w14:paraId="473BA1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1.5m/s</w:t>
            </w:r>
          </w:p>
        </w:tc>
        <w:tc>
          <w:tcPr>
            <w:tcW w:w="535" w:type="pct"/>
            <w:tcBorders>
              <w:tl2br w:val="nil"/>
              <w:tr2bl w:val="nil"/>
            </w:tcBorders>
            <w:shd w:val="clear" w:color="auto" w:fill="auto"/>
            <w:vAlign w:val="center"/>
          </w:tcPr>
          <w:p w14:paraId="1088BE4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53D0B6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413DE6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restart"/>
            <w:tcBorders>
              <w:tl2br w:val="nil"/>
              <w:tr2bl w:val="nil"/>
            </w:tcBorders>
            <w:shd w:val="clear" w:color="auto" w:fill="auto"/>
            <w:noWrap/>
            <w:vAlign w:val="center"/>
          </w:tcPr>
          <w:p w14:paraId="694EF01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天山区胜利路街道</w:t>
            </w:r>
          </w:p>
        </w:tc>
      </w:tr>
      <w:tr w14:paraId="29358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70AA6F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900" w:type="pct"/>
            <w:tcBorders>
              <w:tl2br w:val="nil"/>
              <w:tr2bl w:val="nil"/>
            </w:tcBorders>
            <w:shd w:val="clear" w:color="auto" w:fill="auto"/>
            <w:vAlign w:val="center"/>
          </w:tcPr>
          <w:p w14:paraId="6D4A06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3707781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12/10/10</w:t>
            </w:r>
          </w:p>
        </w:tc>
        <w:tc>
          <w:tcPr>
            <w:tcW w:w="559" w:type="pct"/>
            <w:tcBorders>
              <w:tl2br w:val="nil"/>
              <w:tr2bl w:val="nil"/>
            </w:tcBorders>
            <w:shd w:val="clear" w:color="auto" w:fill="auto"/>
            <w:vAlign w:val="center"/>
          </w:tcPr>
          <w:p w14:paraId="4D4B5D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0FDD2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65814C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123D60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276301A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544F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487A03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900" w:type="pct"/>
            <w:tcBorders>
              <w:tl2br w:val="nil"/>
              <w:tr2bl w:val="nil"/>
            </w:tcBorders>
            <w:shd w:val="clear" w:color="auto" w:fill="auto"/>
            <w:vAlign w:val="center"/>
          </w:tcPr>
          <w:p w14:paraId="75141D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3D311EA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13/11/11</w:t>
            </w:r>
          </w:p>
        </w:tc>
        <w:tc>
          <w:tcPr>
            <w:tcW w:w="559" w:type="pct"/>
            <w:tcBorders>
              <w:tl2br w:val="nil"/>
              <w:tr2bl w:val="nil"/>
            </w:tcBorders>
            <w:shd w:val="clear" w:color="auto" w:fill="auto"/>
            <w:vAlign w:val="center"/>
          </w:tcPr>
          <w:p w14:paraId="1F70268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2C0B18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4F9BBF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22C6C5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2D66AC0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BF92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EA8AA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900" w:type="pct"/>
            <w:tcBorders>
              <w:tl2br w:val="nil"/>
              <w:tr2bl w:val="nil"/>
            </w:tcBorders>
            <w:shd w:val="clear" w:color="auto" w:fill="auto"/>
            <w:vAlign w:val="center"/>
          </w:tcPr>
          <w:p w14:paraId="7AB073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41173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11/11/11</w:t>
            </w:r>
          </w:p>
        </w:tc>
        <w:tc>
          <w:tcPr>
            <w:tcW w:w="559" w:type="pct"/>
            <w:tcBorders>
              <w:tl2br w:val="nil"/>
              <w:tr2bl w:val="nil"/>
            </w:tcBorders>
            <w:shd w:val="clear" w:color="auto" w:fill="auto"/>
            <w:vAlign w:val="center"/>
          </w:tcPr>
          <w:p w14:paraId="11DA49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1A1A573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337" w:type="pct"/>
            <w:tcBorders>
              <w:tl2br w:val="nil"/>
              <w:tr2bl w:val="nil"/>
            </w:tcBorders>
            <w:shd w:val="clear" w:color="auto" w:fill="auto"/>
            <w:vAlign w:val="center"/>
          </w:tcPr>
          <w:p w14:paraId="14E3A6D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0C2CDA6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5</w:t>
            </w:r>
          </w:p>
        </w:tc>
        <w:tc>
          <w:tcPr>
            <w:tcW w:w="1029" w:type="pct"/>
            <w:vMerge w:val="continue"/>
            <w:tcBorders>
              <w:tl2br w:val="nil"/>
              <w:tr2bl w:val="nil"/>
            </w:tcBorders>
            <w:shd w:val="clear" w:color="auto" w:fill="auto"/>
            <w:noWrap/>
            <w:vAlign w:val="center"/>
          </w:tcPr>
          <w:p w14:paraId="016BC466">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6C38F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7A18BA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w:t>
            </w:r>
          </w:p>
        </w:tc>
        <w:tc>
          <w:tcPr>
            <w:tcW w:w="900" w:type="pct"/>
            <w:tcBorders>
              <w:tl2br w:val="nil"/>
              <w:tr2bl w:val="nil"/>
            </w:tcBorders>
            <w:shd w:val="clear" w:color="auto" w:fill="auto"/>
            <w:vAlign w:val="center"/>
          </w:tcPr>
          <w:p w14:paraId="4F09446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44AE3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21/21/21</w:t>
            </w:r>
          </w:p>
        </w:tc>
        <w:tc>
          <w:tcPr>
            <w:tcW w:w="559" w:type="pct"/>
            <w:tcBorders>
              <w:tl2br w:val="nil"/>
              <w:tr2bl w:val="nil"/>
            </w:tcBorders>
            <w:shd w:val="clear" w:color="auto" w:fill="auto"/>
            <w:vAlign w:val="center"/>
          </w:tcPr>
          <w:p w14:paraId="27CB45C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13D7736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3982320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5AA4831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7982869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00F6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2A64954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900" w:type="pct"/>
            <w:tcBorders>
              <w:tl2br w:val="nil"/>
              <w:tr2bl w:val="nil"/>
            </w:tcBorders>
            <w:shd w:val="clear" w:color="auto" w:fill="auto"/>
            <w:vAlign w:val="center"/>
          </w:tcPr>
          <w:p w14:paraId="198400C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CD2EC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22/20/20</w:t>
            </w:r>
          </w:p>
        </w:tc>
        <w:tc>
          <w:tcPr>
            <w:tcW w:w="559" w:type="pct"/>
            <w:tcBorders>
              <w:tl2br w:val="nil"/>
              <w:tr2bl w:val="nil"/>
            </w:tcBorders>
            <w:shd w:val="clear" w:color="auto" w:fill="auto"/>
            <w:vAlign w:val="center"/>
          </w:tcPr>
          <w:p w14:paraId="6F72B45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26D8A2E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60F3C1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0820249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198DE3AF">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5CE7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6D2352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w:t>
            </w:r>
          </w:p>
        </w:tc>
        <w:tc>
          <w:tcPr>
            <w:tcW w:w="900" w:type="pct"/>
            <w:tcBorders>
              <w:tl2br w:val="nil"/>
              <w:tr2bl w:val="nil"/>
            </w:tcBorders>
            <w:shd w:val="clear" w:color="auto" w:fill="auto"/>
            <w:vAlign w:val="center"/>
          </w:tcPr>
          <w:p w14:paraId="2DDCCE4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C7E9C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23/21/21</w:t>
            </w:r>
          </w:p>
        </w:tc>
        <w:tc>
          <w:tcPr>
            <w:tcW w:w="559" w:type="pct"/>
            <w:tcBorders>
              <w:tl2br w:val="nil"/>
              <w:tr2bl w:val="nil"/>
            </w:tcBorders>
            <w:shd w:val="clear" w:color="auto" w:fill="auto"/>
            <w:vAlign w:val="center"/>
          </w:tcPr>
          <w:p w14:paraId="4E606D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4C2B5F5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54485A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261D07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4A0065F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F2D9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70985D7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9</w:t>
            </w:r>
          </w:p>
        </w:tc>
        <w:tc>
          <w:tcPr>
            <w:tcW w:w="900" w:type="pct"/>
            <w:tcBorders>
              <w:tl2br w:val="nil"/>
              <w:tr2bl w:val="nil"/>
            </w:tcBorders>
            <w:shd w:val="clear" w:color="auto" w:fill="auto"/>
            <w:vAlign w:val="center"/>
          </w:tcPr>
          <w:p w14:paraId="4D2A567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78635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24/24/24</w:t>
            </w:r>
          </w:p>
        </w:tc>
        <w:tc>
          <w:tcPr>
            <w:tcW w:w="559" w:type="pct"/>
            <w:tcBorders>
              <w:tl2br w:val="nil"/>
              <w:tr2bl w:val="nil"/>
            </w:tcBorders>
            <w:shd w:val="clear" w:color="auto" w:fill="auto"/>
            <w:vAlign w:val="center"/>
          </w:tcPr>
          <w:p w14:paraId="71974FB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2503D3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1466D0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566270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32863DBB">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3D2AA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43E38E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w:t>
            </w:r>
          </w:p>
        </w:tc>
        <w:tc>
          <w:tcPr>
            <w:tcW w:w="900" w:type="pct"/>
            <w:tcBorders>
              <w:tl2br w:val="nil"/>
              <w:tr2bl w:val="nil"/>
            </w:tcBorders>
            <w:shd w:val="clear" w:color="auto" w:fill="auto"/>
            <w:vAlign w:val="center"/>
          </w:tcPr>
          <w:p w14:paraId="56F077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29A5B35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25/25/25</w:t>
            </w:r>
          </w:p>
        </w:tc>
        <w:tc>
          <w:tcPr>
            <w:tcW w:w="559" w:type="pct"/>
            <w:tcBorders>
              <w:tl2br w:val="nil"/>
              <w:tr2bl w:val="nil"/>
            </w:tcBorders>
            <w:shd w:val="clear" w:color="auto" w:fill="auto"/>
            <w:vAlign w:val="center"/>
          </w:tcPr>
          <w:p w14:paraId="6BB3792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2C5327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1794F0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73FA0E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305FE6B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8469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4105669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w:t>
            </w:r>
          </w:p>
        </w:tc>
        <w:tc>
          <w:tcPr>
            <w:tcW w:w="900" w:type="pct"/>
            <w:tcBorders>
              <w:tl2br w:val="nil"/>
              <w:tr2bl w:val="nil"/>
            </w:tcBorders>
            <w:shd w:val="clear" w:color="auto" w:fill="auto"/>
            <w:vAlign w:val="center"/>
          </w:tcPr>
          <w:p w14:paraId="26616C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2826C23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15/15/15</w:t>
            </w:r>
          </w:p>
        </w:tc>
        <w:tc>
          <w:tcPr>
            <w:tcW w:w="559" w:type="pct"/>
            <w:tcBorders>
              <w:tl2br w:val="nil"/>
              <w:tr2bl w:val="nil"/>
            </w:tcBorders>
            <w:shd w:val="clear" w:color="auto" w:fill="auto"/>
            <w:vAlign w:val="center"/>
          </w:tcPr>
          <w:p w14:paraId="22410DB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6BB2004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219FF84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605C85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restart"/>
            <w:tcBorders>
              <w:tl2br w:val="nil"/>
              <w:tr2bl w:val="nil"/>
            </w:tcBorders>
            <w:shd w:val="clear" w:color="auto" w:fill="auto"/>
            <w:noWrap/>
            <w:vAlign w:val="center"/>
          </w:tcPr>
          <w:p w14:paraId="5279984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天山区延安路街道</w:t>
            </w:r>
          </w:p>
        </w:tc>
      </w:tr>
      <w:tr w14:paraId="43C1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50AC7E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900" w:type="pct"/>
            <w:tcBorders>
              <w:tl2br w:val="nil"/>
              <w:tr2bl w:val="nil"/>
            </w:tcBorders>
            <w:shd w:val="clear" w:color="auto" w:fill="auto"/>
            <w:vAlign w:val="center"/>
          </w:tcPr>
          <w:p w14:paraId="76B3EBD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002D7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559" w:type="pct"/>
            <w:tcBorders>
              <w:tl2br w:val="nil"/>
              <w:tr2bl w:val="nil"/>
            </w:tcBorders>
            <w:shd w:val="clear" w:color="auto" w:fill="auto"/>
            <w:vAlign w:val="center"/>
          </w:tcPr>
          <w:p w14:paraId="7A313E3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5AB28EA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16B8AD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088110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w:t>
            </w:r>
          </w:p>
        </w:tc>
        <w:tc>
          <w:tcPr>
            <w:tcW w:w="1029" w:type="pct"/>
            <w:vMerge w:val="continue"/>
            <w:tcBorders>
              <w:tl2br w:val="nil"/>
              <w:tr2bl w:val="nil"/>
            </w:tcBorders>
            <w:shd w:val="clear" w:color="auto" w:fill="auto"/>
            <w:noWrap/>
            <w:vAlign w:val="center"/>
          </w:tcPr>
          <w:p w14:paraId="51EE366A">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8609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07E6950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w:t>
            </w:r>
          </w:p>
        </w:tc>
        <w:tc>
          <w:tcPr>
            <w:tcW w:w="900" w:type="pct"/>
            <w:tcBorders>
              <w:tl2br w:val="nil"/>
              <w:tr2bl w:val="nil"/>
            </w:tcBorders>
            <w:shd w:val="clear" w:color="auto" w:fill="auto"/>
            <w:vAlign w:val="center"/>
          </w:tcPr>
          <w:p w14:paraId="0F89469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2C9F85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11/11/11</w:t>
            </w:r>
          </w:p>
        </w:tc>
        <w:tc>
          <w:tcPr>
            <w:tcW w:w="559" w:type="pct"/>
            <w:tcBorders>
              <w:tl2br w:val="nil"/>
              <w:tr2bl w:val="nil"/>
            </w:tcBorders>
            <w:shd w:val="clear" w:color="auto" w:fill="auto"/>
            <w:vAlign w:val="center"/>
          </w:tcPr>
          <w:p w14:paraId="2352A7F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715FB48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337" w:type="pct"/>
            <w:tcBorders>
              <w:tl2br w:val="nil"/>
              <w:tr2bl w:val="nil"/>
            </w:tcBorders>
            <w:shd w:val="clear" w:color="auto" w:fill="auto"/>
            <w:vAlign w:val="center"/>
          </w:tcPr>
          <w:p w14:paraId="7BAC9BB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75C150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029" w:type="pct"/>
            <w:vMerge w:val="restart"/>
            <w:tcBorders>
              <w:tl2br w:val="nil"/>
              <w:tr2bl w:val="nil"/>
            </w:tcBorders>
            <w:shd w:val="clear" w:color="auto" w:fill="auto"/>
            <w:noWrap/>
            <w:vAlign w:val="center"/>
          </w:tcPr>
          <w:p w14:paraId="4F55691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天山区东门街道</w:t>
            </w:r>
          </w:p>
        </w:tc>
      </w:tr>
      <w:tr w14:paraId="4816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FB02EB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w:t>
            </w:r>
          </w:p>
        </w:tc>
        <w:tc>
          <w:tcPr>
            <w:tcW w:w="900" w:type="pct"/>
            <w:tcBorders>
              <w:tl2br w:val="nil"/>
              <w:tr2bl w:val="nil"/>
            </w:tcBorders>
            <w:shd w:val="clear" w:color="auto" w:fill="auto"/>
            <w:vAlign w:val="center"/>
          </w:tcPr>
          <w:p w14:paraId="0D8218B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4E6801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559" w:type="pct"/>
            <w:tcBorders>
              <w:tl2br w:val="nil"/>
              <w:tr2bl w:val="nil"/>
            </w:tcBorders>
            <w:shd w:val="clear" w:color="auto" w:fill="auto"/>
            <w:vAlign w:val="center"/>
          </w:tcPr>
          <w:p w14:paraId="247803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5D503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800kg</w:t>
            </w:r>
          </w:p>
        </w:tc>
        <w:tc>
          <w:tcPr>
            <w:tcW w:w="337" w:type="pct"/>
            <w:tcBorders>
              <w:tl2br w:val="nil"/>
              <w:tr2bl w:val="nil"/>
            </w:tcBorders>
            <w:shd w:val="clear" w:color="auto" w:fill="auto"/>
            <w:vAlign w:val="center"/>
          </w:tcPr>
          <w:p w14:paraId="5944C0D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580058F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1D9B95B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7518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63EC90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w:t>
            </w:r>
          </w:p>
        </w:tc>
        <w:tc>
          <w:tcPr>
            <w:tcW w:w="900" w:type="pct"/>
            <w:tcBorders>
              <w:tl2br w:val="nil"/>
              <w:tr2bl w:val="nil"/>
            </w:tcBorders>
            <w:shd w:val="clear" w:color="auto" w:fill="auto"/>
            <w:vAlign w:val="center"/>
          </w:tcPr>
          <w:p w14:paraId="35BE11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81E451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559" w:type="pct"/>
            <w:tcBorders>
              <w:tl2br w:val="nil"/>
              <w:tr2bl w:val="nil"/>
            </w:tcBorders>
            <w:shd w:val="clear" w:color="auto" w:fill="auto"/>
            <w:vAlign w:val="center"/>
          </w:tcPr>
          <w:p w14:paraId="114486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79EF8A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2A547E2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46D5F7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6E6843F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39BD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4CBF7F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w:t>
            </w:r>
          </w:p>
        </w:tc>
        <w:tc>
          <w:tcPr>
            <w:tcW w:w="900" w:type="pct"/>
            <w:tcBorders>
              <w:tl2br w:val="nil"/>
              <w:tr2bl w:val="nil"/>
            </w:tcBorders>
            <w:shd w:val="clear" w:color="auto" w:fill="auto"/>
            <w:vAlign w:val="center"/>
          </w:tcPr>
          <w:p w14:paraId="03B6CEF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85A559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13/12/12</w:t>
            </w:r>
          </w:p>
        </w:tc>
        <w:tc>
          <w:tcPr>
            <w:tcW w:w="559" w:type="pct"/>
            <w:tcBorders>
              <w:tl2br w:val="nil"/>
              <w:tr2bl w:val="nil"/>
            </w:tcBorders>
            <w:shd w:val="clear" w:color="auto" w:fill="auto"/>
            <w:vAlign w:val="center"/>
          </w:tcPr>
          <w:p w14:paraId="78400D2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5D8572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337" w:type="pct"/>
            <w:tcBorders>
              <w:tl2br w:val="nil"/>
              <w:tr2bl w:val="nil"/>
            </w:tcBorders>
            <w:shd w:val="clear" w:color="auto" w:fill="auto"/>
            <w:vAlign w:val="center"/>
          </w:tcPr>
          <w:p w14:paraId="4B78FAB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451C76B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6A52CF5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E62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2A9FC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w:t>
            </w:r>
          </w:p>
        </w:tc>
        <w:tc>
          <w:tcPr>
            <w:tcW w:w="900" w:type="pct"/>
            <w:tcBorders>
              <w:tl2br w:val="nil"/>
              <w:tr2bl w:val="nil"/>
            </w:tcBorders>
            <w:shd w:val="clear" w:color="auto" w:fill="auto"/>
            <w:vAlign w:val="center"/>
          </w:tcPr>
          <w:p w14:paraId="567BE8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4A9BC8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15/14/14</w:t>
            </w:r>
          </w:p>
        </w:tc>
        <w:tc>
          <w:tcPr>
            <w:tcW w:w="559" w:type="pct"/>
            <w:tcBorders>
              <w:tl2br w:val="nil"/>
              <w:tr2bl w:val="nil"/>
            </w:tcBorders>
            <w:shd w:val="clear" w:color="auto" w:fill="auto"/>
            <w:vAlign w:val="center"/>
          </w:tcPr>
          <w:p w14:paraId="6D63B9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5D1B3D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3B38D9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67982DE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restart"/>
            <w:tcBorders>
              <w:tl2br w:val="nil"/>
              <w:tr2bl w:val="nil"/>
            </w:tcBorders>
            <w:shd w:val="clear" w:color="auto" w:fill="auto"/>
            <w:noWrap/>
            <w:vAlign w:val="center"/>
          </w:tcPr>
          <w:p w14:paraId="4026F4B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天山区和平路街道</w:t>
            </w:r>
          </w:p>
        </w:tc>
      </w:tr>
      <w:tr w14:paraId="66BA7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01BE33D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w:t>
            </w:r>
          </w:p>
        </w:tc>
        <w:tc>
          <w:tcPr>
            <w:tcW w:w="900" w:type="pct"/>
            <w:tcBorders>
              <w:tl2br w:val="nil"/>
              <w:tr2bl w:val="nil"/>
            </w:tcBorders>
            <w:shd w:val="clear" w:color="auto" w:fill="auto"/>
            <w:vAlign w:val="center"/>
          </w:tcPr>
          <w:p w14:paraId="5EFC5C5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2FD825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559" w:type="pct"/>
            <w:tcBorders>
              <w:tl2br w:val="nil"/>
              <w:tr2bl w:val="nil"/>
            </w:tcBorders>
            <w:shd w:val="clear" w:color="auto" w:fill="auto"/>
            <w:vAlign w:val="center"/>
          </w:tcPr>
          <w:p w14:paraId="6B0EB3A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162D0E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39AE09D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346D635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0C75881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7BB41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4CB1EBF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w:t>
            </w:r>
          </w:p>
        </w:tc>
        <w:tc>
          <w:tcPr>
            <w:tcW w:w="900" w:type="pct"/>
            <w:tcBorders>
              <w:tl2br w:val="nil"/>
              <w:tr2bl w:val="nil"/>
            </w:tcBorders>
            <w:shd w:val="clear" w:color="auto" w:fill="auto"/>
            <w:vAlign w:val="center"/>
          </w:tcPr>
          <w:p w14:paraId="4477D8F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0F740A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559" w:type="pct"/>
            <w:tcBorders>
              <w:tl2br w:val="nil"/>
              <w:tr2bl w:val="nil"/>
            </w:tcBorders>
            <w:shd w:val="clear" w:color="auto" w:fill="auto"/>
            <w:vAlign w:val="center"/>
          </w:tcPr>
          <w:p w14:paraId="385365B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21F4FA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337" w:type="pct"/>
            <w:tcBorders>
              <w:tl2br w:val="nil"/>
              <w:tr2bl w:val="nil"/>
            </w:tcBorders>
            <w:shd w:val="clear" w:color="auto" w:fill="auto"/>
            <w:vAlign w:val="center"/>
          </w:tcPr>
          <w:p w14:paraId="729E7F1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1229DFD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029" w:type="pct"/>
            <w:vMerge w:val="restart"/>
            <w:tcBorders>
              <w:tl2br w:val="nil"/>
              <w:tr2bl w:val="nil"/>
            </w:tcBorders>
            <w:shd w:val="clear" w:color="auto" w:fill="auto"/>
            <w:noWrap/>
            <w:vAlign w:val="center"/>
          </w:tcPr>
          <w:p w14:paraId="7CDAC0F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天山区黑甲山街道</w:t>
            </w:r>
          </w:p>
        </w:tc>
      </w:tr>
      <w:tr w14:paraId="49ADC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5152CE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20</w:t>
            </w:r>
          </w:p>
        </w:tc>
        <w:tc>
          <w:tcPr>
            <w:tcW w:w="900" w:type="pct"/>
            <w:tcBorders>
              <w:tl2br w:val="nil"/>
              <w:tr2bl w:val="nil"/>
            </w:tcBorders>
            <w:shd w:val="clear" w:color="auto" w:fill="auto"/>
            <w:vAlign w:val="center"/>
          </w:tcPr>
          <w:p w14:paraId="1F975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8B610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559" w:type="pct"/>
            <w:tcBorders>
              <w:tl2br w:val="nil"/>
              <w:tr2bl w:val="nil"/>
            </w:tcBorders>
            <w:shd w:val="clear" w:color="auto" w:fill="auto"/>
            <w:vAlign w:val="center"/>
          </w:tcPr>
          <w:p w14:paraId="160A89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2839F3E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337" w:type="pct"/>
            <w:tcBorders>
              <w:tl2br w:val="nil"/>
              <w:tr2bl w:val="nil"/>
            </w:tcBorders>
            <w:shd w:val="clear" w:color="auto" w:fill="auto"/>
            <w:vAlign w:val="center"/>
          </w:tcPr>
          <w:p w14:paraId="78D390D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2131C9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10F9A60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9B42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65E92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21</w:t>
            </w:r>
          </w:p>
        </w:tc>
        <w:tc>
          <w:tcPr>
            <w:tcW w:w="900" w:type="pct"/>
            <w:tcBorders>
              <w:tl2br w:val="nil"/>
              <w:tr2bl w:val="nil"/>
            </w:tcBorders>
            <w:shd w:val="clear" w:color="auto" w:fill="auto"/>
            <w:vAlign w:val="center"/>
          </w:tcPr>
          <w:p w14:paraId="77C5284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FAE14E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19/16/16</w:t>
            </w:r>
          </w:p>
        </w:tc>
        <w:tc>
          <w:tcPr>
            <w:tcW w:w="559" w:type="pct"/>
            <w:tcBorders>
              <w:tl2br w:val="nil"/>
              <w:tr2bl w:val="nil"/>
            </w:tcBorders>
            <w:shd w:val="clear" w:color="auto" w:fill="auto"/>
            <w:vAlign w:val="center"/>
          </w:tcPr>
          <w:p w14:paraId="1BD779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3FD2FC1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825kg</w:t>
            </w:r>
          </w:p>
        </w:tc>
        <w:tc>
          <w:tcPr>
            <w:tcW w:w="337" w:type="pct"/>
            <w:tcBorders>
              <w:tl2br w:val="nil"/>
              <w:tr2bl w:val="nil"/>
            </w:tcBorders>
            <w:shd w:val="clear" w:color="auto" w:fill="auto"/>
            <w:vAlign w:val="center"/>
          </w:tcPr>
          <w:p w14:paraId="37D2A27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21CBAF3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3A872E9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6E1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653BC6D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22</w:t>
            </w:r>
          </w:p>
        </w:tc>
        <w:tc>
          <w:tcPr>
            <w:tcW w:w="900" w:type="pct"/>
            <w:tcBorders>
              <w:tl2br w:val="nil"/>
              <w:tr2bl w:val="nil"/>
            </w:tcBorders>
            <w:shd w:val="clear" w:color="auto" w:fill="auto"/>
            <w:vAlign w:val="center"/>
          </w:tcPr>
          <w:p w14:paraId="035E955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F725E0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18/15/15</w:t>
            </w:r>
          </w:p>
        </w:tc>
        <w:tc>
          <w:tcPr>
            <w:tcW w:w="559" w:type="pct"/>
            <w:tcBorders>
              <w:tl2br w:val="nil"/>
              <w:tr2bl w:val="nil"/>
            </w:tcBorders>
            <w:shd w:val="clear" w:color="auto" w:fill="auto"/>
            <w:vAlign w:val="center"/>
          </w:tcPr>
          <w:p w14:paraId="72980FD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6D08AD5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095955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1D89C6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1ED52FF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F008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811620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23</w:t>
            </w:r>
          </w:p>
        </w:tc>
        <w:tc>
          <w:tcPr>
            <w:tcW w:w="900" w:type="pct"/>
            <w:tcBorders>
              <w:tl2br w:val="nil"/>
              <w:tr2bl w:val="nil"/>
            </w:tcBorders>
            <w:shd w:val="clear" w:color="auto" w:fill="auto"/>
            <w:vAlign w:val="center"/>
          </w:tcPr>
          <w:p w14:paraId="08FA63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6D269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11/10/10</w:t>
            </w:r>
          </w:p>
        </w:tc>
        <w:tc>
          <w:tcPr>
            <w:tcW w:w="559" w:type="pct"/>
            <w:tcBorders>
              <w:tl2br w:val="nil"/>
              <w:tr2bl w:val="nil"/>
            </w:tcBorders>
            <w:shd w:val="clear" w:color="auto" w:fill="auto"/>
            <w:vAlign w:val="center"/>
          </w:tcPr>
          <w:p w14:paraId="6350E7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DCA1E1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630kg</w:t>
            </w:r>
          </w:p>
        </w:tc>
        <w:tc>
          <w:tcPr>
            <w:tcW w:w="337" w:type="pct"/>
            <w:tcBorders>
              <w:tl2br w:val="nil"/>
              <w:tr2bl w:val="nil"/>
            </w:tcBorders>
            <w:shd w:val="clear" w:color="auto" w:fill="auto"/>
            <w:vAlign w:val="center"/>
          </w:tcPr>
          <w:p w14:paraId="1FE458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1FC35F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restart"/>
            <w:tcBorders>
              <w:tl2br w:val="nil"/>
              <w:tr2bl w:val="nil"/>
            </w:tcBorders>
            <w:shd w:val="clear" w:color="auto" w:fill="auto"/>
            <w:noWrap/>
            <w:vAlign w:val="center"/>
          </w:tcPr>
          <w:p w14:paraId="69A8174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天山区团结路街道</w:t>
            </w:r>
          </w:p>
        </w:tc>
      </w:tr>
      <w:tr w14:paraId="1A9E8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023BFD0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24</w:t>
            </w:r>
          </w:p>
        </w:tc>
        <w:tc>
          <w:tcPr>
            <w:tcW w:w="900" w:type="pct"/>
            <w:tcBorders>
              <w:tl2br w:val="nil"/>
              <w:tr2bl w:val="nil"/>
            </w:tcBorders>
            <w:shd w:val="clear" w:color="auto" w:fill="auto"/>
            <w:vAlign w:val="center"/>
          </w:tcPr>
          <w:p w14:paraId="64F4583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599C1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559" w:type="pct"/>
            <w:tcBorders>
              <w:tl2br w:val="nil"/>
              <w:tr2bl w:val="nil"/>
            </w:tcBorders>
            <w:shd w:val="clear" w:color="auto" w:fill="auto"/>
            <w:vAlign w:val="center"/>
          </w:tcPr>
          <w:p w14:paraId="33B4347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40866A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203AD07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3AC67AA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1A74627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BCC3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1D8356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25</w:t>
            </w:r>
          </w:p>
        </w:tc>
        <w:tc>
          <w:tcPr>
            <w:tcW w:w="900" w:type="pct"/>
            <w:tcBorders>
              <w:tl2br w:val="nil"/>
              <w:tr2bl w:val="nil"/>
            </w:tcBorders>
            <w:shd w:val="clear" w:color="auto" w:fill="auto"/>
            <w:vAlign w:val="center"/>
          </w:tcPr>
          <w:p w14:paraId="094EB3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4A3752B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559" w:type="pct"/>
            <w:tcBorders>
              <w:tl2br w:val="nil"/>
              <w:tr2bl w:val="nil"/>
            </w:tcBorders>
            <w:shd w:val="clear" w:color="auto" w:fill="auto"/>
            <w:vAlign w:val="center"/>
          </w:tcPr>
          <w:p w14:paraId="1A648E6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758EC0D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77B08E7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3E236B8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4</w:t>
            </w:r>
          </w:p>
        </w:tc>
        <w:tc>
          <w:tcPr>
            <w:tcW w:w="1029" w:type="pct"/>
            <w:vMerge w:val="continue"/>
            <w:tcBorders>
              <w:tl2br w:val="nil"/>
              <w:tr2bl w:val="nil"/>
            </w:tcBorders>
            <w:shd w:val="clear" w:color="auto" w:fill="auto"/>
            <w:noWrap/>
            <w:vAlign w:val="center"/>
          </w:tcPr>
          <w:p w14:paraId="42DB3BF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54E0A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D587E8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26</w:t>
            </w:r>
          </w:p>
        </w:tc>
        <w:tc>
          <w:tcPr>
            <w:tcW w:w="900" w:type="pct"/>
            <w:tcBorders>
              <w:tl2br w:val="nil"/>
              <w:tr2bl w:val="nil"/>
            </w:tcBorders>
            <w:shd w:val="clear" w:color="auto" w:fill="auto"/>
            <w:vAlign w:val="center"/>
          </w:tcPr>
          <w:p w14:paraId="00643E2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2DF81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26/26/26</w:t>
            </w:r>
          </w:p>
        </w:tc>
        <w:tc>
          <w:tcPr>
            <w:tcW w:w="559" w:type="pct"/>
            <w:tcBorders>
              <w:tl2br w:val="nil"/>
              <w:tr2bl w:val="nil"/>
            </w:tcBorders>
            <w:shd w:val="clear" w:color="auto" w:fill="auto"/>
            <w:vAlign w:val="center"/>
          </w:tcPr>
          <w:p w14:paraId="67F4323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684DF79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74B3CA7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4D59F3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2FB22F8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A128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00573D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27</w:t>
            </w:r>
          </w:p>
        </w:tc>
        <w:tc>
          <w:tcPr>
            <w:tcW w:w="900" w:type="pct"/>
            <w:tcBorders>
              <w:tl2br w:val="nil"/>
              <w:tr2bl w:val="nil"/>
            </w:tcBorders>
            <w:shd w:val="clear" w:color="auto" w:fill="auto"/>
            <w:vAlign w:val="center"/>
          </w:tcPr>
          <w:p w14:paraId="62197E0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14B2BC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12/12/12</w:t>
            </w:r>
          </w:p>
        </w:tc>
        <w:tc>
          <w:tcPr>
            <w:tcW w:w="559" w:type="pct"/>
            <w:tcBorders>
              <w:tl2br w:val="nil"/>
              <w:tr2bl w:val="nil"/>
            </w:tcBorders>
            <w:shd w:val="clear" w:color="auto" w:fill="auto"/>
            <w:vAlign w:val="center"/>
          </w:tcPr>
          <w:p w14:paraId="45EB487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4B34CF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63CEB11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549E5D9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restart"/>
            <w:tcBorders>
              <w:tl2br w:val="nil"/>
              <w:tr2bl w:val="nil"/>
            </w:tcBorders>
            <w:shd w:val="clear" w:color="auto" w:fill="auto"/>
            <w:noWrap/>
            <w:vAlign w:val="center"/>
          </w:tcPr>
          <w:p w14:paraId="084DCC2D">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天山区幸福路街道</w:t>
            </w:r>
          </w:p>
        </w:tc>
      </w:tr>
      <w:tr w14:paraId="118A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51B040A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28</w:t>
            </w:r>
          </w:p>
        </w:tc>
        <w:tc>
          <w:tcPr>
            <w:tcW w:w="900" w:type="pct"/>
            <w:tcBorders>
              <w:tl2br w:val="nil"/>
              <w:tr2bl w:val="nil"/>
            </w:tcBorders>
            <w:shd w:val="clear" w:color="auto" w:fill="auto"/>
            <w:vAlign w:val="center"/>
          </w:tcPr>
          <w:p w14:paraId="1E91D28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F7D9FB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14/14/14</w:t>
            </w:r>
          </w:p>
        </w:tc>
        <w:tc>
          <w:tcPr>
            <w:tcW w:w="559" w:type="pct"/>
            <w:tcBorders>
              <w:tl2br w:val="nil"/>
              <w:tr2bl w:val="nil"/>
            </w:tcBorders>
            <w:shd w:val="clear" w:color="auto" w:fill="auto"/>
            <w:vAlign w:val="center"/>
          </w:tcPr>
          <w:p w14:paraId="3A8C4FF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161A36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5C67CB0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42F6072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w:t>
            </w:r>
          </w:p>
        </w:tc>
        <w:tc>
          <w:tcPr>
            <w:tcW w:w="1029" w:type="pct"/>
            <w:vMerge w:val="continue"/>
            <w:tcBorders>
              <w:tl2br w:val="nil"/>
              <w:tr2bl w:val="nil"/>
            </w:tcBorders>
            <w:shd w:val="clear" w:color="auto" w:fill="auto"/>
            <w:noWrap/>
            <w:vAlign w:val="center"/>
          </w:tcPr>
          <w:p w14:paraId="030AADD9">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0F79A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635E9F4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29</w:t>
            </w:r>
          </w:p>
        </w:tc>
        <w:tc>
          <w:tcPr>
            <w:tcW w:w="900" w:type="pct"/>
            <w:tcBorders>
              <w:tl2br w:val="nil"/>
              <w:tr2bl w:val="nil"/>
            </w:tcBorders>
            <w:shd w:val="clear" w:color="auto" w:fill="auto"/>
            <w:vAlign w:val="center"/>
          </w:tcPr>
          <w:p w14:paraId="154686E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584FC6A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16/16/16</w:t>
            </w:r>
          </w:p>
        </w:tc>
        <w:tc>
          <w:tcPr>
            <w:tcW w:w="559" w:type="pct"/>
            <w:tcBorders>
              <w:tl2br w:val="nil"/>
              <w:tr2bl w:val="nil"/>
            </w:tcBorders>
            <w:shd w:val="clear" w:color="auto" w:fill="auto"/>
            <w:vAlign w:val="center"/>
          </w:tcPr>
          <w:p w14:paraId="3C99A60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51CFB7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1000kg</w:t>
            </w:r>
          </w:p>
        </w:tc>
        <w:tc>
          <w:tcPr>
            <w:tcW w:w="337" w:type="pct"/>
            <w:tcBorders>
              <w:tl2br w:val="nil"/>
              <w:tr2bl w:val="nil"/>
            </w:tcBorders>
            <w:shd w:val="clear" w:color="auto" w:fill="auto"/>
            <w:vAlign w:val="center"/>
          </w:tcPr>
          <w:p w14:paraId="347DE5C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1981E7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514007B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40C8D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7E95F78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30</w:t>
            </w:r>
          </w:p>
        </w:tc>
        <w:tc>
          <w:tcPr>
            <w:tcW w:w="900" w:type="pct"/>
            <w:tcBorders>
              <w:tl2br w:val="nil"/>
              <w:tr2bl w:val="nil"/>
            </w:tcBorders>
            <w:shd w:val="clear" w:color="auto" w:fill="auto"/>
            <w:vAlign w:val="center"/>
          </w:tcPr>
          <w:p w14:paraId="301C4DD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6BB5C7F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17/17/17</w:t>
            </w:r>
          </w:p>
        </w:tc>
        <w:tc>
          <w:tcPr>
            <w:tcW w:w="559" w:type="pct"/>
            <w:tcBorders>
              <w:tl2br w:val="nil"/>
              <w:tr2bl w:val="nil"/>
            </w:tcBorders>
            <w:shd w:val="clear" w:color="auto" w:fill="auto"/>
            <w:vAlign w:val="center"/>
          </w:tcPr>
          <w:p w14:paraId="36FDEEB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8D8FD4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4B0584F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7C20D19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2</w:t>
            </w:r>
          </w:p>
        </w:tc>
        <w:tc>
          <w:tcPr>
            <w:tcW w:w="1029" w:type="pct"/>
            <w:vMerge w:val="continue"/>
            <w:tcBorders>
              <w:tl2br w:val="nil"/>
              <w:tr2bl w:val="nil"/>
            </w:tcBorders>
            <w:shd w:val="clear" w:color="auto" w:fill="auto"/>
            <w:noWrap/>
            <w:vAlign w:val="center"/>
          </w:tcPr>
          <w:p w14:paraId="3B86B394">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19F5E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31EB169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31</w:t>
            </w:r>
          </w:p>
        </w:tc>
        <w:tc>
          <w:tcPr>
            <w:tcW w:w="900" w:type="pct"/>
            <w:tcBorders>
              <w:tl2br w:val="nil"/>
              <w:tr2bl w:val="nil"/>
            </w:tcBorders>
            <w:shd w:val="clear" w:color="auto" w:fill="auto"/>
            <w:vAlign w:val="center"/>
          </w:tcPr>
          <w:p w14:paraId="650669C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083707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18/17/17</w:t>
            </w:r>
          </w:p>
        </w:tc>
        <w:tc>
          <w:tcPr>
            <w:tcW w:w="559" w:type="pct"/>
            <w:tcBorders>
              <w:tl2br w:val="nil"/>
              <w:tr2bl w:val="nil"/>
            </w:tcBorders>
            <w:shd w:val="clear" w:color="auto" w:fill="auto"/>
            <w:vAlign w:val="center"/>
          </w:tcPr>
          <w:p w14:paraId="2C26BC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4D6E4E6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24BAA9A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6C4431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w:t>
            </w:r>
          </w:p>
        </w:tc>
        <w:tc>
          <w:tcPr>
            <w:tcW w:w="1029" w:type="pct"/>
            <w:vMerge w:val="continue"/>
            <w:tcBorders>
              <w:tl2br w:val="nil"/>
              <w:tr2bl w:val="nil"/>
            </w:tcBorders>
            <w:shd w:val="clear" w:color="auto" w:fill="auto"/>
            <w:noWrap/>
            <w:vAlign w:val="center"/>
          </w:tcPr>
          <w:p w14:paraId="3E721BC7">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r w14:paraId="2005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38" w:hRule="atLeast"/>
        </w:trPr>
        <w:tc>
          <w:tcPr>
            <w:tcW w:w="338" w:type="pct"/>
            <w:tcBorders>
              <w:tl2br w:val="nil"/>
              <w:tr2bl w:val="nil"/>
            </w:tcBorders>
            <w:shd w:val="clear" w:color="auto" w:fill="auto"/>
            <w:vAlign w:val="center"/>
          </w:tcPr>
          <w:p w14:paraId="6E1B238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32</w:t>
            </w:r>
          </w:p>
        </w:tc>
        <w:tc>
          <w:tcPr>
            <w:tcW w:w="900" w:type="pct"/>
            <w:tcBorders>
              <w:tl2br w:val="nil"/>
              <w:tr2bl w:val="nil"/>
            </w:tcBorders>
            <w:shd w:val="clear" w:color="auto" w:fill="auto"/>
            <w:vAlign w:val="center"/>
          </w:tcPr>
          <w:p w14:paraId="6FCD964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小机房乘客电梯</w:t>
            </w:r>
          </w:p>
        </w:tc>
        <w:tc>
          <w:tcPr>
            <w:tcW w:w="737" w:type="pct"/>
            <w:tcBorders>
              <w:tl2br w:val="nil"/>
              <w:tr2bl w:val="nil"/>
            </w:tcBorders>
            <w:shd w:val="clear" w:color="auto" w:fill="auto"/>
            <w:vAlign w:val="center"/>
          </w:tcPr>
          <w:p w14:paraId="6F00AE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18/18/18</w:t>
            </w:r>
          </w:p>
        </w:tc>
        <w:tc>
          <w:tcPr>
            <w:tcW w:w="559" w:type="pct"/>
            <w:tcBorders>
              <w:tl2br w:val="nil"/>
              <w:tr2bl w:val="nil"/>
            </w:tcBorders>
            <w:shd w:val="clear" w:color="auto" w:fill="auto"/>
            <w:vAlign w:val="center"/>
          </w:tcPr>
          <w:p w14:paraId="37E1717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1.75m/s</w:t>
            </w:r>
          </w:p>
        </w:tc>
        <w:tc>
          <w:tcPr>
            <w:tcW w:w="535" w:type="pct"/>
            <w:tcBorders>
              <w:tl2br w:val="nil"/>
              <w:tr2bl w:val="nil"/>
            </w:tcBorders>
            <w:shd w:val="clear" w:color="auto" w:fill="auto"/>
            <w:vAlign w:val="center"/>
          </w:tcPr>
          <w:p w14:paraId="017CDD1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1050kg</w:t>
            </w:r>
          </w:p>
        </w:tc>
        <w:tc>
          <w:tcPr>
            <w:tcW w:w="337" w:type="pct"/>
            <w:tcBorders>
              <w:tl2br w:val="nil"/>
              <w:tr2bl w:val="nil"/>
            </w:tcBorders>
            <w:shd w:val="clear" w:color="auto" w:fill="auto"/>
            <w:vAlign w:val="center"/>
          </w:tcPr>
          <w:p w14:paraId="5821E90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台</w:t>
            </w:r>
          </w:p>
        </w:tc>
        <w:tc>
          <w:tcPr>
            <w:tcW w:w="559" w:type="pct"/>
            <w:tcBorders>
              <w:tl2br w:val="nil"/>
              <w:tr2bl w:val="nil"/>
            </w:tcBorders>
            <w:shd w:val="clear" w:color="auto" w:fill="auto"/>
            <w:noWrap/>
            <w:vAlign w:val="center"/>
          </w:tcPr>
          <w:p w14:paraId="721C545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sz w:val="18"/>
                <w:szCs w:val="18"/>
                <w:highlight w:val="none"/>
                <w:u w:val="none"/>
              </w:rPr>
            </w:pPr>
            <w:r>
              <w:rPr>
                <w:rFonts w:hint="eastAsia" w:ascii="方正仿宋_GB2312" w:hAnsi="方正仿宋_GB2312" w:eastAsia="方正仿宋_GB2312" w:cs="方正仿宋_GB2312"/>
                <w:i w:val="0"/>
                <w:iCs w:val="0"/>
                <w:color w:val="auto"/>
                <w:kern w:val="0"/>
                <w:sz w:val="18"/>
                <w:szCs w:val="18"/>
                <w:highlight w:val="none"/>
                <w:u w:val="none"/>
                <w:lang w:val="en-US" w:eastAsia="zh-CN" w:bidi="ar"/>
              </w:rPr>
              <w:t>7</w:t>
            </w:r>
          </w:p>
        </w:tc>
        <w:tc>
          <w:tcPr>
            <w:tcW w:w="1029" w:type="pct"/>
            <w:vMerge w:val="continue"/>
            <w:tcBorders>
              <w:tl2br w:val="nil"/>
              <w:tr2bl w:val="nil"/>
            </w:tcBorders>
            <w:shd w:val="clear" w:color="auto" w:fill="auto"/>
            <w:noWrap/>
            <w:vAlign w:val="center"/>
          </w:tcPr>
          <w:p w14:paraId="65088842">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p>
        </w:tc>
      </w:tr>
    </w:tbl>
    <w:p w14:paraId="1E881B32">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color w:val="auto"/>
          <w:sz w:val="24"/>
          <w:szCs w:val="24"/>
          <w:highlight w:val="none"/>
        </w:rPr>
        <w:t>标项一、标项二</w:t>
      </w:r>
      <w:r>
        <w:rPr>
          <w:rFonts w:hint="eastAsia" w:ascii="仿宋" w:hAnsi="仿宋" w:eastAsia="仿宋" w:cs="仿宋"/>
          <w:b/>
          <w:color w:val="auto"/>
          <w:sz w:val="24"/>
          <w:szCs w:val="24"/>
          <w:highlight w:val="none"/>
          <w:lang w:eastAsia="zh-CN"/>
        </w:rPr>
        <w:t>的</w:t>
      </w:r>
      <w:r>
        <w:rPr>
          <w:rFonts w:hint="eastAsia" w:ascii="仿宋" w:hAnsi="仿宋" w:eastAsia="仿宋" w:cs="仿宋"/>
          <w:b/>
          <w:color w:val="auto"/>
          <w:sz w:val="24"/>
          <w:szCs w:val="24"/>
          <w:highlight w:val="none"/>
        </w:rPr>
        <w:t>商务要求</w:t>
      </w:r>
      <w:bookmarkEnd w:id="33"/>
    </w:p>
    <w:p w14:paraId="7E89071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1、合同履约期限</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自合同签订之日起至质保期结束止。其中电梯更换拆除、交货、安装调试并运行在合同签订</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3个月内完成。</w:t>
      </w:r>
    </w:p>
    <w:p w14:paraId="6109349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交货地点：</w:t>
      </w:r>
      <w:r>
        <w:rPr>
          <w:rFonts w:hint="eastAsia" w:ascii="仿宋" w:hAnsi="仿宋" w:eastAsia="仿宋" w:cs="仿宋"/>
          <w:color w:val="auto"/>
          <w:sz w:val="24"/>
          <w:szCs w:val="24"/>
          <w:highlight w:val="none"/>
        </w:rPr>
        <w:t>采购人指定地点。</w:t>
      </w:r>
    </w:p>
    <w:p w14:paraId="4A49B99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p>
    <w:p w14:paraId="37EC63C5">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val="0"/>
          <w:bCs w:val="0"/>
          <w:color w:val="auto"/>
          <w:sz w:val="24"/>
          <w:szCs w:val="24"/>
          <w:highlight w:val="none"/>
          <w:vertAlign w:val="baseline"/>
          <w:lang w:val="en-US" w:eastAsia="zh-CN"/>
        </w:rPr>
        <w:t>合同签订后5个工作日内，</w:t>
      </w:r>
      <w:r>
        <w:rPr>
          <w:rFonts w:hint="eastAsia" w:ascii="仿宋" w:hAnsi="仿宋" w:eastAsia="仿宋" w:cs="仿宋"/>
          <w:color w:val="auto"/>
          <w:sz w:val="24"/>
          <w:szCs w:val="24"/>
          <w:highlight w:val="none"/>
          <w:lang w:val="en-US" w:eastAsia="zh-CN"/>
        </w:rPr>
        <w:t>乙方缴纳合同金额5%的履约保证金（政府采购法律法规规定及采购人接受的形式（由中、农、工、建、交行等银行出具）），合同期满解付履约保证金保函。</w:t>
      </w:r>
    </w:p>
    <w:p w14:paraId="19266CD0">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1、合同签订且乙方完成现场勘察、提交施工方案并经甲方确认后10个工作日内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eastAsia="zh-CN"/>
        </w:rPr>
        <w:t>合同金额</w:t>
      </w:r>
      <w:r>
        <w:rPr>
          <w:rFonts w:hint="eastAsia" w:ascii="仿宋" w:hAnsi="仿宋" w:eastAsia="仿宋" w:cs="仿宋"/>
          <w:color w:val="auto"/>
          <w:sz w:val="24"/>
          <w:szCs w:val="24"/>
          <w:highlight w:val="none"/>
        </w:rPr>
        <w:t>的30%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货物到达甲方指定地点、</w:t>
      </w:r>
      <w:r>
        <w:rPr>
          <w:rFonts w:hint="eastAsia" w:ascii="仿宋" w:hAnsi="仿宋" w:eastAsia="仿宋" w:cs="仿宋"/>
          <w:color w:val="auto"/>
          <w:sz w:val="24"/>
          <w:szCs w:val="24"/>
          <w:highlight w:val="none"/>
        </w:rPr>
        <w:t>安装完毕</w:t>
      </w:r>
      <w:r>
        <w:rPr>
          <w:rFonts w:hint="eastAsia" w:ascii="仿宋" w:hAnsi="仿宋" w:eastAsia="仿宋" w:cs="仿宋"/>
          <w:color w:val="auto"/>
          <w:sz w:val="24"/>
          <w:szCs w:val="24"/>
          <w:highlight w:val="none"/>
          <w:lang w:val="en-US" w:eastAsia="zh-CN"/>
        </w:rPr>
        <w:t>并经甲方及特种设备监管部门</w:t>
      </w:r>
      <w:r>
        <w:rPr>
          <w:rFonts w:hint="eastAsia" w:ascii="仿宋" w:hAnsi="仿宋" w:eastAsia="仿宋" w:cs="仿宋"/>
          <w:color w:val="auto"/>
          <w:sz w:val="24"/>
          <w:szCs w:val="24"/>
          <w:highlight w:val="none"/>
        </w:rPr>
        <w:t>验收</w:t>
      </w:r>
      <w:r>
        <w:rPr>
          <w:rFonts w:hint="eastAsia" w:ascii="仿宋" w:hAnsi="仿宋" w:eastAsia="仿宋" w:cs="仿宋"/>
          <w:color w:val="auto"/>
          <w:sz w:val="24"/>
          <w:szCs w:val="24"/>
          <w:highlight w:val="none"/>
          <w:lang w:val="en-US" w:eastAsia="zh-CN"/>
        </w:rPr>
        <w:t>合格</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且</w:t>
      </w:r>
      <w:r>
        <w:rPr>
          <w:rFonts w:hint="eastAsia" w:ascii="仿宋" w:hAnsi="仿宋" w:eastAsia="仿宋" w:cs="仿宋"/>
          <w:color w:val="auto"/>
          <w:sz w:val="24"/>
          <w:szCs w:val="24"/>
          <w:highlight w:val="none"/>
        </w:rPr>
        <w:t>取得特种设备使用登记证交付甲方使用后 10天内，甲方支付至</w:t>
      </w:r>
      <w:r>
        <w:rPr>
          <w:rFonts w:hint="eastAsia" w:ascii="仿宋" w:hAnsi="仿宋" w:eastAsia="仿宋" w:cs="仿宋"/>
          <w:color w:val="auto"/>
          <w:sz w:val="24"/>
          <w:szCs w:val="24"/>
          <w:highlight w:val="none"/>
          <w:lang w:eastAsia="zh-CN"/>
        </w:rPr>
        <w:t>合同总价的</w:t>
      </w:r>
      <w:r>
        <w:rPr>
          <w:rFonts w:hint="eastAsia" w:ascii="仿宋" w:hAnsi="仿宋" w:eastAsia="仿宋" w:cs="仿宋"/>
          <w:color w:val="auto"/>
          <w:sz w:val="24"/>
          <w:szCs w:val="24"/>
          <w:highlight w:val="none"/>
          <w:lang w:val="en-US" w:eastAsia="zh-CN"/>
        </w:rPr>
        <w:t>97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；质保期到期后支付剩余合同总价的</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p>
    <w:p w14:paraId="0426A27E">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超长期特别国债资金补助。按照更新方式实施的，1-9层每台电梯定额补贴10万元、10-18层每台电梯定额补贴15万元、19层（含）及以上每台电梯定额补贴20万元，</w:t>
      </w:r>
      <w:r>
        <w:rPr>
          <w:rFonts w:hint="eastAsia" w:ascii="仿宋" w:hAnsi="仿宋" w:eastAsia="仿宋" w:cs="仿宋"/>
          <w:color w:val="auto"/>
          <w:sz w:val="24"/>
          <w:szCs w:val="24"/>
          <w:highlight w:val="none"/>
          <w:lang w:val="en-US" w:eastAsia="zh-CN"/>
        </w:rPr>
        <w:t>补贴</w:t>
      </w:r>
      <w:r>
        <w:rPr>
          <w:rFonts w:hint="eastAsia" w:ascii="仿宋" w:hAnsi="仿宋" w:eastAsia="仿宋" w:cs="仿宋"/>
          <w:color w:val="auto"/>
          <w:sz w:val="24"/>
          <w:szCs w:val="24"/>
          <w:highlight w:val="none"/>
        </w:rPr>
        <w:t>到账后，甲方按上述付款节点同比例支付</w:t>
      </w:r>
      <w:r>
        <w:rPr>
          <w:rFonts w:hint="eastAsia" w:ascii="仿宋" w:hAnsi="仿宋" w:eastAsia="仿宋" w:cs="仿宋"/>
          <w:color w:val="auto"/>
          <w:sz w:val="24"/>
          <w:szCs w:val="24"/>
          <w:highlight w:val="none"/>
          <w:lang w:eastAsia="zh-CN"/>
        </w:rPr>
        <w:t>。</w:t>
      </w:r>
    </w:p>
    <w:p w14:paraId="7D7BF7B3">
      <w:pPr>
        <w:keepNext w:val="0"/>
        <w:keepLines w:val="0"/>
        <w:pageBreakBefore w:val="0"/>
        <w:widowControl w:val="0"/>
        <w:kinsoku/>
        <w:wordWrap/>
        <w:overflowPunct/>
        <w:topLinePunct w:val="0"/>
        <w:autoSpaceDE/>
        <w:autoSpaceDN/>
        <w:bidi w:val="0"/>
        <w:snapToGrid/>
        <w:spacing w:line="440" w:lineRule="atLeast"/>
        <w:ind w:left="0" w:leftChars="0" w:righ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2、乙方按照政府相关部门要求，</w:t>
      </w:r>
      <w:r>
        <w:rPr>
          <w:rFonts w:hint="eastAsia" w:ascii="仿宋" w:hAnsi="仿宋" w:eastAsia="仿宋" w:cs="仿宋"/>
          <w:color w:val="auto"/>
          <w:sz w:val="24"/>
          <w:szCs w:val="24"/>
          <w:highlight w:val="none"/>
          <w:lang w:eastAsia="zh-CN"/>
        </w:rPr>
        <w:t>甲方支付上述任何一笔款项前，乙方应提供符合甲方财务做账要求的正规增值税（专用/普通）发票</w:t>
      </w:r>
      <w:r>
        <w:rPr>
          <w:rFonts w:hint="eastAsia" w:ascii="仿宋" w:hAnsi="仿宋" w:eastAsia="仿宋" w:cs="仿宋"/>
          <w:color w:val="auto"/>
          <w:sz w:val="24"/>
          <w:szCs w:val="24"/>
          <w:highlight w:val="none"/>
        </w:rPr>
        <w:t>。如开具虚假发票或不合格发票，甲方有权拒收并要求乙方重新开具，同时乙方需按发票金额的 10% 向甲方支付违约金</w:t>
      </w:r>
      <w:r>
        <w:rPr>
          <w:rFonts w:hint="eastAsia" w:ascii="仿宋" w:hAnsi="仿宋" w:eastAsia="仿宋" w:cs="仿宋"/>
          <w:color w:val="auto"/>
          <w:sz w:val="24"/>
          <w:szCs w:val="24"/>
          <w:highlight w:val="none"/>
          <w:lang w:eastAsia="zh-CN"/>
        </w:rPr>
        <w:t>。</w:t>
      </w:r>
    </w:p>
    <w:p w14:paraId="48F8AD3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4、质保期</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szCs w:val="24"/>
          <w:highlight w:val="none"/>
        </w:rPr>
        <w:t>本合同项下的货物质保期五年，电梯责任险一年（具体要求详见第四章）。须提供承诺，格式自拟。</w:t>
      </w:r>
    </w:p>
    <w:p w14:paraId="14772F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5、培训：</w:t>
      </w:r>
      <w:r>
        <w:rPr>
          <w:rFonts w:hint="default" w:ascii="仿宋" w:hAnsi="仿宋" w:eastAsia="仿宋" w:cs="仿宋"/>
          <w:b w:val="0"/>
          <w:bCs w:val="0"/>
          <w:color w:val="auto"/>
          <w:sz w:val="24"/>
          <w:szCs w:val="24"/>
          <w:highlight w:val="none"/>
          <w:lang w:val="en-US" w:eastAsia="zh-CN"/>
        </w:rPr>
        <w:t>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w:t>
      </w:r>
    </w:p>
    <w:p w14:paraId="027921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6、售后服务：</w:t>
      </w:r>
      <w:r>
        <w:rPr>
          <w:rFonts w:hint="eastAsia" w:ascii="仿宋" w:hAnsi="仿宋" w:eastAsia="仿宋" w:cs="仿宋"/>
          <w:b w:val="0"/>
          <w:bCs w:val="0"/>
          <w:color w:val="auto"/>
          <w:sz w:val="24"/>
          <w:szCs w:val="24"/>
          <w:highlight w:val="none"/>
          <w:lang w:val="en-US" w:eastAsia="zh-CN"/>
        </w:rPr>
        <w:t>制定详细售后服务计划，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405A406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7、</w:t>
      </w:r>
      <w:r>
        <w:rPr>
          <w:rFonts w:hint="eastAsia" w:ascii="仿宋" w:hAnsi="仿宋" w:eastAsia="仿宋" w:cs="仿宋"/>
          <w:b/>
          <w:bCs/>
          <w:color w:val="auto"/>
          <w:sz w:val="24"/>
          <w:szCs w:val="24"/>
          <w:highlight w:val="none"/>
          <w:lang w:val="en-US" w:eastAsia="zh-CN"/>
        </w:rPr>
        <w:t>质量标准：</w:t>
      </w:r>
      <w:r>
        <w:rPr>
          <w:rFonts w:hint="eastAsia" w:ascii="仿宋" w:hAnsi="仿宋" w:eastAsia="仿宋" w:cs="仿宋"/>
          <w:b w:val="0"/>
          <w:bCs w:val="0"/>
          <w:color w:val="auto"/>
          <w:sz w:val="24"/>
          <w:szCs w:val="24"/>
          <w:highlight w:val="none"/>
          <w:lang w:eastAsia="zh-CN"/>
        </w:rPr>
        <w:t>质量符合国家、地方和行业相关标准和规范。</w:t>
      </w:r>
    </w:p>
    <w:p w14:paraId="163E4D1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8、</w:t>
      </w:r>
      <w:r>
        <w:rPr>
          <w:rFonts w:hint="eastAsia" w:ascii="仿宋" w:hAnsi="仿宋" w:eastAsia="仿宋" w:cs="仿宋"/>
          <w:b/>
          <w:bCs/>
          <w:color w:val="auto"/>
          <w:sz w:val="24"/>
          <w:szCs w:val="24"/>
          <w:highlight w:val="none"/>
          <w:lang w:val="en-US"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、严格按照招标文件要求和中标</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投标文件内容进行验收。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p w14:paraId="49572D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9、其他要求：</w:t>
      </w:r>
    </w:p>
    <w:p w14:paraId="2CE8B80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、技术文件：提供全套的操作手册及维修手册、光盘等，如有密码，则密码开放。</w:t>
      </w:r>
    </w:p>
    <w:p w14:paraId="2EAAFF88">
      <w:pPr>
        <w:keepNext w:val="0"/>
        <w:keepLines w:val="0"/>
        <w:widowControl/>
        <w:numPr>
          <w:ilvl w:val="0"/>
          <w:numId w:val="0"/>
        </w:numPr>
        <w:suppressLineNumbers w:val="0"/>
        <w:spacing w:line="360" w:lineRule="auto"/>
        <w:ind w:firstLine="480" w:firstLineChars="200"/>
        <w:outlineLvl w:val="9"/>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2）、本项目为交钥匙工程包括设计、采购、施工、安装调试等全部工作</w:t>
      </w:r>
      <w:r>
        <w:rPr>
          <w:rFonts w:hint="eastAsia" w:ascii="仿宋" w:hAnsi="仿宋" w:eastAsia="仿宋" w:cs="仿宋"/>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具体以现场勘察情况为准。</w:t>
      </w:r>
    </w:p>
    <w:p w14:paraId="5CD48FF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3）、如需接入信息化相关系统的产生所有费用，由投标人承担，提供承诺函，格式自拟。</w:t>
      </w:r>
    </w:p>
    <w:p w14:paraId="5C0267E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★4)、本项目合同条款不允许偏离。</w:t>
      </w:r>
    </w:p>
    <w:p w14:paraId="755A75B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★5)、同一标项同一投标人只能选择一个电梯品牌投标，即同一标项同一投标人所投所有电梯均为同一品牌，否则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39AC1BB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p>
    <w:p w14:paraId="4DBAB8B4">
      <w:pPr>
        <w:pStyle w:val="18"/>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p>
    <w:p w14:paraId="36CD12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w:t>
      </w:r>
      <w:r>
        <w:rPr>
          <w:rFonts w:hint="eastAsia" w:ascii="仿宋" w:hAnsi="仿宋" w:eastAsia="仿宋" w:cs="仿宋"/>
          <w:b w:val="0"/>
          <w:bCs w:val="0"/>
          <w:color w:val="auto"/>
          <w:sz w:val="24"/>
          <w:szCs w:val="24"/>
          <w:highlight w:val="none"/>
          <w:lang w:val="en-US" w:eastAsia="zh-CN"/>
        </w:rPr>
        <w:t>检测机构出具的检测报告为准。</w:t>
      </w:r>
    </w:p>
    <w:p w14:paraId="135AE7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sz w:val="24"/>
          <w:szCs w:val="24"/>
          <w:highlight w:val="none"/>
          <w:lang w:val="en-US" w:eastAsia="zh-CN"/>
        </w:rPr>
        <w:t>编制响应文件时，投标人应详细列出所投产品的品牌、型号、配置参数及所投产品的技术支持资料。</w:t>
      </w:r>
    </w:p>
    <w:p w14:paraId="005F6227">
      <w:pPr>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br w:type="page"/>
      </w:r>
    </w:p>
    <w:p w14:paraId="1C238429">
      <w:pPr>
        <w:pStyle w:val="2"/>
        <w:numPr>
          <w:ilvl w:val="0"/>
          <w:numId w:val="1"/>
        </w:numPr>
        <w:jc w:val="center"/>
        <w:rPr>
          <w:rFonts w:ascii="仿宋" w:hAnsi="仿宋" w:eastAsia="仿宋" w:cs="仿宋_GB2312"/>
          <w:color w:val="auto"/>
          <w:sz w:val="32"/>
          <w:szCs w:val="32"/>
          <w:highlight w:val="none"/>
        </w:rPr>
      </w:pPr>
      <w:bookmarkStart w:id="34" w:name="_Toc12889"/>
      <w:r>
        <w:rPr>
          <w:rFonts w:hint="eastAsia" w:ascii="仿宋" w:hAnsi="仿宋" w:eastAsia="仿宋" w:cs="仿宋_GB2312"/>
          <w:color w:val="auto"/>
          <w:sz w:val="32"/>
          <w:szCs w:val="32"/>
          <w:highlight w:val="none"/>
        </w:rPr>
        <w:t>评标程序、评标方法和评标标准</w:t>
      </w:r>
      <w:bookmarkEnd w:id="34"/>
    </w:p>
    <w:p w14:paraId="26FB5882">
      <w:pPr>
        <w:pStyle w:val="50"/>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color w:val="auto"/>
          <w:kern w:val="2"/>
          <w:sz w:val="24"/>
          <w:szCs w:val="24"/>
          <w:highlight w:val="none"/>
          <w:shd w:val="clear"/>
          <w:lang w:val="en-US" w:eastAsia="zh-CN" w:bidi="ar-SA"/>
        </w:rPr>
      </w:pPr>
      <w:bookmarkStart w:id="35" w:name="_Toc27440"/>
      <w:bookmarkStart w:id="36" w:name="_Toc27045"/>
      <w:r>
        <w:rPr>
          <w:rFonts w:hint="eastAsia" w:ascii="仿宋" w:hAnsi="仿宋" w:eastAsia="仿宋" w:cs="仿宋_GB2312"/>
          <w:iCs w:val="0"/>
          <w:color w:val="auto"/>
          <w:kern w:val="2"/>
          <w:sz w:val="24"/>
          <w:szCs w:val="24"/>
          <w:highlight w:val="none"/>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4"/>
        </w:numPr>
        <w:spacing w:line="500" w:lineRule="exact"/>
        <w:outlineLvl w:val="1"/>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评标方法</w:t>
      </w:r>
      <w:bookmarkEnd w:id="35"/>
      <w:bookmarkEnd w:id="36"/>
      <w:r>
        <w:rPr>
          <w:rFonts w:hint="eastAsia" w:ascii="仿宋" w:hAnsi="仿宋" w:eastAsia="仿宋" w:cs="仿宋_GB2312"/>
          <w:b/>
          <w:bCs/>
          <w:color w:val="auto"/>
          <w:sz w:val="24"/>
          <w:highlight w:val="none"/>
        </w:rPr>
        <w:t xml:space="preserve"> </w:t>
      </w:r>
    </w:p>
    <w:p w14:paraId="2ADD8052">
      <w:pPr>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本项目采用综合评分法，是指投标文件满足招标文件全部实质性要求，且按照评审因素的量化指标评审得分最高的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为中标候选人的评标方法。</w:t>
      </w:r>
    </w:p>
    <w:p w14:paraId="28E5ECD0">
      <w:pPr>
        <w:numPr>
          <w:ilvl w:val="0"/>
          <w:numId w:val="14"/>
        </w:numPr>
        <w:spacing w:line="500" w:lineRule="exact"/>
        <w:outlineLvl w:val="1"/>
        <w:rPr>
          <w:rFonts w:ascii="仿宋" w:hAnsi="仿宋" w:eastAsia="仿宋" w:cs="仿宋_GB2312"/>
          <w:b/>
          <w:bCs/>
          <w:color w:val="auto"/>
          <w:sz w:val="24"/>
          <w:highlight w:val="none"/>
        </w:rPr>
      </w:pPr>
      <w:bookmarkStart w:id="37" w:name="_Toc12617"/>
      <w:bookmarkStart w:id="38" w:name="_Toc14780"/>
      <w:r>
        <w:rPr>
          <w:rFonts w:hint="eastAsia" w:ascii="仿宋" w:hAnsi="仿宋" w:eastAsia="仿宋" w:cs="仿宋_GB2312"/>
          <w:b/>
          <w:bCs/>
          <w:color w:val="auto"/>
          <w:sz w:val="24"/>
          <w:highlight w:val="none"/>
        </w:rPr>
        <w:t>评标原则</w:t>
      </w:r>
      <w:bookmarkEnd w:id="37"/>
      <w:bookmarkEnd w:id="38"/>
    </w:p>
    <w:p w14:paraId="6B83DC4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color w:val="auto"/>
          <w:sz w:val="24"/>
          <w:highlight w:val="none"/>
        </w:rPr>
      </w:pPr>
      <w:r>
        <w:rPr>
          <w:rFonts w:hint="eastAsia" w:ascii="仿宋" w:hAnsi="仿宋" w:eastAsia="仿宋" w:cs="仿宋_GB2312"/>
          <w:color w:val="auto"/>
          <w:sz w:val="24"/>
          <w:highlight w:val="none"/>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w:t>
      </w:r>
    </w:p>
    <w:p w14:paraId="4D148331">
      <w:pPr>
        <w:numPr>
          <w:ilvl w:val="0"/>
          <w:numId w:val="14"/>
        </w:numPr>
        <w:spacing w:line="500" w:lineRule="exact"/>
        <w:outlineLvl w:val="1"/>
        <w:rPr>
          <w:rFonts w:ascii="仿宋" w:hAnsi="仿宋" w:eastAsia="仿宋" w:cs="仿宋_GB2312"/>
          <w:b/>
          <w:bCs/>
          <w:color w:val="auto"/>
          <w:sz w:val="24"/>
          <w:highlight w:val="none"/>
        </w:rPr>
      </w:pPr>
      <w:bookmarkStart w:id="39" w:name="_Toc11000"/>
      <w:bookmarkStart w:id="40" w:name="_Toc6046"/>
      <w:r>
        <w:rPr>
          <w:rFonts w:hint="eastAsia" w:ascii="仿宋" w:hAnsi="仿宋" w:eastAsia="仿宋" w:cs="仿宋_GB2312"/>
          <w:b/>
          <w:bCs/>
          <w:color w:val="auto"/>
          <w:sz w:val="24"/>
          <w:highlight w:val="none"/>
        </w:rPr>
        <w:t>资格审查</w:t>
      </w:r>
      <w:bookmarkEnd w:id="39"/>
      <w:bookmarkEnd w:id="40"/>
    </w:p>
    <w:p w14:paraId="3DC80E69">
      <w:pPr>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_GB2312"/>
          <w:color w:val="auto"/>
          <w:sz w:val="24"/>
          <w:highlight w:val="none"/>
        </w:rPr>
        <w:t>开标结束后，采购人或采购代理机构将根据《资格审查要求》中的规定，对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进行资格审查，以确定</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按</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处理，不进入符合性审查。</w:t>
      </w:r>
      <w:r>
        <w:rPr>
          <w:rFonts w:hint="eastAsia" w:ascii="仿宋" w:hAnsi="仿宋" w:eastAsia="仿宋" w:cs="仿宋_GB2312"/>
          <w:color w:val="auto"/>
          <w:sz w:val="24"/>
          <w:highlight w:val="none"/>
          <w:lang w:val="en-US" w:eastAsia="zh-CN"/>
        </w:rPr>
        <w:t xml:space="preserve">资格审查合格的投标人不足 </w:t>
      </w:r>
      <w:r>
        <w:rPr>
          <w:rFonts w:hint="default" w:ascii="仿宋" w:hAnsi="仿宋" w:eastAsia="仿宋" w:cs="仿宋_GB2312"/>
          <w:color w:val="auto"/>
          <w:sz w:val="24"/>
          <w:highlight w:val="none"/>
          <w:lang w:val="en-US" w:eastAsia="zh-CN"/>
        </w:rPr>
        <w:t xml:space="preserve">3 </w:t>
      </w:r>
      <w:r>
        <w:rPr>
          <w:rFonts w:hint="eastAsia" w:ascii="仿宋" w:hAnsi="仿宋" w:eastAsia="仿宋" w:cs="仿宋_GB2312"/>
          <w:color w:val="auto"/>
          <w:sz w:val="24"/>
          <w:highlight w:val="none"/>
          <w:lang w:val="en-US" w:eastAsia="zh-CN"/>
        </w:rPr>
        <w:t>家的，应当终止采购活动，发布项目终止公告并说明原因，重新开展采购活动</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资格审查要求如下：</w:t>
      </w:r>
    </w:p>
    <w:p w14:paraId="337F5ED0">
      <w:pPr>
        <w:spacing w:line="500" w:lineRule="exact"/>
        <w:jc w:val="center"/>
        <w:rPr>
          <w:rFonts w:hint="eastAsia" w:ascii="仿宋" w:hAnsi="仿宋" w:eastAsia="仿宋" w:cs="仿宋_GB2312"/>
          <w:b/>
          <w:bCs/>
          <w:color w:val="auto"/>
          <w:sz w:val="24"/>
          <w:highlight w:val="none"/>
          <w:lang w:eastAsia="zh-CN"/>
        </w:rPr>
      </w:pPr>
      <w:r>
        <w:rPr>
          <w:rFonts w:hint="eastAsia" w:ascii="仿宋" w:hAnsi="仿宋" w:eastAsia="仿宋" w:cs="仿宋_GB2312"/>
          <w:b/>
          <w:bCs/>
          <w:color w:val="auto"/>
          <w:sz w:val="24"/>
          <w:highlight w:val="none"/>
        </w:rPr>
        <w:t>资格审查要求</w:t>
      </w:r>
      <w:r>
        <w:rPr>
          <w:rFonts w:hint="eastAsia" w:ascii="仿宋" w:hAnsi="仿宋" w:eastAsia="仿宋" w:cs="仿宋_GB2312"/>
          <w:b/>
          <w:bCs/>
          <w:color w:val="auto"/>
          <w:sz w:val="24"/>
          <w:highlight w:val="none"/>
          <w:lang w:eastAsia="zh-CN"/>
        </w:rPr>
        <w:t>（</w:t>
      </w:r>
      <w:r>
        <w:rPr>
          <w:rFonts w:hint="eastAsia" w:ascii="仿宋" w:hAnsi="仿宋" w:eastAsia="仿宋" w:cs="仿宋_GB2312"/>
          <w:b/>
          <w:bCs/>
          <w:color w:val="auto"/>
          <w:sz w:val="24"/>
          <w:highlight w:val="none"/>
          <w:lang w:val="en-US" w:eastAsia="zh-CN"/>
        </w:rPr>
        <w:t>适用于标项1、2</w:t>
      </w:r>
      <w:r>
        <w:rPr>
          <w:rFonts w:hint="eastAsia" w:ascii="仿宋" w:hAnsi="仿宋" w:eastAsia="仿宋" w:cs="仿宋_GB2312"/>
          <w:b/>
          <w:bCs/>
          <w:color w:val="auto"/>
          <w:sz w:val="24"/>
          <w:highlight w:val="none"/>
          <w:lang w:eastAsia="zh-CN"/>
        </w:rPr>
        <w:t>）</w:t>
      </w:r>
    </w:p>
    <w:tbl>
      <w:tblPr>
        <w:tblStyle w:val="29"/>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934"/>
        <w:gridCol w:w="4234"/>
        <w:gridCol w:w="3051"/>
      </w:tblGrid>
      <w:tr w14:paraId="5B5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40" w:type="dxa"/>
            <w:vAlign w:val="center"/>
          </w:tcPr>
          <w:p w14:paraId="13881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950" w:type="dxa"/>
            <w:vAlign w:val="center"/>
          </w:tcPr>
          <w:p w14:paraId="6D4587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326" w:type="dxa"/>
            <w:vAlign w:val="center"/>
          </w:tcPr>
          <w:p w14:paraId="55B349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审查要求</w:t>
            </w:r>
          </w:p>
        </w:tc>
        <w:tc>
          <w:tcPr>
            <w:tcW w:w="2942" w:type="dxa"/>
            <w:vAlign w:val="center"/>
          </w:tcPr>
          <w:p w14:paraId="6E757D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lang w:val="en-US" w:eastAsia="zh-CN"/>
              </w:rPr>
              <w:t>要求说明</w:t>
            </w:r>
          </w:p>
        </w:tc>
      </w:tr>
      <w:tr w14:paraId="67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440" w:type="dxa"/>
            <w:vAlign w:val="center"/>
          </w:tcPr>
          <w:p w14:paraId="3DBC95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950" w:type="dxa"/>
            <w:vAlign w:val="center"/>
          </w:tcPr>
          <w:p w14:paraId="24A037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4326"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7A8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2942" w:type="dxa"/>
            <w:vAlign w:val="center"/>
          </w:tcPr>
          <w:p w14:paraId="6DA9E5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7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6" w:hRule="atLeast"/>
          <w:jc w:val="center"/>
        </w:trPr>
        <w:tc>
          <w:tcPr>
            <w:tcW w:w="440" w:type="dxa"/>
            <w:vAlign w:val="center"/>
          </w:tcPr>
          <w:p w14:paraId="3369FD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950" w:type="dxa"/>
            <w:vAlign w:val="center"/>
          </w:tcPr>
          <w:p w14:paraId="2BE71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4326" w:type="dxa"/>
            <w:vAlign w:val="center"/>
          </w:tcPr>
          <w:p w14:paraId="5CC4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2942" w:type="dxa"/>
            <w:vAlign w:val="center"/>
          </w:tcPr>
          <w:p w14:paraId="5FA5E5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65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440" w:type="dxa"/>
            <w:vAlign w:val="center"/>
          </w:tcPr>
          <w:p w14:paraId="356EC0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950" w:type="dxa"/>
            <w:vAlign w:val="center"/>
          </w:tcPr>
          <w:p w14:paraId="71EF6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4326" w:type="dxa"/>
            <w:vAlign w:val="center"/>
          </w:tcPr>
          <w:p w14:paraId="304619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2942" w:type="dxa"/>
            <w:vAlign w:val="center"/>
          </w:tcPr>
          <w:p w14:paraId="6C0242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0A0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440" w:type="dxa"/>
            <w:vAlign w:val="center"/>
          </w:tcPr>
          <w:p w14:paraId="3DB833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950" w:type="dxa"/>
            <w:vAlign w:val="center"/>
          </w:tcPr>
          <w:p w14:paraId="015250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4326" w:type="dxa"/>
            <w:vAlign w:val="center"/>
          </w:tcPr>
          <w:p w14:paraId="717852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26653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2942" w:type="dxa"/>
            <w:vAlign w:val="center"/>
          </w:tcPr>
          <w:p w14:paraId="0BC421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76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440" w:type="dxa"/>
            <w:vAlign w:val="center"/>
          </w:tcPr>
          <w:p w14:paraId="4FCE43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950" w:type="dxa"/>
            <w:vAlign w:val="center"/>
          </w:tcPr>
          <w:p w14:paraId="7C2DA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4326" w:type="dxa"/>
            <w:vAlign w:val="center"/>
          </w:tcPr>
          <w:p w14:paraId="6AB69A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2942" w:type="dxa"/>
            <w:vAlign w:val="center"/>
          </w:tcPr>
          <w:p w14:paraId="1424A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05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440" w:type="dxa"/>
            <w:vAlign w:val="center"/>
          </w:tcPr>
          <w:p w14:paraId="51C7CF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950" w:type="dxa"/>
            <w:vAlign w:val="center"/>
          </w:tcPr>
          <w:p w14:paraId="4263F4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落实政府采购政策的资格要求</w:t>
            </w:r>
          </w:p>
        </w:tc>
        <w:tc>
          <w:tcPr>
            <w:tcW w:w="4326" w:type="dxa"/>
            <w:vAlign w:val="center"/>
          </w:tcPr>
          <w:p w14:paraId="5F9411D3">
            <w:pPr>
              <w:pStyle w:val="27"/>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kern w:val="2"/>
                <w:sz w:val="21"/>
                <w:szCs w:val="21"/>
                <w:highlight w:val="none"/>
                <w:vertAlign w:val="baseline"/>
                <w:lang w:val="en-US" w:eastAsia="zh-CN" w:bidi="ar-SA"/>
              </w:rPr>
              <w:t>本标项预留部分采购项目预算专门面向中小企业采购。对于预留份额，提供的货物由符合政策要求的中小企业或财库〔2014〕68号文规定的企业或残疾人福利性单位所制造，服务或工程由符合政策要求的中小企业或财库〔2014〕68号文规定的企业或残疾人福利性单位承接；具体要求如下：由中小企业所制造的货物、中小企业所承接服务或工程任意一项或多项之和至少达到合同金额的30%，这其中预留小微企业所承担的比例不低于100%（即至少达本标项合同金额的30%）。如本项目（标项）允许分包，投标人自主选择是否分包，且中小企业承担金额达到上述比例，否则投标无效。</w:t>
            </w:r>
          </w:p>
        </w:tc>
        <w:tc>
          <w:tcPr>
            <w:tcW w:w="2942" w:type="dxa"/>
            <w:vAlign w:val="center"/>
          </w:tcPr>
          <w:p w14:paraId="40EE0B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请根据要求提供《中小企业声明函》、《分包意向协议》。格式以采购文件要求为准，无格式自行拟定。</w:t>
            </w:r>
          </w:p>
        </w:tc>
      </w:tr>
      <w:tr w14:paraId="76D0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440" w:type="dxa"/>
            <w:shd w:val="clear" w:color="auto" w:fill="auto"/>
            <w:vAlign w:val="center"/>
          </w:tcPr>
          <w:p w14:paraId="7AB6F3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950" w:type="dxa"/>
            <w:shd w:val="clear" w:color="auto" w:fill="auto"/>
            <w:vAlign w:val="center"/>
          </w:tcPr>
          <w:p w14:paraId="32F4E9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特定资格要求（1）</w:t>
            </w:r>
          </w:p>
        </w:tc>
        <w:tc>
          <w:tcPr>
            <w:tcW w:w="4326" w:type="dxa"/>
            <w:vAlign w:val="center"/>
          </w:tcPr>
          <w:p w14:paraId="2AB94F8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①供应商为投标货物经销商的，须具有有效的《中华人民共和国特种设备生产许可证》电梯安装（含修理）；②供应商为投标货物制造商的，须具有有效的《中华人民共和国特种设备生产许可证》电梯制造（含安装、修理、改造）。③若分包，分包供应商需具备有效的《中华人民共和国特种设备生产许可证》电梯安装（含修理）或《中华人民共和国特种设备生产许可证》电梯制造（含安装、修理、改造）</w:t>
            </w:r>
          </w:p>
        </w:tc>
        <w:tc>
          <w:tcPr>
            <w:tcW w:w="2942" w:type="dxa"/>
            <w:vAlign w:val="center"/>
          </w:tcPr>
          <w:p w14:paraId="674D46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根据所投产品，上传对应的资格文件扫描件加盖电子印章。如果是联合体投标，联合体各方均需提供。</w:t>
            </w:r>
          </w:p>
        </w:tc>
      </w:tr>
      <w:tr w14:paraId="1B1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1" w:hRule="atLeast"/>
          <w:jc w:val="center"/>
        </w:trPr>
        <w:tc>
          <w:tcPr>
            <w:tcW w:w="440" w:type="dxa"/>
            <w:shd w:val="clear" w:color="auto" w:fill="auto"/>
            <w:vAlign w:val="center"/>
          </w:tcPr>
          <w:p w14:paraId="5682EA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950" w:type="dxa"/>
            <w:shd w:val="clear" w:color="auto" w:fill="auto"/>
            <w:vAlign w:val="center"/>
          </w:tcPr>
          <w:p w14:paraId="5C52A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特定资格要求（2）</w:t>
            </w:r>
          </w:p>
        </w:tc>
        <w:tc>
          <w:tcPr>
            <w:tcW w:w="4326" w:type="dxa"/>
            <w:shd w:val="clear" w:color="auto" w:fill="auto"/>
            <w:vAlign w:val="center"/>
          </w:tcPr>
          <w:p w14:paraId="176BF2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2942" w:type="dxa"/>
            <w:shd w:val="clear" w:color="auto" w:fill="auto"/>
            <w:vAlign w:val="center"/>
          </w:tcPr>
          <w:p w14:paraId="578B7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color w:val="auto"/>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09CE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40" w:type="dxa"/>
            <w:shd w:val="clear" w:color="auto" w:fill="auto"/>
            <w:vAlign w:val="center"/>
          </w:tcPr>
          <w:p w14:paraId="52FED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950" w:type="dxa"/>
            <w:shd w:val="clear" w:color="auto" w:fill="auto"/>
            <w:vAlign w:val="center"/>
          </w:tcPr>
          <w:p w14:paraId="7E7A8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特定资格要求（3）</w:t>
            </w:r>
          </w:p>
        </w:tc>
        <w:tc>
          <w:tcPr>
            <w:tcW w:w="4326" w:type="dxa"/>
            <w:shd w:val="clear" w:color="auto" w:fill="auto"/>
            <w:vAlign w:val="center"/>
          </w:tcPr>
          <w:p w14:paraId="41023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单位负责人为同一人或者存在直接控股、管理关系的不同供应商，不得同时参加本采购项目（或采购包）投标（响应）。</w:t>
            </w:r>
          </w:p>
        </w:tc>
        <w:tc>
          <w:tcPr>
            <w:tcW w:w="2942" w:type="dxa"/>
            <w:vAlign w:val="center"/>
          </w:tcPr>
          <w:p w14:paraId="41D0B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pacing w:val="0"/>
                <w:kern w:val="2"/>
                <w:sz w:val="21"/>
                <w:szCs w:val="21"/>
                <w:highlight w:val="none"/>
                <w:u w:val="none"/>
                <w:vertAlign w:val="baseline"/>
                <w:lang w:val="en-US" w:eastAsia="zh-CN" w:bidi="ar"/>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提供声明函，格式以招标文件要求为准，无格式自行拟定。</w:t>
            </w:r>
          </w:p>
        </w:tc>
      </w:tr>
      <w:tr w14:paraId="3F49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40" w:type="dxa"/>
            <w:shd w:val="clear" w:color="auto" w:fill="auto"/>
            <w:vAlign w:val="center"/>
          </w:tcPr>
          <w:p w14:paraId="15B3DB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10</w:t>
            </w:r>
          </w:p>
        </w:tc>
        <w:tc>
          <w:tcPr>
            <w:tcW w:w="950" w:type="dxa"/>
            <w:shd w:val="clear" w:color="auto" w:fill="auto"/>
            <w:vAlign w:val="center"/>
          </w:tcPr>
          <w:p w14:paraId="6D195C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特定资格要求（4）</w:t>
            </w:r>
          </w:p>
        </w:tc>
        <w:tc>
          <w:tcPr>
            <w:tcW w:w="4326" w:type="dxa"/>
            <w:shd w:val="clear" w:color="auto" w:fill="auto"/>
            <w:vAlign w:val="center"/>
          </w:tcPr>
          <w:p w14:paraId="306156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为本项目提供整体设计、规范编制或者项目管理、监理、检测等服务的供应商，不得再参与本项目投标（响应）。</w:t>
            </w:r>
          </w:p>
        </w:tc>
        <w:tc>
          <w:tcPr>
            <w:tcW w:w="2942" w:type="dxa"/>
            <w:vAlign w:val="center"/>
          </w:tcPr>
          <w:p w14:paraId="773717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pacing w:val="0"/>
                <w:kern w:val="2"/>
                <w:sz w:val="21"/>
                <w:szCs w:val="21"/>
                <w:highlight w:val="none"/>
                <w:u w:val="none"/>
                <w:vertAlign w:val="baseline"/>
                <w:lang w:val="en-US" w:eastAsia="zh-CN" w:bidi="ar"/>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提供声明函，格式以招标文件要求为准，无格式自行拟定。</w:t>
            </w:r>
          </w:p>
        </w:tc>
      </w:tr>
    </w:tbl>
    <w:p w14:paraId="02E048B9">
      <w:pPr>
        <w:numPr>
          <w:ilvl w:val="0"/>
          <w:numId w:val="14"/>
        </w:numPr>
        <w:spacing w:line="500" w:lineRule="exact"/>
        <w:outlineLvl w:val="1"/>
        <w:rPr>
          <w:rFonts w:ascii="仿宋" w:hAnsi="仿宋" w:eastAsia="仿宋" w:cs="仿宋_GB2312"/>
          <w:b/>
          <w:bCs/>
          <w:color w:val="auto"/>
          <w:sz w:val="24"/>
          <w:highlight w:val="none"/>
        </w:rPr>
      </w:pPr>
      <w:bookmarkStart w:id="41" w:name="_Toc10351"/>
      <w:bookmarkStart w:id="42" w:name="_Toc4337"/>
      <w:r>
        <w:rPr>
          <w:rFonts w:hint="eastAsia" w:ascii="仿宋" w:hAnsi="仿宋" w:eastAsia="仿宋" w:cs="仿宋_GB2312"/>
          <w:b/>
          <w:bCs/>
          <w:color w:val="auto"/>
          <w:sz w:val="24"/>
          <w:highlight w:val="none"/>
        </w:rPr>
        <w:t>符合性审查</w:t>
      </w:r>
      <w:bookmarkEnd w:id="41"/>
      <w:bookmarkEnd w:id="42"/>
    </w:p>
    <w:p w14:paraId="31FBA987">
      <w:pPr>
        <w:spacing w:line="500" w:lineRule="exact"/>
        <w:ind w:firstLine="480" w:firstLineChars="200"/>
        <w:rPr>
          <w:rFonts w:ascii="仿宋" w:hAnsi="仿宋" w:eastAsia="仿宋" w:cs="仿宋_GB2312"/>
          <w:color w:val="auto"/>
          <w:sz w:val="24"/>
          <w:highlight w:val="none"/>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color w:val="auto"/>
          <w:sz w:val="24"/>
          <w:highlight w:val="none"/>
        </w:rPr>
        <w:t>评标委员会根据《符合性审查要求》中规定的审查因素和审查内容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的投标文件是否实质上响应招标文件进行符合性审查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highlight w:val="none"/>
        </w:rPr>
        <w:t>符合性审查中凡有其中任意一项未通过的，评审结果为未通过，未通过符合性审查的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w:t>
      </w:r>
      <w:r>
        <w:rPr>
          <w:rFonts w:hint="eastAsia" w:ascii="仿宋" w:hAnsi="仿宋" w:eastAsia="仿宋" w:cs="仿宋"/>
          <w:b/>
          <w:bCs/>
          <w:color w:val="auto"/>
          <w:sz w:val="24"/>
          <w:highlight w:val="none"/>
        </w:rPr>
        <w:t>无效投标</w:t>
      </w:r>
      <w:r>
        <w:rPr>
          <w:rFonts w:hint="eastAsia" w:ascii="仿宋" w:hAnsi="仿宋" w:eastAsia="仿宋" w:cs="仿宋"/>
          <w:color w:val="auto"/>
          <w:sz w:val="24"/>
          <w:highlight w:val="none"/>
        </w:rPr>
        <w:t>处理，不进入详细评审</w:t>
      </w:r>
      <w:r>
        <w:rPr>
          <w:rFonts w:hint="eastAsia" w:ascii="仿宋" w:hAnsi="仿宋" w:eastAsia="仿宋" w:cs="仿宋_GB2312"/>
          <w:color w:val="auto"/>
          <w:sz w:val="24"/>
          <w:highlight w:val="none"/>
        </w:rPr>
        <w:t>。</w:t>
      </w:r>
      <w:r>
        <w:rPr>
          <w:rFonts w:hint="eastAsia" w:ascii="仿宋" w:hAnsi="仿宋" w:eastAsia="仿宋" w:cs="仿宋_GB2312"/>
          <w:color w:val="auto"/>
          <w:sz w:val="24"/>
          <w:highlight w:val="none"/>
          <w:lang w:val="en-US" w:eastAsia="zh-CN"/>
        </w:rPr>
        <w:t>通过</w:t>
      </w:r>
      <w:r>
        <w:rPr>
          <w:rFonts w:hint="eastAsia" w:ascii="仿宋" w:hAnsi="仿宋" w:eastAsia="仿宋" w:cs="仿宋_GB2312"/>
          <w:color w:val="auto"/>
          <w:sz w:val="24"/>
          <w:highlight w:val="none"/>
        </w:rPr>
        <w:t>符合性审查</w:t>
      </w:r>
      <w:r>
        <w:rPr>
          <w:rFonts w:hint="eastAsia" w:ascii="仿宋" w:hAnsi="仿宋" w:eastAsia="仿宋" w:cs="仿宋_GB2312"/>
          <w:color w:val="auto"/>
          <w:sz w:val="24"/>
          <w:highlight w:val="none"/>
          <w:lang w:val="en-US" w:eastAsia="zh-CN"/>
        </w:rPr>
        <w:t>的</w:t>
      </w:r>
      <w:r>
        <w:rPr>
          <w:rFonts w:hint="eastAsia" w:ascii="仿宋" w:hAnsi="仿宋" w:eastAsia="仿宋" w:cs="仿宋_GB2312"/>
          <w:color w:val="auto"/>
          <w:sz w:val="24"/>
          <w:highlight w:val="none"/>
        </w:rPr>
        <w:t>有效</w:t>
      </w:r>
      <w:r>
        <w:rPr>
          <w:rFonts w:hint="eastAsia" w:ascii="仿宋" w:hAnsi="仿宋" w:eastAsia="仿宋" w:cs="仿宋_GB2312"/>
          <w:color w:val="auto"/>
          <w:sz w:val="24"/>
          <w:highlight w:val="none"/>
          <w:lang w:eastAsia="zh-CN"/>
        </w:rPr>
        <w:t>供应商</w:t>
      </w:r>
      <w:r>
        <w:rPr>
          <w:rFonts w:hint="eastAsia" w:ascii="仿宋" w:hAnsi="仿宋" w:eastAsia="仿宋" w:cs="仿宋_GB2312"/>
          <w:color w:val="auto"/>
          <w:sz w:val="24"/>
          <w:highlight w:val="none"/>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符合性审查要求</w:t>
      </w:r>
      <w:r>
        <w:rPr>
          <w:rFonts w:hint="eastAsia" w:ascii="仿宋" w:hAnsi="仿宋" w:eastAsia="仿宋" w:cs="仿宋_GB2312"/>
          <w:b/>
          <w:bCs/>
          <w:color w:val="auto"/>
          <w:sz w:val="24"/>
          <w:highlight w:val="none"/>
          <w:lang w:eastAsia="zh-CN"/>
        </w:rPr>
        <w:t>（</w:t>
      </w:r>
      <w:r>
        <w:rPr>
          <w:rFonts w:hint="eastAsia" w:ascii="仿宋" w:hAnsi="仿宋" w:eastAsia="仿宋" w:cs="仿宋_GB2312"/>
          <w:b/>
          <w:bCs/>
          <w:color w:val="auto"/>
          <w:sz w:val="24"/>
          <w:highlight w:val="none"/>
          <w:lang w:val="en-US" w:eastAsia="zh-CN"/>
        </w:rPr>
        <w:t>适用于标项1、2</w:t>
      </w:r>
      <w:r>
        <w:rPr>
          <w:rFonts w:hint="eastAsia" w:ascii="仿宋" w:hAnsi="仿宋" w:eastAsia="仿宋" w:cs="仿宋_GB2312"/>
          <w:b/>
          <w:bCs/>
          <w:color w:val="auto"/>
          <w:sz w:val="24"/>
          <w:highlight w:val="none"/>
          <w:lang w:eastAsia="zh-CN"/>
        </w:rPr>
        <w:t>）</w:t>
      </w:r>
    </w:p>
    <w:tbl>
      <w:tblPr>
        <w:tblStyle w:val="29"/>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087"/>
        <w:gridCol w:w="3964"/>
        <w:gridCol w:w="3228"/>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08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3964"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228"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08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3964"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228"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08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3964"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228"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08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3964"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228"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08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3964"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228"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08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3964"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228"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6E0540E9">
            <w:pPr>
              <w:pStyle w:val="48"/>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087" w:type="dxa"/>
            <w:shd w:val="clear" w:color="auto" w:fill="auto"/>
            <w:vAlign w:val="center"/>
          </w:tcPr>
          <w:p w14:paraId="6299A6B7">
            <w:pPr>
              <w:pStyle w:val="48"/>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3964" w:type="dxa"/>
            <w:shd w:val="clear" w:color="auto" w:fill="auto"/>
            <w:vAlign w:val="center"/>
          </w:tcPr>
          <w:p w14:paraId="19CC8EA0">
            <w:pPr>
              <w:pStyle w:val="48"/>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color w:val="auto"/>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228"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color w:val="auto"/>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580334F7">
            <w:pPr>
              <w:pStyle w:val="48"/>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087" w:type="dxa"/>
            <w:shd w:val="clear" w:color="auto" w:fill="auto"/>
            <w:vAlign w:val="center"/>
          </w:tcPr>
          <w:p w14:paraId="0E00E8D1">
            <w:pPr>
              <w:pStyle w:val="48"/>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3964" w:type="dxa"/>
            <w:shd w:val="clear" w:color="auto" w:fill="auto"/>
            <w:vAlign w:val="center"/>
          </w:tcPr>
          <w:p w14:paraId="475E7670">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228"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02980FA8">
            <w:pPr>
              <w:pStyle w:val="48"/>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087" w:type="dxa"/>
            <w:shd w:val="clear" w:color="auto" w:fill="auto"/>
            <w:vAlign w:val="center"/>
          </w:tcPr>
          <w:p w14:paraId="7B70F5AC">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3964" w:type="dxa"/>
            <w:shd w:val="clear" w:color="auto" w:fill="auto"/>
            <w:vAlign w:val="center"/>
          </w:tcPr>
          <w:p w14:paraId="56ADC32B">
            <w:pPr>
              <w:pStyle w:val="48"/>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228"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08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3964" w:type="dxa"/>
            <w:shd w:val="clear" w:color="auto" w:fill="auto"/>
            <w:vAlign w:val="center"/>
          </w:tcPr>
          <w:p w14:paraId="245EAC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228"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087" w:type="dxa"/>
            <w:shd w:val="clear" w:color="auto" w:fill="auto"/>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3964" w:type="dxa"/>
            <w:shd w:val="clear" w:color="auto" w:fill="auto"/>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228" w:type="dxa"/>
            <w:shd w:val="clear" w:color="auto" w:fill="auto"/>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087" w:type="dxa"/>
            <w:shd w:val="clear" w:color="auto" w:fill="auto"/>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3964" w:type="dxa"/>
            <w:shd w:val="clear" w:color="auto" w:fill="auto"/>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228" w:type="dxa"/>
            <w:shd w:val="clear" w:color="auto" w:fill="auto"/>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08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3964"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228"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08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3964" w:type="dxa"/>
            <w:shd w:val="clear" w:color="auto" w:fill="auto"/>
            <w:vAlign w:val="center"/>
          </w:tcPr>
          <w:p w14:paraId="44C2B4E5">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评审中出现下列情形之一的，评审委员会应当启动异常低价投标（响应）审查程序： </w:t>
            </w:r>
          </w:p>
          <w:p w14:paraId="52A02F84">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1）.投标（响应）报价低于全部通过符合性审查供应商投标（响应）报价平均值50%的，即投标（响应）报价&lt;全部通过符合性审查供应商投标（响应）报价平均值×50%； </w:t>
            </w:r>
          </w:p>
          <w:p w14:paraId="3A0A06CA">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2）.投标（响应）报价低于通过符合性审查的次低报价供应商投标（响应）报价50%的，即投标（响 应）报价&lt;通过符合性审查的次低报价供应商投标（响应）报价×50%； </w:t>
            </w:r>
          </w:p>
          <w:p w14:paraId="00B7B5DC">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3）.投标（响应）报价低于采购项目最高限价45%的，即投标（响应）报价&lt;采购项目最高限价×45%； </w:t>
            </w:r>
          </w:p>
          <w:p w14:paraId="5117D107">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4）.评审委员会基于专业判断，认为供应商报价过低，有可能影响产品质量或者不能诚信履约的其他情形。 </w:t>
            </w:r>
          </w:p>
          <w:p w14:paraId="7A14A75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注：相关法律法规对供应商报价有规定的，从其规定。</w:t>
            </w:r>
          </w:p>
        </w:tc>
        <w:tc>
          <w:tcPr>
            <w:tcW w:w="3228" w:type="dxa"/>
            <w:shd w:val="clear" w:color="auto" w:fill="auto"/>
            <w:vAlign w:val="center"/>
          </w:tcPr>
          <w:p w14:paraId="0D0D17E9">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2EFE3CA0">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auto"/>
                <w:kern w:val="0"/>
                <w:sz w:val="21"/>
                <w:szCs w:val="21"/>
                <w:highlight w:val="none"/>
                <w:lang w:val="en-US" w:eastAsia="zh-CN" w:bidi="ar"/>
              </w:rPr>
              <w:t>无效投标（响应）</w:t>
            </w:r>
            <w:r>
              <w:rPr>
                <w:rFonts w:hint="eastAsia" w:ascii="仿宋" w:hAnsi="仿宋" w:eastAsia="仿宋" w:cs="仿宋"/>
                <w:color w:val="auto"/>
                <w:kern w:val="0"/>
                <w:sz w:val="21"/>
                <w:szCs w:val="21"/>
                <w:highlight w:val="none"/>
                <w:lang w:val="en-US" w:eastAsia="zh-CN" w:bidi="ar"/>
              </w:rPr>
              <w:t>处理。</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08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3964" w:type="dxa"/>
            <w:shd w:val="clear" w:color="auto" w:fill="auto"/>
            <w:vAlign w:val="center"/>
          </w:tcPr>
          <w:p w14:paraId="6C76F68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228" w:type="dxa"/>
            <w:shd w:val="clear" w:color="auto" w:fill="auto"/>
            <w:vAlign w:val="center"/>
          </w:tcPr>
          <w:p w14:paraId="725952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4"/>
        </w:numPr>
        <w:spacing w:line="500" w:lineRule="exact"/>
        <w:outlineLvl w:val="1"/>
        <w:rPr>
          <w:rFonts w:ascii="仿宋" w:hAnsi="仿宋" w:eastAsia="仿宋" w:cs="仿宋_GB2312"/>
          <w:b/>
          <w:bCs/>
          <w:color w:val="auto"/>
          <w:sz w:val="24"/>
          <w:highlight w:val="none"/>
        </w:rPr>
      </w:pPr>
      <w:bookmarkStart w:id="43" w:name="_Toc23924"/>
      <w:bookmarkStart w:id="44" w:name="_Toc7033"/>
      <w:r>
        <w:rPr>
          <w:rFonts w:hint="eastAsia" w:ascii="仿宋" w:hAnsi="仿宋" w:eastAsia="仿宋" w:cs="仿宋_GB2312"/>
          <w:b/>
          <w:bCs/>
          <w:color w:val="auto"/>
          <w:sz w:val="24"/>
          <w:highlight w:val="none"/>
        </w:rPr>
        <w:t>投标文件有关事项的澄清或者说明</w:t>
      </w:r>
      <w:bookmarkEnd w:id="43"/>
      <w:bookmarkEnd w:id="44"/>
    </w:p>
    <w:p w14:paraId="56F3CF0C">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代理机构可根据开标环节记录的授权代表人联系方式电话告知</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，若因</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联系方式错误未接收短信、未接听电话或超时未进行澄清（响应）造成的不利后果由</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自行承担。</w:t>
      </w:r>
    </w:p>
    <w:p w14:paraId="1D306C5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
          <w:color w:val="auto"/>
          <w:sz w:val="24"/>
          <w:szCs w:val="24"/>
          <w:highlight w:val="none"/>
          <w:lang w:val="en-US" w:eastAsia="zh-CN"/>
        </w:rPr>
        <w:t>投标人需登录电子招投标系统平台项目采购系统的等候大厅，在规定时间内完成澄清（响应）</w:t>
      </w:r>
      <w:r>
        <w:rPr>
          <w:rFonts w:hint="eastAsia" w:ascii="仿宋" w:hAnsi="仿宋" w:eastAsia="仿宋" w:cs="仿宋_GB2312"/>
          <w:color w:val="auto"/>
          <w:sz w:val="24"/>
          <w:highlight w:val="none"/>
          <w:lang w:val="en-US" w:eastAsia="zh-CN"/>
        </w:rPr>
        <w:t>。</w:t>
      </w:r>
    </w:p>
    <w:p w14:paraId="58979B8F">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
          <w:color w:val="auto"/>
          <w:sz w:val="24"/>
          <w:szCs w:val="24"/>
          <w:highlight w:val="none"/>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报价须包含招标文件全部内容，如投标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w:t>
      </w:r>
    </w:p>
    <w:p w14:paraId="18CB4224">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评标委员会不接受</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主动提出的澄清、说明或补正。</w:t>
      </w:r>
    </w:p>
    <w:p w14:paraId="24A0BD2A">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评标委员会对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提交的澄清、说明或补正有疑问的，可以要求</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进一步澄清、说明或补正。</w:t>
      </w:r>
    </w:p>
    <w:p w14:paraId="40C9E09A">
      <w:pPr>
        <w:numPr>
          <w:ilvl w:val="0"/>
          <w:numId w:val="14"/>
        </w:numPr>
        <w:spacing w:line="500" w:lineRule="exact"/>
        <w:outlineLvl w:val="1"/>
        <w:rPr>
          <w:rFonts w:ascii="仿宋" w:hAnsi="仿宋" w:eastAsia="仿宋" w:cs="仿宋_GB2312"/>
          <w:color w:val="auto"/>
          <w:sz w:val="24"/>
          <w:highlight w:val="none"/>
        </w:rPr>
      </w:pPr>
      <w:r>
        <w:rPr>
          <w:rFonts w:hint="eastAsia" w:ascii="仿宋" w:hAnsi="仿宋" w:eastAsia="仿宋" w:cs="仿宋_GB2312"/>
          <w:b/>
          <w:bCs/>
          <w:color w:val="auto"/>
          <w:sz w:val="24"/>
          <w:highlight w:val="none"/>
          <w:lang w:val="en-US" w:eastAsia="zh-CN"/>
        </w:rPr>
        <w:t>价格修正</w:t>
      </w:r>
    </w:p>
    <w:p w14:paraId="3EB3102D">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对报价的计算错误按以下原则修正：</w:t>
      </w:r>
    </w:p>
    <w:p w14:paraId="7D4F5D2D">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投标文件中开标一览表内容与投标文件中相应内容不一致的，以开标一览表为准；</w:t>
      </w:r>
    </w:p>
    <w:p w14:paraId="4065945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大写金额和小写金额不一致的，以大写金额为准；</w:t>
      </w:r>
    </w:p>
    <w:p w14:paraId="5CA57522">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单价金额小数点或者百分比有明显错位的，以开标一览表的总价为准，并修改单价。</w:t>
      </w:r>
    </w:p>
    <w:p w14:paraId="47BE5FE4">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处理。</w:t>
      </w:r>
    </w:p>
    <w:p w14:paraId="4FB37841">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不确认的，其</w:t>
      </w:r>
      <w:r>
        <w:rPr>
          <w:rFonts w:hint="eastAsia" w:ascii="仿宋" w:hAnsi="仿宋" w:eastAsia="仿宋" w:cs="仿宋_GB2312"/>
          <w:b/>
          <w:bCs/>
          <w:color w:val="auto"/>
          <w:sz w:val="24"/>
          <w:highlight w:val="none"/>
        </w:rPr>
        <w:t>投标无效</w:t>
      </w:r>
      <w:r>
        <w:rPr>
          <w:rFonts w:hint="eastAsia" w:ascii="仿宋" w:hAnsi="仿宋" w:eastAsia="仿宋" w:cs="仿宋_GB2312"/>
          <w:color w:val="auto"/>
          <w:sz w:val="24"/>
          <w:highlight w:val="none"/>
        </w:rPr>
        <w:t>。</w:t>
      </w:r>
    </w:p>
    <w:p w14:paraId="22A82B6F">
      <w:pPr>
        <w:numPr>
          <w:ilvl w:val="0"/>
          <w:numId w:val="14"/>
        </w:numPr>
        <w:spacing w:line="500" w:lineRule="exact"/>
        <w:outlineLvl w:val="1"/>
        <w:rPr>
          <w:rFonts w:ascii="仿宋" w:hAnsi="仿宋" w:eastAsia="仿宋" w:cs="仿宋_GB2312"/>
          <w:b/>
          <w:bCs/>
          <w:color w:val="auto"/>
          <w:sz w:val="24"/>
          <w:highlight w:val="none"/>
        </w:rPr>
      </w:pPr>
      <w:bookmarkStart w:id="45" w:name="_Toc9022"/>
      <w:bookmarkStart w:id="46" w:name="_Toc22049"/>
      <w:r>
        <w:rPr>
          <w:rFonts w:hint="eastAsia" w:ascii="仿宋" w:hAnsi="仿宋" w:eastAsia="仿宋" w:cs="仿宋_GB2312"/>
          <w:b/>
          <w:bCs/>
          <w:color w:val="auto"/>
          <w:sz w:val="24"/>
          <w:highlight w:val="none"/>
        </w:rPr>
        <w:t>详细评审</w:t>
      </w:r>
      <w:bookmarkEnd w:id="45"/>
      <w:bookmarkEnd w:id="46"/>
    </w:p>
    <w:p w14:paraId="4AA7A922">
      <w:pPr>
        <w:numPr>
          <w:ilvl w:val="0"/>
          <w:numId w:val="0"/>
        </w:numPr>
        <w:spacing w:line="500" w:lineRule="exact"/>
        <w:ind w:leftChars="0" w:firstLine="480" w:firstLineChars="200"/>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详细评审标准</w:t>
      </w:r>
      <w:r>
        <w:rPr>
          <w:rFonts w:hint="eastAsia" w:ascii="仿宋" w:hAnsi="仿宋" w:eastAsia="仿宋" w:cs="仿宋_GB2312"/>
          <w:b/>
          <w:bCs/>
          <w:color w:val="auto"/>
          <w:sz w:val="24"/>
          <w:highlight w:val="none"/>
          <w:lang w:eastAsia="zh-CN"/>
        </w:rPr>
        <w:t>（</w:t>
      </w:r>
      <w:r>
        <w:rPr>
          <w:rFonts w:hint="eastAsia" w:ascii="仿宋" w:hAnsi="仿宋" w:eastAsia="仿宋" w:cs="仿宋_GB2312"/>
          <w:b/>
          <w:bCs/>
          <w:color w:val="auto"/>
          <w:sz w:val="24"/>
          <w:highlight w:val="none"/>
          <w:lang w:val="en-US" w:eastAsia="zh-CN"/>
        </w:rPr>
        <w:t>适用于标项1、2</w:t>
      </w:r>
      <w:r>
        <w:rPr>
          <w:rFonts w:hint="eastAsia" w:ascii="仿宋" w:hAnsi="仿宋" w:eastAsia="仿宋" w:cs="仿宋_GB2312"/>
          <w:b/>
          <w:bCs/>
          <w:color w:val="auto"/>
          <w:sz w:val="24"/>
          <w:highlight w:val="none"/>
          <w:lang w:eastAsia="zh-CN"/>
        </w:rPr>
        <w:t>）</w:t>
      </w:r>
    </w:p>
    <w:tbl>
      <w:tblPr>
        <w:tblStyle w:val="28"/>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505"/>
        <w:gridCol w:w="965"/>
        <w:gridCol w:w="1316"/>
        <w:gridCol w:w="5513"/>
      </w:tblGrid>
      <w:tr w14:paraId="53D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32DA8970">
            <w:pPr>
              <w:pStyle w:val="52"/>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评分因素</w:t>
            </w:r>
          </w:p>
        </w:tc>
        <w:tc>
          <w:tcPr>
            <w:tcW w:w="6829" w:type="dxa"/>
            <w:gridSpan w:val="2"/>
            <w:tcBorders>
              <w:top w:val="single" w:color="auto" w:sz="4" w:space="0"/>
              <w:left w:val="single" w:color="auto" w:sz="4" w:space="0"/>
              <w:bottom w:val="single" w:color="auto" w:sz="4" w:space="0"/>
              <w:right w:val="single" w:color="auto" w:sz="4" w:space="0"/>
            </w:tcBorders>
            <w:noWrap/>
            <w:vAlign w:val="center"/>
          </w:tcPr>
          <w:p w14:paraId="42F2004C">
            <w:pPr>
              <w:pStyle w:val="52"/>
              <w:spacing w:line="300" w:lineRule="exact"/>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r>
      <w:tr w14:paraId="2780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1470" w:type="dxa"/>
            <w:gridSpan w:val="2"/>
            <w:tcBorders>
              <w:top w:val="single" w:color="auto" w:sz="4" w:space="0"/>
              <w:left w:val="single" w:color="auto" w:sz="4" w:space="0"/>
              <w:bottom w:val="single" w:color="auto" w:sz="4" w:space="0"/>
              <w:right w:val="single" w:color="auto" w:sz="4" w:space="0"/>
            </w:tcBorders>
            <w:noWrap/>
            <w:vAlign w:val="center"/>
          </w:tcPr>
          <w:p w14:paraId="2C1A05E2">
            <w:pPr>
              <w:pStyle w:val="52"/>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分值组成</w:t>
            </w:r>
          </w:p>
        </w:tc>
        <w:tc>
          <w:tcPr>
            <w:tcW w:w="6829" w:type="dxa"/>
            <w:gridSpan w:val="2"/>
            <w:tcBorders>
              <w:top w:val="single" w:color="auto" w:sz="4" w:space="0"/>
              <w:left w:val="single" w:color="auto" w:sz="4" w:space="0"/>
              <w:bottom w:val="single" w:color="auto" w:sz="4" w:space="0"/>
              <w:right w:val="single" w:color="auto" w:sz="4" w:space="0"/>
            </w:tcBorders>
            <w:noWrap/>
            <w:vAlign w:val="center"/>
          </w:tcPr>
          <w:p w14:paraId="77E36289">
            <w:pPr>
              <w:pStyle w:val="52"/>
              <w:spacing w:line="3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报价得分30.0分</w:t>
            </w:r>
          </w:p>
          <w:p w14:paraId="74A070E5">
            <w:pPr>
              <w:pStyle w:val="52"/>
              <w:spacing w:line="3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商务部分</w:t>
            </w:r>
            <w:r>
              <w:rPr>
                <w:rFonts w:hint="eastAsia" w:ascii="仿宋" w:hAnsi="仿宋" w:eastAsia="仿宋" w:cs="仿宋"/>
                <w:b/>
                <w:bCs/>
                <w:color w:val="auto"/>
                <w:sz w:val="21"/>
                <w:szCs w:val="21"/>
                <w:highlight w:val="none"/>
                <w:lang w:val="en-US" w:eastAsia="zh-CN"/>
              </w:rPr>
              <w:t>18.</w:t>
            </w:r>
            <w:r>
              <w:rPr>
                <w:rFonts w:hint="eastAsia" w:ascii="仿宋" w:hAnsi="仿宋" w:eastAsia="仿宋" w:cs="仿宋"/>
                <w:b/>
                <w:bCs/>
                <w:color w:val="auto"/>
                <w:sz w:val="21"/>
                <w:szCs w:val="21"/>
                <w:highlight w:val="none"/>
              </w:rPr>
              <w:t>0分</w:t>
            </w:r>
          </w:p>
          <w:p w14:paraId="381CF05B">
            <w:pPr>
              <w:pStyle w:val="52"/>
              <w:spacing w:line="300" w:lineRule="exact"/>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技术部分</w:t>
            </w:r>
            <w:r>
              <w:rPr>
                <w:rFonts w:hint="eastAsia" w:ascii="仿宋" w:hAnsi="仿宋" w:eastAsia="仿宋" w:cs="仿宋"/>
                <w:b/>
                <w:bCs/>
                <w:color w:val="auto"/>
                <w:sz w:val="21"/>
                <w:szCs w:val="21"/>
                <w:highlight w:val="none"/>
                <w:lang w:val="en-US" w:eastAsia="zh-CN"/>
              </w:rPr>
              <w:t>52</w:t>
            </w:r>
            <w:r>
              <w:rPr>
                <w:rFonts w:hint="eastAsia" w:ascii="仿宋" w:hAnsi="仿宋" w:eastAsia="仿宋" w:cs="仿宋"/>
                <w:b/>
                <w:bCs/>
                <w:color w:val="auto"/>
                <w:sz w:val="21"/>
                <w:szCs w:val="21"/>
                <w:highlight w:val="none"/>
              </w:rPr>
              <w:t>.0分</w:t>
            </w:r>
          </w:p>
        </w:tc>
      </w:tr>
      <w:tr w14:paraId="506C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restart"/>
            <w:tcBorders>
              <w:top w:val="single" w:color="auto" w:sz="4" w:space="0"/>
              <w:left w:val="single" w:color="auto" w:sz="4" w:space="0"/>
              <w:right w:val="single" w:color="auto" w:sz="4" w:space="0"/>
            </w:tcBorders>
            <w:noWrap/>
            <w:vAlign w:val="center"/>
          </w:tcPr>
          <w:p w14:paraId="0896ACC3">
            <w:pPr>
              <w:pStyle w:val="52"/>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详细评审</w:t>
            </w:r>
          </w:p>
        </w:tc>
        <w:tc>
          <w:tcPr>
            <w:tcW w:w="965" w:type="dxa"/>
            <w:tcBorders>
              <w:top w:val="single" w:color="auto" w:sz="4" w:space="0"/>
              <w:left w:val="single" w:color="auto" w:sz="4" w:space="0"/>
              <w:bottom w:val="single" w:color="auto" w:sz="4" w:space="0"/>
              <w:right w:val="single" w:color="auto" w:sz="4" w:space="0"/>
            </w:tcBorders>
            <w:noWrap/>
            <w:vAlign w:val="center"/>
          </w:tcPr>
          <w:p w14:paraId="02372896">
            <w:pPr>
              <w:pStyle w:val="52"/>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价格评审（30分）</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DDCBF80">
            <w:pPr>
              <w:pStyle w:val="52"/>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价格评审</w:t>
            </w:r>
          </w:p>
        </w:tc>
        <w:tc>
          <w:tcPr>
            <w:tcW w:w="5513" w:type="dxa"/>
            <w:tcBorders>
              <w:top w:val="single" w:color="auto" w:sz="4" w:space="0"/>
              <w:left w:val="single" w:color="auto" w:sz="4" w:space="0"/>
              <w:bottom w:val="single" w:color="auto" w:sz="4" w:space="0"/>
              <w:right w:val="single" w:color="auto" w:sz="4" w:space="0"/>
            </w:tcBorders>
            <w:noWrap/>
            <w:vAlign w:val="center"/>
          </w:tcPr>
          <w:p w14:paraId="74893AA0">
            <w:pPr>
              <w:pStyle w:val="12"/>
              <w:ind w:left="0" w:leftChars="0" w:firstLine="0" w:firstLineChars="0"/>
              <w:rPr>
                <w:rFonts w:hint="eastAsia" w:ascii="仿宋" w:hAnsi="仿宋" w:eastAsia="仿宋" w:cs="仿宋"/>
                <w:b w:val="0"/>
                <w:bCs w:val="0"/>
                <w:color w:val="auto"/>
                <w:spacing w:val="0"/>
                <w:kern w:val="0"/>
                <w:sz w:val="21"/>
                <w:szCs w:val="21"/>
                <w:highlight w:val="none"/>
                <w:lang w:val="en-US" w:eastAsia="zh-CN" w:bidi="ar-SA"/>
              </w:rPr>
            </w:pPr>
            <w:r>
              <w:rPr>
                <w:rFonts w:hint="eastAsia" w:ascii="仿宋" w:hAnsi="仿宋" w:eastAsia="仿宋" w:cs="仿宋"/>
                <w:b w:val="0"/>
                <w:bCs w:val="0"/>
                <w:color w:val="auto"/>
                <w:spacing w:val="0"/>
                <w:kern w:val="0"/>
                <w:sz w:val="21"/>
                <w:szCs w:val="21"/>
                <w:highlight w:val="none"/>
                <w:lang w:val="en-US" w:eastAsia="zh-CN" w:bidi="ar-SA"/>
              </w:rPr>
              <w:t>采用低价优先法计算，即满足招标文件要求且投标价格最低的投标报价为评标基准价，其价格分为满分。</w:t>
            </w:r>
          </w:p>
          <w:p w14:paraId="2551D3BD">
            <w:pPr>
              <w:pStyle w:val="12"/>
              <w:ind w:left="0" w:leftChars="0" w:firstLine="0" w:firstLineChars="0"/>
              <w:rPr>
                <w:rFonts w:hint="eastAsia" w:ascii="仿宋" w:hAnsi="仿宋" w:eastAsia="仿宋" w:cs="仿宋"/>
                <w:b w:val="0"/>
                <w:bCs w:val="0"/>
                <w:color w:val="auto"/>
                <w:spacing w:val="0"/>
                <w:kern w:val="0"/>
                <w:sz w:val="21"/>
                <w:szCs w:val="21"/>
                <w:highlight w:val="none"/>
                <w:lang w:val="en-US" w:eastAsia="zh-CN" w:bidi="ar-SA"/>
              </w:rPr>
            </w:pPr>
            <w:r>
              <w:rPr>
                <w:rFonts w:hint="eastAsia" w:ascii="仿宋" w:hAnsi="仿宋" w:eastAsia="仿宋" w:cs="仿宋"/>
                <w:b w:val="0"/>
                <w:bCs w:val="0"/>
                <w:color w:val="auto"/>
                <w:spacing w:val="0"/>
                <w:kern w:val="0"/>
                <w:sz w:val="21"/>
                <w:szCs w:val="21"/>
                <w:highlight w:val="none"/>
                <w:lang w:val="en-US" w:eastAsia="zh-CN" w:bidi="ar-SA"/>
              </w:rPr>
              <w:t>其他供应商的价格分统一按照下列公式计算：</w:t>
            </w:r>
          </w:p>
          <w:p w14:paraId="04A16AA9">
            <w:pPr>
              <w:pStyle w:val="52"/>
              <w:spacing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w:t>
            </w:r>
            <w:r>
              <w:rPr>
                <w:rFonts w:hint="eastAsia" w:ascii="仿宋" w:hAnsi="仿宋" w:eastAsia="仿宋" w:cs="仿宋"/>
                <w:color w:val="auto"/>
                <w:sz w:val="21"/>
                <w:szCs w:val="21"/>
                <w:highlight w:val="none"/>
              </w:rPr>
              <w:t>报价得分=（</w:t>
            </w:r>
            <w:r>
              <w:rPr>
                <w:rFonts w:hint="eastAsia" w:ascii="仿宋" w:hAnsi="仿宋" w:eastAsia="仿宋" w:cs="仿宋"/>
                <w:b w:val="0"/>
                <w:bCs w:val="0"/>
                <w:color w:val="auto"/>
                <w:spacing w:val="0"/>
                <w:kern w:val="0"/>
                <w:sz w:val="21"/>
                <w:szCs w:val="21"/>
                <w:highlight w:val="none"/>
                <w:lang w:val="en-US" w:eastAsia="zh-CN" w:bidi="ar-SA"/>
              </w:rPr>
              <w:t>评标基准价</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投标报价</w:t>
            </w:r>
            <w:r>
              <w:rPr>
                <w:rFonts w:hint="eastAsia" w:ascii="仿宋" w:hAnsi="仿宋" w:eastAsia="仿宋" w:cs="仿宋"/>
                <w:color w:val="auto"/>
                <w:sz w:val="21"/>
                <w:szCs w:val="21"/>
                <w:highlight w:val="none"/>
              </w:rPr>
              <w:t>）×30%×100。</w:t>
            </w:r>
          </w:p>
          <w:p w14:paraId="512864BF">
            <w:pPr>
              <w:pStyle w:val="52"/>
              <w:spacing w:line="300" w:lineRule="exact"/>
              <w:rPr>
                <w:rFonts w:hint="eastAsia" w:ascii="仿宋" w:hAnsi="仿宋" w:eastAsia="仿宋" w:cs="仿宋"/>
                <w:color w:val="auto"/>
                <w:sz w:val="21"/>
                <w:szCs w:val="21"/>
                <w:highlight w:val="none"/>
              </w:rPr>
            </w:pPr>
            <w:r>
              <w:rPr>
                <w:rFonts w:hint="eastAsia" w:ascii="仿宋" w:hAnsi="仿宋" w:eastAsia="仿宋" w:cs="仿宋_GB2312"/>
                <w:b/>
                <w:bCs/>
                <w:color w:val="auto"/>
                <w:sz w:val="21"/>
                <w:szCs w:val="21"/>
                <w:highlight w:val="none"/>
              </w:rPr>
              <w:t>注：</w:t>
            </w:r>
            <w:r>
              <w:rPr>
                <w:rFonts w:hint="eastAsia" w:ascii="仿宋" w:hAnsi="仿宋" w:eastAsia="仿宋" w:cs="仿宋_GB2312"/>
                <w:b w:val="0"/>
                <w:bCs w:val="0"/>
                <w:color w:val="auto"/>
                <w:sz w:val="21"/>
                <w:szCs w:val="21"/>
                <w:highlight w:val="none"/>
                <w:lang w:val="en-US" w:eastAsia="zh-CN"/>
              </w:rPr>
              <w:t>①因落实政府采购政策进行价格调整的，以调整后的价格</w:t>
            </w:r>
            <w:r>
              <w:rPr>
                <w:rFonts w:hint="eastAsia" w:ascii="仿宋" w:hAnsi="仿宋" w:eastAsia="仿宋" w:cs="仿宋_GB2312"/>
                <w:b w:val="0"/>
                <w:bCs w:val="0"/>
                <w:color w:val="auto"/>
                <w:sz w:val="21"/>
                <w:szCs w:val="21"/>
                <w:highlight w:val="none"/>
              </w:rPr>
              <w:t>参与评审。</w:t>
            </w:r>
            <w:r>
              <w:rPr>
                <w:rFonts w:hint="eastAsia" w:ascii="仿宋" w:hAnsi="仿宋" w:eastAsia="仿宋" w:cs="仿宋_GB2312"/>
                <w:b w:val="0"/>
                <w:bCs w:val="0"/>
                <w:color w:val="auto"/>
                <w:sz w:val="21"/>
                <w:szCs w:val="21"/>
                <w:highlight w:val="none"/>
                <w:lang w:val="en-US" w:eastAsia="zh-CN"/>
              </w:rPr>
              <w:t>②</w:t>
            </w:r>
            <w:r>
              <w:rPr>
                <w:rFonts w:hint="eastAsia" w:ascii="仿宋" w:hAnsi="仿宋" w:eastAsia="仿宋" w:cs="仿宋"/>
                <w:b w:val="0"/>
                <w:bCs w:val="0"/>
                <w:color w:val="auto"/>
                <w:sz w:val="21"/>
                <w:szCs w:val="21"/>
                <w:highlight w:val="none"/>
                <w:lang w:eastAsia="zh-CN"/>
              </w:rPr>
              <w:t>投标</w:t>
            </w:r>
            <w:r>
              <w:rPr>
                <w:rFonts w:hint="eastAsia" w:ascii="仿宋" w:hAnsi="仿宋" w:eastAsia="仿宋" w:cs="仿宋"/>
                <w:b w:val="0"/>
                <w:bCs w:val="0"/>
                <w:color w:val="auto"/>
                <w:sz w:val="21"/>
                <w:szCs w:val="21"/>
                <w:highlight w:val="none"/>
              </w:rPr>
              <w:t>报价为通过</w:t>
            </w:r>
            <w:r>
              <w:rPr>
                <w:rFonts w:hint="eastAsia" w:ascii="仿宋" w:hAnsi="仿宋" w:eastAsia="仿宋" w:cs="仿宋"/>
                <w:b w:val="0"/>
                <w:bCs w:val="0"/>
                <w:color w:val="auto"/>
                <w:sz w:val="21"/>
                <w:szCs w:val="21"/>
                <w:highlight w:val="none"/>
                <w:lang w:val="en-US" w:eastAsia="zh-CN"/>
              </w:rPr>
              <w:t>资格</w:t>
            </w:r>
            <w:r>
              <w:rPr>
                <w:rFonts w:hint="eastAsia" w:ascii="仿宋" w:hAnsi="仿宋" w:eastAsia="仿宋" w:cs="仿宋"/>
                <w:b w:val="0"/>
                <w:bCs w:val="0"/>
                <w:color w:val="auto"/>
                <w:sz w:val="21"/>
                <w:szCs w:val="21"/>
                <w:highlight w:val="none"/>
              </w:rPr>
              <w:t>审查</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b w:val="0"/>
                <w:bCs w:val="0"/>
                <w:color w:val="auto"/>
                <w:sz w:val="21"/>
                <w:szCs w:val="21"/>
                <w:highlight w:val="none"/>
                <w:lang w:val="en-US" w:eastAsia="zh-CN"/>
              </w:rPr>
              <w:t>符合性审查</w:t>
            </w:r>
            <w:r>
              <w:rPr>
                <w:rFonts w:hint="eastAsia" w:ascii="仿宋" w:hAnsi="仿宋" w:eastAsia="仿宋" w:cs="仿宋"/>
                <w:b w:val="0"/>
                <w:bCs w:val="0"/>
                <w:color w:val="auto"/>
                <w:sz w:val="21"/>
                <w:szCs w:val="21"/>
                <w:highlight w:val="none"/>
              </w:rPr>
              <w:t>的供应商的</w:t>
            </w:r>
            <w:r>
              <w:rPr>
                <w:rFonts w:hint="eastAsia" w:ascii="仿宋" w:hAnsi="仿宋" w:eastAsia="仿宋" w:cs="仿宋"/>
                <w:b w:val="0"/>
                <w:bCs w:val="0"/>
                <w:color w:val="auto"/>
                <w:sz w:val="21"/>
                <w:szCs w:val="21"/>
                <w:highlight w:val="none"/>
                <w:lang w:eastAsia="zh-CN"/>
              </w:rPr>
              <w:t>投标报价</w:t>
            </w:r>
            <w:r>
              <w:rPr>
                <w:rFonts w:hint="eastAsia" w:ascii="仿宋" w:hAnsi="仿宋" w:eastAsia="仿宋" w:cs="仿宋"/>
                <w:b w:val="0"/>
                <w:bCs w:val="0"/>
                <w:color w:val="auto"/>
                <w:sz w:val="21"/>
                <w:szCs w:val="21"/>
                <w:highlight w:val="none"/>
              </w:rPr>
              <w:t>。</w:t>
            </w:r>
          </w:p>
        </w:tc>
      </w:tr>
      <w:tr w14:paraId="1A3F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19F04037">
            <w:pPr>
              <w:pStyle w:val="52"/>
              <w:spacing w:line="300" w:lineRule="exact"/>
              <w:jc w:val="center"/>
              <w:rPr>
                <w:rFonts w:hint="eastAsia" w:ascii="仿宋" w:hAnsi="仿宋" w:eastAsia="仿宋" w:cs="仿宋"/>
                <w:color w:val="auto"/>
                <w:sz w:val="21"/>
                <w:szCs w:val="21"/>
                <w:highlight w:val="none"/>
              </w:rPr>
            </w:pPr>
          </w:p>
        </w:tc>
        <w:tc>
          <w:tcPr>
            <w:tcW w:w="965" w:type="dxa"/>
            <w:vMerge w:val="restart"/>
            <w:tcBorders>
              <w:left w:val="single" w:color="auto" w:sz="4" w:space="0"/>
              <w:right w:val="single" w:color="auto" w:sz="4" w:space="0"/>
            </w:tcBorders>
            <w:noWrap/>
            <w:vAlign w:val="center"/>
          </w:tcPr>
          <w:p w14:paraId="38631EA9">
            <w:pPr>
              <w:pStyle w:val="52"/>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商务</w:t>
            </w:r>
            <w:r>
              <w:rPr>
                <w:rFonts w:hint="eastAsia" w:ascii="仿宋" w:hAnsi="仿宋" w:eastAsia="仿宋" w:cs="仿宋"/>
                <w:color w:val="auto"/>
                <w:sz w:val="21"/>
                <w:szCs w:val="21"/>
                <w:highlight w:val="none"/>
              </w:rPr>
              <w:t>部分（</w:t>
            </w: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分）</w:t>
            </w:r>
          </w:p>
        </w:tc>
        <w:tc>
          <w:tcPr>
            <w:tcW w:w="1316" w:type="dxa"/>
            <w:tcBorders>
              <w:top w:val="single" w:color="auto" w:sz="4" w:space="0"/>
              <w:left w:val="single" w:color="auto" w:sz="4" w:space="0"/>
              <w:bottom w:val="single" w:color="auto" w:sz="4" w:space="0"/>
              <w:right w:val="single" w:color="auto" w:sz="4" w:space="0"/>
            </w:tcBorders>
            <w:noWrap/>
            <w:vAlign w:val="center"/>
          </w:tcPr>
          <w:p w14:paraId="3AF40AC8">
            <w:pPr>
              <w:pStyle w:val="52"/>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业绩</w:t>
            </w:r>
          </w:p>
          <w:p w14:paraId="5FC9DDC2">
            <w:pPr>
              <w:pStyle w:val="52"/>
              <w:spacing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rPr>
              <w:t>（0-</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3478741D">
            <w:pPr>
              <w:pStyle w:val="52"/>
              <w:spacing w:line="3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近三年（投标截止日前三年）所投品牌同类产品的销售业绩</w:t>
            </w:r>
            <w:r>
              <w:rPr>
                <w:rFonts w:hint="eastAsia" w:ascii="仿宋" w:hAnsi="仿宋" w:eastAsia="仿宋" w:cs="仿宋"/>
                <w:color w:val="auto"/>
                <w:sz w:val="21"/>
                <w:szCs w:val="21"/>
                <w:highlight w:val="none"/>
              </w:rPr>
              <w:t>，单项合同电梯采购数量20台</w:t>
            </w:r>
            <w:r>
              <w:rPr>
                <w:rFonts w:hint="eastAsia" w:ascii="仿宋" w:hAnsi="仿宋" w:eastAsia="仿宋" w:cs="仿宋"/>
                <w:color w:val="auto"/>
                <w:sz w:val="21"/>
                <w:szCs w:val="21"/>
                <w:highlight w:val="none"/>
                <w:lang w:val="en-US" w:eastAsia="zh-CN"/>
              </w:rPr>
              <w:t>（含）</w:t>
            </w:r>
            <w:r>
              <w:rPr>
                <w:rFonts w:hint="eastAsia" w:ascii="仿宋" w:hAnsi="仿宋" w:eastAsia="仿宋" w:cs="仿宋"/>
                <w:color w:val="auto"/>
                <w:sz w:val="21"/>
                <w:szCs w:val="21"/>
                <w:highlight w:val="none"/>
                <w:lang w:eastAsia="zh-CN"/>
              </w:rPr>
              <w:t>以下的</w:t>
            </w:r>
            <w:r>
              <w:rPr>
                <w:rFonts w:hint="eastAsia" w:ascii="仿宋" w:hAnsi="仿宋" w:eastAsia="仿宋" w:cs="仿宋"/>
                <w:color w:val="auto"/>
                <w:sz w:val="21"/>
                <w:szCs w:val="21"/>
                <w:highlight w:val="none"/>
              </w:rPr>
              <w:t>，每提供一项得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分，最多得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单项合同电梯采购数量21台（含）-30台（含）的，每提供一项得1分，最多得2分；单项合同电梯采购数量31台（含）-40台（含）的，每提供一项得1分，最多得2分；单项合同电梯采购数量41台（含）及以上的，每提供一项得2分，最多得4分；本项共计10分。</w:t>
            </w:r>
          </w:p>
          <w:p w14:paraId="4A1D189B">
            <w:pPr>
              <w:pStyle w:val="18"/>
              <w:ind w:right="-31" w:rightChars="-15"/>
              <w:jc w:val="both"/>
              <w:rPr>
                <w:rFonts w:hint="eastAsia"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355664B5">
            <w:pPr>
              <w:pStyle w:val="52"/>
              <w:numPr>
                <w:ilvl w:val="0"/>
                <w:numId w:val="15"/>
              </w:numPr>
              <w:spacing w:line="300" w:lineRule="exact"/>
              <w:jc w:val="both"/>
              <w:rPr>
                <w:rFonts w:hint="eastAsia"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销售给经销商或代理商等非使用方的销售业绩不予认可。</w:t>
            </w:r>
          </w:p>
          <w:p w14:paraId="69BE1CB7">
            <w:pPr>
              <w:pStyle w:val="52"/>
              <w:numPr>
                <w:ilvl w:val="0"/>
                <w:numId w:val="15"/>
              </w:numPr>
              <w:spacing w:line="300" w:lineRule="exact"/>
              <w:jc w:val="both"/>
              <w:rPr>
                <w:rFonts w:hint="eastAsia" w:ascii="仿宋" w:hAnsi="仿宋" w:eastAsia="仿宋" w:cs="仿宋_GB2312"/>
                <w:color w:val="auto"/>
                <w:sz w:val="21"/>
                <w:szCs w:val="21"/>
                <w:highlight w:val="none"/>
                <w:lang w:val="en-US" w:eastAsia="zh-CN"/>
              </w:rPr>
            </w:pPr>
            <w:r>
              <w:rPr>
                <w:rFonts w:hint="eastAsia" w:ascii="仿宋" w:hAnsi="仿宋" w:eastAsia="仿宋" w:cs="仿宋_GB2312"/>
                <w:color w:val="auto"/>
                <w:sz w:val="21"/>
                <w:szCs w:val="21"/>
                <w:highlight w:val="none"/>
                <w:lang w:val="en-US" w:eastAsia="zh-CN"/>
              </w:rPr>
              <w:t>同一项目业绩不重复计分。</w:t>
            </w:r>
          </w:p>
        </w:tc>
      </w:tr>
      <w:tr w14:paraId="6847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7007D270">
            <w:pPr>
              <w:pStyle w:val="53"/>
              <w:snapToGrid w:val="0"/>
              <w:spacing w:line="300" w:lineRule="exact"/>
              <w:ind w:firstLine="0"/>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42904832">
            <w:pPr>
              <w:pStyle w:val="53"/>
              <w:snapToGrid w:val="0"/>
              <w:spacing w:line="300" w:lineRule="exact"/>
              <w:ind w:firstLine="0"/>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2CB7AD98">
            <w:pPr>
              <w:pStyle w:val="52"/>
              <w:shd w:val="clear" w:color="auto" w:fill="auto"/>
              <w:spacing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项目管理团队人员配置</w:t>
            </w:r>
            <w:r>
              <w:rPr>
                <w:rFonts w:hint="eastAsia" w:ascii="仿宋" w:hAnsi="仿宋" w:eastAsia="仿宋" w:cs="仿宋"/>
                <w:color w:val="auto"/>
                <w:sz w:val="21"/>
                <w:szCs w:val="21"/>
                <w:highlight w:val="none"/>
              </w:rPr>
              <w:t>(0-</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27DB45FA">
            <w:pPr>
              <w:pStyle w:val="52"/>
              <w:shd w:val="clear" w:color="auto" w:fill="auto"/>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结合本项目特点配备项目管理团队：</w:t>
            </w:r>
          </w:p>
          <w:p w14:paraId="08F98A84">
            <w:pPr>
              <w:pStyle w:val="52"/>
              <w:shd w:val="clear" w:color="auto" w:fill="auto"/>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1.项目负责人须具备中级(含)及以上职称，并具备有效的中华人民共和国特种设备安全管理和作业人员证的得2分；</w:t>
            </w:r>
          </w:p>
          <w:p w14:paraId="3D51340A">
            <w:pPr>
              <w:pStyle w:val="52"/>
              <w:shd w:val="clear" w:color="auto" w:fill="auto"/>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2.项目团队成员具备有效的中华人民共和国特种设备安全管理和作业人员证，且团队架构完善、岗位设置合理、人员配备完整，分工合理的得5分。</w:t>
            </w:r>
          </w:p>
          <w:p w14:paraId="488B6662">
            <w:pPr>
              <w:pStyle w:val="52"/>
              <w:shd w:val="clear" w:color="auto" w:fill="auto"/>
              <w:spacing w:line="300" w:lineRule="exact"/>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注：须提供证件相关证件扫描件，未提供不得分。</w:t>
            </w:r>
          </w:p>
        </w:tc>
      </w:tr>
      <w:tr w14:paraId="3C13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1512E566">
            <w:pPr>
              <w:pStyle w:val="53"/>
              <w:snapToGrid w:val="0"/>
              <w:spacing w:line="300" w:lineRule="exact"/>
              <w:ind w:firstLine="0"/>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2605D7A4">
            <w:pPr>
              <w:pStyle w:val="53"/>
              <w:snapToGrid w:val="0"/>
              <w:spacing w:line="300" w:lineRule="exact"/>
              <w:ind w:firstLine="0"/>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1A03146C">
            <w:pPr>
              <w:pStyle w:val="52"/>
              <w:spacing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政策性加分（节能、环保）</w:t>
            </w:r>
          </w:p>
          <w:p w14:paraId="0BAC9509">
            <w:pPr>
              <w:pStyle w:val="52"/>
              <w:spacing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（0-1分）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4B1AD264">
            <w:pPr>
              <w:spacing w:line="300" w:lineRule="exact"/>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节能产品（满分0.5分）；</w:t>
            </w:r>
          </w:p>
          <w:p w14:paraId="22C12D28">
            <w:pPr>
              <w:spacing w:line="300" w:lineRule="exact"/>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投标产品（除政府强制采购节能产品外）为节能产品并提供在有效期内的认证证书得0.5分，不提供的不得分；</w:t>
            </w:r>
          </w:p>
          <w:p w14:paraId="397935AD">
            <w:pPr>
              <w:spacing w:line="300" w:lineRule="exact"/>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环境标志产品（满分0.5分）；</w:t>
            </w:r>
          </w:p>
          <w:p w14:paraId="17DC4764">
            <w:pPr>
              <w:spacing w:line="300" w:lineRule="exact"/>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投标产品为环境标志产品并提供在有效期内的认证证书得0.5分，不提供的不得分。</w:t>
            </w:r>
          </w:p>
          <w:p w14:paraId="579DB42D">
            <w:pPr>
              <w:spacing w:line="300" w:lineRule="exact"/>
              <w:jc w:val="left"/>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注：投标产品须为第五章采购需求列明的产品，未列明的附属产品不予认可。</w:t>
            </w:r>
          </w:p>
        </w:tc>
      </w:tr>
      <w:tr w14:paraId="1B60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3F5E29DB">
            <w:pPr>
              <w:pStyle w:val="52"/>
              <w:snapToGrid w:val="0"/>
              <w:spacing w:line="300" w:lineRule="exact"/>
              <w:rPr>
                <w:rFonts w:hint="eastAsia" w:ascii="仿宋" w:hAnsi="仿宋" w:eastAsia="仿宋" w:cs="仿宋"/>
                <w:color w:val="auto"/>
                <w:sz w:val="21"/>
                <w:szCs w:val="21"/>
                <w:highlight w:val="none"/>
              </w:rPr>
            </w:pPr>
          </w:p>
        </w:tc>
        <w:tc>
          <w:tcPr>
            <w:tcW w:w="965" w:type="dxa"/>
            <w:vMerge w:val="restart"/>
            <w:tcBorders>
              <w:left w:val="single" w:color="auto" w:sz="4" w:space="0"/>
              <w:right w:val="single" w:color="auto" w:sz="4" w:space="0"/>
            </w:tcBorders>
            <w:noWrap/>
            <w:vAlign w:val="center"/>
          </w:tcPr>
          <w:p w14:paraId="49C66892">
            <w:pPr>
              <w:pStyle w:val="52"/>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技术部分（</w:t>
            </w:r>
            <w:r>
              <w:rPr>
                <w:rFonts w:hint="eastAsia" w:ascii="仿宋" w:hAnsi="仿宋" w:eastAsia="仿宋" w:cs="仿宋"/>
                <w:color w:val="auto"/>
                <w:sz w:val="21"/>
                <w:szCs w:val="21"/>
                <w:highlight w:val="none"/>
                <w:lang w:val="en-US" w:eastAsia="zh-CN"/>
              </w:rPr>
              <w:t>52</w:t>
            </w:r>
            <w:r>
              <w:rPr>
                <w:rFonts w:hint="eastAsia" w:ascii="仿宋" w:hAnsi="仿宋" w:eastAsia="仿宋" w:cs="仿宋"/>
                <w:color w:val="auto"/>
                <w:sz w:val="21"/>
                <w:szCs w:val="21"/>
                <w:highlight w:val="none"/>
              </w:rPr>
              <w:t>分）</w:t>
            </w:r>
          </w:p>
        </w:tc>
        <w:tc>
          <w:tcPr>
            <w:tcW w:w="1316" w:type="dxa"/>
            <w:tcBorders>
              <w:top w:val="single" w:color="auto" w:sz="4" w:space="0"/>
              <w:left w:val="single" w:color="auto" w:sz="4" w:space="0"/>
              <w:bottom w:val="single" w:color="auto" w:sz="4" w:space="0"/>
              <w:right w:val="single" w:color="auto" w:sz="4" w:space="0"/>
            </w:tcBorders>
            <w:noWrap/>
            <w:vAlign w:val="center"/>
          </w:tcPr>
          <w:p w14:paraId="2E4FB4F1">
            <w:pPr>
              <w:pStyle w:val="55"/>
              <w:shd w:val="clear" w:color="auto" w:fill="auto"/>
              <w:spacing w:line="300" w:lineRule="exact"/>
              <w:ind w:firstLine="0" w:firstLineChars="0"/>
              <w:jc w:val="center"/>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sz w:val="21"/>
                <w:szCs w:val="21"/>
                <w:highlight w:val="none"/>
                <w:lang w:eastAsia="zh-CN"/>
              </w:rPr>
              <w:t>产品符合性</w:t>
            </w:r>
            <w:r>
              <w:rPr>
                <w:rFonts w:hint="eastAsia" w:ascii="仿宋" w:hAnsi="仿宋" w:eastAsia="仿宋" w:cs="仿宋"/>
                <w:color w:val="auto"/>
                <w:spacing w:val="0"/>
                <w:kern w:val="2"/>
                <w:highlight w:val="none"/>
                <w:lang w:val="en-US" w:eastAsia="zh-CN"/>
              </w:rPr>
              <w:t>(0-10分）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029AE8A5">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根据投标人所投产品的技术规格（参数、要求）响应程度打分；完全满足招标要求或优于得招标要求得10分；</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出现一条技术条款</w:t>
            </w:r>
            <w:r>
              <w:rPr>
                <w:rFonts w:hint="eastAsia" w:ascii="仿宋" w:hAnsi="仿宋" w:eastAsia="仿宋" w:cs="仿宋"/>
                <w:color w:val="auto"/>
                <w:sz w:val="21"/>
                <w:szCs w:val="21"/>
                <w:highlight w:val="none"/>
              </w:rPr>
              <w:t>负偏离扣</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bidi="ar-SA"/>
              </w:rPr>
              <w:t>，扣完为止。</w:t>
            </w:r>
          </w:p>
          <w:p w14:paraId="7AD1D241">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注：1、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等。</w:t>
            </w:r>
          </w:p>
          <w:p w14:paraId="6B4A3503">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2、若制造商公开发布的印刷资料与检测机构出具的检测报告不一致，以检测机构出具的检测报告为准。</w:t>
            </w:r>
          </w:p>
          <w:p w14:paraId="7AFADACA">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3、如投标人技术响应表与技术支持资料（或证明材料）不一致，将以技术支持资料（或证明材料）为准。</w:t>
            </w:r>
          </w:p>
          <w:p w14:paraId="3DD2C144">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1"/>
                <w:szCs w:val="21"/>
                <w:highlight w:val="none"/>
                <w:lang w:val="en-US" w:eastAsia="zh-CN" w:bidi="ar-SA"/>
              </w:rPr>
              <w:t>4、如投标人只有技术响应，而无支持资料应答，视为不响应该条技术参数要求。</w:t>
            </w:r>
          </w:p>
        </w:tc>
      </w:tr>
      <w:tr w14:paraId="19FC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3180000C">
            <w:pPr>
              <w:pStyle w:val="52"/>
              <w:snapToGrid w:val="0"/>
              <w:spacing w:line="300" w:lineRule="exact"/>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4F6ECD9D">
            <w:pPr>
              <w:pStyle w:val="52"/>
              <w:spacing w:line="300" w:lineRule="exact"/>
              <w:jc w:val="center"/>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C642E">
            <w:pPr>
              <w:spacing w:line="30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项目实施方案</w:t>
            </w:r>
            <w:r>
              <w:rPr>
                <w:rFonts w:hint="eastAsia" w:ascii="仿宋" w:hAnsi="仿宋" w:eastAsia="仿宋" w:cs="仿宋"/>
                <w:color w:val="auto"/>
                <w:sz w:val="21"/>
                <w:szCs w:val="21"/>
                <w:highlight w:val="none"/>
              </w:rPr>
              <w:t>(0-</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分）</w:t>
            </w:r>
          </w:p>
        </w:tc>
        <w:tc>
          <w:tcPr>
            <w:tcW w:w="5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4F7C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根据供应商针对本项目的供货服务方案进行综合评审：①对各项任务的理解、整体部署、工作目标；②实施关键点及重点分析；③整体进度计划安排；④设备包装运输方案；⑤拆除、恢复方案；⑥</w:t>
            </w:r>
            <w:r>
              <w:rPr>
                <w:rFonts w:hint="eastAsia" w:ascii="仿宋" w:hAnsi="仿宋" w:eastAsia="仿宋" w:cs="仿宋"/>
                <w:color w:val="auto"/>
                <w:sz w:val="21"/>
                <w:szCs w:val="21"/>
                <w:highlight w:val="none"/>
                <w:lang w:val="en-US" w:eastAsia="zh-CN"/>
              </w:rPr>
              <w:t>安装方案；⑦</w:t>
            </w:r>
            <w:r>
              <w:rPr>
                <w:rFonts w:hint="eastAsia" w:ascii="仿宋" w:hAnsi="仿宋" w:eastAsia="仿宋" w:cs="仿宋"/>
                <w:color w:val="auto"/>
                <w:sz w:val="21"/>
                <w:szCs w:val="21"/>
                <w:highlight w:val="none"/>
              </w:rPr>
              <w:t>测试与试运行</w:t>
            </w:r>
            <w:r>
              <w:rPr>
                <w:rFonts w:hint="eastAsia" w:ascii="仿宋" w:hAnsi="仿宋" w:eastAsia="仿宋" w:cs="仿宋"/>
                <w:color w:val="auto"/>
                <w:sz w:val="21"/>
                <w:szCs w:val="21"/>
                <w:highlight w:val="none"/>
                <w:lang w:eastAsia="zh-CN"/>
              </w:rPr>
              <w:t>；</w:t>
            </w:r>
          </w:p>
          <w:p w14:paraId="2190D21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上述内容描述清晰、合理可行、能充分结合本项目实际情况的，得14分；内容每缺少一项扣2分，每项内容存在缺陷扣1分，扣完为止；</w:t>
            </w:r>
          </w:p>
          <w:p w14:paraId="0C485EE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sz w:val="21"/>
                <w:szCs w:val="21"/>
                <w:highlight w:val="none"/>
                <w:lang w:val="en-US" w:eastAsia="zh-CN" w:bidi="ar-SA"/>
              </w:rPr>
              <w:t>内容存在缺陷是指：1.方案内容与项目实际情况不符；2.套用其他项目方案或存在明显与本项目无关的文字内容；3.内容前后矛盾或存在逻辑错误或表述错误或科学原理错误或涉及的规范及标准错误；4.存在不可能实现的情形等任意一种情形；5.内容描述不符合国家相关法律法规、政策文件、规范标准要求。</w:t>
            </w:r>
          </w:p>
        </w:tc>
      </w:tr>
      <w:tr w14:paraId="638B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21573810">
            <w:pPr>
              <w:pStyle w:val="52"/>
              <w:snapToGrid w:val="0"/>
              <w:spacing w:line="300" w:lineRule="exact"/>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2DED3749">
            <w:pPr>
              <w:pStyle w:val="52"/>
              <w:spacing w:line="300" w:lineRule="exact"/>
              <w:jc w:val="center"/>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485B307F">
            <w:pPr>
              <w:pStyle w:val="46"/>
              <w:keepNext w:val="0"/>
              <w:keepLines w:val="0"/>
              <w:pageBreakBefore w:val="0"/>
              <w:kinsoku/>
              <w:wordWrap/>
              <w:overflowPunct/>
              <w:topLinePunct w:val="0"/>
              <w:autoSpaceDE/>
              <w:autoSpaceDN/>
              <w:bidi w:val="0"/>
              <w:adjustRightInd/>
              <w:spacing w:line="320" w:lineRule="exact"/>
              <w:ind w:left="0" w:leftChars="0" w:right="0" w:rightChars="0" w:firstLine="0" w:firstLineChars="0"/>
              <w:jc w:val="center"/>
              <w:textAlignment w:val="auto"/>
              <w:rPr>
                <w:rFonts w:hint="eastAsia" w:ascii="仿宋" w:hAnsi="仿宋" w:eastAsia="仿宋" w:cs="仿宋"/>
                <w:color w:val="auto"/>
                <w:spacing w:val="-10"/>
                <w:sz w:val="21"/>
                <w:szCs w:val="21"/>
                <w:highlight w:val="none"/>
                <w:lang w:val="en-US" w:eastAsia="zh-CN"/>
              </w:rPr>
            </w:pPr>
            <w:r>
              <w:rPr>
                <w:rFonts w:hint="eastAsia" w:ascii="仿宋" w:hAnsi="仿宋" w:eastAsia="仿宋" w:cs="仿宋"/>
                <w:b w:val="0"/>
                <w:bCs/>
                <w:color w:val="auto"/>
                <w:kern w:val="0"/>
                <w:sz w:val="21"/>
                <w:szCs w:val="21"/>
                <w:highlight w:val="none"/>
                <w:lang w:eastAsia="zh-CN"/>
              </w:rPr>
              <w:t>质量</w:t>
            </w:r>
            <w:r>
              <w:rPr>
                <w:rFonts w:hint="eastAsia" w:ascii="仿宋" w:hAnsi="仿宋" w:eastAsia="仿宋" w:cs="仿宋"/>
                <w:b w:val="0"/>
                <w:bCs/>
                <w:color w:val="auto"/>
                <w:kern w:val="0"/>
                <w:sz w:val="21"/>
                <w:szCs w:val="21"/>
                <w:highlight w:val="none"/>
                <w:lang w:val="en-US" w:eastAsia="zh-CN"/>
              </w:rPr>
              <w:t>安全</w:t>
            </w:r>
            <w:r>
              <w:rPr>
                <w:rFonts w:hint="eastAsia" w:ascii="仿宋" w:hAnsi="仿宋" w:eastAsia="仿宋" w:cs="仿宋"/>
                <w:b w:val="0"/>
                <w:bCs/>
                <w:color w:val="auto"/>
                <w:kern w:val="0"/>
                <w:sz w:val="21"/>
                <w:szCs w:val="21"/>
                <w:highlight w:val="none"/>
                <w:lang w:eastAsia="zh-CN"/>
              </w:rPr>
              <w:t>保障措施</w:t>
            </w:r>
          </w:p>
          <w:p w14:paraId="54323053">
            <w:pPr>
              <w:pStyle w:val="55"/>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textAlignment w:val="auto"/>
              <w:rPr>
                <w:rFonts w:hint="eastAsia" w:ascii="仿宋" w:hAnsi="仿宋" w:eastAsia="仿宋" w:cs="仿宋"/>
                <w:color w:val="auto"/>
                <w:spacing w:val="0"/>
                <w:kern w:val="0"/>
                <w:sz w:val="21"/>
                <w:szCs w:val="21"/>
                <w:highlight w:val="none"/>
                <w:lang w:val="en-US" w:eastAsia="zh-CN" w:bidi="ar-SA"/>
              </w:rPr>
            </w:pPr>
            <w:r>
              <w:rPr>
                <w:rFonts w:hint="eastAsia" w:ascii="仿宋" w:hAnsi="仿宋" w:eastAsia="仿宋" w:cs="仿宋"/>
                <w:b w:val="0"/>
                <w:bCs/>
                <w:color w:val="auto"/>
                <w:spacing w:val="0"/>
                <w:kern w:val="0"/>
                <w:sz w:val="21"/>
                <w:szCs w:val="21"/>
                <w:highlight w:val="none"/>
                <w:lang w:val="en-US" w:eastAsia="zh-CN" w:bidi="ar-SA"/>
              </w:rPr>
              <w:t>（0-6分）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29003FCD">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pacing w:val="0"/>
                <w:kern w:val="0"/>
                <w:sz w:val="21"/>
                <w:szCs w:val="21"/>
                <w:highlight w:val="none"/>
                <w:lang w:val="en-US" w:eastAsia="zh-CN" w:bidi="ar-SA"/>
              </w:rPr>
              <w:t>根据供应商针对本项目的质量保证措施方案</w:t>
            </w:r>
            <w:r>
              <w:rPr>
                <w:rFonts w:hint="eastAsia" w:ascii="仿宋" w:hAnsi="仿宋" w:eastAsia="仿宋" w:cs="仿宋"/>
                <w:color w:val="auto"/>
                <w:sz w:val="21"/>
                <w:szCs w:val="21"/>
                <w:highlight w:val="none"/>
                <w:lang w:val="en-US" w:eastAsia="zh-CN" w:bidi="ar-SA"/>
              </w:rPr>
              <w:t>进行综合评审：</w:t>
            </w:r>
            <w:r>
              <w:rPr>
                <w:rFonts w:hint="eastAsia" w:ascii="仿宋" w:hAnsi="仿宋" w:eastAsia="仿宋" w:cs="仿宋"/>
                <w:color w:val="auto"/>
                <w:spacing w:val="0"/>
                <w:kern w:val="0"/>
                <w:sz w:val="21"/>
                <w:szCs w:val="21"/>
                <w:highlight w:val="none"/>
                <w:lang w:val="en-US" w:eastAsia="zh-CN" w:bidi="ar-SA"/>
              </w:rPr>
              <w:t>①质量检测措施；②质量管理目标；③质量管理制度</w:t>
            </w:r>
            <w:r>
              <w:rPr>
                <w:rFonts w:hint="eastAsia" w:ascii="仿宋" w:hAnsi="仿宋" w:eastAsia="仿宋" w:cs="仿宋"/>
                <w:color w:val="auto"/>
                <w:sz w:val="21"/>
                <w:szCs w:val="21"/>
                <w:highlight w:val="none"/>
                <w:lang w:val="en-US" w:eastAsia="zh-CN" w:bidi="ar-SA"/>
              </w:rPr>
              <w:t>；</w:t>
            </w:r>
          </w:p>
          <w:p w14:paraId="501B8F7C">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上述内容描述清晰、合理可行、能充分结合本项目实际情况的，得6分；内容每缺少一项扣2分，每项内容存在缺陷扣1分，扣完为止；</w:t>
            </w:r>
          </w:p>
          <w:p w14:paraId="50E37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lang w:val="en-US" w:eastAsia="zh-CN"/>
              </w:rPr>
              <w:t>内容存在缺陷是指：1.方案内容与项目实际情况不符；2.套用其他项目方案或存在明显与本项目无关的文字内容；3.内容前后矛盾或存在逻辑错误或表述错误或科学原理错误或涉及的规范及标准错误；4.存在不可能实现的情形等任意一种情形；5.内容描述不符合国家相关法律法规、政策文件、规范标准要求。</w:t>
            </w:r>
          </w:p>
        </w:tc>
      </w:tr>
      <w:tr w14:paraId="08CA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76E87640">
            <w:pPr>
              <w:pStyle w:val="52"/>
              <w:snapToGrid w:val="0"/>
              <w:spacing w:line="300" w:lineRule="exact"/>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33C4244D">
            <w:pPr>
              <w:pStyle w:val="52"/>
              <w:spacing w:line="300" w:lineRule="exact"/>
              <w:jc w:val="center"/>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33D78085">
            <w:pPr>
              <w:pageBreakBefore w:val="0"/>
              <w:widowControl/>
              <w:kinsoku/>
              <w:wordWrap/>
              <w:overflowPunct/>
              <w:topLinePunct w:val="0"/>
              <w:bidi w:val="0"/>
              <w:snapToGrid/>
              <w:spacing w:line="240" w:lineRule="auto"/>
              <w:jc w:val="center"/>
              <w:textAlignment w:val="auto"/>
              <w:rPr>
                <w:rFonts w:hint="eastAsia" w:ascii="仿宋" w:hAnsi="仿宋" w:eastAsia="仿宋" w:cs="仿宋"/>
                <w:color w:val="auto"/>
                <w:spacing w:val="0"/>
                <w:kern w:val="0"/>
                <w:sz w:val="21"/>
                <w:szCs w:val="21"/>
                <w:highlight w:val="none"/>
                <w:lang w:val="en-US" w:eastAsia="zh-CN" w:bidi="ar-SA"/>
              </w:rPr>
            </w:pPr>
            <w:r>
              <w:rPr>
                <w:rFonts w:hint="eastAsia" w:ascii="仿宋" w:hAnsi="仿宋" w:eastAsia="仿宋" w:cs="仿宋"/>
                <w:color w:val="auto"/>
                <w:spacing w:val="0"/>
                <w:kern w:val="0"/>
                <w:sz w:val="21"/>
                <w:szCs w:val="21"/>
                <w:highlight w:val="none"/>
                <w:lang w:val="en-US" w:eastAsia="zh-CN" w:bidi="ar-SA"/>
              </w:rPr>
              <w:t>安全措施、应急预案</w:t>
            </w:r>
          </w:p>
          <w:p w14:paraId="069C89CB">
            <w:pPr>
              <w:pStyle w:val="55"/>
              <w:keepNext w:val="0"/>
              <w:keepLines w:val="0"/>
              <w:pageBreakBefore w:val="0"/>
              <w:kinsoku/>
              <w:wordWrap/>
              <w:overflowPunct/>
              <w:topLinePunct w:val="0"/>
              <w:autoSpaceDE/>
              <w:autoSpaceDN/>
              <w:bidi w:val="0"/>
              <w:adjustRightInd/>
              <w:snapToGrid w:val="0"/>
              <w:spacing w:beforeAutospacing="0" w:line="240" w:lineRule="auto"/>
              <w:ind w:firstLine="0" w:firstLineChars="0"/>
              <w:jc w:val="center"/>
              <w:textAlignment w:val="auto"/>
              <w:rPr>
                <w:rFonts w:hint="eastAsia" w:ascii="仿宋" w:hAnsi="仿宋" w:eastAsia="仿宋" w:cs="仿宋"/>
                <w:color w:val="auto"/>
                <w:spacing w:val="0"/>
                <w:kern w:val="0"/>
                <w:sz w:val="21"/>
                <w:szCs w:val="21"/>
                <w:highlight w:val="none"/>
                <w:lang w:val="en-US" w:eastAsia="zh-CN" w:bidi="ar-SA"/>
              </w:rPr>
            </w:pPr>
            <w:r>
              <w:rPr>
                <w:rFonts w:hint="eastAsia" w:ascii="仿宋" w:hAnsi="仿宋" w:eastAsia="仿宋" w:cs="仿宋"/>
                <w:color w:val="auto"/>
                <w:spacing w:val="0"/>
                <w:kern w:val="0"/>
                <w:sz w:val="21"/>
                <w:szCs w:val="21"/>
                <w:highlight w:val="none"/>
                <w:lang w:val="en-US" w:eastAsia="zh-CN" w:bidi="ar-SA"/>
              </w:rPr>
              <w:t>（0-6分）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70D7AD6F">
            <w:pPr>
              <w:keepNext w:val="0"/>
              <w:keepLines w:val="0"/>
              <w:pageBreakBefore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bidi="ar-SA"/>
              </w:rPr>
              <w:t>根据供应商针对本项目的</w:t>
            </w:r>
            <w:r>
              <w:rPr>
                <w:rFonts w:hint="eastAsia" w:ascii="仿宋" w:hAnsi="仿宋" w:eastAsia="仿宋" w:cs="仿宋"/>
                <w:color w:val="auto"/>
                <w:spacing w:val="0"/>
                <w:kern w:val="0"/>
                <w:sz w:val="21"/>
                <w:szCs w:val="21"/>
                <w:highlight w:val="none"/>
                <w:lang w:val="en-US" w:eastAsia="zh-CN" w:bidi="ar-SA"/>
              </w:rPr>
              <w:t>安全措施、应急预案</w:t>
            </w:r>
            <w:r>
              <w:rPr>
                <w:rFonts w:hint="eastAsia" w:ascii="仿宋" w:hAnsi="仿宋" w:eastAsia="仿宋" w:cs="仿宋"/>
                <w:color w:val="auto"/>
                <w:sz w:val="21"/>
                <w:szCs w:val="21"/>
                <w:highlight w:val="none"/>
                <w:lang w:val="en-US" w:eastAsia="zh-CN" w:bidi="ar-SA"/>
              </w:rPr>
              <w:t>进行综合评审：</w:t>
            </w:r>
            <w:r>
              <w:rPr>
                <w:rFonts w:hint="eastAsia" w:ascii="仿宋" w:hAnsi="仿宋" w:eastAsia="仿宋" w:cs="仿宋"/>
                <w:color w:val="auto"/>
                <w:sz w:val="21"/>
                <w:szCs w:val="21"/>
                <w:highlight w:val="none"/>
                <w:lang w:val="en-US" w:eastAsia="zh-CN"/>
              </w:rPr>
              <w:t>①设备抢修制定应急处置方案；②人员和设备调配以及责任分工；③电梯困人事故处理方案；</w:t>
            </w:r>
          </w:p>
          <w:p w14:paraId="35F2E342">
            <w:pPr>
              <w:keepNext w:val="0"/>
              <w:keepLines w:val="0"/>
              <w:pageBreakBefore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上述内容描述清晰、合理可行、能充分结合本项目实际情况的，得6分；内容每缺少一项扣2分，每项内容存在缺陷扣1分，扣完为止；</w:t>
            </w:r>
          </w:p>
          <w:p w14:paraId="66CBDBA1">
            <w:pPr>
              <w:keepNext w:val="0"/>
              <w:keepLines w:val="0"/>
              <w:pageBreakBefore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内容存在缺陷是指：1.方案内容与项目实际情况不符；2.套用其他项目方案或存在明显与本项目无关的文字内容；3.内容前后矛盾或存在逻辑错误或表述错误或科学原理错误或涉及的规范及标准错误；4.存在不可能实现的情形等任意一种情形；5.内容描述不符合国家相关法律法规、政策文件、规范标准要求。</w:t>
            </w:r>
          </w:p>
        </w:tc>
      </w:tr>
      <w:tr w14:paraId="2380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37EF0883">
            <w:pPr>
              <w:pStyle w:val="52"/>
              <w:snapToGrid w:val="0"/>
              <w:spacing w:line="300" w:lineRule="exact"/>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465CD42C">
            <w:pPr>
              <w:pStyle w:val="52"/>
              <w:spacing w:line="300" w:lineRule="exact"/>
              <w:jc w:val="center"/>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9D7BE">
            <w:pPr>
              <w:spacing w:line="300" w:lineRule="exact"/>
              <w:jc w:val="center"/>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售后服务</w:t>
            </w:r>
          </w:p>
          <w:p w14:paraId="43919D2F">
            <w:pPr>
              <w:pStyle w:val="55"/>
              <w:shd w:val="clear" w:color="auto" w:fill="auto"/>
              <w:spacing w:line="300" w:lineRule="exact"/>
              <w:ind w:firstLine="0" w:firstLineChars="0"/>
              <w:jc w:val="center"/>
              <w:rPr>
                <w:rFonts w:hint="eastAsia" w:ascii="仿宋" w:hAnsi="仿宋" w:eastAsia="仿宋" w:cs="仿宋"/>
                <w:color w:val="auto"/>
                <w:spacing w:val="0"/>
                <w:kern w:val="2"/>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（0-10分）</w:t>
            </w:r>
          </w:p>
        </w:tc>
        <w:tc>
          <w:tcPr>
            <w:tcW w:w="5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0737C9">
            <w:pPr>
              <w:spacing w:line="30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包括但不限于：</w:t>
            </w:r>
            <w:r>
              <w:rPr>
                <w:rFonts w:hint="eastAsia" w:ascii="仿宋" w:hAnsi="仿宋" w:eastAsia="仿宋" w:cs="仿宋"/>
                <w:color w:val="auto"/>
                <w:sz w:val="21"/>
                <w:szCs w:val="21"/>
                <w:highlight w:val="none"/>
                <w:lang w:val="en-US" w:eastAsia="zh-CN" w:bidi="ar-SA"/>
              </w:rPr>
              <w:t>①售后服务方案；②售后服务承诺书；</w:t>
            </w:r>
            <w:r>
              <w:rPr>
                <w:rFonts w:hint="eastAsia" w:ascii="仿宋" w:hAnsi="仿宋" w:eastAsia="仿宋" w:cs="仿宋"/>
                <w:color w:val="auto"/>
                <w:sz w:val="21"/>
                <w:szCs w:val="21"/>
                <w:highlight w:val="none"/>
                <w:lang w:val="de-DE" w:eastAsia="zh-CN" w:bidi="ar-SA"/>
              </w:rPr>
              <w:t>③</w:t>
            </w:r>
            <w:r>
              <w:rPr>
                <w:rFonts w:hint="eastAsia" w:ascii="仿宋" w:hAnsi="仿宋" w:eastAsia="仿宋" w:cs="仿宋"/>
                <w:color w:val="auto"/>
                <w:sz w:val="21"/>
                <w:szCs w:val="21"/>
                <w:highlight w:val="none"/>
                <w:lang w:val="en-US" w:eastAsia="zh-CN" w:bidi="ar-SA"/>
              </w:rPr>
              <w:t>售后服务响应时间及处理；④实施重点、难点认识及解决方案；⑤</w:t>
            </w:r>
            <w:r>
              <w:rPr>
                <w:rFonts w:hint="eastAsia" w:ascii="仿宋" w:hAnsi="仿宋" w:eastAsia="仿宋" w:cs="仿宋"/>
                <w:color w:val="auto"/>
                <w:sz w:val="21"/>
                <w:szCs w:val="21"/>
                <w:highlight w:val="none"/>
                <w:lang w:val="en-US" w:eastAsia="zh-CN"/>
              </w:rPr>
              <w:t>验收履约验收方案</w:t>
            </w:r>
            <w:r>
              <w:rPr>
                <w:rFonts w:hint="eastAsia" w:ascii="仿宋" w:hAnsi="仿宋" w:eastAsia="仿宋" w:cs="仿宋"/>
                <w:color w:val="auto"/>
                <w:sz w:val="21"/>
                <w:szCs w:val="21"/>
                <w:highlight w:val="none"/>
              </w:rPr>
              <w:t>等</w:t>
            </w:r>
            <w:r>
              <w:rPr>
                <w:rFonts w:hint="eastAsia" w:ascii="仿宋" w:hAnsi="仿宋" w:eastAsia="仿宋" w:cs="仿宋"/>
                <w:color w:val="auto"/>
                <w:sz w:val="21"/>
                <w:szCs w:val="21"/>
                <w:highlight w:val="none"/>
                <w:lang w:eastAsia="zh-CN"/>
              </w:rPr>
              <w:t>；</w:t>
            </w:r>
          </w:p>
          <w:p w14:paraId="3D725A15">
            <w:pPr>
              <w:spacing w:line="300" w:lineRule="exact"/>
              <w:jc w:val="both"/>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上述内容描述清晰、合理可行、能充分结合本项目实际情况的，得10分；内容每缺少一项扣2分，每项内容存在缺陷扣1分，扣完为止；</w:t>
            </w:r>
          </w:p>
          <w:p w14:paraId="1E6184B6">
            <w:pPr>
              <w:keepNext w:val="0"/>
              <w:keepLines w:val="0"/>
              <w:pageBreakBefore w:val="0"/>
              <w:shd w:val="clear" w:color="auto" w:fill="auto"/>
              <w:kinsoku/>
              <w:wordWrap/>
              <w:overflowPunct/>
              <w:topLinePunct w:val="0"/>
              <w:autoSpaceDE/>
              <w:autoSpaceDN/>
              <w:bidi w:val="0"/>
              <w:adjustRightInd/>
              <w:spacing w:line="320" w:lineRule="exact"/>
              <w:jc w:val="left"/>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内容存在缺陷是指：1.方案内容与项目实际情况不符；2.套用其他项目方案或存在明显与本项目无关的文字内容；3.内容前后矛盾或存在逻辑错误或表述错误或科学原理错误或涉及的规范及标准错误；4.存在不可能实现的情形等任意一种情形；5.内容描述不符合国家相关法律法规、政策文件、规范标准要求。</w:t>
            </w:r>
          </w:p>
        </w:tc>
      </w:tr>
      <w:tr w14:paraId="7933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23" w:hRule="atLeast"/>
          <w:jc w:val="center"/>
        </w:trPr>
        <w:tc>
          <w:tcPr>
            <w:tcW w:w="505" w:type="dxa"/>
            <w:vMerge w:val="continue"/>
            <w:tcBorders>
              <w:left w:val="single" w:color="auto" w:sz="4" w:space="0"/>
              <w:right w:val="single" w:color="auto" w:sz="4" w:space="0"/>
            </w:tcBorders>
            <w:noWrap/>
            <w:vAlign w:val="center"/>
          </w:tcPr>
          <w:p w14:paraId="67CAF76B">
            <w:pPr>
              <w:pStyle w:val="52"/>
              <w:snapToGrid w:val="0"/>
              <w:spacing w:line="300" w:lineRule="exact"/>
              <w:rPr>
                <w:rFonts w:hint="eastAsia" w:ascii="仿宋" w:hAnsi="仿宋" w:eastAsia="仿宋" w:cs="仿宋"/>
                <w:color w:val="auto"/>
                <w:sz w:val="21"/>
                <w:szCs w:val="21"/>
                <w:highlight w:val="none"/>
              </w:rPr>
            </w:pPr>
          </w:p>
        </w:tc>
        <w:tc>
          <w:tcPr>
            <w:tcW w:w="965" w:type="dxa"/>
            <w:vMerge w:val="continue"/>
            <w:tcBorders>
              <w:left w:val="single" w:color="auto" w:sz="4" w:space="0"/>
              <w:right w:val="single" w:color="auto" w:sz="4" w:space="0"/>
            </w:tcBorders>
            <w:noWrap/>
            <w:vAlign w:val="center"/>
          </w:tcPr>
          <w:p w14:paraId="3D92B588">
            <w:pPr>
              <w:pStyle w:val="52"/>
              <w:spacing w:line="300" w:lineRule="exact"/>
              <w:jc w:val="center"/>
              <w:rPr>
                <w:rFonts w:hint="eastAsia" w:ascii="仿宋" w:hAnsi="仿宋" w:eastAsia="仿宋" w:cs="仿宋"/>
                <w:color w:val="auto"/>
                <w:sz w:val="21"/>
                <w:szCs w:val="21"/>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6A505FEA">
            <w:pPr>
              <w:pStyle w:val="11"/>
              <w:keepNext w:val="0"/>
              <w:keepLines w:val="0"/>
              <w:pageBreakBefore w:val="0"/>
              <w:shd w:val="clear" w:color="auto" w:fill="auto"/>
              <w:kinsoku/>
              <w:wordWrap/>
              <w:overflowPunct/>
              <w:topLinePunct w:val="0"/>
              <w:autoSpaceDE/>
              <w:autoSpaceDN/>
              <w:bidi w:val="0"/>
              <w:adjustRightInd/>
              <w:spacing w:after="0" w:line="300" w:lineRule="exact"/>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培训方案</w:t>
            </w:r>
          </w:p>
          <w:p w14:paraId="5FFE189B">
            <w:pPr>
              <w:pStyle w:val="11"/>
              <w:keepNext w:val="0"/>
              <w:keepLines w:val="0"/>
              <w:pageBreakBefore w:val="0"/>
              <w:shd w:val="clear" w:color="auto" w:fill="auto"/>
              <w:kinsoku/>
              <w:wordWrap/>
              <w:overflowPunct/>
              <w:topLinePunct w:val="0"/>
              <w:autoSpaceDE/>
              <w:autoSpaceDN/>
              <w:bidi w:val="0"/>
              <w:adjustRightInd/>
              <w:spacing w:after="0" w:line="300" w:lineRule="exact"/>
              <w:ind w:left="0" w:leftChars="0" w:right="0" w:rightChars="0" w:firstLine="0" w:firstLineChars="0"/>
              <w:jc w:val="center"/>
              <w:textAlignment w:val="auto"/>
              <w:rPr>
                <w:rFonts w:hint="eastAsia" w:ascii="仿宋" w:hAnsi="仿宋" w:eastAsia="仿宋" w:cs="仿宋"/>
                <w:color w:val="auto"/>
                <w:spacing w:val="0"/>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（0-6分）</w:t>
            </w:r>
          </w:p>
        </w:tc>
        <w:tc>
          <w:tcPr>
            <w:tcW w:w="5513" w:type="dxa"/>
            <w:tcBorders>
              <w:top w:val="single" w:color="auto" w:sz="4" w:space="0"/>
              <w:left w:val="single" w:color="auto" w:sz="4" w:space="0"/>
              <w:bottom w:val="single" w:color="auto" w:sz="4" w:space="0"/>
              <w:right w:val="single" w:color="auto" w:sz="4" w:space="0"/>
            </w:tcBorders>
            <w:noWrap/>
            <w:vAlign w:val="center"/>
          </w:tcPr>
          <w:p w14:paraId="2964E8D5">
            <w:pPr>
              <w:pStyle w:val="11"/>
              <w:keepNext w:val="0"/>
              <w:keepLines w:val="0"/>
              <w:pageBreakBefore w:val="0"/>
              <w:shd w:val="clear" w:color="auto" w:fill="auto"/>
              <w:kinsoku/>
              <w:wordWrap/>
              <w:overflowPunct/>
              <w:topLinePunct w:val="0"/>
              <w:autoSpaceDE/>
              <w:autoSpaceDN/>
              <w:bidi w:val="0"/>
              <w:adjustRightInd/>
              <w:spacing w:after="0" w:line="30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lang w:val="en-US" w:eastAsia="zh-CN" w:bidi="ar-SA"/>
              </w:rPr>
              <w:t>针对本项目的</w:t>
            </w:r>
            <w:r>
              <w:rPr>
                <w:rFonts w:hint="eastAsia" w:ascii="仿宋" w:hAnsi="仿宋" w:eastAsia="仿宋" w:cs="仿宋"/>
                <w:color w:val="auto"/>
                <w:sz w:val="21"/>
                <w:szCs w:val="21"/>
                <w:highlight w:val="none"/>
              </w:rPr>
              <w:t>培训方案</w:t>
            </w:r>
            <w:r>
              <w:rPr>
                <w:rFonts w:hint="eastAsia" w:ascii="仿宋" w:hAnsi="仿宋" w:eastAsia="仿宋" w:cs="仿宋"/>
                <w:color w:val="auto"/>
                <w:sz w:val="21"/>
                <w:szCs w:val="21"/>
                <w:highlight w:val="none"/>
                <w:lang w:val="en-US" w:eastAsia="zh-CN" w:bidi="ar-SA"/>
              </w:rPr>
              <w:t>进行综合评审</w:t>
            </w:r>
            <w:r>
              <w:rPr>
                <w:rFonts w:hint="eastAsia" w:ascii="仿宋" w:hAnsi="仿宋" w:eastAsia="仿宋" w:cs="仿宋"/>
                <w:color w:val="auto"/>
                <w:sz w:val="21"/>
                <w:szCs w:val="21"/>
                <w:highlight w:val="none"/>
              </w:rPr>
              <w:t>：①培训内容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②</w:t>
            </w:r>
            <w:r>
              <w:rPr>
                <w:rFonts w:hint="eastAsia" w:ascii="仿宋" w:hAnsi="仿宋" w:eastAsia="仿宋" w:cs="仿宋"/>
                <w:color w:val="auto"/>
                <w:sz w:val="21"/>
                <w:szCs w:val="21"/>
                <w:highlight w:val="none"/>
              </w:rPr>
              <w:t>培训方式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③</w:t>
            </w:r>
            <w:r>
              <w:rPr>
                <w:rFonts w:hint="eastAsia" w:ascii="仿宋" w:hAnsi="仿宋" w:eastAsia="仿宋" w:cs="仿宋"/>
                <w:color w:val="auto"/>
                <w:sz w:val="21"/>
                <w:szCs w:val="21"/>
                <w:highlight w:val="none"/>
              </w:rPr>
              <w:t>预期培训效果</w:t>
            </w:r>
            <w:r>
              <w:rPr>
                <w:rFonts w:hint="eastAsia" w:ascii="仿宋" w:hAnsi="仿宋" w:eastAsia="仿宋" w:cs="仿宋"/>
                <w:color w:val="auto"/>
                <w:sz w:val="21"/>
                <w:szCs w:val="21"/>
                <w:highlight w:val="none"/>
                <w:lang w:eastAsia="zh-CN"/>
              </w:rPr>
              <w:t>；</w:t>
            </w:r>
          </w:p>
          <w:p w14:paraId="4341E65B">
            <w:pPr>
              <w:pStyle w:val="11"/>
              <w:keepNext w:val="0"/>
              <w:keepLines w:val="0"/>
              <w:pageBreakBefore w:val="0"/>
              <w:shd w:val="clear" w:color="auto" w:fill="auto"/>
              <w:kinsoku/>
              <w:wordWrap/>
              <w:overflowPunct/>
              <w:topLinePunct w:val="0"/>
              <w:autoSpaceDE/>
              <w:autoSpaceDN/>
              <w:bidi w:val="0"/>
              <w:adjustRightInd/>
              <w:spacing w:after="0" w:line="30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上述内容</w:t>
            </w:r>
            <w:r>
              <w:rPr>
                <w:rFonts w:hint="eastAsia" w:ascii="仿宋" w:hAnsi="仿宋" w:eastAsia="仿宋" w:cs="仿宋"/>
                <w:color w:val="auto"/>
                <w:sz w:val="21"/>
                <w:szCs w:val="21"/>
                <w:highlight w:val="none"/>
                <w:lang w:eastAsia="zh-CN"/>
              </w:rPr>
              <w:t>描述清晰、合理可行、能充分结合本项目实际情况的</w:t>
            </w:r>
            <w:r>
              <w:rPr>
                <w:rFonts w:hint="eastAsia" w:ascii="仿宋" w:hAnsi="仿宋" w:eastAsia="仿宋" w:cs="仿宋"/>
                <w:color w:val="auto"/>
                <w:sz w:val="21"/>
                <w:szCs w:val="21"/>
                <w:highlight w:val="none"/>
                <w:lang w:val="en-US" w:eastAsia="zh-CN"/>
              </w:rPr>
              <w:t>，得6分；内容每缺少一项扣2分，每项内容存在缺陷扣1分，扣完为止；</w:t>
            </w:r>
          </w:p>
          <w:p w14:paraId="37DA3851">
            <w:pPr>
              <w:pStyle w:val="11"/>
              <w:keepNext w:val="0"/>
              <w:keepLines w:val="0"/>
              <w:pageBreakBefore w:val="0"/>
              <w:shd w:val="clear" w:color="auto" w:fill="auto"/>
              <w:kinsoku/>
              <w:wordWrap/>
              <w:overflowPunct/>
              <w:topLinePunct w:val="0"/>
              <w:autoSpaceDE/>
              <w:autoSpaceDN/>
              <w:bidi w:val="0"/>
              <w:adjustRightInd/>
              <w:spacing w:after="0" w:line="300" w:lineRule="exact"/>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内容存在缺陷是指：1.方案内容与项目实际情况不符；2.套用其他项目方案或存在明显与本项目无关的文字内容；3.内容前后矛盾或存在逻辑错误或表述错误或科学原理错误或涉及的规范及标准错误；4.存在不可能实现的情形等任意一种情形；5.内容描述不符合国家相关法律法规、政策文件、规范标准要求。</w:t>
            </w:r>
          </w:p>
        </w:tc>
      </w:tr>
    </w:tbl>
    <w:p w14:paraId="75A6E0CA">
      <w:pPr>
        <w:spacing w:line="500" w:lineRule="exact"/>
        <w:rPr>
          <w:rFonts w:ascii="仿宋" w:hAnsi="仿宋" w:eastAsia="仿宋" w:cs="仿宋_GB2312"/>
          <w:color w:val="auto"/>
          <w:sz w:val="24"/>
          <w:highlight w:val="none"/>
        </w:rPr>
      </w:pPr>
    </w:p>
    <w:p w14:paraId="68215D58">
      <w:pPr>
        <w:numPr>
          <w:ilvl w:val="1"/>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评标委员会每位成员独立对每个有效</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的投标文件进行评价、打分；然后汇总每个</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的得分，计算得分平均值，以平均值由高到低进行排序，按排序顺序推荐中标候选人。分值计算保留小数点后二位，第三位四舍五入。</w:t>
      </w:r>
    </w:p>
    <w:p w14:paraId="4C805057">
      <w:pPr>
        <w:numPr>
          <w:ilvl w:val="1"/>
          <w:numId w:val="14"/>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落实中小企业政府采购政策的价格调整：</w:t>
      </w:r>
    </w:p>
    <w:p w14:paraId="55DC4E5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，其投标报价扣除</w:t>
      </w:r>
      <w:r>
        <w:rPr>
          <w:rFonts w:hint="eastAsia" w:ascii="仿宋" w:hAnsi="仿宋" w:eastAsia="仿宋" w:cs="仿宋_GB2312"/>
          <w:color w:val="auto"/>
          <w:sz w:val="24"/>
          <w:highlight w:val="none"/>
          <w:u w:val="single"/>
        </w:rPr>
        <w:t xml:space="preserve"> 10 % </w:t>
      </w:r>
      <w:r>
        <w:rPr>
          <w:rFonts w:hint="eastAsia" w:ascii="仿宋" w:hAnsi="仿宋" w:eastAsia="仿宋" w:cs="仿宋_GB2312"/>
          <w:color w:val="auto"/>
          <w:sz w:val="24"/>
          <w:highlight w:val="none"/>
        </w:rPr>
        <w:t>后参与评审。对于同时属于小微企业、监狱企业或残疾人福利性单位的，不重复进行投标报价扣除</w:t>
      </w:r>
      <w:r>
        <w:rPr>
          <w:rFonts w:hint="eastAsia" w:ascii="仿宋" w:hAnsi="仿宋" w:eastAsia="仿宋" w:cs="仿宋_GB2312"/>
          <w:color w:val="auto"/>
          <w:sz w:val="24"/>
          <w:highlight w:val="none"/>
          <w:lang w:val="en-US" w:eastAsia="zh-CN"/>
        </w:rPr>
        <w:t>。</w:t>
      </w:r>
    </w:p>
    <w:p w14:paraId="6734510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color w:val="auto"/>
          <w:sz w:val="24"/>
          <w:highlight w:val="none"/>
          <w:lang w:val="en-US" w:eastAsia="zh-CN"/>
        </w:rPr>
        <w:t>合同总金额</w:t>
      </w:r>
      <w:r>
        <w:rPr>
          <w:rFonts w:hint="eastAsia" w:ascii="仿宋" w:hAnsi="仿宋" w:eastAsia="仿宋" w:cs="仿宋_GB2312"/>
          <w:color w:val="auto"/>
          <w:sz w:val="24"/>
          <w:highlight w:val="none"/>
          <w:u w:val="single"/>
          <w:lang w:val="en-US" w:eastAsia="zh-CN"/>
        </w:rPr>
        <w:t xml:space="preserve"> 30 </w:t>
      </w:r>
      <w:r>
        <w:rPr>
          <w:rFonts w:hint="eastAsia" w:ascii="仿宋" w:hAnsi="仿宋" w:eastAsia="仿宋" w:cs="仿宋_GB2312"/>
          <w:color w:val="auto"/>
          <w:sz w:val="24"/>
          <w:highlight w:val="none"/>
          <w:lang w:val="en-US" w:eastAsia="zh-CN"/>
        </w:rPr>
        <w:t>%以上的联合体或者大中型企业的报价给予</w:t>
      </w:r>
      <w:r>
        <w:rPr>
          <w:rFonts w:hint="eastAsia" w:ascii="仿宋" w:hAnsi="仿宋" w:eastAsia="仿宋" w:cs="仿宋_GB2312"/>
          <w:color w:val="auto"/>
          <w:sz w:val="24"/>
          <w:highlight w:val="none"/>
          <w:u w:val="single"/>
          <w:lang w:val="en-US" w:eastAsia="zh-CN"/>
        </w:rPr>
        <w:t xml:space="preserve"> 4 </w:t>
      </w:r>
      <w:r>
        <w:rPr>
          <w:rFonts w:hint="eastAsia" w:ascii="仿宋" w:hAnsi="仿宋" w:eastAsia="仿宋" w:cs="仿宋_GB2312"/>
          <w:color w:val="auto"/>
          <w:sz w:val="24"/>
          <w:highlight w:val="none"/>
          <w:lang w:val="en-US" w:eastAsia="zh-CN"/>
        </w:rPr>
        <w:t>% 的扣除，用扣除后的价格参加评审。</w:t>
      </w:r>
    </w:p>
    <w:p w14:paraId="57EDE96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价格扣除比例对小型企业和微型企业同等对待，不作区分。</w:t>
      </w:r>
    </w:p>
    <w:p w14:paraId="00C2E4D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残疾人福利性单位按招标文件要求提供了《残疾人福利性单位声明函》（见附件）的，视同小微企业。</w:t>
      </w:r>
    </w:p>
    <w:p w14:paraId="2F06358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若</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同时属于小型或微型企业、监狱企业、残疾人福利性单位中的两种及以上，将不重复享受小微企业价格扣减的优惠政策。</w:t>
      </w:r>
    </w:p>
    <w:p w14:paraId="7D4FEB91">
      <w:pPr>
        <w:numPr>
          <w:ilvl w:val="1"/>
          <w:numId w:val="14"/>
        </w:numPr>
        <w:spacing w:line="500" w:lineRule="exact"/>
        <w:rPr>
          <w:rFonts w:ascii="仿宋" w:hAnsi="仿宋" w:eastAsia="仿宋" w:cs="仿宋_GB2312"/>
          <w:color w:val="auto"/>
          <w:sz w:val="24"/>
          <w:highlight w:val="none"/>
        </w:rPr>
      </w:pPr>
      <w:r>
        <w:rPr>
          <w:rFonts w:hint="eastAsia" w:ascii="仿宋" w:hAnsi="仿宋" w:eastAsia="仿宋" w:cs="仿宋_GB2312"/>
          <w:b/>
          <w:bCs/>
          <w:color w:val="auto"/>
          <w:sz w:val="24"/>
          <w:highlight w:val="none"/>
        </w:rPr>
        <w:t>节能产品目录或环境标志产品目录或无线局域网产品</w:t>
      </w:r>
    </w:p>
    <w:p w14:paraId="5013696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color w:val="auto"/>
          <w:sz w:val="24"/>
          <w:highlight w:val="none"/>
          <w:u w:val="single"/>
          <w:lang w:val="en-US" w:eastAsia="zh-CN"/>
        </w:rPr>
        <w:t>详见本项目详细评审标准</w:t>
      </w:r>
      <w:r>
        <w:rPr>
          <w:rFonts w:hint="eastAsia" w:ascii="仿宋" w:hAnsi="仿宋" w:eastAsia="仿宋" w:cs="仿宋_GB2312"/>
          <w:color w:val="auto"/>
          <w:sz w:val="24"/>
          <w:highlight w:val="none"/>
          <w:lang w:val="en-US" w:eastAsia="zh-CN"/>
        </w:rPr>
        <w:t>。</w:t>
      </w:r>
    </w:p>
    <w:p w14:paraId="654452C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如采购人所采购产品为政府强制采购的节能产品，</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所投产品的品牌及型号必须为清单中有效期内产品并提供证明文件，否则其投标将作为</w:t>
      </w:r>
      <w:r>
        <w:rPr>
          <w:rFonts w:hint="eastAsia" w:ascii="仿宋" w:hAnsi="仿宋" w:eastAsia="仿宋" w:cs="仿宋_GB2312"/>
          <w:b/>
          <w:bCs/>
          <w:color w:val="auto"/>
          <w:sz w:val="24"/>
          <w:highlight w:val="none"/>
        </w:rPr>
        <w:t>无效投标</w:t>
      </w:r>
      <w:r>
        <w:rPr>
          <w:rFonts w:hint="eastAsia" w:ascii="仿宋" w:hAnsi="仿宋" w:eastAsia="仿宋" w:cs="仿宋_GB2312"/>
          <w:color w:val="auto"/>
          <w:sz w:val="24"/>
          <w:highlight w:val="none"/>
        </w:rPr>
        <w:t>被拒绝。</w:t>
      </w:r>
    </w:p>
    <w:p w14:paraId="1775F8A3">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所投产品列入无线局域网产品清单，应提供相关证明，在评标时予以优先采购，具体优惠措施为：</w:t>
      </w:r>
      <w:r>
        <w:rPr>
          <w:rFonts w:hint="eastAsia" w:ascii="仿宋" w:hAnsi="仿宋" w:eastAsia="仿宋" w:cs="仿宋_GB2312"/>
          <w:color w:val="auto"/>
          <w:sz w:val="24"/>
          <w:highlight w:val="none"/>
          <w:u w:val="single"/>
        </w:rPr>
        <w:t>综合得分相同时排名优先 。</w:t>
      </w:r>
    </w:p>
    <w:p w14:paraId="5D5FD63A">
      <w:pPr>
        <w:numPr>
          <w:ilvl w:val="1"/>
          <w:numId w:val="14"/>
        </w:numPr>
        <w:spacing w:line="500" w:lineRule="exact"/>
        <w:rPr>
          <w:rFonts w:hint="default" w:ascii="仿宋" w:hAnsi="仿宋" w:eastAsia="仿宋" w:cs="仿宋_GB2312"/>
          <w:b/>
          <w:bCs/>
          <w:color w:val="auto"/>
          <w:sz w:val="24"/>
          <w:highlight w:val="none"/>
          <w:lang w:val="en-US" w:eastAsia="zh-CN"/>
        </w:rPr>
      </w:pPr>
      <w:r>
        <w:rPr>
          <w:rFonts w:hint="eastAsia" w:ascii="仿宋" w:hAnsi="仿宋" w:eastAsia="仿宋" w:cs="仿宋_GB2312"/>
          <w:b/>
          <w:bCs/>
          <w:color w:val="auto"/>
          <w:sz w:val="24"/>
          <w:highlight w:val="none"/>
          <w:lang w:val="en-US" w:eastAsia="zh-CN"/>
        </w:rPr>
        <w:t>本国产品政策</w:t>
      </w:r>
    </w:p>
    <w:p w14:paraId="54DB8E3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若适用本国产品价格评审优惠政策的，供应商对其提供的产品出具《关于符合本国产品标准的声明函》（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4D52DB1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color w:val="auto"/>
          <w:sz w:val="24"/>
          <w:highlight w:val="none"/>
          <w:u w:val="single"/>
          <w:lang w:val="en-US" w:eastAsia="zh-CN"/>
        </w:rPr>
        <w:t>20%</w:t>
      </w:r>
      <w:r>
        <w:rPr>
          <w:rFonts w:hint="eastAsia" w:ascii="仿宋" w:hAnsi="仿宋" w:eastAsia="仿宋" w:cs="仿宋_GB2312"/>
          <w:color w:val="auto"/>
          <w:sz w:val="24"/>
          <w:highlight w:val="none"/>
          <w:lang w:val="en-US" w:eastAsia="zh-CN"/>
        </w:rPr>
        <w:t>的价格扣除，用扣除后的价格参与评审。对于仅有本国产品参与竞争的政府采购项目，本国产品不享受价格扣除评审优惠。</w:t>
      </w:r>
    </w:p>
    <w:p w14:paraId="6AB7CA64">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color w:val="auto"/>
          <w:sz w:val="24"/>
          <w:highlight w:val="none"/>
          <w:u w:val="single"/>
          <w:lang w:val="en-US" w:eastAsia="zh-CN"/>
        </w:rPr>
        <w:t>80%</w:t>
      </w:r>
      <w:r>
        <w:rPr>
          <w:rFonts w:hint="eastAsia" w:ascii="仿宋" w:hAnsi="仿宋" w:eastAsia="仿宋" w:cs="仿宋_GB2312"/>
          <w:color w:val="auto"/>
          <w:sz w:val="24"/>
          <w:highlight w:val="none"/>
          <w:lang w:val="en-US" w:eastAsia="zh-CN"/>
        </w:rPr>
        <w:t>以上时，则依法对该供应商提供的全部产品给予价格评审优惠，即对该供应商提供的全部产品的总报价给予</w:t>
      </w:r>
      <w:r>
        <w:rPr>
          <w:rFonts w:hint="eastAsia" w:ascii="仿宋" w:hAnsi="仿宋" w:eastAsia="仿宋" w:cs="仿宋_GB2312"/>
          <w:color w:val="auto"/>
          <w:sz w:val="24"/>
          <w:highlight w:val="none"/>
          <w:u w:val="single"/>
          <w:lang w:val="en-US" w:eastAsia="zh-CN"/>
        </w:rPr>
        <w:t>20%</w:t>
      </w:r>
      <w:r>
        <w:rPr>
          <w:rFonts w:hint="eastAsia" w:ascii="仿宋" w:hAnsi="仿宋" w:eastAsia="仿宋" w:cs="仿宋_GB2312"/>
          <w:color w:val="auto"/>
          <w:sz w:val="24"/>
          <w:highlight w:val="none"/>
          <w:lang w:val="en-US" w:eastAsia="zh-CN"/>
        </w:rPr>
        <w:t>的价格扣除，用扣除后的价格参与评审。</w:t>
      </w:r>
    </w:p>
    <w:p w14:paraId="0589B51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D4BEC4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14"/>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同品牌处理办法：</w:t>
      </w:r>
    </w:p>
    <w:p w14:paraId="3C9EE9B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u w:val="none"/>
        </w:rPr>
      </w:pPr>
      <w:r>
        <w:rPr>
          <w:rFonts w:hint="eastAsia" w:ascii="仿宋" w:hAnsi="仿宋" w:eastAsia="仿宋" w:cs="仿宋_GB2312"/>
          <w:color w:val="auto"/>
          <w:sz w:val="24"/>
          <w:highlight w:val="none"/>
        </w:rPr>
        <w:t>如采用最低评标办法，则：</w:t>
      </w:r>
      <w:r>
        <w:rPr>
          <w:rFonts w:hint="eastAsia" w:ascii="仿宋" w:hAnsi="仿宋" w:eastAsia="仿宋" w:cs="仿宋_GB2312"/>
          <w:color w:val="auto"/>
          <w:sz w:val="24"/>
          <w:highlight w:val="none"/>
          <w:u w:val="none"/>
        </w:rPr>
        <w:t>提供相同品牌产品</w:t>
      </w:r>
      <w:r>
        <w:rPr>
          <w:rFonts w:hint="eastAsia" w:ascii="仿宋" w:hAnsi="仿宋" w:eastAsia="仿宋" w:cs="仿宋_GB2312"/>
          <w:color w:val="auto"/>
          <w:sz w:val="24"/>
          <w:highlight w:val="none"/>
          <w:u w:val="none"/>
          <w:lang w:val="en-US" w:eastAsia="zh-CN"/>
        </w:rPr>
        <w:t>（单一产品或核心产品品牌相同）</w:t>
      </w:r>
      <w:r>
        <w:rPr>
          <w:rFonts w:hint="eastAsia" w:ascii="仿宋" w:hAnsi="仿宋" w:eastAsia="仿宋" w:cs="仿宋_GB2312"/>
          <w:color w:val="auto"/>
          <w:sz w:val="24"/>
          <w:highlight w:val="none"/>
          <w:u w:val="none"/>
        </w:rPr>
        <w:t>的不同</w:t>
      </w:r>
      <w:r>
        <w:rPr>
          <w:rFonts w:hint="eastAsia" w:ascii="仿宋" w:hAnsi="仿宋" w:eastAsia="仿宋" w:cs="仿宋_GB2312"/>
          <w:color w:val="auto"/>
          <w:sz w:val="24"/>
          <w:highlight w:val="none"/>
          <w:u w:val="none"/>
          <w:lang w:eastAsia="zh-CN"/>
        </w:rPr>
        <w:t>投标人</w:t>
      </w:r>
      <w:r>
        <w:rPr>
          <w:rFonts w:hint="eastAsia" w:ascii="仿宋" w:hAnsi="仿宋" w:eastAsia="仿宋" w:cs="仿宋_GB2312"/>
          <w:color w:val="auto"/>
          <w:sz w:val="24"/>
          <w:highlight w:val="none"/>
          <w:u w:val="none"/>
        </w:rPr>
        <w:t>以其中通过资格审查、符合性审查且报价最低的参加评标；报价相同的，由评标委员会采取随机抽取方式确定，其他同品牌</w:t>
      </w:r>
      <w:r>
        <w:rPr>
          <w:rFonts w:hint="eastAsia" w:ascii="仿宋" w:hAnsi="仿宋" w:eastAsia="仿宋" w:cs="仿宋_GB2312"/>
          <w:color w:val="auto"/>
          <w:sz w:val="24"/>
          <w:highlight w:val="none"/>
          <w:u w:val="none"/>
          <w:lang w:eastAsia="zh-CN"/>
        </w:rPr>
        <w:t>投标人</w:t>
      </w:r>
      <w:r>
        <w:rPr>
          <w:rFonts w:hint="eastAsia" w:ascii="仿宋" w:hAnsi="仿宋" w:eastAsia="仿宋" w:cs="仿宋_GB2312"/>
          <w:color w:val="auto"/>
          <w:sz w:val="24"/>
          <w:highlight w:val="none"/>
          <w:u w:val="none"/>
        </w:rPr>
        <w:t>不作为中标候选人。</w:t>
      </w:r>
    </w:p>
    <w:p w14:paraId="2D95A164">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如采用综合评标法，则：</w:t>
      </w:r>
      <w:r>
        <w:rPr>
          <w:rFonts w:hint="eastAsia" w:ascii="仿宋" w:hAnsi="仿宋" w:eastAsia="仿宋" w:cs="仿宋_GB2312"/>
          <w:color w:val="auto"/>
          <w:sz w:val="24"/>
          <w:highlight w:val="none"/>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_GB2312"/>
          <w:color w:val="auto"/>
          <w:sz w:val="24"/>
          <w:highlight w:val="none"/>
          <w:u w:val="none"/>
        </w:rPr>
        <w:t>。</w:t>
      </w:r>
    </w:p>
    <w:p w14:paraId="0C93921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如一个分包内包含多种产品的，采购人或采购代理机构将在</w:t>
      </w:r>
      <w:r>
        <w:rPr>
          <w:rFonts w:hint="eastAsia" w:ascii="仿宋" w:hAnsi="仿宋" w:eastAsia="仿宋" w:cs="仿宋_GB2312"/>
          <w:color w:val="auto"/>
          <w:sz w:val="24"/>
          <w:highlight w:val="none"/>
          <w:u w:val="single"/>
          <w:lang w:eastAsia="zh-CN"/>
        </w:rPr>
        <w:t>投标</w:t>
      </w:r>
      <w:r>
        <w:rPr>
          <w:rFonts w:hint="eastAsia" w:ascii="仿宋" w:hAnsi="仿宋" w:eastAsia="仿宋" w:cs="仿宋_GB2312"/>
          <w:color w:val="auto"/>
          <w:sz w:val="24"/>
          <w:highlight w:val="none"/>
          <w:u w:val="single"/>
        </w:rPr>
        <w:t>须知前附表</w:t>
      </w:r>
      <w:r>
        <w:rPr>
          <w:rFonts w:hint="eastAsia" w:ascii="仿宋" w:hAnsi="仿宋" w:eastAsia="仿宋" w:cs="仿宋_GB2312"/>
          <w:color w:val="auto"/>
          <w:sz w:val="24"/>
          <w:highlight w:val="none"/>
        </w:rPr>
        <w:t>中载明核心产品，多家</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提供的所有核心产品品牌均相同的，按</w:t>
      </w:r>
      <w:r>
        <w:rPr>
          <w:rFonts w:hint="eastAsia" w:ascii="仿宋" w:hAnsi="仿宋" w:eastAsia="仿宋" w:cs="仿宋_GB2312"/>
          <w:color w:val="auto"/>
          <w:sz w:val="24"/>
          <w:highlight w:val="none"/>
          <w:lang w:val="en-US" w:eastAsia="zh-CN"/>
        </w:rPr>
        <w:t>上述的</w:t>
      </w:r>
      <w:r>
        <w:rPr>
          <w:rFonts w:hint="eastAsia" w:ascii="仿宋" w:hAnsi="仿宋" w:eastAsia="仿宋" w:cs="仿宋_GB2312"/>
          <w:color w:val="auto"/>
          <w:sz w:val="24"/>
          <w:highlight w:val="none"/>
        </w:rPr>
        <w:t xml:space="preserve">规定处理。 </w:t>
      </w:r>
    </w:p>
    <w:p w14:paraId="548FFFDB">
      <w:pPr>
        <w:numPr>
          <w:ilvl w:val="1"/>
          <w:numId w:val="14"/>
        </w:numPr>
        <w:spacing w:line="500" w:lineRule="exact"/>
        <w:rPr>
          <w:rFonts w:hint="eastAsia" w:ascii="仿宋" w:hAnsi="仿宋" w:eastAsia="仿宋" w:cs="仿宋_GB2312"/>
          <w:b/>
          <w:bCs/>
          <w:color w:val="auto"/>
          <w:sz w:val="24"/>
          <w:highlight w:val="none"/>
          <w:lang w:val="zh-CN" w:eastAsia="zh-CN"/>
        </w:rPr>
      </w:pPr>
      <w:bookmarkStart w:id="47" w:name="_Toc13511"/>
      <w:r>
        <w:rPr>
          <w:rFonts w:hint="eastAsia" w:ascii="仿宋" w:hAnsi="仿宋" w:eastAsia="仿宋" w:cs="仿宋_GB2312"/>
          <w:b/>
          <w:bCs/>
          <w:color w:val="auto"/>
          <w:sz w:val="24"/>
          <w:highlight w:val="none"/>
          <w:lang w:val="zh-CN" w:eastAsia="zh-CN"/>
        </w:rPr>
        <w:t>评标得分及复核</w:t>
      </w:r>
      <w:bookmarkEnd w:id="47"/>
    </w:p>
    <w:p w14:paraId="073A56A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（4）经评标委员会认定评分畸高、畸低的。</w:t>
      </w:r>
    </w:p>
    <w:p w14:paraId="0FD26D1C">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采购人或者采购代理机构不得通过对样品进行检测、对投标人进行考察等方式改变评审结果。</w:t>
      </w:r>
    </w:p>
    <w:p w14:paraId="0FF9D42E">
      <w:pPr>
        <w:numPr>
          <w:ilvl w:val="1"/>
          <w:numId w:val="14"/>
        </w:num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rPr>
        <w:t>确定中标候选人名单</w:t>
      </w:r>
    </w:p>
    <w:p w14:paraId="78437E7B">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采用综合评分法时，评标结果按评审后得分由高到低顺序排列。得分相同的,</w:t>
      </w:r>
      <w:r>
        <w:rPr>
          <w:rFonts w:hint="eastAsia" w:ascii="仿宋" w:hAnsi="仿宋" w:eastAsia="仿宋" w:cs="仿宋_GB2312"/>
          <w:color w:val="auto"/>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_GB2312"/>
          <w:color w:val="auto"/>
          <w:sz w:val="24"/>
          <w:highlight w:val="none"/>
        </w:rPr>
        <w:t>。</w:t>
      </w:r>
    </w:p>
    <w:p w14:paraId="21CF6AD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采用最低评标价法时，</w:t>
      </w:r>
      <w:r>
        <w:rPr>
          <w:rFonts w:hint="eastAsia" w:ascii="仿宋" w:hAnsi="仿宋" w:eastAsia="仿宋" w:cs="仿宋_GB2312"/>
          <w:color w:val="auto"/>
          <w:sz w:val="24"/>
          <w:highlight w:val="none"/>
          <w:lang w:val="en-US" w:eastAsia="zh-CN"/>
        </w:rPr>
        <w:t>评标结果按投标报价由低到高顺序排列。投标报价相同的并列。投标文件满足招标文件全部实质性要求且投标报价最低的投标人为排名第一的中标候选人。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color w:val="auto"/>
          <w:sz w:val="24"/>
          <w:highlight w:val="none"/>
        </w:rPr>
      </w:pPr>
      <w:r>
        <w:rPr>
          <w:rFonts w:hint="eastAsia" w:ascii="仿宋" w:hAnsi="仿宋" w:eastAsia="仿宋" w:cs="仿宋_GB2312"/>
          <w:color w:val="auto"/>
          <w:sz w:val="24"/>
          <w:highlight w:val="none"/>
        </w:rPr>
        <w:t>评标委员会将根据各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的评标排序，依次推荐本项目（各采购包）的中标候选人，起草并签署评标报告。本项目（各采购包）评标委员会共（各）推荐三名中标候选人。</w:t>
      </w:r>
    </w:p>
    <w:p w14:paraId="1F98E10E">
      <w:pPr>
        <w:numPr>
          <w:ilvl w:val="1"/>
          <w:numId w:val="14"/>
        </w:numPr>
        <w:spacing w:line="500" w:lineRule="exact"/>
        <w:rPr>
          <w:rFonts w:hint="eastAsia" w:ascii="仿宋" w:hAnsi="仿宋" w:eastAsia="仿宋" w:cs="仿宋_GB2312"/>
          <w:b/>
          <w:bCs/>
          <w:color w:val="auto"/>
          <w:sz w:val="24"/>
          <w:highlight w:val="none"/>
          <w:lang w:val="zh-CN" w:eastAsia="zh-CN"/>
        </w:rPr>
      </w:pPr>
      <w:bookmarkStart w:id="48" w:name="_Toc21574"/>
      <w:r>
        <w:rPr>
          <w:rFonts w:hint="eastAsia" w:ascii="仿宋" w:hAnsi="仿宋" w:eastAsia="仿宋" w:cs="仿宋_GB2312"/>
          <w:b/>
          <w:bCs/>
          <w:color w:val="auto"/>
          <w:sz w:val="24"/>
          <w:highlight w:val="none"/>
          <w:lang w:val="zh-CN" w:eastAsia="zh-CN"/>
        </w:rPr>
        <w:t>编写评标报告</w:t>
      </w:r>
      <w:bookmarkEnd w:id="48"/>
    </w:p>
    <w:p w14:paraId="3576CAB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4"/>
        </w:numPr>
        <w:spacing w:line="500" w:lineRule="exact"/>
        <w:rPr>
          <w:rFonts w:hint="eastAsia" w:ascii="仿宋" w:hAnsi="仿宋" w:eastAsia="仿宋" w:cs="仿宋_GB2312"/>
          <w:b/>
          <w:bCs/>
          <w:color w:val="auto"/>
          <w:sz w:val="24"/>
          <w:highlight w:val="none"/>
          <w:lang w:val="zh-CN" w:eastAsia="zh-CN"/>
        </w:rPr>
      </w:pPr>
      <w:bookmarkStart w:id="49" w:name="_Toc102116021"/>
      <w:bookmarkStart w:id="50" w:name="_Toc1587"/>
      <w:bookmarkStart w:id="51" w:name="_Toc163492906"/>
      <w:bookmarkStart w:id="52" w:name="_Toc102119852"/>
      <w:bookmarkStart w:id="53" w:name="_Toc102057717"/>
      <w:bookmarkStart w:id="54" w:name="_Toc102056217"/>
      <w:bookmarkStart w:id="55" w:name="_Toc155185913"/>
      <w:bookmarkStart w:id="56" w:name="_Toc102114919"/>
      <w:bookmarkStart w:id="57" w:name="_Toc102116151"/>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b/>
          <w:bCs/>
          <w:color w:val="auto"/>
          <w:sz w:val="24"/>
          <w:highlight w:val="none"/>
          <w:lang w:val="zh-CN" w:eastAsia="zh-CN"/>
        </w:rPr>
        <w:t>的情形</w:t>
      </w:r>
      <w:bookmarkEnd w:id="49"/>
      <w:bookmarkEnd w:id="50"/>
      <w:bookmarkEnd w:id="51"/>
      <w:bookmarkEnd w:id="52"/>
      <w:bookmarkEnd w:id="53"/>
      <w:bookmarkEnd w:id="54"/>
      <w:bookmarkEnd w:id="55"/>
      <w:bookmarkEnd w:id="56"/>
      <w:bookmarkEnd w:id="57"/>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投标人存在下列情形之一的，</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w:t>
      </w:r>
    </w:p>
    <w:p w14:paraId="5C1B2C9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en-US" w:eastAsia="zh-CN"/>
        </w:rPr>
        <w:t>投标人</w:t>
      </w:r>
      <w:r>
        <w:rPr>
          <w:rFonts w:hint="eastAsia" w:ascii="仿宋" w:hAnsi="仿宋" w:eastAsia="仿宋" w:cs="仿宋_GB2312"/>
          <w:color w:val="auto"/>
          <w:sz w:val="24"/>
          <w:highlight w:val="none"/>
          <w:lang w:val="zh-CN" w:eastAsia="zh-CN"/>
        </w:rPr>
        <w:t>不具备《中华人民共和国政府采购法》第二十二条规定条件</w:t>
      </w:r>
      <w:r>
        <w:rPr>
          <w:rFonts w:hint="eastAsia" w:ascii="仿宋" w:hAnsi="仿宋" w:eastAsia="仿宋" w:cs="仿宋_GB2312"/>
          <w:color w:val="auto"/>
          <w:sz w:val="24"/>
          <w:highlight w:val="none"/>
          <w:lang w:val="en-US" w:eastAsia="zh-CN"/>
        </w:rPr>
        <w:t>；</w:t>
      </w:r>
    </w:p>
    <w:p w14:paraId="15C939E8">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rPr>
        <w:t>投标文件未按招标文件要求签署、盖章的</w:t>
      </w:r>
      <w:r>
        <w:rPr>
          <w:rFonts w:hint="eastAsia" w:ascii="仿宋" w:hAnsi="仿宋" w:eastAsia="仿宋" w:cs="仿宋_GB2312"/>
          <w:color w:val="auto"/>
          <w:sz w:val="24"/>
          <w:highlight w:val="none"/>
          <w:lang w:val="en-US" w:eastAsia="zh-CN"/>
        </w:rPr>
        <w:t>；</w:t>
      </w:r>
    </w:p>
    <w:p w14:paraId="0A936FC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en-US" w:eastAsia="zh-CN"/>
        </w:rPr>
        <w:t>投标</w:t>
      </w:r>
      <w:r>
        <w:rPr>
          <w:rFonts w:hint="eastAsia" w:ascii="仿宋" w:hAnsi="仿宋" w:eastAsia="仿宋" w:cs="仿宋_GB2312"/>
          <w:color w:val="auto"/>
          <w:sz w:val="24"/>
          <w:highlight w:val="none"/>
          <w:lang w:val="zh-CN" w:eastAsia="zh-CN"/>
        </w:rPr>
        <w:t>文件提供虚假材料的</w:t>
      </w:r>
      <w:r>
        <w:rPr>
          <w:rFonts w:hint="eastAsia" w:ascii="仿宋" w:hAnsi="仿宋" w:eastAsia="仿宋" w:cs="仿宋_GB2312"/>
          <w:color w:val="auto"/>
          <w:sz w:val="24"/>
          <w:highlight w:val="none"/>
          <w:lang w:val="en-US" w:eastAsia="zh-CN"/>
        </w:rPr>
        <w:t>；</w:t>
      </w:r>
    </w:p>
    <w:p w14:paraId="3FDAE16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en-US" w:eastAsia="zh-CN"/>
        </w:rPr>
        <w:t>投标</w:t>
      </w:r>
      <w:r>
        <w:rPr>
          <w:rFonts w:hint="eastAsia" w:ascii="仿宋" w:hAnsi="仿宋" w:eastAsia="仿宋" w:cs="仿宋_GB2312"/>
          <w:color w:val="auto"/>
          <w:sz w:val="24"/>
          <w:highlight w:val="none"/>
          <w:lang w:val="zh-CN" w:eastAsia="zh-CN"/>
        </w:rPr>
        <w:t>文件不满足</w:t>
      </w:r>
      <w:r>
        <w:rPr>
          <w:rFonts w:hint="eastAsia" w:ascii="仿宋" w:hAnsi="仿宋" w:eastAsia="仿宋" w:cs="仿宋_GB2312"/>
          <w:color w:val="auto"/>
          <w:sz w:val="24"/>
          <w:highlight w:val="none"/>
          <w:lang w:val="en-US" w:eastAsia="zh-CN"/>
        </w:rPr>
        <w:t>招标</w:t>
      </w:r>
      <w:r>
        <w:rPr>
          <w:rFonts w:hint="eastAsia" w:ascii="仿宋" w:hAnsi="仿宋" w:eastAsia="仿宋" w:cs="仿宋_GB2312"/>
          <w:color w:val="auto"/>
          <w:sz w:val="24"/>
          <w:highlight w:val="none"/>
          <w:lang w:val="zh-CN" w:eastAsia="zh-CN"/>
        </w:rPr>
        <w:t>文件中标注“★”号的实质性条款（或指标）要求的</w:t>
      </w:r>
      <w:r>
        <w:rPr>
          <w:rFonts w:hint="eastAsia" w:ascii="仿宋" w:hAnsi="仿宋" w:eastAsia="仿宋" w:cs="仿宋_GB2312"/>
          <w:color w:val="auto"/>
          <w:sz w:val="24"/>
          <w:highlight w:val="none"/>
          <w:lang w:val="en-US" w:eastAsia="zh-CN"/>
        </w:rPr>
        <w:t>；</w:t>
      </w:r>
    </w:p>
    <w:p w14:paraId="2C5FC304">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投标人</w:t>
      </w:r>
      <w:r>
        <w:rPr>
          <w:rFonts w:hint="eastAsia" w:ascii="仿宋" w:hAnsi="仿宋" w:eastAsia="仿宋" w:cs="仿宋_GB2312"/>
          <w:color w:val="auto"/>
          <w:sz w:val="24"/>
          <w:highlight w:val="none"/>
          <w:lang w:val="zh-CN" w:eastAsia="zh-CN"/>
        </w:rPr>
        <w:t>报价超过招标文件中规定的</w:t>
      </w:r>
      <w:r>
        <w:rPr>
          <w:rFonts w:hint="eastAsia" w:ascii="仿宋" w:hAnsi="仿宋" w:eastAsia="仿宋" w:cs="仿宋_GB2312"/>
          <w:color w:val="auto"/>
          <w:sz w:val="24"/>
          <w:highlight w:val="none"/>
          <w:lang w:val="en-US" w:eastAsia="zh-CN"/>
        </w:rPr>
        <w:t>最高限价或者预算金额</w:t>
      </w:r>
      <w:r>
        <w:rPr>
          <w:rFonts w:hint="eastAsia" w:ascii="仿宋" w:hAnsi="仿宋" w:eastAsia="仿宋" w:cs="仿宋_GB2312"/>
          <w:color w:val="auto"/>
          <w:sz w:val="24"/>
          <w:highlight w:val="none"/>
          <w:lang w:val="zh-CN" w:eastAsia="zh-CN"/>
        </w:rPr>
        <w:t>的</w:t>
      </w:r>
      <w:r>
        <w:rPr>
          <w:rFonts w:hint="eastAsia" w:ascii="仿宋" w:hAnsi="仿宋" w:eastAsia="仿宋" w:cs="仿宋_GB2312"/>
          <w:color w:val="auto"/>
          <w:sz w:val="24"/>
          <w:highlight w:val="none"/>
          <w:lang w:val="en-US" w:eastAsia="zh-CN"/>
        </w:rPr>
        <w:t>；</w:t>
      </w:r>
    </w:p>
    <w:p w14:paraId="6FC2A54F">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zh-CN" w:eastAsia="zh-CN"/>
        </w:rPr>
        <w:t>联合体的供应商未提交各方共同签署的</w:t>
      </w:r>
      <w:r>
        <w:rPr>
          <w:rFonts w:hint="eastAsia" w:ascii="仿宋" w:hAnsi="仿宋" w:eastAsia="仿宋" w:cs="仿宋_GB2312"/>
          <w:color w:val="auto"/>
          <w:sz w:val="24"/>
          <w:highlight w:val="none"/>
          <w:lang w:val="en-US" w:eastAsia="zh-CN"/>
        </w:rPr>
        <w:t>联合体</w:t>
      </w:r>
      <w:r>
        <w:rPr>
          <w:rFonts w:hint="eastAsia" w:ascii="仿宋" w:hAnsi="仿宋" w:eastAsia="仿宋" w:cs="仿宋_GB2312"/>
          <w:color w:val="auto"/>
          <w:sz w:val="24"/>
          <w:highlight w:val="none"/>
          <w:lang w:val="zh-CN" w:eastAsia="zh-CN"/>
        </w:rPr>
        <w:t>协议</w:t>
      </w:r>
      <w:r>
        <w:rPr>
          <w:rFonts w:hint="eastAsia" w:ascii="仿宋" w:hAnsi="仿宋" w:eastAsia="仿宋" w:cs="仿宋_GB2312"/>
          <w:color w:val="auto"/>
          <w:sz w:val="24"/>
          <w:highlight w:val="none"/>
          <w:lang w:val="en-US" w:eastAsia="zh-CN"/>
        </w:rPr>
        <w:t>的；</w:t>
      </w:r>
    </w:p>
    <w:p w14:paraId="4D1E7850">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en-US" w:eastAsia="zh-CN"/>
        </w:rPr>
        <w:t>投标人</w:t>
      </w:r>
      <w:r>
        <w:rPr>
          <w:rFonts w:hint="eastAsia" w:ascii="仿宋" w:hAnsi="仿宋" w:eastAsia="仿宋" w:cs="仿宋_GB2312"/>
          <w:color w:val="auto"/>
          <w:sz w:val="24"/>
          <w:highlight w:val="none"/>
          <w:lang w:val="zh-CN" w:eastAsia="zh-CN"/>
        </w:rPr>
        <w:t>未按</w:t>
      </w:r>
      <w:r>
        <w:rPr>
          <w:rFonts w:hint="eastAsia" w:ascii="仿宋" w:hAnsi="仿宋" w:eastAsia="仿宋" w:cs="仿宋_GB2312"/>
          <w:color w:val="auto"/>
          <w:sz w:val="24"/>
          <w:highlight w:val="none"/>
          <w:lang w:val="en-US" w:eastAsia="zh-CN"/>
        </w:rPr>
        <w:t>招标</w:t>
      </w:r>
      <w:r>
        <w:rPr>
          <w:rFonts w:hint="eastAsia" w:ascii="仿宋" w:hAnsi="仿宋" w:eastAsia="仿宋" w:cs="仿宋_GB2312"/>
          <w:color w:val="auto"/>
          <w:sz w:val="24"/>
          <w:highlight w:val="none"/>
          <w:lang w:val="zh-CN" w:eastAsia="zh-CN"/>
        </w:rPr>
        <w:t>文件</w:t>
      </w:r>
      <w:r>
        <w:rPr>
          <w:rFonts w:hint="eastAsia" w:ascii="仿宋" w:hAnsi="仿宋" w:eastAsia="仿宋" w:cs="仿宋_GB2312"/>
          <w:color w:val="auto"/>
          <w:sz w:val="24"/>
          <w:highlight w:val="none"/>
          <w:lang w:val="en-US" w:eastAsia="zh-CN"/>
        </w:rPr>
        <w:t>的规定</w:t>
      </w:r>
      <w:r>
        <w:rPr>
          <w:rFonts w:hint="eastAsia" w:ascii="仿宋" w:hAnsi="仿宋" w:eastAsia="仿宋" w:cs="仿宋_GB2312"/>
          <w:color w:val="auto"/>
          <w:sz w:val="24"/>
          <w:highlight w:val="none"/>
          <w:lang w:val="zh-CN" w:eastAsia="zh-CN"/>
        </w:rPr>
        <w:t>交纳投标保证金</w:t>
      </w:r>
      <w:r>
        <w:rPr>
          <w:rFonts w:hint="eastAsia" w:ascii="仿宋" w:hAnsi="仿宋" w:eastAsia="仿宋" w:cs="仿宋_GB2312"/>
          <w:color w:val="auto"/>
          <w:sz w:val="24"/>
          <w:highlight w:val="none"/>
          <w:lang w:val="en-US" w:eastAsia="zh-CN"/>
        </w:rPr>
        <w:t>的；</w:t>
      </w:r>
    </w:p>
    <w:p w14:paraId="149A35CB">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zh-CN" w:eastAsia="zh-CN"/>
        </w:rPr>
      </w:pPr>
      <w:r>
        <w:rPr>
          <w:rFonts w:hint="eastAsia" w:ascii="仿宋" w:hAnsi="仿宋" w:eastAsia="仿宋" w:cs="仿宋_GB2312"/>
          <w:color w:val="auto"/>
          <w:sz w:val="24"/>
          <w:highlight w:val="none"/>
          <w:lang w:val="zh-CN" w:eastAsia="zh-CN"/>
        </w:rPr>
        <w:t>评审期间,</w:t>
      </w:r>
      <w:r>
        <w:rPr>
          <w:rFonts w:hint="eastAsia" w:ascii="仿宋" w:hAnsi="仿宋" w:eastAsia="仿宋" w:cs="仿宋_GB2312"/>
          <w:color w:val="auto"/>
          <w:sz w:val="24"/>
          <w:highlight w:val="none"/>
          <w:lang w:val="en-US" w:eastAsia="zh-CN"/>
        </w:rPr>
        <w:t>投标人</w:t>
      </w:r>
      <w:r>
        <w:rPr>
          <w:rFonts w:hint="eastAsia" w:ascii="仿宋" w:hAnsi="仿宋" w:eastAsia="仿宋" w:cs="仿宋_GB2312"/>
          <w:color w:val="auto"/>
          <w:sz w:val="24"/>
          <w:highlight w:val="none"/>
          <w:lang w:val="zh-CN" w:eastAsia="zh-CN"/>
        </w:rPr>
        <w:t>没有按评标委员会的要求提交经授权代表签字的澄清、说明、补正或改变了</w:t>
      </w:r>
      <w:r>
        <w:rPr>
          <w:rFonts w:hint="eastAsia" w:ascii="仿宋" w:hAnsi="仿宋" w:eastAsia="仿宋" w:cs="仿宋_GB2312"/>
          <w:color w:val="auto"/>
          <w:sz w:val="24"/>
          <w:highlight w:val="none"/>
          <w:lang w:val="en-US" w:eastAsia="zh-CN"/>
        </w:rPr>
        <w:t>投标</w:t>
      </w:r>
      <w:r>
        <w:rPr>
          <w:rFonts w:hint="eastAsia" w:ascii="仿宋" w:hAnsi="仿宋" w:eastAsia="仿宋" w:cs="仿宋_GB2312"/>
          <w:color w:val="auto"/>
          <w:sz w:val="24"/>
          <w:highlight w:val="none"/>
          <w:lang w:val="zh-CN" w:eastAsia="zh-CN"/>
        </w:rPr>
        <w:t>文件的实质性内容</w:t>
      </w:r>
      <w:r>
        <w:rPr>
          <w:rFonts w:hint="eastAsia" w:ascii="仿宋" w:hAnsi="仿宋" w:eastAsia="仿宋" w:cs="仿宋_GB2312"/>
          <w:color w:val="auto"/>
          <w:sz w:val="24"/>
          <w:highlight w:val="none"/>
          <w:lang w:val="en-US" w:eastAsia="zh-CN"/>
        </w:rPr>
        <w:t>的；</w:t>
      </w:r>
    </w:p>
    <w:p w14:paraId="19EFB935">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投标人</w:t>
      </w:r>
      <w:r>
        <w:rPr>
          <w:rFonts w:hint="eastAsia" w:ascii="仿宋" w:hAnsi="仿宋" w:eastAsia="仿宋" w:cs="仿宋_GB2312"/>
          <w:color w:val="auto"/>
          <w:sz w:val="24"/>
          <w:highlight w:val="none"/>
          <w:lang w:val="zh-CN" w:eastAsia="zh-CN"/>
        </w:rPr>
        <w:t>对采购人、采购代理机构、评标委员会及其工作人员施加影响,有碍公平、公正</w:t>
      </w:r>
      <w:r>
        <w:rPr>
          <w:rFonts w:hint="eastAsia" w:ascii="仿宋" w:hAnsi="仿宋" w:eastAsia="仿宋" w:cs="仿宋_GB2312"/>
          <w:color w:val="auto"/>
          <w:sz w:val="24"/>
          <w:highlight w:val="none"/>
          <w:lang w:val="en-US" w:eastAsia="zh-CN"/>
        </w:rPr>
        <w:t>的；</w:t>
      </w:r>
    </w:p>
    <w:p w14:paraId="3A6B238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投标文件含有采购人不能接受的附加条件的；</w:t>
      </w:r>
    </w:p>
    <w:p w14:paraId="3764E979">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zh-CN" w:eastAsia="zh-CN"/>
        </w:rPr>
        <w:t>法律、法规、规章规定属于</w:t>
      </w:r>
      <w:r>
        <w:rPr>
          <w:rFonts w:hint="eastAsia" w:ascii="仿宋" w:hAnsi="仿宋" w:eastAsia="仿宋" w:cs="仿宋_GB2312"/>
          <w:color w:val="auto"/>
          <w:sz w:val="24"/>
          <w:highlight w:val="none"/>
          <w:lang w:val="en-US" w:eastAsia="zh-CN"/>
        </w:rPr>
        <w:t>投标</w:t>
      </w:r>
      <w:r>
        <w:rPr>
          <w:rFonts w:hint="eastAsia" w:ascii="仿宋" w:hAnsi="仿宋" w:eastAsia="仿宋" w:cs="仿宋_GB2312"/>
          <w:color w:val="auto"/>
          <w:sz w:val="24"/>
          <w:highlight w:val="none"/>
          <w:lang w:val="zh-CN" w:eastAsia="zh-CN"/>
        </w:rPr>
        <w:t>无效的其他情形。</w:t>
      </w:r>
    </w:p>
    <w:p w14:paraId="601D7976">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有下列情形之一的，视为投标人串通投标，其</w:t>
      </w:r>
      <w:r>
        <w:rPr>
          <w:rFonts w:hint="eastAsia" w:ascii="仿宋" w:hAnsi="仿宋" w:eastAsia="仿宋" w:cs="仿宋_GB2312"/>
          <w:b/>
          <w:bCs/>
          <w:color w:val="auto"/>
          <w:sz w:val="24"/>
          <w:highlight w:val="none"/>
          <w:lang w:val="en-US" w:eastAsia="zh-CN"/>
        </w:rPr>
        <w:t>投标无效</w:t>
      </w:r>
      <w:r>
        <w:rPr>
          <w:rFonts w:hint="eastAsia" w:ascii="仿宋" w:hAnsi="仿宋" w:eastAsia="仿宋" w:cs="仿宋_GB2312"/>
          <w:color w:val="auto"/>
          <w:sz w:val="24"/>
          <w:highlight w:val="none"/>
          <w:lang w:val="en-US" w:eastAsia="zh-CN"/>
        </w:rPr>
        <w:t>：</w:t>
      </w:r>
    </w:p>
    <w:p w14:paraId="5E2F9117">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50"/>
        <w:keepNext w:val="0"/>
        <w:keepLines w:val="0"/>
        <w:pageBreakBefore w:val="0"/>
        <w:widowControl w:val="0"/>
        <w:numPr>
          <w:ilvl w:val="0"/>
          <w:numId w:val="16"/>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4"/>
        </w:numPr>
        <w:spacing w:line="500" w:lineRule="exact"/>
        <w:rPr>
          <w:rFonts w:hint="eastAsia" w:ascii="仿宋" w:hAnsi="仿宋" w:eastAsia="仿宋" w:cs="仿宋_GB2312"/>
          <w:b/>
          <w:bCs/>
          <w:color w:val="auto"/>
          <w:sz w:val="24"/>
          <w:highlight w:val="none"/>
          <w:lang w:val="zh-CN" w:eastAsia="zh-CN"/>
        </w:rPr>
      </w:pPr>
      <w:bookmarkStart w:id="58" w:name="_Toc102116152"/>
      <w:bookmarkStart w:id="59" w:name="_Toc102119853"/>
      <w:bookmarkStart w:id="60" w:name="_Toc102114920"/>
      <w:bookmarkStart w:id="61" w:name="_Toc12911"/>
      <w:bookmarkStart w:id="62" w:name="_Toc102056218"/>
      <w:bookmarkStart w:id="63" w:name="_Toc102057718"/>
      <w:bookmarkStart w:id="64" w:name="_Toc155185914"/>
      <w:bookmarkStart w:id="65" w:name="_Toc163492907"/>
      <w:bookmarkStart w:id="66" w:name="_Toc102116022"/>
      <w:r>
        <w:rPr>
          <w:rFonts w:hint="eastAsia" w:ascii="仿宋" w:hAnsi="仿宋" w:eastAsia="仿宋" w:cs="仿宋_GB2312"/>
          <w:b/>
          <w:bCs/>
          <w:color w:val="auto"/>
          <w:sz w:val="24"/>
          <w:highlight w:val="none"/>
          <w:lang w:val="zh-CN" w:eastAsia="zh-CN"/>
        </w:rPr>
        <w:t>停止评标的情形</w:t>
      </w:r>
      <w:bookmarkEnd w:id="58"/>
      <w:bookmarkEnd w:id="59"/>
      <w:bookmarkEnd w:id="60"/>
      <w:bookmarkEnd w:id="61"/>
      <w:bookmarkEnd w:id="62"/>
      <w:bookmarkEnd w:id="63"/>
      <w:bookmarkEnd w:id="64"/>
      <w:bookmarkEnd w:id="65"/>
      <w:bookmarkEnd w:id="66"/>
    </w:p>
    <w:p w14:paraId="190044DE">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4"/>
        </w:numPr>
        <w:spacing w:line="500" w:lineRule="exact"/>
        <w:rPr>
          <w:rFonts w:hint="eastAsia" w:ascii="仿宋" w:hAnsi="仿宋" w:eastAsia="仿宋" w:cs="仿宋_GB2312"/>
          <w:b/>
          <w:bCs/>
          <w:color w:val="auto"/>
          <w:sz w:val="24"/>
          <w:highlight w:val="none"/>
          <w:lang w:val="zh-CN" w:eastAsia="zh-CN"/>
        </w:rPr>
      </w:pPr>
      <w:bookmarkStart w:id="67" w:name="_Toc21922"/>
      <w:r>
        <w:rPr>
          <w:rFonts w:hint="eastAsia" w:ascii="仿宋" w:hAnsi="仿宋" w:eastAsia="仿宋" w:cs="仿宋_GB2312"/>
          <w:b/>
          <w:bCs/>
          <w:color w:val="auto"/>
          <w:sz w:val="24"/>
          <w:highlight w:val="none"/>
          <w:lang w:val="zh-CN" w:eastAsia="zh-CN"/>
        </w:rPr>
        <w:t>重新开展采购</w:t>
      </w:r>
      <w:bookmarkEnd w:id="67"/>
    </w:p>
    <w:p w14:paraId="461B653A">
      <w:pPr>
        <w:keepNext w:val="0"/>
        <w:keepLines w:val="0"/>
        <w:pageBreakBefore w:val="0"/>
        <w:widowControl w:val="0"/>
        <w:numPr>
          <w:ilvl w:val="2"/>
          <w:numId w:val="14"/>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未确定中标供应商的，终止本次政府采购活动，重新开展政府采购活动。</w:t>
      </w:r>
    </w:p>
    <w:p w14:paraId="0447B390">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政府采购合同已经履行，给采购人、供应商造成损失的，由责任人承担赔偿责任。</w:t>
      </w:r>
    </w:p>
    <w:p w14:paraId="06D7E97D">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15954088">
      <w:pPr>
        <w:pStyle w:val="2"/>
        <w:numPr>
          <w:ilvl w:val="0"/>
          <w:numId w:val="1"/>
        </w:numPr>
        <w:jc w:val="center"/>
        <w:rPr>
          <w:rFonts w:ascii="仿宋" w:hAnsi="仿宋" w:eastAsia="仿宋" w:cs="仿宋_GB2312"/>
          <w:color w:val="auto"/>
          <w:sz w:val="32"/>
          <w:szCs w:val="32"/>
          <w:highlight w:val="none"/>
        </w:rPr>
      </w:pPr>
      <w:bookmarkStart w:id="68" w:name="_Toc16309"/>
      <w:r>
        <w:rPr>
          <w:rFonts w:hint="eastAsia" w:ascii="仿宋" w:hAnsi="仿宋" w:eastAsia="仿宋" w:cs="仿宋_GB2312"/>
          <w:color w:val="auto"/>
          <w:sz w:val="32"/>
          <w:szCs w:val="32"/>
          <w:highlight w:val="none"/>
        </w:rPr>
        <w:t>投标文件格式</w:t>
      </w:r>
      <w:bookmarkEnd w:id="68"/>
    </w:p>
    <w:p w14:paraId="4E91B30A">
      <w:pPr>
        <w:spacing w:line="500" w:lineRule="exact"/>
        <w:rPr>
          <w:rFonts w:ascii="仿宋" w:hAnsi="仿宋" w:eastAsia="仿宋" w:cs="仿宋_GB2312"/>
          <w:color w:val="auto"/>
          <w:sz w:val="24"/>
          <w:highlight w:val="none"/>
        </w:rPr>
      </w:pPr>
    </w:p>
    <w:p w14:paraId="2EB71218">
      <w:pPr>
        <w:spacing w:line="500" w:lineRule="exact"/>
        <w:rPr>
          <w:rFonts w:ascii="仿宋" w:hAnsi="仿宋" w:eastAsia="仿宋" w:cs="仿宋_GB2312"/>
          <w:b/>
          <w:bCs/>
          <w:color w:val="auto"/>
          <w:sz w:val="24"/>
          <w:highlight w:val="none"/>
        </w:rPr>
      </w:pPr>
      <w:r>
        <w:rPr>
          <w:rFonts w:hint="eastAsia" w:ascii="仿宋" w:hAnsi="仿宋" w:eastAsia="仿宋" w:cs="仿宋_GB2312"/>
          <w:b/>
          <w:bCs/>
          <w:color w:val="auto"/>
          <w:sz w:val="24"/>
          <w:highlight w:val="none"/>
          <w:lang w:eastAsia="zh-CN"/>
        </w:rPr>
        <w:t>投标人</w:t>
      </w:r>
      <w:r>
        <w:rPr>
          <w:rFonts w:hint="eastAsia" w:ascii="仿宋" w:hAnsi="仿宋" w:eastAsia="仿宋" w:cs="仿宋_GB2312"/>
          <w:b/>
          <w:bCs/>
          <w:color w:val="auto"/>
          <w:sz w:val="24"/>
          <w:highlight w:val="none"/>
        </w:rPr>
        <w:t>编制文件须知</w:t>
      </w:r>
    </w:p>
    <w:p w14:paraId="29E7D89F">
      <w:pPr>
        <w:numPr>
          <w:ilvl w:val="0"/>
          <w:numId w:val="18"/>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8"/>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8"/>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8"/>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18"/>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8"/>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ascii="仿宋" w:hAnsi="仿宋" w:eastAsia="仿宋" w:cs="仿宋_GB2312"/>
          <w:color w:val="auto"/>
          <w:sz w:val="24"/>
          <w:highlight w:val="none"/>
        </w:rPr>
      </w:pPr>
    </w:p>
    <w:p w14:paraId="05C2B56E">
      <w:pPr>
        <w:rPr>
          <w:rFonts w:ascii="仿宋" w:hAnsi="仿宋" w:eastAsia="仿宋" w:cs="仿宋_GB2312"/>
          <w:color w:val="auto"/>
          <w:sz w:val="24"/>
          <w:highlight w:val="none"/>
        </w:rPr>
      </w:pPr>
      <w:r>
        <w:rPr>
          <w:rFonts w:hint="eastAsia" w:ascii="仿宋" w:hAnsi="仿宋" w:eastAsia="仿宋" w:cs="仿宋_GB2312"/>
          <w:color w:val="auto"/>
          <w:sz w:val="24"/>
          <w:highlight w:val="none"/>
        </w:rPr>
        <w:br w:type="page"/>
      </w:r>
    </w:p>
    <w:p w14:paraId="7B22D780">
      <w:pPr>
        <w:widowControl/>
        <w:jc w:val="left"/>
        <w:rPr>
          <w:rFonts w:ascii="仿宋" w:hAnsi="仿宋" w:eastAsia="仿宋" w:cs="仿宋_GB2312"/>
          <w:b/>
          <w:bCs/>
          <w:color w:val="auto"/>
          <w:kern w:val="0"/>
          <w:sz w:val="24"/>
          <w:highlight w:val="none"/>
          <w:lang w:bidi="ar"/>
        </w:rPr>
      </w:pPr>
    </w:p>
    <w:p w14:paraId="69F2A576">
      <w:pPr>
        <w:widowControl/>
        <w:jc w:val="left"/>
        <w:outlineLvl w:val="1"/>
        <w:rPr>
          <w:rFonts w:ascii="仿宋" w:hAnsi="仿宋" w:eastAsia="仿宋" w:cs="仿宋_GB2312"/>
          <w:b/>
          <w:bCs/>
          <w:color w:val="auto"/>
          <w:kern w:val="0"/>
          <w:sz w:val="24"/>
          <w:highlight w:val="none"/>
          <w:lang w:bidi="ar"/>
        </w:rPr>
      </w:pPr>
      <w:bookmarkStart w:id="69" w:name="_Toc2987"/>
      <w:bookmarkStart w:id="70" w:name="_Toc10196"/>
      <w:r>
        <w:rPr>
          <w:rFonts w:hint="eastAsia" w:ascii="仿宋" w:hAnsi="仿宋" w:eastAsia="仿宋" w:cs="仿宋_GB2312"/>
          <w:b/>
          <w:bCs/>
          <w:color w:val="auto"/>
          <w:kern w:val="0"/>
          <w:sz w:val="24"/>
          <w:highlight w:val="none"/>
          <w:lang w:bidi="ar"/>
        </w:rPr>
        <w:t>投标文件封面（参考格式）</w:t>
      </w:r>
      <w:bookmarkEnd w:id="69"/>
      <w:bookmarkEnd w:id="70"/>
    </w:p>
    <w:p w14:paraId="2699980B">
      <w:pPr>
        <w:widowControl/>
        <w:jc w:val="left"/>
        <w:rPr>
          <w:rFonts w:ascii="仿宋" w:hAnsi="仿宋" w:eastAsia="仿宋" w:cs="仿宋_GB2312"/>
          <w:b/>
          <w:bCs/>
          <w:color w:val="auto"/>
          <w:kern w:val="0"/>
          <w:sz w:val="84"/>
          <w:szCs w:val="84"/>
          <w:highlight w:val="none"/>
          <w:lang w:bidi="ar"/>
        </w:rPr>
      </w:pPr>
    </w:p>
    <w:p w14:paraId="4B41F86D">
      <w:pPr>
        <w:widowControl/>
        <w:jc w:val="left"/>
        <w:rPr>
          <w:rFonts w:ascii="仿宋" w:hAnsi="仿宋" w:eastAsia="仿宋" w:cs="仿宋_GB2312"/>
          <w:b/>
          <w:bCs/>
          <w:color w:val="auto"/>
          <w:kern w:val="0"/>
          <w:sz w:val="84"/>
          <w:szCs w:val="84"/>
          <w:highlight w:val="none"/>
          <w:lang w:bidi="ar"/>
        </w:rPr>
      </w:pPr>
    </w:p>
    <w:p w14:paraId="252B1542">
      <w:pPr>
        <w:widowControl/>
        <w:jc w:val="center"/>
        <w:rPr>
          <w:rFonts w:ascii="仿宋" w:hAnsi="仿宋" w:eastAsia="仿宋" w:cs="仿宋_GB2312"/>
          <w:color w:val="auto"/>
          <w:highlight w:val="none"/>
        </w:rPr>
      </w:pPr>
      <w:r>
        <w:rPr>
          <w:rFonts w:hint="eastAsia" w:ascii="仿宋" w:hAnsi="仿宋" w:eastAsia="仿宋" w:cs="仿宋_GB2312"/>
          <w:b/>
          <w:bCs/>
          <w:color w:val="auto"/>
          <w:kern w:val="0"/>
          <w:sz w:val="84"/>
          <w:szCs w:val="84"/>
          <w:highlight w:val="none"/>
          <w:lang w:bidi="ar"/>
        </w:rPr>
        <w:t>投标文件</w:t>
      </w:r>
    </w:p>
    <w:p w14:paraId="51A0FD39">
      <w:pPr>
        <w:widowControl/>
        <w:jc w:val="left"/>
        <w:rPr>
          <w:rFonts w:ascii="仿宋" w:hAnsi="仿宋" w:eastAsia="仿宋" w:cs="仿宋_GB2312"/>
          <w:b/>
          <w:bCs/>
          <w:color w:val="auto"/>
          <w:kern w:val="0"/>
          <w:sz w:val="52"/>
          <w:szCs w:val="52"/>
          <w:highlight w:val="none"/>
          <w:lang w:bidi="ar"/>
        </w:rPr>
      </w:pPr>
    </w:p>
    <w:p w14:paraId="249282D5">
      <w:pPr>
        <w:widowControl/>
        <w:jc w:val="left"/>
        <w:rPr>
          <w:rFonts w:ascii="仿宋" w:hAnsi="仿宋" w:eastAsia="仿宋" w:cs="仿宋_GB2312"/>
          <w:b/>
          <w:bCs/>
          <w:color w:val="auto"/>
          <w:kern w:val="0"/>
          <w:sz w:val="52"/>
          <w:szCs w:val="52"/>
          <w:highlight w:val="none"/>
          <w:lang w:bidi="ar"/>
        </w:rPr>
      </w:pPr>
    </w:p>
    <w:p w14:paraId="6465AFF7">
      <w:pPr>
        <w:widowControl/>
        <w:jc w:val="left"/>
        <w:rPr>
          <w:rFonts w:ascii="仿宋" w:hAnsi="仿宋" w:eastAsia="仿宋" w:cs="仿宋_GB2312"/>
          <w:color w:val="auto"/>
          <w:highlight w:val="none"/>
        </w:rPr>
      </w:pPr>
      <w:r>
        <w:rPr>
          <w:rFonts w:hint="eastAsia" w:ascii="仿宋" w:hAnsi="仿宋" w:eastAsia="仿宋" w:cs="仿宋_GB2312"/>
          <w:b/>
          <w:bCs/>
          <w:color w:val="auto"/>
          <w:kern w:val="0"/>
          <w:sz w:val="52"/>
          <w:szCs w:val="52"/>
          <w:highlight w:val="none"/>
          <w:lang w:bidi="ar"/>
        </w:rPr>
        <w:t xml:space="preserve"> </w:t>
      </w:r>
    </w:p>
    <w:p w14:paraId="1FF8BE17">
      <w:pPr>
        <w:widowControl/>
        <w:jc w:val="left"/>
        <w:rPr>
          <w:rFonts w:ascii="仿宋" w:hAnsi="仿宋" w:eastAsia="仿宋" w:cs="仿宋_GB2312"/>
          <w:b/>
          <w:bCs/>
          <w:color w:val="auto"/>
          <w:kern w:val="0"/>
          <w:sz w:val="31"/>
          <w:szCs w:val="31"/>
          <w:highlight w:val="none"/>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color w:val="auto"/>
          <w:highlight w:val="none"/>
        </w:rPr>
      </w:pPr>
      <w:r>
        <w:rPr>
          <w:rFonts w:hint="eastAsia" w:ascii="仿宋" w:hAnsi="仿宋" w:eastAsia="仿宋" w:cs="仿宋_GB2312"/>
          <w:b/>
          <w:bCs/>
          <w:color w:val="auto"/>
          <w:kern w:val="0"/>
          <w:sz w:val="31"/>
          <w:szCs w:val="31"/>
          <w:highlight w:val="none"/>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auto"/>
          <w:kern w:val="0"/>
          <w:sz w:val="31"/>
          <w:szCs w:val="31"/>
          <w:highlight w:val="none"/>
          <w:lang w:bidi="ar"/>
        </w:rPr>
      </w:pPr>
      <w:r>
        <w:rPr>
          <w:rFonts w:hint="eastAsia" w:ascii="仿宋" w:hAnsi="仿宋" w:eastAsia="仿宋" w:cs="仿宋_GB2312"/>
          <w:b/>
          <w:bCs/>
          <w:color w:val="auto"/>
          <w:kern w:val="0"/>
          <w:sz w:val="31"/>
          <w:szCs w:val="31"/>
          <w:highlight w:val="none"/>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color w:val="auto"/>
          <w:highlight w:val="none"/>
        </w:rPr>
      </w:pPr>
      <w:r>
        <w:rPr>
          <w:rFonts w:hint="eastAsia" w:ascii="仿宋" w:hAnsi="仿宋" w:eastAsia="仿宋" w:cs="仿宋_GB2312"/>
          <w:b/>
          <w:bCs/>
          <w:color w:val="auto"/>
          <w:kern w:val="0"/>
          <w:sz w:val="31"/>
          <w:szCs w:val="31"/>
          <w:highlight w:val="none"/>
          <w:lang w:val="en-US" w:eastAsia="zh-CN" w:bidi="ar"/>
        </w:rPr>
        <w:t>标项名称：</w:t>
      </w:r>
      <w:r>
        <w:rPr>
          <w:rFonts w:hint="eastAsia" w:ascii="仿宋" w:hAnsi="仿宋" w:eastAsia="仿宋" w:cs="仿宋_GB2312"/>
          <w:b/>
          <w:bCs/>
          <w:color w:val="auto"/>
          <w:kern w:val="0"/>
          <w:sz w:val="31"/>
          <w:szCs w:val="31"/>
          <w:highlight w:val="none"/>
          <w:lang w:bidi="ar"/>
        </w:rPr>
        <w:t xml:space="preserve"> </w:t>
      </w:r>
    </w:p>
    <w:p w14:paraId="6E3EB88D">
      <w:pPr>
        <w:widowControl/>
        <w:jc w:val="left"/>
        <w:rPr>
          <w:rFonts w:hint="default" w:ascii="仿宋" w:hAnsi="仿宋" w:eastAsia="仿宋" w:cs="仿宋_GB2312"/>
          <w:color w:val="auto"/>
          <w:highlight w:val="none"/>
          <w:lang w:val="en-US" w:eastAsia="zh-CN"/>
        </w:rPr>
      </w:pPr>
      <w:r>
        <w:rPr>
          <w:rFonts w:hint="eastAsia" w:ascii="仿宋" w:hAnsi="仿宋" w:eastAsia="仿宋" w:cs="仿宋_GB2312"/>
          <w:b/>
          <w:bCs/>
          <w:color w:val="auto"/>
          <w:kern w:val="0"/>
          <w:sz w:val="31"/>
          <w:szCs w:val="31"/>
          <w:highlight w:val="none"/>
          <w:lang w:val="en-US" w:eastAsia="zh-CN" w:bidi="ar"/>
        </w:rPr>
        <w:t>标    项：第</w:t>
      </w:r>
      <w:r>
        <w:rPr>
          <w:rFonts w:hint="eastAsia" w:ascii="仿宋" w:hAnsi="仿宋" w:eastAsia="仿宋" w:cs="仿宋_GB2312"/>
          <w:b/>
          <w:bCs/>
          <w:color w:val="auto"/>
          <w:kern w:val="0"/>
          <w:sz w:val="31"/>
          <w:szCs w:val="31"/>
          <w:highlight w:val="none"/>
          <w:u w:val="single"/>
          <w:lang w:val="en-US" w:eastAsia="zh-CN" w:bidi="ar"/>
        </w:rPr>
        <w:t xml:space="preserve">   </w:t>
      </w:r>
      <w:r>
        <w:rPr>
          <w:rFonts w:hint="eastAsia" w:ascii="仿宋" w:hAnsi="仿宋" w:eastAsia="仿宋" w:cs="仿宋_GB2312"/>
          <w:b/>
          <w:bCs/>
          <w:color w:val="auto"/>
          <w:kern w:val="0"/>
          <w:sz w:val="31"/>
          <w:szCs w:val="31"/>
          <w:highlight w:val="none"/>
          <w:lang w:val="en-US" w:eastAsia="zh-CN" w:bidi="ar"/>
        </w:rPr>
        <w:t>标项</w:t>
      </w:r>
    </w:p>
    <w:p w14:paraId="39F7420A">
      <w:pPr>
        <w:widowControl/>
        <w:jc w:val="left"/>
        <w:rPr>
          <w:rFonts w:ascii="仿宋" w:hAnsi="仿宋" w:eastAsia="仿宋" w:cs="仿宋_GB2312"/>
          <w:b/>
          <w:bCs/>
          <w:color w:val="auto"/>
          <w:kern w:val="0"/>
          <w:sz w:val="31"/>
          <w:szCs w:val="31"/>
          <w:highlight w:val="none"/>
          <w:lang w:bidi="ar"/>
        </w:rPr>
      </w:pPr>
    </w:p>
    <w:p w14:paraId="7C9DA8C4">
      <w:pPr>
        <w:widowControl/>
        <w:jc w:val="left"/>
        <w:rPr>
          <w:rFonts w:ascii="仿宋" w:hAnsi="仿宋" w:eastAsia="仿宋" w:cs="仿宋_GB2312"/>
          <w:b/>
          <w:bCs/>
          <w:color w:val="auto"/>
          <w:kern w:val="0"/>
          <w:sz w:val="31"/>
          <w:szCs w:val="31"/>
          <w:highlight w:val="none"/>
          <w:lang w:bidi="ar"/>
        </w:rPr>
      </w:pPr>
    </w:p>
    <w:p w14:paraId="69EA28A5">
      <w:pPr>
        <w:widowControl/>
        <w:jc w:val="left"/>
        <w:rPr>
          <w:rFonts w:ascii="仿宋" w:hAnsi="仿宋" w:eastAsia="仿宋" w:cs="仿宋_GB2312"/>
          <w:b/>
          <w:bCs/>
          <w:color w:val="auto"/>
          <w:kern w:val="0"/>
          <w:sz w:val="31"/>
          <w:szCs w:val="31"/>
          <w:highlight w:val="none"/>
          <w:lang w:bidi="ar"/>
        </w:rPr>
      </w:pPr>
    </w:p>
    <w:p w14:paraId="0EB41310">
      <w:pPr>
        <w:widowControl/>
        <w:jc w:val="left"/>
        <w:rPr>
          <w:rFonts w:ascii="仿宋" w:hAnsi="仿宋" w:eastAsia="仿宋" w:cs="仿宋_GB2312"/>
          <w:b/>
          <w:bCs/>
          <w:color w:val="auto"/>
          <w:kern w:val="0"/>
          <w:sz w:val="31"/>
          <w:szCs w:val="31"/>
          <w:highlight w:val="none"/>
          <w:lang w:bidi="ar"/>
        </w:rPr>
      </w:pPr>
      <w:r>
        <w:rPr>
          <w:rFonts w:hint="eastAsia" w:ascii="仿宋" w:hAnsi="仿宋" w:eastAsia="仿宋" w:cs="仿宋_GB2312"/>
          <w:b/>
          <w:bCs/>
          <w:color w:val="auto"/>
          <w:kern w:val="0"/>
          <w:sz w:val="31"/>
          <w:szCs w:val="31"/>
          <w:highlight w:val="none"/>
          <w:lang w:eastAsia="zh-CN" w:bidi="ar"/>
        </w:rPr>
        <w:t>投标人</w:t>
      </w:r>
      <w:r>
        <w:rPr>
          <w:rFonts w:hint="eastAsia" w:ascii="仿宋" w:hAnsi="仿宋" w:eastAsia="仿宋" w:cs="仿宋_GB2312"/>
          <w:b/>
          <w:bCs/>
          <w:color w:val="auto"/>
          <w:kern w:val="0"/>
          <w:sz w:val="31"/>
          <w:szCs w:val="31"/>
          <w:highlight w:val="none"/>
          <w:lang w:bidi="ar"/>
        </w:rPr>
        <w:t>名称（</w:t>
      </w:r>
      <w:r>
        <w:rPr>
          <w:rFonts w:hint="eastAsia" w:ascii="仿宋" w:hAnsi="仿宋" w:eastAsia="仿宋" w:cs="仿宋_GB2312"/>
          <w:b/>
          <w:bCs/>
          <w:color w:val="auto"/>
          <w:kern w:val="0"/>
          <w:sz w:val="31"/>
          <w:szCs w:val="31"/>
          <w:highlight w:val="none"/>
          <w:lang w:val="en-US" w:eastAsia="zh-CN" w:bidi="ar"/>
        </w:rPr>
        <w:t>盖公章</w:t>
      </w:r>
      <w:r>
        <w:rPr>
          <w:rFonts w:hint="eastAsia" w:ascii="仿宋" w:hAnsi="仿宋" w:eastAsia="仿宋" w:cs="仿宋_GB2312"/>
          <w:b/>
          <w:bCs/>
          <w:color w:val="auto"/>
          <w:kern w:val="0"/>
          <w:sz w:val="31"/>
          <w:szCs w:val="31"/>
          <w:highlight w:val="none"/>
          <w:lang w:bidi="ar"/>
        </w:rPr>
        <w:t>）：</w:t>
      </w:r>
    </w:p>
    <w:p w14:paraId="7307B59C">
      <w:pPr>
        <w:widowControl/>
        <w:jc w:val="left"/>
        <w:rPr>
          <w:rFonts w:ascii="仿宋" w:hAnsi="仿宋" w:eastAsia="仿宋" w:cs="仿宋_GB2312"/>
          <w:b/>
          <w:bCs/>
          <w:color w:val="auto"/>
          <w:kern w:val="0"/>
          <w:sz w:val="31"/>
          <w:szCs w:val="31"/>
          <w:highlight w:val="none"/>
          <w:lang w:bidi="ar"/>
        </w:rPr>
      </w:pPr>
      <w:r>
        <w:rPr>
          <w:rFonts w:hint="eastAsia" w:ascii="仿宋" w:hAnsi="仿宋" w:eastAsia="仿宋" w:cs="仿宋_GB2312"/>
          <w:b/>
          <w:bCs/>
          <w:color w:val="auto"/>
          <w:kern w:val="0"/>
          <w:sz w:val="31"/>
          <w:szCs w:val="31"/>
          <w:highlight w:val="none"/>
          <w:lang w:bidi="ar"/>
        </w:rPr>
        <w:t>法定代表人或其授权代表</w:t>
      </w:r>
      <w:r>
        <w:rPr>
          <w:rFonts w:hint="eastAsia" w:ascii="仿宋" w:hAnsi="仿宋" w:eastAsia="仿宋" w:cs="仿宋_GB2312"/>
          <w:b/>
          <w:bCs/>
          <w:color w:val="auto"/>
          <w:kern w:val="0"/>
          <w:sz w:val="31"/>
          <w:szCs w:val="31"/>
          <w:highlight w:val="none"/>
          <w:lang w:eastAsia="zh-CN" w:bidi="ar"/>
        </w:rPr>
        <w:t>（签字或签章）</w:t>
      </w:r>
      <w:r>
        <w:rPr>
          <w:rFonts w:hint="eastAsia" w:ascii="仿宋" w:hAnsi="仿宋" w:eastAsia="仿宋" w:cs="仿宋_GB2312"/>
          <w:b/>
          <w:bCs/>
          <w:color w:val="auto"/>
          <w:kern w:val="0"/>
          <w:sz w:val="31"/>
          <w:szCs w:val="31"/>
          <w:highlight w:val="none"/>
          <w:lang w:bidi="ar"/>
        </w:rPr>
        <w:t>：</w:t>
      </w:r>
    </w:p>
    <w:p w14:paraId="1C222F6A">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auto"/>
          <w:kern w:val="0"/>
          <w:sz w:val="32"/>
          <w:szCs w:val="32"/>
          <w:highlight w:val="none"/>
          <w:lang w:val="en-US" w:eastAsia="zh-CN" w:bidi="ar"/>
        </w:rPr>
      </w:pPr>
      <w:bookmarkStart w:id="71" w:name="_Toc19884"/>
      <w:r>
        <w:rPr>
          <w:rFonts w:hint="eastAsia" w:ascii="仿宋" w:hAnsi="仿宋" w:eastAsia="仿宋" w:cs="仿宋"/>
          <w:b/>
          <w:bCs/>
          <w:color w:val="auto"/>
          <w:kern w:val="0"/>
          <w:sz w:val="32"/>
          <w:szCs w:val="32"/>
          <w:highlight w:val="none"/>
          <w:lang w:val="en-US" w:eastAsia="zh-CN" w:bidi="ar"/>
        </w:rPr>
        <w:t>一、资格证明文件</w:t>
      </w:r>
      <w:bookmarkEnd w:id="71"/>
    </w:p>
    <w:p w14:paraId="3ACA6B12">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附件1-1 法人、其他组织或者自然人的证明文件;</w:t>
      </w:r>
    </w:p>
    <w:p w14:paraId="78C84F75">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6C54BF86">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1、投标人为企业（包括合伙企业）的，应提供有效的“营业执照”；</w:t>
      </w:r>
    </w:p>
    <w:p w14:paraId="455D8FCC">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2、投标人为事业单位的，应提供有效的“事业单位法人证书”；</w:t>
      </w:r>
    </w:p>
    <w:p w14:paraId="5D4CC7BE">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3、投标人为非企业机构的，应提供有效的“执业许可证”、“登记证书”等证明文件；</w:t>
      </w:r>
    </w:p>
    <w:p w14:paraId="2D433D3F">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4、投标人是个体工商户的，应提供有效的“个体工商户营业执照”；</w:t>
      </w:r>
    </w:p>
    <w:p w14:paraId="1953452E">
      <w:pPr>
        <w:pStyle w:val="11"/>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5、投标人是自然人的，应提供有效的自然人身份证明。</w:t>
      </w:r>
    </w:p>
    <w:p w14:paraId="1D505286">
      <w:pPr>
        <w:pStyle w:val="11"/>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bookmarkStart w:id="72" w:name="_Toc3454"/>
      <w:bookmarkStart w:id="73" w:name="_Toc18314"/>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联合体投标应提供联合体各方满足以上要求的证明文件。</w:t>
      </w:r>
      <w:bookmarkEnd w:id="72"/>
      <w:bookmarkEnd w:id="73"/>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6C8199F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szCs w:val="24"/>
          <w:highlight w:val="none"/>
          <w:u w:val="none"/>
          <w:lang w:bidi="ar"/>
        </w:rPr>
      </w:pPr>
      <w:r>
        <w:rPr>
          <w:rFonts w:hint="eastAsia" w:ascii="仿宋" w:hAnsi="仿宋" w:eastAsia="仿宋" w:cs="仿宋"/>
          <w:b/>
          <w:bCs/>
          <w:color w:val="auto"/>
          <w:kern w:val="0"/>
          <w:sz w:val="24"/>
          <w:szCs w:val="24"/>
          <w:highlight w:val="none"/>
          <w:u w:val="none"/>
          <w:lang w:bidi="ar"/>
        </w:rPr>
        <w:t>附件</w:t>
      </w:r>
      <w:r>
        <w:rPr>
          <w:rFonts w:hint="eastAsia" w:ascii="仿宋" w:hAnsi="仿宋" w:eastAsia="仿宋" w:cs="仿宋"/>
          <w:b/>
          <w:bCs/>
          <w:color w:val="auto"/>
          <w:kern w:val="0"/>
          <w:sz w:val="24"/>
          <w:szCs w:val="24"/>
          <w:highlight w:val="none"/>
          <w:u w:val="none"/>
          <w:lang w:val="en-US" w:eastAsia="zh-CN" w:bidi="ar"/>
        </w:rPr>
        <w:t>1</w:t>
      </w:r>
      <w:r>
        <w:rPr>
          <w:rFonts w:hint="eastAsia" w:ascii="仿宋" w:hAnsi="仿宋" w:eastAsia="仿宋" w:cs="仿宋"/>
          <w:b/>
          <w:bCs/>
          <w:color w:val="auto"/>
          <w:kern w:val="0"/>
          <w:sz w:val="24"/>
          <w:szCs w:val="24"/>
          <w:highlight w:val="none"/>
          <w:u w:val="none"/>
          <w:lang w:bidi="ar"/>
        </w:rPr>
        <w:t>-</w:t>
      </w:r>
      <w:r>
        <w:rPr>
          <w:rFonts w:hint="eastAsia" w:ascii="仿宋" w:hAnsi="仿宋" w:eastAsia="仿宋" w:cs="仿宋"/>
          <w:b/>
          <w:bCs/>
          <w:color w:val="auto"/>
          <w:kern w:val="0"/>
          <w:sz w:val="24"/>
          <w:szCs w:val="24"/>
          <w:highlight w:val="none"/>
          <w:u w:val="none"/>
          <w:lang w:val="en-US" w:eastAsia="zh-CN" w:bidi="ar"/>
        </w:rPr>
        <w:t>2</w:t>
      </w:r>
      <w:r>
        <w:rPr>
          <w:rFonts w:hint="eastAsia" w:ascii="仿宋" w:hAnsi="仿宋" w:eastAsia="仿宋" w:cs="仿宋"/>
          <w:b/>
          <w:bCs/>
          <w:color w:val="auto"/>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3061484">
      <w:pPr>
        <w:pStyle w:val="11"/>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1、证明文件</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p>
    <w:p w14:paraId="29313CE9">
      <w:pPr>
        <w:pStyle w:val="11"/>
        <w:spacing w:line="360" w:lineRule="auto"/>
        <w:ind w:right="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、若提供的是</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rPr>
        <w:t>，采购人、采购代理机构保留审核原件的权利。</w:t>
      </w:r>
    </w:p>
    <w:p w14:paraId="11A86215">
      <w:pPr>
        <w:pStyle w:val="11"/>
        <w:spacing w:line="360" w:lineRule="auto"/>
        <w:ind w:right="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如果是联合体投标，联合体各方均需提供上述证明</w:t>
      </w:r>
      <w:r>
        <w:rPr>
          <w:rFonts w:hint="eastAsia" w:ascii="仿宋" w:hAnsi="仿宋" w:eastAsia="仿宋" w:cs="仿宋"/>
          <w:color w:val="auto"/>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3</w:t>
      </w:r>
      <w:r>
        <w:rPr>
          <w:rFonts w:hint="eastAsia" w:ascii="仿宋" w:hAnsi="仿宋" w:eastAsia="仿宋" w:cs="仿宋"/>
          <w:b/>
          <w:bCs/>
          <w:color w:val="auto"/>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274E21B5">
      <w:pPr>
        <w:pStyle w:val="11"/>
        <w:spacing w:line="360" w:lineRule="auto"/>
        <w:rPr>
          <w:rFonts w:hint="eastAsia" w:ascii="仿宋" w:hAnsi="仿宋" w:eastAsia="仿宋" w:cs="仿宋"/>
          <w:color w:val="auto"/>
          <w:sz w:val="24"/>
          <w:szCs w:val="24"/>
          <w:highlight w:val="none"/>
        </w:rPr>
      </w:pPr>
      <w:bookmarkStart w:id="74" w:name="_Toc8376"/>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缴纳税收的证明</w:t>
      </w:r>
      <w:r>
        <w:rPr>
          <w:rFonts w:hint="eastAsia" w:ascii="仿宋" w:hAnsi="仿宋" w:eastAsia="仿宋" w:cs="仿宋"/>
          <w:color w:val="auto"/>
          <w:sz w:val="24"/>
          <w:szCs w:val="24"/>
          <w:highlight w:val="none"/>
          <w:lang w:val="en-US" w:eastAsia="zh-CN"/>
        </w:rPr>
        <w:t>扫描件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w:t>
      </w:r>
      <w:r>
        <w:rPr>
          <w:rFonts w:hint="eastAsia" w:ascii="仿宋" w:hAnsi="仿宋" w:eastAsia="仿宋" w:cs="仿宋"/>
          <w:color w:val="auto"/>
          <w:kern w:val="0"/>
          <w:sz w:val="24"/>
          <w:highlight w:val="none"/>
          <w:u w:val="none"/>
          <w:lang w:eastAsia="zh-CN" w:bidi="ar"/>
        </w:rPr>
        <w:t>扫描件</w:t>
      </w:r>
      <w:r>
        <w:rPr>
          <w:rFonts w:hint="eastAsia" w:ascii="仿宋" w:hAnsi="仿宋" w:eastAsia="仿宋" w:cs="仿宋"/>
          <w:color w:val="auto"/>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3、如果是联合体投标，联合体各方均需提供上述证明。</w:t>
      </w:r>
    </w:p>
    <w:p w14:paraId="63078B71">
      <w:pPr>
        <w:pStyle w:val="11"/>
        <w:spacing w:line="360" w:lineRule="auto"/>
        <w:ind w:right="516"/>
        <w:rPr>
          <w:rFonts w:hint="eastAsia" w:ascii="仿宋" w:hAnsi="仿宋" w:eastAsia="仿宋" w:cs="仿宋"/>
          <w:color w:val="auto"/>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bookmarkEnd w:id="74"/>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4</w:t>
      </w:r>
      <w:r>
        <w:rPr>
          <w:rFonts w:hint="eastAsia" w:ascii="仿宋" w:hAnsi="仿宋" w:eastAsia="仿宋" w:cs="仿宋"/>
          <w:b/>
          <w:bCs/>
          <w:color w:val="auto"/>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4D630621">
      <w:pPr>
        <w:pStyle w:val="11"/>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auto"/>
          <w:kern w:val="0"/>
          <w:sz w:val="24"/>
          <w:highlight w:val="none"/>
          <w:u w:val="none"/>
          <w:lang w:bidi="ar"/>
        </w:rPr>
      </w:pPr>
      <w:bookmarkStart w:id="75" w:name="_Toc3006"/>
      <w:r>
        <w:rPr>
          <w:rFonts w:hint="eastAsia" w:ascii="仿宋" w:hAnsi="仿宋" w:eastAsia="仿宋" w:cs="仿宋"/>
          <w:color w:val="auto"/>
          <w:kern w:val="0"/>
          <w:sz w:val="24"/>
          <w:highlight w:val="none"/>
          <w:u w:val="none"/>
          <w:lang w:bidi="ar"/>
        </w:rPr>
        <w:t>1、</w:t>
      </w:r>
      <w:bookmarkEnd w:id="75"/>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为职工缴纳社会保险的</w:t>
      </w:r>
      <w:r>
        <w:rPr>
          <w:rFonts w:hint="eastAsia" w:ascii="仿宋" w:hAnsi="仿宋" w:eastAsia="仿宋" w:cs="仿宋"/>
          <w:color w:val="auto"/>
          <w:sz w:val="24"/>
          <w:szCs w:val="24"/>
          <w:highlight w:val="none"/>
          <w:lang w:val="en-US" w:eastAsia="zh-CN"/>
        </w:rPr>
        <w:t>证明文件</w:t>
      </w:r>
      <w:r>
        <w:rPr>
          <w:rFonts w:hint="eastAsia" w:ascii="仿宋" w:hAnsi="仿宋" w:eastAsia="仿宋" w:cs="仿宋"/>
          <w:color w:val="auto"/>
          <w:sz w:val="24"/>
          <w:szCs w:val="24"/>
          <w:highlight w:val="none"/>
          <w:lang w:eastAsia="zh-CN"/>
        </w:rPr>
        <w:t>扫描件（</w:t>
      </w:r>
      <w:r>
        <w:rPr>
          <w:rFonts w:hint="eastAsia" w:ascii="仿宋" w:hAnsi="仿宋" w:eastAsia="仿宋" w:cs="仿宋"/>
          <w:color w:val="auto"/>
          <w:sz w:val="24"/>
          <w:szCs w:val="24"/>
          <w:highlight w:val="none"/>
          <w:lang w:val="en-US" w:eastAsia="zh-CN"/>
        </w:rPr>
        <w:t>具体要求详见第六章资格审查要求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w:t>
      </w:r>
      <w:r>
        <w:rPr>
          <w:rFonts w:hint="eastAsia" w:ascii="仿宋" w:hAnsi="仿宋" w:eastAsia="仿宋" w:cs="仿宋"/>
          <w:color w:val="auto"/>
          <w:kern w:val="0"/>
          <w:sz w:val="24"/>
          <w:highlight w:val="none"/>
          <w:u w:val="none"/>
          <w:lang w:eastAsia="zh-CN" w:bidi="ar"/>
        </w:rPr>
        <w:t>扫描件</w:t>
      </w:r>
      <w:r>
        <w:rPr>
          <w:rFonts w:hint="eastAsia" w:ascii="仿宋" w:hAnsi="仿宋" w:eastAsia="仿宋" w:cs="仿宋"/>
          <w:color w:val="auto"/>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kern w:val="0"/>
          <w:sz w:val="24"/>
          <w:highlight w:val="none"/>
          <w:u w:val="none"/>
          <w:lang w:bidi="ar"/>
        </w:rPr>
      </w:pPr>
      <w:bookmarkStart w:id="76" w:name="_Toc28907"/>
      <w:r>
        <w:rPr>
          <w:rFonts w:hint="eastAsia" w:ascii="仿宋" w:hAnsi="仿宋" w:eastAsia="仿宋" w:cs="仿宋"/>
          <w:color w:val="auto"/>
          <w:kern w:val="0"/>
          <w:sz w:val="24"/>
          <w:highlight w:val="none"/>
          <w:u w:val="none"/>
          <w:lang w:bidi="ar"/>
        </w:rPr>
        <w:t>3、如果是联合体投标，联合体各方均需提供上述证明。</w:t>
      </w:r>
      <w:bookmarkEnd w:id="76"/>
    </w:p>
    <w:p w14:paraId="5D2DDCE4">
      <w:pPr>
        <w:rPr>
          <w:rFonts w:hint="eastAsia" w:ascii="仿宋" w:hAnsi="仿宋" w:eastAsia="仿宋" w:cs="仿宋"/>
          <w:color w:val="auto"/>
          <w:kern w:val="0"/>
          <w:sz w:val="24"/>
          <w:highlight w:val="none"/>
          <w:u w:val="none"/>
          <w:lang w:bidi="ar"/>
        </w:rPr>
      </w:pPr>
    </w:p>
    <w:p w14:paraId="79920C0F">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B2B2EA9">
      <w:pPr>
        <w:outlineLvl w:val="3"/>
        <w:rPr>
          <w:rFonts w:hint="eastAsia" w:ascii="仿宋" w:hAnsi="仿宋" w:eastAsia="仿宋" w:cs="仿宋"/>
          <w:b/>
          <w:bCs/>
          <w:color w:val="auto"/>
          <w:kern w:val="0"/>
          <w:sz w:val="24"/>
          <w:highlight w:val="none"/>
          <w:u w:val="none"/>
          <w:lang w:bidi="ar"/>
        </w:rPr>
      </w:pPr>
      <w:r>
        <w:rPr>
          <w:rFonts w:hint="eastAsia" w:ascii="仿宋" w:hAnsi="仿宋" w:eastAsia="仿宋" w:cs="仿宋"/>
          <w:b/>
          <w:bCs/>
          <w:color w:val="auto"/>
          <w:kern w:val="0"/>
          <w:sz w:val="24"/>
          <w:highlight w:val="none"/>
          <w:u w:val="none"/>
          <w:lang w:bidi="ar"/>
        </w:rPr>
        <w:t>附件</w:t>
      </w:r>
      <w:r>
        <w:rPr>
          <w:rFonts w:hint="eastAsia" w:ascii="仿宋" w:hAnsi="仿宋" w:eastAsia="仿宋" w:cs="仿宋"/>
          <w:b/>
          <w:bCs/>
          <w:color w:val="auto"/>
          <w:kern w:val="0"/>
          <w:sz w:val="24"/>
          <w:highlight w:val="none"/>
          <w:u w:val="none"/>
          <w:lang w:val="en-US" w:eastAsia="zh-CN" w:bidi="ar"/>
        </w:rPr>
        <w:t>1</w:t>
      </w:r>
      <w:r>
        <w:rPr>
          <w:rFonts w:hint="eastAsia" w:ascii="仿宋" w:hAnsi="仿宋" w:eastAsia="仿宋" w:cs="仿宋"/>
          <w:b/>
          <w:bCs/>
          <w:color w:val="auto"/>
          <w:kern w:val="0"/>
          <w:sz w:val="24"/>
          <w:highlight w:val="none"/>
          <w:u w:val="none"/>
          <w:lang w:bidi="ar"/>
        </w:rPr>
        <w:t>-</w:t>
      </w:r>
      <w:r>
        <w:rPr>
          <w:rFonts w:hint="eastAsia" w:ascii="仿宋" w:hAnsi="仿宋" w:eastAsia="仿宋" w:cs="仿宋"/>
          <w:b/>
          <w:bCs/>
          <w:color w:val="auto"/>
          <w:kern w:val="0"/>
          <w:sz w:val="24"/>
          <w:highlight w:val="none"/>
          <w:u w:val="none"/>
          <w:lang w:val="en-US" w:eastAsia="zh-CN" w:bidi="ar"/>
        </w:rPr>
        <w:t>5</w:t>
      </w:r>
      <w:r>
        <w:rPr>
          <w:rFonts w:hint="eastAsia" w:ascii="仿宋" w:hAnsi="仿宋" w:eastAsia="仿宋" w:cs="仿宋"/>
          <w:b/>
          <w:bCs/>
          <w:color w:val="auto"/>
          <w:kern w:val="0"/>
          <w:sz w:val="24"/>
          <w:highlight w:val="none"/>
          <w:u w:val="none"/>
          <w:lang w:bidi="ar"/>
        </w:rPr>
        <w:t xml:space="preserve"> 投标人资格声明书</w:t>
      </w:r>
    </w:p>
    <w:p w14:paraId="19D96415">
      <w:pPr>
        <w:rPr>
          <w:rFonts w:hint="eastAsia" w:ascii="仿宋" w:hAnsi="仿宋" w:eastAsia="仿宋" w:cs="仿宋"/>
          <w:color w:val="auto"/>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4"/>
          <w:szCs w:val="24"/>
          <w:highlight w:val="none"/>
          <w:lang w:val="en-US" w:eastAsia="zh-CN" w:bidi="ar"/>
        </w:rPr>
      </w:pPr>
      <w:bookmarkStart w:id="77" w:name="_Toc32152"/>
      <w:r>
        <w:rPr>
          <w:rFonts w:hint="eastAsia" w:ascii="仿宋" w:hAnsi="仿宋" w:eastAsia="仿宋" w:cs="仿宋"/>
          <w:b/>
          <w:bCs/>
          <w:color w:val="auto"/>
          <w:kern w:val="0"/>
          <w:sz w:val="28"/>
          <w:szCs w:val="28"/>
          <w:highlight w:val="none"/>
          <w:lang w:val="en-US" w:eastAsia="zh-CN" w:bidi="ar"/>
        </w:rPr>
        <w:t>落实政府采购政策需满足的资格要求（如有）</w:t>
      </w:r>
      <w:bookmarkEnd w:id="77"/>
      <w:r>
        <w:rPr>
          <w:rFonts w:hint="eastAsia" w:ascii="仿宋" w:hAnsi="仿宋" w:eastAsia="仿宋" w:cs="仿宋"/>
          <w:b/>
          <w:bCs/>
          <w:color w:val="auto"/>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8"/>
          <w:szCs w:val="28"/>
          <w:highlight w:val="none"/>
          <w:lang w:val="en-US" w:eastAsia="zh-CN" w:bidi="ar"/>
        </w:rPr>
        <w:t>2-1 中小企业声明函</w:t>
      </w:r>
      <w:r>
        <w:rPr>
          <w:rFonts w:hint="eastAsia" w:ascii="仿宋" w:hAnsi="仿宋" w:eastAsia="仿宋" w:cs="仿宋"/>
          <w:color w:val="auto"/>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供应商根据第五章采购需求相关要求</w:t>
      </w:r>
      <w:r>
        <w:rPr>
          <w:rFonts w:hint="eastAsia" w:ascii="仿宋" w:hAnsi="仿宋" w:eastAsia="仿宋" w:cs="仿宋"/>
          <w:b w:val="0"/>
          <w:bCs w:val="0"/>
          <w:color w:val="auto"/>
          <w:kern w:val="0"/>
          <w:sz w:val="24"/>
          <w:szCs w:val="24"/>
          <w:highlight w:val="none"/>
          <w:lang w:val="en-US" w:eastAsia="zh-CN" w:bidi="ar"/>
        </w:rPr>
        <w:t xml:space="preserve">，本招标文件投标文件格式“中小企业声明函（货物）”、“中小企业声明函（工程、服务）”选择申明函格式。 </w:t>
      </w:r>
    </w:p>
    <w:p w14:paraId="53CE76CB">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如本项目（包）预留部分采购项目预算专门面向中小企业采购，且允许获得采购合同的供应商将采购项目中的一定比例分包给一家或者多家中小企业的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投标文件中须提供《中小企业声明函》或《残疾人福利性单位声明函》或由省级以上监狱管理局、戒毒管理局（含新疆生产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2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36B7B3D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BB58AE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31"/>
          <w:rFonts w:hint="eastAsia" w:ascii="仿宋" w:hAnsi="仿宋" w:eastAsia="仿宋" w:cs="仿宋"/>
          <w:i w:val="0"/>
          <w:iCs w:val="0"/>
          <w:caps w:val="0"/>
          <w:color w:val="auto"/>
          <w:spacing w:val="0"/>
          <w:sz w:val="32"/>
          <w:szCs w:val="32"/>
          <w:highlight w:val="none"/>
        </w:rPr>
        <w:t>中小企业声明函</w:t>
      </w:r>
      <w:r>
        <w:rPr>
          <w:rStyle w:val="31"/>
          <w:rFonts w:hint="eastAsia" w:ascii="仿宋" w:hAnsi="仿宋" w:eastAsia="仿宋" w:cs="仿宋"/>
          <w:i w:val="0"/>
          <w:iCs w:val="0"/>
          <w:caps w:val="0"/>
          <w:color w:val="auto"/>
          <w:spacing w:val="0"/>
          <w:sz w:val="32"/>
          <w:szCs w:val="32"/>
          <w:highlight w:val="none"/>
          <w:lang w:eastAsia="zh-CN"/>
        </w:rPr>
        <w:t>（</w:t>
      </w:r>
      <w:r>
        <w:rPr>
          <w:rStyle w:val="31"/>
          <w:rFonts w:hint="eastAsia" w:ascii="仿宋" w:hAnsi="仿宋" w:eastAsia="仿宋" w:cs="仿宋"/>
          <w:i w:val="0"/>
          <w:iCs w:val="0"/>
          <w:caps w:val="0"/>
          <w:color w:val="auto"/>
          <w:spacing w:val="0"/>
          <w:sz w:val="32"/>
          <w:szCs w:val="32"/>
          <w:highlight w:val="none"/>
        </w:rPr>
        <w:t>货物</w:t>
      </w:r>
      <w:r>
        <w:rPr>
          <w:rStyle w:val="31"/>
          <w:rFonts w:hint="eastAsia" w:ascii="仿宋" w:hAnsi="仿宋" w:eastAsia="仿宋" w:cs="仿宋"/>
          <w:i w:val="0"/>
          <w:iCs w:val="0"/>
          <w:caps w:val="0"/>
          <w:color w:val="auto"/>
          <w:spacing w:val="0"/>
          <w:sz w:val="32"/>
          <w:szCs w:val="32"/>
          <w:highlight w:val="none"/>
          <w:lang w:eastAsia="zh-CN"/>
        </w:rPr>
        <w:t>）</w:t>
      </w:r>
    </w:p>
    <w:p w14:paraId="3A782EA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64BAD65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151C68A">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58074D9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343F93DE">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5A72170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7C17D0A4">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5DFC708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w:t>
      </w:r>
      <w:r>
        <w:rPr>
          <w:rFonts w:hint="eastAsia" w:ascii="仿宋" w:hAnsi="仿宋" w:eastAsia="仿宋" w:cs="仿宋"/>
          <w:color w:val="auto"/>
          <w:sz w:val="24"/>
          <w:highlight w:val="none"/>
          <w:lang w:val="en-US" w:eastAsia="zh-CN"/>
        </w:rPr>
        <w:t>盖章</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496417CC">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8F51C4F">
      <w:pPr>
        <w:rPr>
          <w:rFonts w:hint="eastAsia" w:ascii="仿宋" w:hAnsi="仿宋" w:eastAsia="仿宋" w:cs="仿宋"/>
          <w:b w:val="0"/>
          <w:bCs w:val="0"/>
          <w:color w:val="auto"/>
          <w:kern w:val="0"/>
          <w:sz w:val="21"/>
          <w:szCs w:val="21"/>
          <w:highlight w:val="none"/>
          <w:lang w:val="en-US" w:eastAsia="zh-CN" w:bidi="ar"/>
        </w:rPr>
      </w:pPr>
    </w:p>
    <w:p w14:paraId="20DF2620">
      <w:pPr>
        <w:rPr>
          <w:rFonts w:hint="eastAsia" w:ascii="仿宋" w:hAnsi="仿宋" w:eastAsia="仿宋" w:cs="仿宋"/>
          <w:b w:val="0"/>
          <w:bCs w:val="0"/>
          <w:color w:val="auto"/>
          <w:kern w:val="0"/>
          <w:sz w:val="21"/>
          <w:szCs w:val="21"/>
          <w:highlight w:val="none"/>
          <w:lang w:val="en-US" w:eastAsia="zh-CN" w:bidi="ar"/>
        </w:rPr>
      </w:pPr>
    </w:p>
    <w:p w14:paraId="3B14D9C3">
      <w:pPr>
        <w:rPr>
          <w:rFonts w:hint="eastAsia" w:ascii="仿宋" w:hAnsi="仿宋" w:eastAsia="仿宋" w:cs="仿宋"/>
          <w:b w:val="0"/>
          <w:bCs w:val="0"/>
          <w:color w:val="auto"/>
          <w:kern w:val="0"/>
          <w:sz w:val="21"/>
          <w:szCs w:val="21"/>
          <w:highlight w:val="none"/>
          <w:lang w:val="en-US" w:eastAsia="zh-CN" w:bidi="ar"/>
        </w:rPr>
      </w:pPr>
    </w:p>
    <w:p w14:paraId="4735180B">
      <w:pPr>
        <w:rPr>
          <w:rFonts w:hint="eastAsia" w:ascii="仿宋" w:hAnsi="仿宋" w:eastAsia="仿宋" w:cs="仿宋"/>
          <w:b w:val="0"/>
          <w:bCs w:val="0"/>
          <w:color w:val="auto"/>
          <w:kern w:val="0"/>
          <w:sz w:val="21"/>
          <w:szCs w:val="21"/>
          <w:highlight w:val="none"/>
          <w:lang w:val="en-US" w:eastAsia="zh-CN" w:bidi="ar"/>
        </w:rPr>
      </w:pPr>
    </w:p>
    <w:p w14:paraId="1F85D233">
      <w:pPr>
        <w:rPr>
          <w:rFonts w:hint="eastAsia" w:ascii="仿宋" w:hAnsi="仿宋" w:eastAsia="仿宋" w:cs="仿宋"/>
          <w:b w:val="0"/>
          <w:bCs w:val="0"/>
          <w:color w:val="auto"/>
          <w:kern w:val="0"/>
          <w:sz w:val="21"/>
          <w:szCs w:val="21"/>
          <w:highlight w:val="none"/>
          <w:lang w:val="en-US" w:eastAsia="zh-CN" w:bidi="ar"/>
        </w:rPr>
      </w:pPr>
    </w:p>
    <w:p w14:paraId="36680B6A">
      <w:pPr>
        <w:rPr>
          <w:rFonts w:hint="eastAsia" w:ascii="仿宋" w:hAnsi="仿宋" w:eastAsia="仿宋" w:cs="仿宋"/>
          <w:b w:val="0"/>
          <w:bCs w:val="0"/>
          <w:color w:val="auto"/>
          <w:kern w:val="0"/>
          <w:sz w:val="21"/>
          <w:szCs w:val="21"/>
          <w:highlight w:val="none"/>
          <w:lang w:val="en-US" w:eastAsia="zh-CN" w:bidi="ar"/>
        </w:rPr>
      </w:pPr>
    </w:p>
    <w:p w14:paraId="5163AB2E">
      <w:pPr>
        <w:rPr>
          <w:rFonts w:hint="eastAsia" w:ascii="仿宋" w:hAnsi="仿宋" w:eastAsia="仿宋" w:cs="仿宋"/>
          <w:b w:val="0"/>
          <w:bCs w:val="0"/>
          <w:color w:val="auto"/>
          <w:kern w:val="0"/>
          <w:sz w:val="21"/>
          <w:szCs w:val="21"/>
          <w:highlight w:val="none"/>
          <w:lang w:val="en-US" w:eastAsia="zh-CN" w:bidi="ar"/>
        </w:rPr>
      </w:pPr>
    </w:p>
    <w:p w14:paraId="7BBDC1FC">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25B74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kern w:val="0"/>
          <w:sz w:val="24"/>
          <w:szCs w:val="24"/>
          <w:highlight w:val="none"/>
          <w:lang w:val="en-US" w:eastAsia="zh-CN" w:bidi="ar"/>
        </w:rPr>
        <w:br w:type="page"/>
      </w:r>
      <w:r>
        <w:rPr>
          <w:rFonts w:hint="eastAsia" w:ascii="仿宋" w:hAnsi="仿宋" w:eastAsia="仿宋" w:cs="仿宋"/>
          <w:b/>
          <w:bCs/>
          <w:color w:val="auto"/>
          <w:kern w:val="0"/>
          <w:sz w:val="32"/>
          <w:szCs w:val="32"/>
          <w:highlight w:val="none"/>
          <w:lang w:val="en-US" w:eastAsia="zh-CN" w:bidi="ar"/>
        </w:rPr>
        <w:t>中小企业声明函（工程、服务）</w:t>
      </w:r>
    </w:p>
    <w:p w14:paraId="7867F1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75C235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本公司（联合体）郑重声明，根据《政府采购促进中小企业发展管理办法》 </w:t>
      </w:r>
    </w:p>
    <w:p w14:paraId="2D3A65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（财库﹝2020﹞46号）的规定，本公司（联合体）参加</w:t>
      </w:r>
      <w:r>
        <w:rPr>
          <w:rFonts w:hint="eastAsia" w:ascii="仿宋" w:hAnsi="仿宋" w:eastAsia="仿宋" w:cs="仿宋"/>
          <w:i/>
          <w:iCs/>
          <w:color w:val="auto"/>
          <w:kern w:val="0"/>
          <w:sz w:val="24"/>
          <w:szCs w:val="24"/>
          <w:highlight w:val="none"/>
          <w:u w:val="single"/>
          <w:lang w:val="en-US" w:eastAsia="zh-CN" w:bidi="ar"/>
        </w:rPr>
        <w:t>（单位名称）</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i/>
          <w:iCs/>
          <w:color w:val="auto"/>
          <w:kern w:val="0"/>
          <w:sz w:val="24"/>
          <w:szCs w:val="24"/>
          <w:highlight w:val="none"/>
          <w:u w:val="single"/>
          <w:lang w:val="en-US" w:eastAsia="zh-CN" w:bidi="ar"/>
        </w:rPr>
        <w:t>（项目名称）</w:t>
      </w:r>
      <w:r>
        <w:rPr>
          <w:rFonts w:hint="eastAsia" w:ascii="仿宋" w:hAnsi="仿宋" w:eastAsia="仿宋" w:cs="仿宋"/>
          <w:color w:val="auto"/>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D28EF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 </w:t>
      </w:r>
      <w:r>
        <w:rPr>
          <w:rFonts w:hint="eastAsia" w:ascii="仿宋" w:hAnsi="仿宋" w:eastAsia="仿宋" w:cs="仿宋"/>
          <w:i/>
          <w:iCs/>
          <w:color w:val="auto"/>
          <w:kern w:val="0"/>
          <w:sz w:val="24"/>
          <w:szCs w:val="24"/>
          <w:highlight w:val="none"/>
          <w:u w:val="single"/>
          <w:lang w:val="en-US" w:eastAsia="zh-CN" w:bidi="ar"/>
        </w:rPr>
        <w:t>（标的名称）</w:t>
      </w:r>
      <w:r>
        <w:rPr>
          <w:rFonts w:hint="eastAsia" w:ascii="仿宋" w:hAnsi="仿宋" w:eastAsia="仿宋" w:cs="仿宋"/>
          <w:color w:val="auto"/>
          <w:kern w:val="0"/>
          <w:sz w:val="24"/>
          <w:szCs w:val="24"/>
          <w:highlight w:val="none"/>
          <w:lang w:val="en-US" w:eastAsia="zh-CN" w:bidi="ar"/>
        </w:rPr>
        <w:t>，属于</w:t>
      </w:r>
      <w:r>
        <w:rPr>
          <w:rFonts w:hint="eastAsia" w:ascii="仿宋" w:hAnsi="仿宋" w:eastAsia="仿宋" w:cs="仿宋"/>
          <w:i/>
          <w:iCs/>
          <w:color w:val="auto"/>
          <w:kern w:val="0"/>
          <w:sz w:val="24"/>
          <w:szCs w:val="24"/>
          <w:highlight w:val="none"/>
          <w:u w:val="single"/>
          <w:lang w:val="en-US" w:eastAsia="zh-CN" w:bidi="ar"/>
        </w:rPr>
        <w:t>（采购文件中明确的所属行业）</w:t>
      </w:r>
      <w:r>
        <w:rPr>
          <w:rFonts w:hint="eastAsia" w:ascii="仿宋" w:hAnsi="仿宋" w:eastAsia="仿宋" w:cs="仿宋"/>
          <w:color w:val="auto"/>
          <w:kern w:val="0"/>
          <w:sz w:val="24"/>
          <w:szCs w:val="24"/>
          <w:highlight w:val="none"/>
          <w:lang w:val="en-US" w:eastAsia="zh-CN" w:bidi="ar"/>
        </w:rPr>
        <w:t xml:space="preserve">；承建（承接）企业 </w:t>
      </w:r>
    </w:p>
    <w:p w14:paraId="0746A6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为</w:t>
      </w:r>
      <w:r>
        <w:rPr>
          <w:rFonts w:hint="eastAsia" w:ascii="仿宋" w:hAnsi="仿宋" w:eastAsia="仿宋" w:cs="仿宋"/>
          <w:i/>
          <w:iCs/>
          <w:color w:val="auto"/>
          <w:kern w:val="0"/>
          <w:sz w:val="24"/>
          <w:szCs w:val="24"/>
          <w:highlight w:val="none"/>
          <w:u w:val="single"/>
          <w:lang w:val="en-US" w:eastAsia="zh-CN" w:bidi="ar"/>
        </w:rPr>
        <w:t>（企业名称）</w:t>
      </w:r>
      <w:r>
        <w:rPr>
          <w:rFonts w:hint="eastAsia" w:ascii="仿宋" w:hAnsi="仿宋" w:eastAsia="仿宋" w:cs="仿宋"/>
          <w:color w:val="auto"/>
          <w:kern w:val="0"/>
          <w:sz w:val="24"/>
          <w:szCs w:val="24"/>
          <w:highlight w:val="none"/>
          <w:lang w:val="en-US" w:eastAsia="zh-CN" w:bidi="ar"/>
        </w:rPr>
        <w:t>，从业人员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人，营业收入为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万元，资产总额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为万元，属于</w:t>
      </w:r>
      <w:r>
        <w:rPr>
          <w:rFonts w:hint="eastAsia" w:ascii="仿宋" w:hAnsi="仿宋" w:eastAsia="仿宋" w:cs="仿宋"/>
          <w:i/>
          <w:iCs/>
          <w:color w:val="auto"/>
          <w:kern w:val="0"/>
          <w:sz w:val="24"/>
          <w:szCs w:val="24"/>
          <w:highlight w:val="none"/>
          <w:u w:val="single"/>
          <w:lang w:val="en-US" w:eastAsia="zh-CN" w:bidi="ar"/>
        </w:rPr>
        <w:t>（中型企业、小型企业、微型企业）</w:t>
      </w:r>
      <w:r>
        <w:rPr>
          <w:rFonts w:hint="eastAsia" w:ascii="仿宋" w:hAnsi="仿宋" w:eastAsia="仿宋" w:cs="仿宋"/>
          <w:color w:val="auto"/>
          <w:kern w:val="0"/>
          <w:sz w:val="24"/>
          <w:szCs w:val="24"/>
          <w:highlight w:val="none"/>
          <w:lang w:val="en-US" w:eastAsia="zh-CN" w:bidi="ar"/>
        </w:rPr>
        <w:t xml:space="preserve">； </w:t>
      </w:r>
    </w:p>
    <w:p w14:paraId="3199DF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 </w:t>
      </w:r>
      <w:r>
        <w:rPr>
          <w:rFonts w:hint="eastAsia" w:ascii="仿宋" w:hAnsi="仿宋" w:eastAsia="仿宋" w:cs="仿宋"/>
          <w:i/>
          <w:iCs/>
          <w:color w:val="auto"/>
          <w:kern w:val="0"/>
          <w:sz w:val="24"/>
          <w:szCs w:val="24"/>
          <w:highlight w:val="none"/>
          <w:u w:val="single"/>
          <w:lang w:val="en-US" w:eastAsia="zh-CN" w:bidi="ar"/>
        </w:rPr>
        <w:t>（标的名称）</w:t>
      </w:r>
      <w:r>
        <w:rPr>
          <w:rFonts w:hint="eastAsia" w:ascii="仿宋" w:hAnsi="仿宋" w:eastAsia="仿宋" w:cs="仿宋"/>
          <w:color w:val="auto"/>
          <w:kern w:val="0"/>
          <w:sz w:val="24"/>
          <w:szCs w:val="24"/>
          <w:highlight w:val="none"/>
          <w:lang w:val="en-US" w:eastAsia="zh-CN" w:bidi="ar"/>
        </w:rPr>
        <w:t>，属于</w:t>
      </w:r>
      <w:r>
        <w:rPr>
          <w:rFonts w:hint="eastAsia" w:ascii="仿宋" w:hAnsi="仿宋" w:eastAsia="仿宋" w:cs="仿宋"/>
          <w:i/>
          <w:iCs/>
          <w:color w:val="auto"/>
          <w:kern w:val="0"/>
          <w:sz w:val="24"/>
          <w:szCs w:val="24"/>
          <w:highlight w:val="none"/>
          <w:u w:val="single"/>
          <w:lang w:val="en-US" w:eastAsia="zh-CN" w:bidi="ar"/>
        </w:rPr>
        <w:t>（采购文件中明确的所属行业）</w:t>
      </w:r>
      <w:r>
        <w:rPr>
          <w:rFonts w:hint="eastAsia" w:ascii="仿宋" w:hAnsi="仿宋" w:eastAsia="仿宋" w:cs="仿宋"/>
          <w:color w:val="auto"/>
          <w:kern w:val="0"/>
          <w:sz w:val="24"/>
          <w:szCs w:val="24"/>
          <w:highlight w:val="none"/>
          <w:lang w:val="en-US" w:eastAsia="zh-CN" w:bidi="ar"/>
        </w:rPr>
        <w:t>；承建（承接）企业</w:t>
      </w:r>
    </w:p>
    <w:p w14:paraId="46F22E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为</w:t>
      </w:r>
      <w:r>
        <w:rPr>
          <w:rFonts w:hint="eastAsia" w:ascii="仿宋" w:hAnsi="仿宋" w:eastAsia="仿宋" w:cs="仿宋"/>
          <w:i/>
          <w:iCs/>
          <w:color w:val="auto"/>
          <w:kern w:val="0"/>
          <w:sz w:val="24"/>
          <w:szCs w:val="24"/>
          <w:highlight w:val="none"/>
          <w:u w:val="single"/>
          <w:lang w:val="en-US" w:eastAsia="zh-CN" w:bidi="ar"/>
        </w:rPr>
        <w:t>（企业名称）</w:t>
      </w:r>
      <w:r>
        <w:rPr>
          <w:rFonts w:hint="eastAsia" w:ascii="仿宋" w:hAnsi="仿宋" w:eastAsia="仿宋" w:cs="仿宋"/>
          <w:color w:val="auto"/>
          <w:kern w:val="0"/>
          <w:sz w:val="24"/>
          <w:szCs w:val="24"/>
          <w:highlight w:val="none"/>
          <w:lang w:val="en-US" w:eastAsia="zh-CN" w:bidi="ar"/>
        </w:rPr>
        <w:t>，从业人员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人，营业收入为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万元，资产总额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为万元，属于</w:t>
      </w:r>
      <w:r>
        <w:rPr>
          <w:rFonts w:hint="eastAsia" w:ascii="仿宋" w:hAnsi="仿宋" w:eastAsia="仿宋" w:cs="仿宋"/>
          <w:i/>
          <w:iCs/>
          <w:color w:val="auto"/>
          <w:kern w:val="0"/>
          <w:sz w:val="24"/>
          <w:szCs w:val="24"/>
          <w:highlight w:val="none"/>
          <w:u w:val="single"/>
          <w:lang w:val="en-US" w:eastAsia="zh-CN" w:bidi="ar"/>
        </w:rPr>
        <w:t>（中型企业、小型企业、微型企业）</w:t>
      </w:r>
      <w:r>
        <w:rPr>
          <w:rFonts w:hint="eastAsia" w:ascii="仿宋" w:hAnsi="仿宋" w:eastAsia="仿宋" w:cs="仿宋"/>
          <w:color w:val="auto"/>
          <w:kern w:val="0"/>
          <w:sz w:val="24"/>
          <w:szCs w:val="24"/>
          <w:highlight w:val="none"/>
          <w:lang w:val="en-US" w:eastAsia="zh-CN" w:bidi="ar"/>
        </w:rPr>
        <w:t xml:space="preserve">；； </w:t>
      </w:r>
    </w:p>
    <w:p w14:paraId="191268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w:t>
      </w:r>
    </w:p>
    <w:p w14:paraId="4A9301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以上企业，不属于大企业的分支机构，不存在控股股东为大企业的情形， </w:t>
      </w:r>
    </w:p>
    <w:p w14:paraId="36CA0D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也不存在与大企业的负责人为同一人的情形。 </w:t>
      </w:r>
    </w:p>
    <w:p w14:paraId="2F9097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本企业对上述声明内容的真实性负责。如有虚假，将依法承担相应责任。</w:t>
      </w:r>
    </w:p>
    <w:p w14:paraId="10CF6570">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p>
    <w:p w14:paraId="75FC32A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w:t>
      </w:r>
      <w:r>
        <w:rPr>
          <w:rFonts w:hint="eastAsia" w:ascii="仿宋" w:hAnsi="仿宋" w:eastAsia="仿宋" w:cs="仿宋"/>
          <w:color w:val="auto"/>
          <w:sz w:val="24"/>
          <w:highlight w:val="none"/>
          <w:lang w:val="en-US" w:eastAsia="zh-CN"/>
        </w:rPr>
        <w:t>盖章</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35889D37">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2523D1CD">
      <w:pPr>
        <w:rPr>
          <w:rFonts w:hint="eastAsia" w:ascii="仿宋" w:hAnsi="仿宋" w:eastAsia="仿宋" w:cs="仿宋"/>
          <w:b w:val="0"/>
          <w:bCs w:val="0"/>
          <w:color w:val="auto"/>
          <w:kern w:val="0"/>
          <w:sz w:val="21"/>
          <w:szCs w:val="21"/>
          <w:highlight w:val="none"/>
          <w:lang w:val="en-US" w:eastAsia="zh-CN" w:bidi="ar"/>
        </w:rPr>
      </w:pPr>
    </w:p>
    <w:p w14:paraId="320E5B1C">
      <w:pPr>
        <w:rPr>
          <w:rFonts w:hint="eastAsia" w:ascii="仿宋" w:hAnsi="仿宋" w:eastAsia="仿宋" w:cs="仿宋"/>
          <w:b w:val="0"/>
          <w:bCs w:val="0"/>
          <w:color w:val="auto"/>
          <w:kern w:val="0"/>
          <w:sz w:val="21"/>
          <w:szCs w:val="21"/>
          <w:highlight w:val="none"/>
          <w:lang w:val="en-US" w:eastAsia="zh-CN" w:bidi="ar"/>
        </w:rPr>
      </w:pPr>
    </w:p>
    <w:p w14:paraId="1C9C958D">
      <w:pPr>
        <w:rPr>
          <w:rFonts w:hint="eastAsia" w:ascii="仿宋" w:hAnsi="仿宋" w:eastAsia="仿宋" w:cs="仿宋"/>
          <w:b w:val="0"/>
          <w:bCs w:val="0"/>
          <w:color w:val="auto"/>
          <w:kern w:val="0"/>
          <w:sz w:val="21"/>
          <w:szCs w:val="21"/>
          <w:highlight w:val="none"/>
          <w:lang w:val="en-US" w:eastAsia="zh-CN" w:bidi="ar"/>
        </w:rPr>
      </w:pPr>
    </w:p>
    <w:p w14:paraId="6C469FF2">
      <w:pPr>
        <w:rPr>
          <w:rFonts w:hint="eastAsia" w:ascii="仿宋" w:hAnsi="仿宋" w:eastAsia="仿宋" w:cs="仿宋"/>
          <w:b w:val="0"/>
          <w:bCs w:val="0"/>
          <w:color w:val="auto"/>
          <w:kern w:val="0"/>
          <w:sz w:val="21"/>
          <w:szCs w:val="21"/>
          <w:highlight w:val="none"/>
          <w:lang w:val="en-US" w:eastAsia="zh-CN" w:bidi="ar"/>
        </w:rPr>
      </w:pPr>
    </w:p>
    <w:p w14:paraId="2DB02559">
      <w:pPr>
        <w:rPr>
          <w:rFonts w:hint="eastAsia" w:ascii="仿宋" w:hAnsi="仿宋" w:eastAsia="仿宋" w:cs="仿宋"/>
          <w:b w:val="0"/>
          <w:bCs w:val="0"/>
          <w:color w:val="auto"/>
          <w:kern w:val="0"/>
          <w:sz w:val="21"/>
          <w:szCs w:val="21"/>
          <w:highlight w:val="none"/>
          <w:lang w:val="en-US" w:eastAsia="zh-CN" w:bidi="ar"/>
        </w:rPr>
      </w:pPr>
    </w:p>
    <w:p w14:paraId="0E8F7E5B">
      <w:pPr>
        <w:rPr>
          <w:rFonts w:hint="eastAsia" w:ascii="仿宋" w:hAnsi="仿宋" w:eastAsia="仿宋" w:cs="仿宋"/>
          <w:b w:val="0"/>
          <w:bCs w:val="0"/>
          <w:color w:val="auto"/>
          <w:kern w:val="0"/>
          <w:sz w:val="21"/>
          <w:szCs w:val="21"/>
          <w:highlight w:val="none"/>
          <w:lang w:val="en-US" w:eastAsia="zh-CN" w:bidi="ar"/>
        </w:rPr>
      </w:pPr>
    </w:p>
    <w:p w14:paraId="2F4F16AD">
      <w:pPr>
        <w:rPr>
          <w:rFonts w:hint="eastAsia" w:ascii="仿宋" w:hAnsi="仿宋" w:eastAsia="仿宋" w:cs="仿宋"/>
          <w:b w:val="0"/>
          <w:bCs w:val="0"/>
          <w:color w:val="auto"/>
          <w:kern w:val="0"/>
          <w:sz w:val="21"/>
          <w:szCs w:val="21"/>
          <w:highlight w:val="none"/>
          <w:lang w:val="en-US" w:eastAsia="zh-CN" w:bidi="ar"/>
        </w:rPr>
      </w:pPr>
    </w:p>
    <w:p w14:paraId="49A1C9DE">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336EC45F">
      <w:pPr>
        <w:rPr>
          <w:rFonts w:hint="eastAsia" w:ascii="仿宋" w:hAnsi="仿宋" w:eastAsia="仿宋" w:cs="仿宋"/>
          <w:b w:val="0"/>
          <w:bCs w:val="0"/>
          <w:color w:val="auto"/>
          <w:kern w:val="0"/>
          <w:sz w:val="21"/>
          <w:szCs w:val="21"/>
          <w:highlight w:val="none"/>
          <w:lang w:val="en-US" w:eastAsia="zh-CN" w:bidi="ar"/>
        </w:rPr>
      </w:pPr>
    </w:p>
    <w:p w14:paraId="57E0E736">
      <w:pPr>
        <w:rPr>
          <w:rFonts w:hint="eastAsia" w:ascii="仿宋" w:hAnsi="仿宋" w:eastAsia="仿宋" w:cs="仿宋"/>
          <w:b w:val="0"/>
          <w:bCs w:val="0"/>
          <w:color w:val="auto"/>
          <w:kern w:val="0"/>
          <w:sz w:val="21"/>
          <w:szCs w:val="21"/>
          <w:highlight w:val="none"/>
          <w:lang w:val="en-US" w:eastAsia="zh-CN" w:bidi="ar"/>
        </w:rPr>
      </w:pPr>
    </w:p>
    <w:p w14:paraId="77086488">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1D6416E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0DD8DEC">
      <w:pPr>
        <w:pStyle w:val="14"/>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5"/>
          <w:rFonts w:hint="eastAsia" w:ascii="仿宋" w:hAnsi="仿宋" w:eastAsia="仿宋" w:cs="仿宋"/>
          <w:color w:val="auto"/>
          <w:sz w:val="28"/>
          <w:szCs w:val="28"/>
          <w:highlight w:val="none"/>
          <w:u w:val="none"/>
          <w:lang w:val="en-US" w:eastAsia="zh-CN"/>
        </w:rPr>
      </w:pPr>
      <w:r>
        <w:rPr>
          <w:rStyle w:val="45"/>
          <w:rFonts w:hint="eastAsia" w:ascii="仿宋" w:hAnsi="仿宋" w:eastAsia="仿宋" w:cs="仿宋"/>
          <w:color w:val="auto"/>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color w:val="auto"/>
          <w:sz w:val="28"/>
          <w:szCs w:val="28"/>
          <w:highlight w:val="none"/>
          <w:u w:val="none"/>
          <w:lang w:val="en-US"/>
        </w:rPr>
      </w:pPr>
      <w:r>
        <w:rPr>
          <w:rStyle w:val="45"/>
          <w:rFonts w:hint="eastAsia" w:ascii="仿宋" w:hAnsi="仿宋" w:eastAsia="仿宋" w:cs="仿宋"/>
          <w:color w:val="auto"/>
          <w:sz w:val="28"/>
          <w:szCs w:val="28"/>
          <w:highlight w:val="none"/>
          <w:u w:val="none"/>
          <w:lang w:val="en-US" w:eastAsia="zh-CN"/>
        </w:rPr>
        <w:t>2-2</w:t>
      </w:r>
      <w:r>
        <w:rPr>
          <w:rStyle w:val="45"/>
          <w:rFonts w:hint="eastAsia" w:ascii="仿宋" w:hAnsi="仿宋" w:eastAsia="仿宋" w:cs="仿宋"/>
          <w:color w:val="auto"/>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color w:val="auto"/>
          <w:sz w:val="24"/>
          <w:szCs w:val="21"/>
          <w:highlight w:val="none"/>
        </w:rPr>
      </w:pPr>
      <w:r>
        <w:rPr>
          <w:rFonts w:hint="eastAsia" w:ascii="仿宋" w:hAnsi="仿宋" w:eastAsia="仿宋" w:cs="仿宋"/>
          <w:b/>
          <w:color w:val="auto"/>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经研究，我们决定自愿组成联合体共同申请参加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一、联合体基本信息：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78"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78"/>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auto"/>
          <w:kern w:val="0"/>
          <w:sz w:val="24"/>
          <w:highlight w:val="none"/>
        </w:rPr>
        <w:t>该金额占该采购包</w:t>
      </w:r>
      <w:r>
        <w:rPr>
          <w:rFonts w:hint="eastAsia" w:ascii="方正仿宋_GB2312" w:hAnsi="方正仿宋_GB2312" w:eastAsia="方正仿宋_GB2312" w:cs="方正仿宋_GB2312"/>
          <w:b/>
          <w:bCs/>
          <w:color w:val="auto"/>
          <w:kern w:val="0"/>
          <w:sz w:val="24"/>
          <w:highlight w:val="none"/>
        </w:rPr>
        <w:t>预算金额</w:t>
      </w:r>
      <w:r>
        <w:rPr>
          <w:rFonts w:hint="eastAsia" w:ascii="方正仿宋_GB2312" w:hAnsi="方正仿宋_GB2312" w:eastAsia="方正仿宋_GB2312" w:cs="方正仿宋_GB2312"/>
          <w:color w:val="auto"/>
          <w:kern w:val="0"/>
          <w:sz w:val="24"/>
          <w:highlight w:val="none"/>
        </w:rPr>
        <w:t>的</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auto"/>
          <w:kern w:val="0"/>
          <w:sz w:val="24"/>
          <w:highlight w:val="none"/>
          <w:lang w:val="en-US" w:eastAsia="zh-CN"/>
        </w:rPr>
        <w:t>合同金额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auto"/>
          <w:kern w:val="0"/>
          <w:sz w:val="24"/>
          <w:highlight w:val="none"/>
        </w:rPr>
        <w:t>占该采购包</w:t>
      </w:r>
      <w:r>
        <w:rPr>
          <w:rFonts w:hint="eastAsia" w:ascii="方正仿宋_GB2312" w:hAnsi="方正仿宋_GB2312" w:eastAsia="方正仿宋_GB2312" w:cs="方正仿宋_GB2312"/>
          <w:b/>
          <w:bCs/>
          <w:color w:val="auto"/>
          <w:kern w:val="0"/>
          <w:sz w:val="24"/>
          <w:highlight w:val="none"/>
        </w:rPr>
        <w:t>预算金额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auto"/>
          <w:kern w:val="0"/>
          <w:sz w:val="24"/>
          <w:highlight w:val="none"/>
          <w:lang w:val="en-US" w:eastAsia="zh-CN"/>
        </w:rPr>
        <w:t>合同金额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9"/>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1"/>
        <w:rPr>
          <w:rFonts w:hint="eastAsia"/>
          <w:color w:val="auto"/>
          <w:highlight w:val="none"/>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color w:val="auto"/>
          <w:sz w:val="30"/>
          <w:szCs w:val="30"/>
          <w:highlight w:val="none"/>
        </w:rPr>
        <w:br w:type="page"/>
      </w:r>
      <w:r>
        <w:rPr>
          <w:rFonts w:hint="eastAsia" w:ascii="仿宋" w:hAnsi="仿宋" w:eastAsia="仿宋" w:cs="仿宋"/>
          <w:b/>
          <w:bCs/>
          <w:color w:val="auto"/>
          <w:kern w:val="0"/>
          <w:sz w:val="28"/>
          <w:szCs w:val="28"/>
          <w:highlight w:val="none"/>
          <w:lang w:val="en-US" w:eastAsia="zh-CN" w:bidi="ar"/>
        </w:rPr>
        <w:t>2-3 分包意向协议</w:t>
      </w:r>
      <w:r>
        <w:rPr>
          <w:rFonts w:hint="eastAsia" w:ascii="仿宋" w:hAnsi="仿宋" w:eastAsia="仿宋" w:cs="仿宋"/>
          <w:b/>
          <w:bCs/>
          <w:color w:val="auto"/>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50D49ECB">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bookmarkStart w:id="79" w:name="_Toc5286"/>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7C4F8B9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default"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分包意向协议书须反应由中小（含中型、小型、微型）企业、监狱企业、残疾人福利性单位所生产的货物的全部制造商，及中小（含中型、小型、微型）企业、监狱企业、残疾人福利性单位承接工程或服务全部承接方。</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79"/>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9"/>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5403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3A9B2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kern w:val="0"/>
                <w:sz w:val="28"/>
                <w:szCs w:val="28"/>
                <w:highlight w:val="none"/>
                <w:vertAlign w:val="baseline"/>
                <w:lang w:val="en-US" w:eastAsia="zh-CN" w:bidi="ar"/>
              </w:rPr>
            </w:pPr>
            <w:r>
              <w:rPr>
                <w:rFonts w:hint="eastAsia" w:ascii="仿宋" w:hAnsi="仿宋" w:eastAsia="仿宋" w:cs="仿宋"/>
                <w:b/>
                <w:bCs/>
                <w:color w:val="auto"/>
                <w:kern w:val="0"/>
                <w:sz w:val="28"/>
                <w:szCs w:val="28"/>
                <w:highlight w:val="none"/>
                <w:vertAlign w:val="baseline"/>
                <w:lang w:val="en-US" w:eastAsia="zh-CN" w:bidi="ar"/>
              </w:rPr>
              <w:t>一</w:t>
            </w:r>
          </w:p>
        </w:tc>
        <w:tc>
          <w:tcPr>
            <w:tcW w:w="8205" w:type="dxa"/>
            <w:gridSpan w:val="9"/>
            <w:vAlign w:val="center"/>
          </w:tcPr>
          <w:p w14:paraId="772C0838">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仿宋" w:hAnsi="仿宋" w:eastAsia="仿宋" w:cs="仿宋"/>
                <w:b/>
                <w:bCs/>
                <w:color w:val="auto"/>
                <w:kern w:val="0"/>
                <w:sz w:val="28"/>
                <w:szCs w:val="28"/>
                <w:highlight w:val="none"/>
                <w:vertAlign w:val="baseline"/>
                <w:lang w:val="en-US" w:eastAsia="zh-CN" w:bidi="ar"/>
              </w:rPr>
            </w:pPr>
            <w:r>
              <w:rPr>
                <w:rFonts w:hint="eastAsia" w:ascii="仿宋" w:hAnsi="仿宋" w:eastAsia="仿宋" w:cs="仿宋"/>
                <w:b/>
                <w:bCs/>
                <w:color w:val="auto"/>
                <w:kern w:val="0"/>
                <w:sz w:val="28"/>
                <w:szCs w:val="28"/>
                <w:highlight w:val="none"/>
                <w:vertAlign w:val="baseline"/>
                <w:lang w:val="en-US" w:eastAsia="zh-CN" w:bidi="ar"/>
              </w:rPr>
              <w:t>货物类标的</w:t>
            </w:r>
          </w:p>
        </w:tc>
      </w:tr>
      <w:tr w14:paraId="1BD5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8BF64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0E6700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6571496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3C85FA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02DBA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0B199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E2EB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30F9E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4420F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42357E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0CE54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28E36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E468CF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4B834B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4D12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AB510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238E64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ED3DD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4F590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2B5DE22">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74E49A5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1290378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9902AB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24E59B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16F5D0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45325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EC8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7FC470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8E1FB7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9810B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7C7BE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C876BA3">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5FF58F0">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A6A8D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DF0A4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7899B59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DB016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52169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16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556B4E1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27FC24A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1AD9C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3D1C19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1210D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49B253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FD5F0F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FC73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6D7BAB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70BAD9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52E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5D8EEA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2855FB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2B328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885ED3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21061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2F6C13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626B327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734BFB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CC3586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0815C3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9FB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F3E4E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货物类中型企业小计</w:t>
            </w:r>
          </w:p>
        </w:tc>
        <w:tc>
          <w:tcPr>
            <w:tcW w:w="954" w:type="dxa"/>
            <w:vAlign w:val="center"/>
          </w:tcPr>
          <w:p w14:paraId="726FCFB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7AE7AB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F8FFDF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5F97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19814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货物类小微企业小计</w:t>
            </w:r>
          </w:p>
        </w:tc>
        <w:tc>
          <w:tcPr>
            <w:tcW w:w="954" w:type="dxa"/>
            <w:vAlign w:val="center"/>
          </w:tcPr>
          <w:p w14:paraId="7DDAC2B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16C119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A50B8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B83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74EC6B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货物类中小微企业小计</w:t>
            </w:r>
          </w:p>
        </w:tc>
        <w:tc>
          <w:tcPr>
            <w:tcW w:w="954" w:type="dxa"/>
            <w:vAlign w:val="center"/>
          </w:tcPr>
          <w:p w14:paraId="332B2C9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CBFC2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3B4EF4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EC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3DA3A61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kern w:val="0"/>
                <w:sz w:val="28"/>
                <w:szCs w:val="28"/>
                <w:highlight w:val="none"/>
                <w:vertAlign w:val="baseline"/>
                <w:lang w:val="en-US" w:eastAsia="zh-CN" w:bidi="ar"/>
              </w:rPr>
            </w:pPr>
            <w:r>
              <w:rPr>
                <w:rFonts w:hint="eastAsia" w:ascii="仿宋" w:hAnsi="仿宋" w:eastAsia="仿宋" w:cs="仿宋"/>
                <w:b/>
                <w:bCs/>
                <w:color w:val="auto"/>
                <w:kern w:val="0"/>
                <w:sz w:val="28"/>
                <w:szCs w:val="28"/>
                <w:highlight w:val="none"/>
                <w:vertAlign w:val="baseline"/>
                <w:lang w:val="en-US" w:eastAsia="zh-CN" w:bidi="ar"/>
              </w:rPr>
              <w:t>二</w:t>
            </w:r>
          </w:p>
        </w:tc>
        <w:tc>
          <w:tcPr>
            <w:tcW w:w="8205" w:type="dxa"/>
            <w:gridSpan w:val="9"/>
            <w:vAlign w:val="center"/>
          </w:tcPr>
          <w:p w14:paraId="11965D4D">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仿宋"/>
                <w:b/>
                <w:bCs/>
                <w:color w:val="auto"/>
                <w:kern w:val="0"/>
                <w:sz w:val="28"/>
                <w:szCs w:val="28"/>
                <w:highlight w:val="none"/>
                <w:vertAlign w:val="baseline"/>
                <w:lang w:val="en-US" w:eastAsia="zh-CN" w:bidi="ar"/>
              </w:rPr>
            </w:pPr>
            <w:r>
              <w:rPr>
                <w:rFonts w:hint="eastAsia" w:ascii="仿宋" w:hAnsi="仿宋" w:eastAsia="仿宋" w:cs="仿宋"/>
                <w:b/>
                <w:bCs/>
                <w:color w:val="auto"/>
                <w:kern w:val="0"/>
                <w:sz w:val="28"/>
                <w:szCs w:val="28"/>
                <w:highlight w:val="none"/>
                <w:vertAlign w:val="baseline"/>
                <w:lang w:val="en-US" w:eastAsia="zh-CN" w:bidi="ar"/>
              </w:rPr>
              <w:t>工程、服务类标的</w:t>
            </w:r>
          </w:p>
        </w:tc>
      </w:tr>
      <w:tr w14:paraId="6D4A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2D3F477B">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vAlign w:val="center"/>
          </w:tcPr>
          <w:p w14:paraId="10A23B7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1612" w:type="dxa"/>
            <w:gridSpan w:val="2"/>
            <w:vAlign w:val="center"/>
          </w:tcPr>
          <w:p w14:paraId="3CE029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分包服务或工程名称</w:t>
            </w:r>
          </w:p>
        </w:tc>
        <w:tc>
          <w:tcPr>
            <w:tcW w:w="1355" w:type="dxa"/>
            <w:vAlign w:val="center"/>
          </w:tcPr>
          <w:p w14:paraId="555BB9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工程、服务承接企业类型</w:t>
            </w:r>
          </w:p>
          <w:p w14:paraId="2E34EBF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4FF4AE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34312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2496D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31A9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6189A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22845F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48168F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4140C4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0F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537D436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47FF02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gridSpan w:val="2"/>
            <w:vAlign w:val="center"/>
          </w:tcPr>
          <w:p w14:paraId="1E1334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379C4875">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9A2B79A">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5AD06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164C94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0667F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17CEC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80E25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3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3560D6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2CBAEA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gridSpan w:val="2"/>
            <w:vAlign w:val="center"/>
          </w:tcPr>
          <w:p w14:paraId="54E6B4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shd w:val="clear" w:color="auto" w:fill="auto"/>
            <w:vAlign w:val="center"/>
          </w:tcPr>
          <w:p w14:paraId="01E8AC95">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BC6E259">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0296F3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351E30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56633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53DF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CEE983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5FD2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6BABCEC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0DB4417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gridSpan w:val="2"/>
            <w:vAlign w:val="center"/>
          </w:tcPr>
          <w:p w14:paraId="4E91FB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ED7767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025438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1EA373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25C1D85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0C21C3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C7D7A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ECF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shd w:val="clear" w:color="auto" w:fill="auto"/>
            <w:vAlign w:val="center"/>
          </w:tcPr>
          <w:p w14:paraId="01ABADC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217702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612" w:type="dxa"/>
            <w:gridSpan w:val="2"/>
            <w:vAlign w:val="center"/>
          </w:tcPr>
          <w:p w14:paraId="16B0E1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700D0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009F4D0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6F3773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2D4FCC6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78A68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888FB5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9BC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77" w:type="dxa"/>
            <w:gridSpan w:val="7"/>
            <w:shd w:val="clear" w:color="auto" w:fill="auto"/>
            <w:vAlign w:val="center"/>
          </w:tcPr>
          <w:p w14:paraId="25357F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工程、服务类中型企业小计</w:t>
            </w:r>
          </w:p>
        </w:tc>
        <w:tc>
          <w:tcPr>
            <w:tcW w:w="954" w:type="dxa"/>
            <w:vAlign w:val="center"/>
          </w:tcPr>
          <w:p w14:paraId="1847EAE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A5B54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D9E3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7CB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4C1593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工程、服务类小微企业小计</w:t>
            </w:r>
          </w:p>
        </w:tc>
        <w:tc>
          <w:tcPr>
            <w:tcW w:w="954" w:type="dxa"/>
            <w:vAlign w:val="center"/>
          </w:tcPr>
          <w:p w14:paraId="72B6F6A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CA3029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246A6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963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27BD10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工程、服务类中小微企业小计</w:t>
            </w:r>
          </w:p>
        </w:tc>
        <w:tc>
          <w:tcPr>
            <w:tcW w:w="954" w:type="dxa"/>
            <w:vAlign w:val="center"/>
          </w:tcPr>
          <w:p w14:paraId="0E71BF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6D2E7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CB3E4B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7EBD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224878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F83297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48F0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C2BE47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79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720D45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0C22B15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B8DAB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399C8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57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6ABD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1972DE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56BF1F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80CC7A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DA8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8F4DC2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11E31E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B07C7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8A36C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665E9A28">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p>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1、对于</w:t>
      </w:r>
      <w:r>
        <w:rPr>
          <w:rFonts w:hint="eastAsia" w:ascii="仿宋" w:hAnsi="仿宋" w:eastAsia="仿宋" w:cs="仿宋"/>
          <w:b/>
          <w:bCs/>
          <w:color w:val="auto"/>
          <w:kern w:val="0"/>
          <w:sz w:val="24"/>
          <w:highlight w:val="none"/>
          <w:lang w:val="en-US" w:eastAsia="zh-CN"/>
        </w:rPr>
        <w:t>货物类标的</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595B330F">
      <w:pPr>
        <w:pStyle w:val="16"/>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2、对于</w:t>
      </w:r>
      <w:r>
        <w:rPr>
          <w:rFonts w:hint="eastAsia" w:ascii="仿宋" w:hAnsi="仿宋" w:eastAsia="仿宋" w:cs="仿宋"/>
          <w:b/>
          <w:bCs/>
          <w:color w:val="auto"/>
          <w:kern w:val="0"/>
          <w:sz w:val="24"/>
          <w:highlight w:val="none"/>
          <w:lang w:val="en-US" w:eastAsia="zh-CN"/>
        </w:rPr>
        <w:t>工程、服务类标的</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工程、服务承接单位；若工程、服务承接单位为投标人，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color w:val="auto"/>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auto"/>
          <w:kern w:val="0"/>
          <w:sz w:val="24"/>
          <w:highlight w:val="none"/>
        </w:rPr>
        <w:t>占该采购包</w:t>
      </w:r>
      <w:r>
        <w:rPr>
          <w:rFonts w:hint="eastAsia" w:ascii="方正仿宋_GB2312" w:hAnsi="方正仿宋_GB2312" w:eastAsia="方正仿宋_GB2312" w:cs="方正仿宋_GB2312"/>
          <w:b/>
          <w:bCs/>
          <w:color w:val="auto"/>
          <w:kern w:val="0"/>
          <w:sz w:val="24"/>
          <w:highlight w:val="none"/>
        </w:rPr>
        <w:t>预算金额</w:t>
      </w:r>
      <w:r>
        <w:rPr>
          <w:rFonts w:hint="eastAsia" w:ascii="方正仿宋_GB2312" w:hAnsi="方正仿宋_GB2312" w:eastAsia="方正仿宋_GB2312" w:cs="方正仿宋_GB2312"/>
          <w:color w:val="auto"/>
          <w:kern w:val="0"/>
          <w:sz w:val="24"/>
          <w:highlight w:val="none"/>
        </w:rPr>
        <w:t>的</w:t>
      </w:r>
      <w:r>
        <w:rPr>
          <w:rFonts w:hint="eastAsia" w:ascii="方正仿宋_GB2312" w:hAnsi="方正仿宋_GB2312" w:eastAsia="方正仿宋_GB2312" w:cs="方正仿宋_GB2312"/>
          <w:color w:val="auto"/>
          <w:kern w:val="0"/>
          <w:sz w:val="24"/>
          <w:highlight w:val="none"/>
          <w:u w:val="single"/>
        </w:rPr>
        <w:t xml:space="preserve">      </w:t>
      </w:r>
      <w:r>
        <w:rPr>
          <w:rFonts w:hint="eastAsia" w:ascii="方正仿宋_GB2312" w:hAnsi="方正仿宋_GB2312" w:eastAsia="方正仿宋_GB2312" w:cs="方正仿宋_GB2312"/>
          <w:color w:val="auto"/>
          <w:kern w:val="0"/>
          <w:sz w:val="24"/>
          <w:highlight w:val="none"/>
        </w:rPr>
        <w:t>%</w:t>
      </w:r>
      <w:r>
        <w:rPr>
          <w:rFonts w:hint="eastAsia" w:ascii="方正仿宋_GB2312" w:hAnsi="方正仿宋_GB2312" w:eastAsia="方正仿宋_GB2312" w:cs="方正仿宋_GB2312"/>
          <w:color w:val="auto"/>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auto"/>
          <w:kern w:val="0"/>
          <w:sz w:val="24"/>
          <w:highlight w:val="none"/>
          <w:lang w:val="en-US" w:eastAsia="zh-CN"/>
        </w:rPr>
        <w:t>合同金额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auto"/>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auto"/>
          <w:kern w:val="0"/>
          <w:sz w:val="24"/>
          <w:highlight w:val="none"/>
        </w:rPr>
        <w:t>占该采购包</w:t>
      </w:r>
      <w:r>
        <w:rPr>
          <w:rFonts w:hint="eastAsia" w:ascii="方正仿宋_GB2312" w:hAnsi="方正仿宋_GB2312" w:eastAsia="方正仿宋_GB2312" w:cs="方正仿宋_GB2312"/>
          <w:b/>
          <w:bCs/>
          <w:color w:val="auto"/>
          <w:kern w:val="0"/>
          <w:sz w:val="24"/>
          <w:highlight w:val="none"/>
        </w:rPr>
        <w:t>预算金额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auto"/>
          <w:kern w:val="0"/>
          <w:sz w:val="24"/>
          <w:highlight w:val="none"/>
          <w:lang w:val="en-US" w:eastAsia="zh-CN"/>
        </w:rPr>
        <w:t>合同金额</w:t>
      </w:r>
      <w:r>
        <w:rPr>
          <w:rFonts w:hint="eastAsia" w:ascii="方正仿宋_GB2312" w:hAnsi="方正仿宋_GB2312" w:eastAsia="方正仿宋_GB2312" w:cs="方正仿宋_GB2312"/>
          <w:color w:val="auto"/>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8"/>
        <w:rPr>
          <w:rFonts w:hint="eastAsia"/>
          <w:color w:val="auto"/>
          <w:highlight w:val="none"/>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F35D21B">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EC3CDAD">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44AD5CE">
      <w:pPr>
        <w:ind w:firstLine="482"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color w:val="auto"/>
          <w:sz w:val="24"/>
          <w:szCs w:val="24"/>
          <w:highlight w:val="none"/>
        </w:rPr>
        <w:t>。</w:t>
      </w:r>
    </w:p>
    <w:p w14:paraId="1F2D9645">
      <w:pPr>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color w:val="auto"/>
          <w:kern w:val="2"/>
          <w:sz w:val="32"/>
          <w:szCs w:val="28"/>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3-1投标人无直接控股、管理关系书面声明函</w:t>
      </w:r>
    </w:p>
    <w:p w14:paraId="31CD07E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一、下述公司负责人与我公司单位负责人为同一人：（如无则本项填写“无”）  </w:t>
      </w:r>
    </w:p>
    <w:p w14:paraId="509140B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0965BC0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28A1B74">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7D1598E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561FCE67">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二、我公司与下述公司存在直接控股关系：（如无则本项填写“无”） </w:t>
      </w:r>
    </w:p>
    <w:p w14:paraId="59FE276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7244BCD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CC7C5BB">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5CFB40BE">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035D8C0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三、我公司与下述公司存在直接管理关系：（如无则本项填写“无”） </w:t>
      </w:r>
    </w:p>
    <w:p w14:paraId="01BEAE5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w:t>
      </w:r>
    </w:p>
    <w:p w14:paraId="6C37DB2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w:t>
      </w:r>
    </w:p>
    <w:p w14:paraId="0A848444">
      <w:pPr>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u w:val="single"/>
        </w:rPr>
        <w:t xml:space="preserve">                              </w:t>
      </w:r>
    </w:p>
    <w:p w14:paraId="25AA40E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……（可自行添加）</w:t>
      </w:r>
    </w:p>
    <w:p w14:paraId="6CDB520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我单位郑重声明：与本单位负责人为同一人或者与本单位存在直接控股关系、管理关系的供应商未参加</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同一合同项下的投标。</w:t>
      </w:r>
    </w:p>
    <w:p w14:paraId="2F1F7C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我单位保证上述声明真实、有效、可查。</w:t>
      </w:r>
    </w:p>
    <w:p w14:paraId="7AAAB57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特此声明。 </w:t>
      </w:r>
    </w:p>
    <w:p w14:paraId="353BA663">
      <w:pPr>
        <w:spacing w:line="360" w:lineRule="auto"/>
        <w:rPr>
          <w:rFonts w:hint="eastAsia" w:ascii="仿宋" w:hAnsi="仿宋" w:eastAsia="仿宋" w:cs="仿宋"/>
          <w:color w:val="auto"/>
          <w:sz w:val="24"/>
          <w:szCs w:val="24"/>
          <w:highlight w:val="none"/>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投标人名称（或联合体成员名称）：</w:t>
      </w:r>
      <w:r>
        <w:rPr>
          <w:rFonts w:hint="eastAsia" w:ascii="仿宋" w:hAnsi="仿宋" w:eastAsia="仿宋" w:cs="仿宋"/>
          <w:color w:val="auto"/>
          <w:sz w:val="24"/>
          <w:szCs w:val="24"/>
          <w:highlight w:val="none"/>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p>
    <w:p w14:paraId="6121F487">
      <w:pPr>
        <w:spacing w:line="360" w:lineRule="auto"/>
        <w:ind w:firstLine="480" w:firstLineChars="200"/>
        <w:rPr>
          <w:rFonts w:hint="eastAsia" w:ascii="仿宋" w:hAnsi="仿宋" w:eastAsia="仿宋" w:cs="仿宋"/>
          <w:color w:val="auto"/>
          <w:sz w:val="24"/>
          <w:szCs w:val="24"/>
          <w:highlight w:val="none"/>
        </w:rPr>
      </w:pPr>
    </w:p>
    <w:p w14:paraId="42DE7531">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val="0"/>
          <w:bCs w:val="0"/>
          <w:color w:val="auto"/>
          <w:sz w:val="24"/>
          <w:szCs w:val="24"/>
          <w:highlight w:val="none"/>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4、联合体投标，联合体各成员分别提供。</w:t>
      </w:r>
    </w:p>
    <w:p w14:paraId="654835B9">
      <w:pPr>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郑重声明：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（投标人名称或联合体投标全体联合体成员名称）</w:t>
      </w:r>
      <w:r>
        <w:rPr>
          <w:rFonts w:hint="eastAsia" w:ascii="仿宋" w:hAnsi="仿宋" w:eastAsia="仿宋" w:cs="仿宋"/>
          <w:color w:val="auto"/>
          <w:sz w:val="24"/>
          <w:szCs w:val="24"/>
          <w:highlight w:val="none"/>
          <w:lang w:val="en-US" w:eastAsia="zh-CN"/>
        </w:rPr>
        <w:t>未为本项目提供整体设计、规范编制或者项目管理、监理、检测等服务</w:t>
      </w:r>
      <w:r>
        <w:rPr>
          <w:rFonts w:hint="eastAsia" w:ascii="仿宋" w:hAnsi="仿宋" w:eastAsia="仿宋" w:cs="仿宋"/>
          <w:color w:val="auto"/>
          <w:sz w:val="24"/>
          <w:szCs w:val="24"/>
          <w:highlight w:val="none"/>
        </w:rPr>
        <w:t>项</w:t>
      </w:r>
      <w:r>
        <w:rPr>
          <w:rFonts w:hint="eastAsia" w:ascii="仿宋" w:hAnsi="仿宋" w:eastAsia="仿宋" w:cs="仿宋"/>
          <w:color w:val="auto"/>
          <w:sz w:val="24"/>
          <w:szCs w:val="24"/>
          <w:highlight w:val="none"/>
          <w:lang w:eastAsia="zh-CN"/>
        </w:rPr>
        <w:t>。</w:t>
      </w:r>
    </w:p>
    <w:p w14:paraId="1A0E9F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我单位保证上述声明真实、有效、可查。</w:t>
      </w:r>
    </w:p>
    <w:p w14:paraId="2D3C16C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特此声明。 </w:t>
      </w:r>
    </w:p>
    <w:p w14:paraId="41424C3F">
      <w:pPr>
        <w:spacing w:line="360" w:lineRule="auto"/>
        <w:rPr>
          <w:rFonts w:hint="eastAsia" w:ascii="仿宋" w:hAnsi="仿宋" w:eastAsia="仿宋" w:cs="仿宋"/>
          <w:color w:val="auto"/>
          <w:sz w:val="24"/>
          <w:szCs w:val="24"/>
          <w:highlight w:val="none"/>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B31C3DA">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80" w:name="_Toc14382"/>
      <w:r>
        <w:rPr>
          <w:rFonts w:hint="eastAsia" w:ascii="仿宋" w:hAnsi="仿宋" w:eastAsia="仿宋" w:cs="仿宋"/>
          <w:b/>
          <w:bCs/>
          <w:color w:val="auto"/>
          <w:kern w:val="0"/>
          <w:sz w:val="28"/>
          <w:szCs w:val="28"/>
          <w:highlight w:val="none"/>
          <w:lang w:val="en-US" w:eastAsia="zh-CN" w:bidi="ar"/>
        </w:rPr>
        <w:t xml:space="preserve">其他资格证明文件 </w:t>
      </w:r>
    </w:p>
    <w:p w14:paraId="361CAC4E">
      <w:pPr>
        <w:pStyle w:val="50"/>
        <w:ind w:left="0" w:leftChars="0" w:firstLine="0" w:firstLineChars="0"/>
        <w:rPr>
          <w:rFonts w:hint="eastAsia" w:ascii="仿宋" w:hAnsi="仿宋" w:eastAsia="仿宋" w:cs="仿宋"/>
          <w:color w:val="auto"/>
          <w:szCs w:val="24"/>
          <w:highlight w:val="none"/>
          <w:lang w:val="en-US" w:eastAsia="zh-CN"/>
        </w:rPr>
      </w:pPr>
    </w:p>
    <w:p w14:paraId="0C24F0AE">
      <w:pPr>
        <w:pStyle w:val="50"/>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二、报价文件</w:t>
      </w:r>
      <w:bookmarkEnd w:id="80"/>
    </w:p>
    <w:p w14:paraId="7B15133F">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81" w:name="_Toc6076"/>
      <w:r>
        <w:rPr>
          <w:rFonts w:hint="eastAsia" w:ascii="仿宋" w:hAnsi="仿宋" w:eastAsia="仿宋" w:cs="仿宋"/>
          <w:b/>
          <w:bCs/>
          <w:color w:val="auto"/>
          <w:kern w:val="0"/>
          <w:sz w:val="28"/>
          <w:szCs w:val="28"/>
          <w:highlight w:val="none"/>
          <w:lang w:val="en-US" w:eastAsia="zh-CN" w:bidi="ar"/>
        </w:rPr>
        <w:t>开标一览表</w:t>
      </w:r>
    </w:p>
    <w:p w14:paraId="5D3FB8B2">
      <w:pPr>
        <w:rPr>
          <w:rFonts w:hint="eastAsia" w:ascii="仿宋" w:hAnsi="仿宋" w:eastAsia="仿宋" w:cs="仿宋"/>
          <w:color w:val="auto"/>
          <w:highlight w:val="none"/>
          <w:lang w:val="en-US" w:eastAsia="zh-CN"/>
        </w:rPr>
      </w:pPr>
    </w:p>
    <w:p w14:paraId="6F9020A1">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13F8B0C">
      <w:pPr>
        <w:rPr>
          <w:rFonts w:hint="eastAsia" w:ascii="仿宋" w:hAnsi="仿宋" w:eastAsia="仿宋" w:cs="仿宋"/>
          <w:color w:val="auto"/>
          <w:highlight w:val="none"/>
          <w:lang w:val="en-US" w:eastAsia="zh-CN"/>
        </w:rPr>
      </w:pPr>
    </w:p>
    <w:p w14:paraId="7A7D7B31">
      <w:pPr>
        <w:rPr>
          <w:rFonts w:hint="eastAsia" w:ascii="仿宋" w:hAnsi="仿宋" w:eastAsia="仿宋" w:cs="仿宋"/>
          <w:color w:val="auto"/>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tbl>
      <w:tblPr>
        <w:tblStyle w:val="28"/>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1519B26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5E6C89B2">
            <w:pPr>
              <w:pStyle w:val="38"/>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投标报价</w:t>
            </w:r>
            <w:r>
              <w:rPr>
                <w:rFonts w:hint="eastAsia" w:ascii="仿宋" w:hAnsi="仿宋" w:eastAsia="仿宋" w:cs="仿宋"/>
                <w:color w:val="auto"/>
                <w:sz w:val="21"/>
                <w:szCs w:val="21"/>
                <w:highlight w:val="none"/>
              </w:rPr>
              <w:t>：</w:t>
            </w:r>
          </w:p>
        </w:tc>
        <w:tc>
          <w:tcPr>
            <w:tcW w:w="6926" w:type="dxa"/>
            <w:tcBorders>
              <w:left w:val="single" w:color="000000" w:sz="6" w:space="0"/>
              <w:bottom w:val="single" w:color="000000" w:sz="6" w:space="0"/>
            </w:tcBorders>
            <w:vAlign w:val="top"/>
          </w:tcPr>
          <w:p w14:paraId="5D590D4B">
            <w:pPr>
              <w:pStyle w:val="38"/>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大写</w:t>
            </w:r>
            <w:r>
              <w:rPr>
                <w:rFonts w:hint="eastAsia" w:ascii="仿宋" w:hAnsi="仿宋" w:eastAsia="仿宋" w:cs="仿宋"/>
                <w:color w:val="auto"/>
                <w:spacing w:val="-3"/>
                <w:sz w:val="21"/>
                <w:szCs w:val="21"/>
                <w:highlight w:val="none"/>
              </w:rPr>
              <w:t>：</w:t>
            </w:r>
            <w:r>
              <w:rPr>
                <w:rFonts w:hint="eastAsia" w:ascii="仿宋" w:hAnsi="仿宋" w:eastAsia="仿宋" w:cs="仿宋"/>
                <w:color w:val="auto"/>
                <w:spacing w:val="-3"/>
                <w:sz w:val="21"/>
                <w:szCs w:val="21"/>
                <w:highlight w:val="none"/>
                <w:u w:val="single"/>
              </w:rPr>
              <w:t xml:space="preserve"> </w:t>
            </w:r>
            <w:r>
              <w:rPr>
                <w:rFonts w:hint="eastAsia" w:ascii="仿宋" w:hAnsi="仿宋" w:eastAsia="仿宋" w:cs="仿宋"/>
                <w:color w:val="auto"/>
                <w:spacing w:val="-3"/>
                <w:sz w:val="21"/>
                <w:szCs w:val="21"/>
                <w:highlight w:val="none"/>
                <w:u w:val="single"/>
              </w:rPr>
              <w:tab/>
            </w:r>
            <w:r>
              <w:rPr>
                <w:rFonts w:hint="eastAsia" w:ascii="仿宋" w:hAnsi="仿宋" w:eastAsia="仿宋" w:cs="仿宋"/>
                <w:color w:val="auto"/>
                <w:spacing w:val="-3"/>
                <w:sz w:val="21"/>
                <w:szCs w:val="21"/>
                <w:highlight w:val="none"/>
              </w:rPr>
              <w:tab/>
            </w:r>
            <w:r>
              <w:rPr>
                <w:rFonts w:hint="eastAsia" w:ascii="仿宋" w:hAnsi="仿宋" w:eastAsia="仿宋" w:cs="仿宋"/>
                <w:color w:val="auto"/>
                <w:spacing w:val="-3"/>
                <w:sz w:val="21"/>
                <w:szCs w:val="21"/>
                <w:highlight w:val="none"/>
              </w:rPr>
              <w:t>小</w:t>
            </w:r>
            <w:r>
              <w:rPr>
                <w:rFonts w:hint="eastAsia" w:ascii="仿宋" w:hAnsi="仿宋" w:eastAsia="仿宋" w:cs="仿宋"/>
                <w:color w:val="auto"/>
                <w:spacing w:val="-1"/>
                <w:sz w:val="21"/>
                <w:szCs w:val="21"/>
                <w:highlight w:val="none"/>
              </w:rPr>
              <w:t>写</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rPr>
              <w:tab/>
            </w:r>
          </w:p>
        </w:tc>
      </w:tr>
      <w:tr w14:paraId="601A118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397E71DA">
            <w:pPr>
              <w:pStyle w:val="38"/>
              <w:spacing w:before="142"/>
              <w:ind w:left="92" w:left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质保期</w:t>
            </w:r>
          </w:p>
        </w:tc>
        <w:tc>
          <w:tcPr>
            <w:tcW w:w="6926" w:type="dxa"/>
            <w:tcBorders>
              <w:top w:val="single" w:color="000000" w:sz="6" w:space="0"/>
              <w:left w:val="single" w:color="000000" w:sz="6" w:space="0"/>
              <w:bottom w:val="single" w:color="000000" w:sz="6" w:space="0"/>
            </w:tcBorders>
            <w:vAlign w:val="top"/>
          </w:tcPr>
          <w:p w14:paraId="2DDC14F2">
            <w:pPr>
              <w:pStyle w:val="38"/>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2EC85F8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12F2E5CA">
            <w:pPr>
              <w:pStyle w:val="38"/>
              <w:spacing w:before="142"/>
              <w:ind w:left="92" w:leftChars="0"/>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14:paraId="3F8CFA0E">
            <w:pPr>
              <w:pStyle w:val="38"/>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12F22E3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153F749D">
            <w:pPr>
              <w:pStyle w:val="38"/>
              <w:spacing w:before="142"/>
              <w:ind w:left="92" w:leftChars="0"/>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67B2BD28">
            <w:pPr>
              <w:pStyle w:val="38"/>
              <w:tabs>
                <w:tab w:val="left" w:pos="1837"/>
                <w:tab w:val="left" w:pos="2313"/>
                <w:tab w:val="left" w:pos="4040"/>
              </w:tabs>
              <w:spacing w:before="142"/>
              <w:ind w:left="107" w:leftChars="0"/>
              <w:rPr>
                <w:rFonts w:hint="eastAsia" w:ascii="仿宋" w:hAnsi="仿宋" w:eastAsia="仿宋" w:cs="仿宋"/>
                <w:color w:val="auto"/>
                <w:kern w:val="2"/>
                <w:sz w:val="21"/>
                <w:szCs w:val="21"/>
                <w:highlight w:val="none"/>
                <w:lang w:val="en-US" w:eastAsia="zh-CN" w:bidi="ar-SA"/>
              </w:rPr>
            </w:pPr>
          </w:p>
        </w:tc>
      </w:tr>
      <w:tr w14:paraId="2C6D4A4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CFE7725">
            <w:pPr>
              <w:pStyle w:val="38"/>
              <w:spacing w:before="142"/>
              <w:ind w:left="92"/>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c>
          <w:tcPr>
            <w:tcW w:w="6926" w:type="dxa"/>
            <w:tcBorders>
              <w:top w:val="single" w:color="000000" w:sz="6" w:space="0"/>
              <w:left w:val="single" w:color="000000" w:sz="6" w:space="0"/>
            </w:tcBorders>
          </w:tcPr>
          <w:p w14:paraId="5B4FA731">
            <w:pPr>
              <w:pStyle w:val="38"/>
              <w:tabs>
                <w:tab w:val="left" w:pos="1837"/>
                <w:tab w:val="left" w:pos="2313"/>
                <w:tab w:val="left" w:pos="4040"/>
              </w:tabs>
              <w:spacing w:before="142"/>
              <w:ind w:left="107"/>
              <w:rPr>
                <w:rFonts w:hint="eastAsia" w:ascii="仿宋" w:hAnsi="仿宋" w:eastAsia="仿宋" w:cs="仿宋"/>
                <w:color w:val="auto"/>
                <w:sz w:val="21"/>
                <w:szCs w:val="21"/>
                <w:highlight w:val="none"/>
              </w:rPr>
            </w:pPr>
          </w:p>
        </w:tc>
      </w:tr>
    </w:tbl>
    <w:p w14:paraId="0B22FA05">
      <w:pPr>
        <w:pStyle w:val="13"/>
        <w:rPr>
          <w:rFonts w:hint="eastAsia" w:ascii="仿宋" w:hAnsi="仿宋" w:eastAsia="仿宋" w:cs="仿宋"/>
          <w:color w:val="auto"/>
          <w:highlight w:val="none"/>
          <w:lang w:val="en-US" w:eastAsia="zh-CN"/>
        </w:rPr>
      </w:pPr>
    </w:p>
    <w:p w14:paraId="173B3A10">
      <w:pPr>
        <w:pStyle w:val="13"/>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2243C59A">
      <w:pPr>
        <w:pStyle w:val="13"/>
        <w:outlineLvl w:val="9"/>
        <w:rPr>
          <w:rFonts w:hint="eastAsia" w:ascii="仿宋" w:hAnsi="仿宋" w:eastAsia="仿宋" w:cs="仿宋"/>
          <w:color w:val="auto"/>
          <w:highlight w:val="none"/>
          <w:lang w:val="en-US" w:eastAsia="zh-CN"/>
        </w:rPr>
      </w:pPr>
      <w:bookmarkStart w:id="82" w:name="_Toc31128"/>
      <w:r>
        <w:rPr>
          <w:rFonts w:hint="eastAsia" w:ascii="仿宋" w:hAnsi="仿宋" w:eastAsia="仿宋" w:cs="仿宋"/>
          <w:color w:val="auto"/>
          <w:highlight w:val="none"/>
          <w:lang w:val="en-US" w:eastAsia="zh-CN"/>
        </w:rPr>
        <w:t>2.本表必须按包分别填写。</w:t>
      </w:r>
      <w:bookmarkEnd w:id="82"/>
    </w:p>
    <w:p w14:paraId="6CF76477">
      <w:pPr>
        <w:pStyle w:val="13"/>
        <w:rPr>
          <w:rFonts w:hint="eastAsia" w:ascii="仿宋" w:hAnsi="仿宋" w:eastAsia="仿宋" w:cs="仿宋"/>
          <w:color w:val="auto"/>
          <w:highlight w:val="none"/>
          <w:lang w:val="en-US" w:eastAsia="zh-CN"/>
        </w:rPr>
      </w:pPr>
    </w:p>
    <w:p w14:paraId="1DD14A0B">
      <w:pPr>
        <w:pStyle w:val="1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 xml:space="preserve">             </w:t>
      </w:r>
    </w:p>
    <w:p w14:paraId="3A7660F9">
      <w:pPr>
        <w:pStyle w:val="13"/>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r>
        <w:rPr>
          <w:rFonts w:hint="eastAsia" w:ascii="仿宋" w:hAnsi="仿宋" w:eastAsia="仿宋" w:cs="仿宋"/>
          <w:color w:val="auto"/>
          <w:highlight w:val="none"/>
          <w:lang w:val="en-US" w:eastAsia="zh-CN"/>
        </w:rPr>
        <w:br w:type="page"/>
      </w:r>
    </w:p>
    <w:p w14:paraId="6A3D57EF">
      <w:pPr>
        <w:keepNext w:val="0"/>
        <w:keepLines w:val="0"/>
        <w:pageBreakBefore w:val="0"/>
        <w:widowControl/>
        <w:numPr>
          <w:ilvl w:val="0"/>
          <w:numId w:val="21"/>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4"/>
          <w:szCs w:val="24"/>
          <w:highlight w:val="none"/>
          <w:lang w:val="en-US" w:eastAsia="zh-CN" w:bidi="ar"/>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83" w:name="_Toc7007"/>
    </w:p>
    <w:p w14:paraId="5ECCF4C3">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投标分项报价表</w:t>
      </w:r>
      <w:bookmarkEnd w:id="83"/>
    </w:p>
    <w:p w14:paraId="51EDFF59">
      <w:pPr>
        <w:pStyle w:val="27"/>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投标分项报价表（一）</w:t>
      </w:r>
    </w:p>
    <w:p w14:paraId="1F1144C1">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color w:val="auto"/>
          <w:highlight w:val="non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报价单位：人民币元</w:t>
      </w:r>
    </w:p>
    <w:tbl>
      <w:tblPr>
        <w:tblStyle w:val="29"/>
        <w:tblW w:w="13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357"/>
        <w:gridCol w:w="1105"/>
        <w:gridCol w:w="1050"/>
        <w:gridCol w:w="795"/>
        <w:gridCol w:w="1371"/>
        <w:gridCol w:w="1688"/>
        <w:gridCol w:w="802"/>
        <w:gridCol w:w="1035"/>
        <w:gridCol w:w="1389"/>
        <w:gridCol w:w="1275"/>
        <w:gridCol w:w="797"/>
      </w:tblGrid>
      <w:tr w14:paraId="2436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1" w:type="dxa"/>
            <w:vAlign w:val="center"/>
          </w:tcPr>
          <w:p w14:paraId="5F3B3589">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357" w:type="dxa"/>
            <w:vAlign w:val="center"/>
          </w:tcPr>
          <w:p w14:paraId="6EF0D13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分项名称</w:t>
            </w:r>
          </w:p>
        </w:tc>
        <w:tc>
          <w:tcPr>
            <w:tcW w:w="1105" w:type="dxa"/>
            <w:tcBorders>
              <w:right w:val="single" w:color="000000" w:sz="4" w:space="0"/>
            </w:tcBorders>
            <w:vAlign w:val="center"/>
          </w:tcPr>
          <w:p w14:paraId="29364ED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w:t>
            </w:r>
          </w:p>
        </w:tc>
        <w:tc>
          <w:tcPr>
            <w:tcW w:w="1050" w:type="dxa"/>
            <w:tcBorders>
              <w:left w:val="single" w:color="000000" w:sz="4" w:space="0"/>
            </w:tcBorders>
            <w:vAlign w:val="center"/>
          </w:tcPr>
          <w:p w14:paraId="0499152E">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制造商规模</w:t>
            </w:r>
          </w:p>
        </w:tc>
        <w:tc>
          <w:tcPr>
            <w:tcW w:w="795" w:type="dxa"/>
            <w:tcBorders>
              <w:left w:val="single" w:color="000000" w:sz="4" w:space="0"/>
            </w:tcBorders>
            <w:vAlign w:val="center"/>
          </w:tcPr>
          <w:p w14:paraId="3A86DB1C">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品牌</w:t>
            </w:r>
          </w:p>
        </w:tc>
        <w:tc>
          <w:tcPr>
            <w:tcW w:w="1371" w:type="dxa"/>
            <w:vAlign w:val="center"/>
          </w:tcPr>
          <w:p w14:paraId="41997ADA">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产地/国别</w:t>
            </w:r>
          </w:p>
        </w:tc>
        <w:tc>
          <w:tcPr>
            <w:tcW w:w="1688" w:type="dxa"/>
            <w:vAlign w:val="center"/>
          </w:tcPr>
          <w:p w14:paraId="6AE92245">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c>
          <w:tcPr>
            <w:tcW w:w="802" w:type="dxa"/>
            <w:vAlign w:val="center"/>
          </w:tcPr>
          <w:p w14:paraId="21FC78E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单位</w:t>
            </w:r>
          </w:p>
        </w:tc>
        <w:tc>
          <w:tcPr>
            <w:tcW w:w="1035" w:type="dxa"/>
            <w:vAlign w:val="center"/>
          </w:tcPr>
          <w:p w14:paraId="0EDD642B">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数量</w:t>
            </w:r>
          </w:p>
        </w:tc>
        <w:tc>
          <w:tcPr>
            <w:tcW w:w="1389" w:type="dxa"/>
            <w:vAlign w:val="center"/>
          </w:tcPr>
          <w:p w14:paraId="4EE3E20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单价（元）</w:t>
            </w:r>
          </w:p>
        </w:tc>
        <w:tc>
          <w:tcPr>
            <w:tcW w:w="1275" w:type="dxa"/>
            <w:vAlign w:val="center"/>
          </w:tcPr>
          <w:p w14:paraId="7C5AB4B9">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合价（元）</w:t>
            </w:r>
          </w:p>
        </w:tc>
        <w:tc>
          <w:tcPr>
            <w:tcW w:w="797" w:type="dxa"/>
            <w:vAlign w:val="center"/>
          </w:tcPr>
          <w:p w14:paraId="7EE254FB">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备注</w:t>
            </w:r>
          </w:p>
        </w:tc>
      </w:tr>
      <w:tr w14:paraId="68A8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1" w:type="dxa"/>
            <w:vAlign w:val="center"/>
          </w:tcPr>
          <w:p w14:paraId="71610CBE">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357" w:type="dxa"/>
            <w:vAlign w:val="center"/>
          </w:tcPr>
          <w:p w14:paraId="76668184">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105" w:type="dxa"/>
            <w:tcBorders>
              <w:right w:val="single" w:color="000000" w:sz="4" w:space="0"/>
            </w:tcBorders>
            <w:vAlign w:val="center"/>
          </w:tcPr>
          <w:p w14:paraId="4D95F047">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050" w:type="dxa"/>
            <w:tcBorders>
              <w:left w:val="single" w:color="000000" w:sz="4" w:space="0"/>
            </w:tcBorders>
            <w:vAlign w:val="center"/>
          </w:tcPr>
          <w:p w14:paraId="69FEF00B">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795" w:type="dxa"/>
            <w:tcBorders>
              <w:left w:val="single" w:color="000000" w:sz="4" w:space="0"/>
            </w:tcBorders>
            <w:vAlign w:val="center"/>
          </w:tcPr>
          <w:p w14:paraId="784058A1">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371" w:type="dxa"/>
            <w:vAlign w:val="center"/>
          </w:tcPr>
          <w:p w14:paraId="0DE2D976">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688" w:type="dxa"/>
            <w:vAlign w:val="center"/>
          </w:tcPr>
          <w:p w14:paraId="23E401B7">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802" w:type="dxa"/>
            <w:vAlign w:val="center"/>
          </w:tcPr>
          <w:p w14:paraId="25139B04">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035" w:type="dxa"/>
            <w:vAlign w:val="center"/>
          </w:tcPr>
          <w:p w14:paraId="201842E9">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389" w:type="dxa"/>
            <w:vAlign w:val="center"/>
          </w:tcPr>
          <w:p w14:paraId="228B3F5A">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highlight w:val="none"/>
                <w:vertAlign w:val="baseline"/>
                <w:lang w:val="en-US" w:eastAsia="zh-CN"/>
              </w:rPr>
            </w:pPr>
          </w:p>
        </w:tc>
        <w:tc>
          <w:tcPr>
            <w:tcW w:w="1275" w:type="dxa"/>
            <w:vAlign w:val="center"/>
          </w:tcPr>
          <w:p w14:paraId="48CFF8B6">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797" w:type="dxa"/>
            <w:vAlign w:val="center"/>
          </w:tcPr>
          <w:p w14:paraId="1B6F8F70">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r>
      <w:tr w14:paraId="38B7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71" w:type="dxa"/>
            <w:vAlign w:val="center"/>
          </w:tcPr>
          <w:p w14:paraId="6BD3F046">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11867" w:type="dxa"/>
            <w:gridSpan w:val="10"/>
            <w:vAlign w:val="center"/>
          </w:tcPr>
          <w:p w14:paraId="2A55D92F">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总价（元）</w:t>
            </w:r>
          </w:p>
        </w:tc>
        <w:tc>
          <w:tcPr>
            <w:tcW w:w="797" w:type="dxa"/>
            <w:vAlign w:val="center"/>
          </w:tcPr>
          <w:p w14:paraId="0E5692ED">
            <w:pPr>
              <w:pStyle w:val="1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highlight w:val="none"/>
                <w:vertAlign w:val="baseline"/>
                <w:lang w:val="en-US" w:eastAsia="zh-CN"/>
              </w:rPr>
            </w:pPr>
          </w:p>
        </w:tc>
      </w:tr>
    </w:tbl>
    <w:p w14:paraId="4CCE5E6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lang w:val="en-US" w:eastAsia="zh-CN"/>
        </w:rPr>
      </w:pPr>
    </w:p>
    <w:p w14:paraId="177513E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22100DF">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2.除采购文件另有规定外，</w:t>
      </w:r>
      <w:r>
        <w:rPr>
          <w:rFonts w:hint="eastAsia" w:ascii="仿宋" w:hAnsi="仿宋" w:eastAsia="仿宋" w:cs="仿宋"/>
          <w:color w:val="auto"/>
          <w:sz w:val="24"/>
          <w:szCs w:val="24"/>
          <w:highlight w:val="none"/>
          <w:lang w:val="en-US" w:eastAsia="zh-CN"/>
        </w:rPr>
        <w:t>如果不提供投标分项报价表将视为没有实质性响应招标文件。</w:t>
      </w:r>
    </w:p>
    <w:p w14:paraId="5C47D89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24"/>
          <w:szCs w:val="24"/>
          <w:highlight w:val="none"/>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“制造商规模”请填写“大型”、“中型”、“小型”、“微型”或“其他”，</w:t>
      </w:r>
      <w:r>
        <w:rPr>
          <w:rFonts w:hint="eastAsia" w:ascii="仿宋" w:hAnsi="仿宋" w:eastAsia="仿宋" w:cs="仿宋"/>
          <w:color w:val="auto"/>
          <w:sz w:val="24"/>
          <w:szCs w:val="24"/>
          <w:highlight w:val="none"/>
          <w:lang w:val="en-US" w:eastAsia="zh-CN"/>
        </w:rPr>
        <w:t>如提供</w:t>
      </w:r>
      <w:r>
        <w:rPr>
          <w:rFonts w:hint="default" w:ascii="仿宋" w:hAnsi="仿宋" w:eastAsia="仿宋" w:cs="仿宋"/>
          <w:color w:val="auto"/>
          <w:sz w:val="24"/>
          <w:szCs w:val="24"/>
          <w:highlight w:val="none"/>
          <w:lang w:val="en-US" w:eastAsia="zh-CN"/>
        </w:rPr>
        <w:t>《中小企业声明函》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分包意向协议</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、《联合协议》，则涉及相同内容应与本表保持一致</w:t>
      </w:r>
      <w:r>
        <w:rPr>
          <w:rFonts w:hint="default" w:ascii="仿宋" w:hAnsi="仿宋" w:eastAsia="仿宋" w:cs="仿宋"/>
          <w:color w:val="auto"/>
          <w:sz w:val="24"/>
          <w:szCs w:val="24"/>
          <w:highlight w:val="none"/>
          <w:lang w:val="en-US" w:eastAsia="zh-CN"/>
        </w:rPr>
        <w:t>。</w:t>
      </w:r>
    </w:p>
    <w:p w14:paraId="24672AD3">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6.上述各项的详细规格（如有），可另页描述。</w:t>
      </w:r>
    </w:p>
    <w:p w14:paraId="6B3497F4">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）：____________</w:t>
      </w:r>
    </w:p>
    <w:p w14:paraId="03560E15">
      <w:pPr>
        <w:spacing w:line="360" w:lineRule="auto"/>
        <w:rPr>
          <w:rFonts w:hint="eastAsia" w:ascii="仿宋" w:hAnsi="仿宋" w:eastAsia="仿宋" w:cs="仿宋"/>
          <w:color w:val="auto"/>
          <w:sz w:val="24"/>
          <w:szCs w:val="24"/>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color w:val="auto"/>
          <w:sz w:val="24"/>
          <w:szCs w:val="24"/>
          <w:highlight w:val="none"/>
          <w:lang w:val="en-US" w:eastAsia="zh-CN"/>
        </w:rPr>
        <w:t>日期：_____年______月______日</w:t>
      </w:r>
    </w:p>
    <w:p w14:paraId="1D7DFFA1">
      <w:pPr>
        <w:pStyle w:val="27"/>
        <w:ind w:left="0" w:leftChars="0" w:firstLine="0" w:firstLineChars="0"/>
        <w:jc w:val="center"/>
        <w:rPr>
          <w:rFonts w:hint="eastAsia" w:ascii="仿宋" w:hAnsi="仿宋" w:eastAsia="仿宋" w:cs="仿宋"/>
          <w:color w:val="auto"/>
          <w:highlight w:val="none"/>
          <w:lang w:val="en-US" w:eastAsia="zh-CN"/>
        </w:rPr>
      </w:pPr>
      <w:bookmarkStart w:id="84" w:name="_Toc16514"/>
      <w:r>
        <w:rPr>
          <w:rFonts w:hint="eastAsia" w:ascii="仿宋" w:hAnsi="仿宋" w:eastAsia="仿宋" w:cs="仿宋"/>
          <w:b/>
          <w:bCs/>
          <w:color w:val="auto"/>
          <w:sz w:val="32"/>
          <w:szCs w:val="32"/>
          <w:highlight w:val="none"/>
          <w:lang w:val="en-US" w:eastAsia="zh-CN"/>
        </w:rPr>
        <w:t>投标分项报价表（二）</w:t>
      </w:r>
    </w:p>
    <w:p w14:paraId="26C534E9">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04D36C8F">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color w:val="auto"/>
          <w:highlight w:val="non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报价单位：人民币元</w:t>
      </w:r>
    </w:p>
    <w:tbl>
      <w:tblPr>
        <w:tblStyle w:val="2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合</w:t>
            </w:r>
            <w:r>
              <w:rPr>
                <w:rFonts w:hint="eastAsia" w:ascii="仿宋" w:hAnsi="仿宋" w:eastAsia="仿宋" w:cs="仿宋"/>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53350EE9">
            <w:pPr>
              <w:adjustRightInd w:val="0"/>
              <w:snapToGrid w:val="0"/>
              <w:spacing w:line="240" w:lineRule="auto"/>
              <w:jc w:val="center"/>
              <w:rPr>
                <w:rFonts w:hint="eastAsia" w:ascii="仿宋" w:hAnsi="仿宋" w:eastAsia="仿宋" w:cs="仿宋"/>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45B52869">
            <w:pPr>
              <w:adjustRightInd w:val="0"/>
              <w:snapToGrid w:val="0"/>
              <w:spacing w:line="240" w:lineRule="auto"/>
              <w:jc w:val="center"/>
              <w:rPr>
                <w:rFonts w:hint="eastAsia" w:ascii="仿宋" w:hAnsi="仿宋" w:eastAsia="仿宋" w:cs="仿宋"/>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1E8ED10E">
            <w:pPr>
              <w:adjustRightInd w:val="0"/>
              <w:snapToGrid w:val="0"/>
              <w:spacing w:line="240" w:lineRule="auto"/>
              <w:jc w:val="center"/>
              <w:rPr>
                <w:rFonts w:hint="eastAsia" w:ascii="仿宋" w:hAnsi="仿宋" w:eastAsia="仿宋" w:cs="仿宋"/>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C259360">
            <w:pPr>
              <w:adjustRightInd w:val="0"/>
              <w:snapToGrid w:val="0"/>
              <w:spacing w:line="240" w:lineRule="auto"/>
              <w:jc w:val="center"/>
              <w:rPr>
                <w:rFonts w:hint="eastAsia" w:ascii="仿宋" w:hAnsi="仿宋" w:eastAsia="仿宋" w:cs="仿宋"/>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2F20BA25">
            <w:pPr>
              <w:adjustRightInd w:val="0"/>
              <w:snapToGrid w:val="0"/>
              <w:spacing w:line="240" w:lineRule="auto"/>
              <w:jc w:val="center"/>
              <w:rPr>
                <w:rFonts w:hint="eastAsia" w:ascii="仿宋" w:hAnsi="仿宋" w:eastAsia="仿宋" w:cs="仿宋"/>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3A904F9">
            <w:pPr>
              <w:adjustRightInd w:val="0"/>
              <w:snapToGrid w:val="0"/>
              <w:spacing w:line="240" w:lineRule="auto"/>
              <w:jc w:val="center"/>
              <w:rPr>
                <w:rFonts w:hint="eastAsia" w:ascii="仿宋" w:hAnsi="仿宋" w:eastAsia="仿宋" w:cs="仿宋"/>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2690F475">
            <w:pPr>
              <w:adjustRightInd w:val="0"/>
              <w:snapToGrid w:val="0"/>
              <w:spacing w:line="240" w:lineRule="auto"/>
              <w:jc w:val="center"/>
              <w:rPr>
                <w:rFonts w:hint="eastAsia" w:ascii="仿宋" w:hAnsi="仿宋" w:eastAsia="仿宋" w:cs="仿宋"/>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5A8DCEE1">
            <w:pPr>
              <w:adjustRightInd w:val="0"/>
              <w:snapToGrid w:val="0"/>
              <w:spacing w:line="240" w:lineRule="auto"/>
              <w:jc w:val="center"/>
              <w:rPr>
                <w:rFonts w:hint="eastAsia" w:ascii="仿宋" w:hAnsi="仿宋" w:eastAsia="仿宋" w:cs="仿宋"/>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14D910E3">
            <w:pPr>
              <w:adjustRightInd w:val="0"/>
              <w:snapToGrid w:val="0"/>
              <w:spacing w:line="240" w:lineRule="auto"/>
              <w:jc w:val="center"/>
              <w:rPr>
                <w:rFonts w:hint="eastAsia" w:ascii="仿宋" w:hAnsi="仿宋" w:eastAsia="仿宋" w:cs="仿宋"/>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仿宋" w:hAnsi="仿宋" w:eastAsia="仿宋" w:cs="仿宋"/>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7F337C52">
            <w:pPr>
              <w:adjustRightInd w:val="0"/>
              <w:snapToGrid w:val="0"/>
              <w:spacing w:line="240" w:lineRule="auto"/>
              <w:jc w:val="center"/>
              <w:rPr>
                <w:rFonts w:hint="eastAsia" w:ascii="仿宋" w:hAnsi="仿宋" w:eastAsia="仿宋" w:cs="仿宋"/>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仿宋" w:hAnsi="仿宋" w:eastAsia="仿宋" w:cs="仿宋"/>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仿宋" w:hAnsi="仿宋" w:eastAsia="仿宋" w:cs="仿宋"/>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仿宋" w:hAnsi="仿宋" w:eastAsia="仿宋" w:cs="仿宋"/>
                <w:color w:val="auto"/>
                <w:sz w:val="21"/>
                <w:szCs w:val="21"/>
                <w:highlight w:val="none"/>
              </w:rPr>
            </w:pPr>
          </w:p>
        </w:tc>
        <w:tc>
          <w:tcPr>
            <w:tcW w:w="947" w:type="dxa"/>
            <w:vAlign w:val="center"/>
          </w:tcPr>
          <w:p w14:paraId="39116035">
            <w:pPr>
              <w:adjustRightInd w:val="0"/>
              <w:snapToGrid w:val="0"/>
              <w:spacing w:line="240" w:lineRule="auto"/>
              <w:jc w:val="center"/>
              <w:rPr>
                <w:rFonts w:hint="eastAsia" w:ascii="仿宋" w:hAnsi="仿宋" w:eastAsia="仿宋" w:cs="仿宋"/>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仿宋" w:hAnsi="仿宋" w:eastAsia="仿宋" w:cs="仿宋"/>
                <w:color w:val="auto"/>
                <w:sz w:val="21"/>
                <w:szCs w:val="21"/>
                <w:highlight w:val="none"/>
              </w:rPr>
            </w:pPr>
          </w:p>
        </w:tc>
      </w:tr>
    </w:tbl>
    <w:p w14:paraId="432CD57D">
      <w:pPr>
        <w:pStyle w:val="22"/>
        <w:ind w:left="0" w:leftChars="0" w:firstLine="0" w:firstLineChars="0"/>
        <w:rPr>
          <w:rFonts w:hint="eastAsia" w:ascii="仿宋" w:hAnsi="仿宋" w:eastAsia="仿宋" w:cs="仿宋"/>
          <w:color w:val="auto"/>
          <w:highlight w:val="none"/>
          <w:lang w:val="en-US" w:eastAsia="zh-CN"/>
        </w:rPr>
      </w:pPr>
    </w:p>
    <w:p w14:paraId="04C2C57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1252FF77">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2.除招标文件另有规定外，</w:t>
      </w:r>
      <w:r>
        <w:rPr>
          <w:rFonts w:hint="eastAsia" w:ascii="仿宋" w:hAnsi="仿宋" w:eastAsia="仿宋" w:cs="仿宋"/>
          <w:color w:val="auto"/>
          <w:sz w:val="24"/>
          <w:szCs w:val="24"/>
          <w:highlight w:val="none"/>
          <w:lang w:val="en-US" w:eastAsia="zh-CN"/>
        </w:rPr>
        <w:t>如不提供投标分项报价表将视为没有实质性响应招标文件。</w:t>
      </w:r>
    </w:p>
    <w:p w14:paraId="649671D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3.上述各项的详细说明（如有），可另页描述。</w:t>
      </w:r>
    </w:p>
    <w:p w14:paraId="3EAD13B1">
      <w:pPr>
        <w:spacing w:line="360" w:lineRule="auto"/>
        <w:rPr>
          <w:rFonts w:hint="eastAsia" w:ascii="仿宋" w:hAnsi="仿宋" w:eastAsia="仿宋" w:cs="仿宋"/>
          <w:color w:val="auto"/>
          <w:sz w:val="24"/>
          <w:szCs w:val="24"/>
          <w:highlight w:val="none"/>
          <w:lang w:val="en-US" w:eastAsia="zh-CN"/>
        </w:rPr>
      </w:pPr>
    </w:p>
    <w:p w14:paraId="1E72EADB">
      <w:pPr>
        <w:spacing w:line="360" w:lineRule="auto"/>
        <w:rPr>
          <w:rFonts w:hint="eastAsia" w:ascii="仿宋" w:hAnsi="仿宋" w:eastAsia="仿宋" w:cs="仿宋"/>
          <w:color w:val="auto"/>
          <w:sz w:val="24"/>
          <w:szCs w:val="24"/>
          <w:highlight w:val="none"/>
          <w:lang w:val="en-US" w:eastAsia="zh-CN"/>
        </w:rPr>
      </w:pPr>
    </w:p>
    <w:p w14:paraId="3CA6A033">
      <w:pPr>
        <w:spacing w:line="360" w:lineRule="auto"/>
        <w:rPr>
          <w:rFonts w:hint="eastAsia" w:ascii="仿宋" w:hAnsi="仿宋" w:eastAsia="仿宋" w:cs="仿宋"/>
          <w:color w:val="auto"/>
          <w:sz w:val="24"/>
          <w:szCs w:val="24"/>
          <w:highlight w:val="none"/>
          <w:lang w:val="en-US" w:eastAsia="zh-CN"/>
        </w:rPr>
      </w:pPr>
    </w:p>
    <w:p w14:paraId="45D1834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）：____________</w:t>
      </w:r>
    </w:p>
    <w:p w14:paraId="0124B8B8">
      <w:pPr>
        <w:spacing w:line="360" w:lineRule="auto"/>
        <w:rPr>
          <w:rFonts w:hint="eastAsia" w:ascii="仿宋" w:hAnsi="仿宋" w:eastAsia="仿宋" w:cs="仿宋"/>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24"/>
          <w:szCs w:val="24"/>
          <w:highlight w:val="none"/>
          <w:lang w:val="en-US" w:eastAsia="zh-CN"/>
        </w:rPr>
        <w:t>日期：_____年______月______</w:t>
      </w:r>
    </w:p>
    <w:p w14:paraId="22768D3E">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适配使用耗材/易损备件分项报价表</w:t>
      </w:r>
    </w:p>
    <w:p w14:paraId="38BF59E0">
      <w:pPr>
        <w:jc w:val="center"/>
        <w:outlineLvl w:val="9"/>
        <w:rPr>
          <w:rFonts w:hint="eastAsia" w:ascii="仿宋" w:hAnsi="仿宋" w:eastAsia="仿宋" w:cs="仿宋"/>
          <w:b/>
          <w:bCs/>
          <w:color w:val="auto"/>
          <w:sz w:val="28"/>
          <w:szCs w:val="28"/>
          <w:highlight w:val="none"/>
        </w:rPr>
      </w:pPr>
    </w:p>
    <w:p w14:paraId="390DDEA6">
      <w:pPr>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适配使用耗材/易损备件分项报价表</w:t>
      </w:r>
    </w:p>
    <w:p w14:paraId="196C99B9">
      <w:pPr>
        <w:pStyle w:val="49"/>
        <w:autoSpaceDE w:val="0"/>
        <w:autoSpaceDN w:val="0"/>
        <w:adjustRightInd w:val="0"/>
        <w:ind w:firstLine="632" w:firstLineChars="300"/>
        <w:jc w:val="left"/>
        <w:rPr>
          <w:rFonts w:hint="eastAsia" w:ascii="仿宋" w:hAnsi="仿宋" w:eastAsia="仿宋" w:cs="仿宋"/>
          <w:b/>
          <w:color w:val="auto"/>
          <w:kern w:val="0"/>
          <w:szCs w:val="21"/>
          <w:highlight w:val="none"/>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1"/>
          <w:highlight w:val="none"/>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报价单位：人民币元</w:t>
      </w:r>
      <w:r>
        <w:rPr>
          <w:rFonts w:hint="eastAsia" w:ascii="仿宋" w:hAnsi="仿宋" w:eastAsia="仿宋" w:cs="仿宋"/>
          <w:color w:val="auto"/>
          <w:szCs w:val="21"/>
          <w:highlight w:val="none"/>
        </w:rPr>
        <w:t xml:space="preserve"> </w:t>
      </w:r>
    </w:p>
    <w:p w14:paraId="7506FDDC">
      <w:pPr>
        <w:pStyle w:val="49"/>
        <w:autoSpaceDE w:val="0"/>
        <w:autoSpaceDN w:val="0"/>
        <w:adjustRightInd w:val="0"/>
        <w:jc w:val="left"/>
        <w:rPr>
          <w:rFonts w:hint="eastAsia" w:ascii="仿宋" w:hAnsi="仿宋" w:eastAsia="仿宋" w:cs="仿宋"/>
          <w:color w:val="auto"/>
          <w:szCs w:val="21"/>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含税单价</w:t>
            </w:r>
          </w:p>
          <w:p w14:paraId="7BF0FDE3">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color w:val="auto"/>
                <w:szCs w:val="21"/>
                <w:highlight w:val="none"/>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color w:val="auto"/>
                <w:szCs w:val="21"/>
                <w:highlight w:val="none"/>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color w:val="auto"/>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color w:val="auto"/>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color w:val="auto"/>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color w:val="auto"/>
                <w:szCs w:val="21"/>
                <w:highlight w:val="none"/>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投标人全称(盖公章)：</w:t>
      </w:r>
      <w:r>
        <w:rPr>
          <w:rFonts w:hint="eastAsia" w:ascii="仿宋" w:hAnsi="仿宋" w:eastAsia="仿宋" w:cs="仿宋"/>
          <w:color w:val="auto"/>
          <w:szCs w:val="21"/>
          <w:highlight w:val="none"/>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lang w:eastAsia="zh-CN"/>
        </w:rPr>
        <w:t>签字或签章</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______</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_____</w:t>
      </w:r>
      <w:r>
        <w:rPr>
          <w:rFonts w:hint="eastAsia" w:ascii="仿宋" w:hAnsi="仿宋" w:eastAsia="仿宋" w:cs="仿宋"/>
          <w:color w:val="auto"/>
          <w:szCs w:val="21"/>
          <w:highlight w:val="none"/>
        </w:rPr>
        <w:t>日</w:t>
      </w:r>
    </w:p>
    <w:p w14:paraId="6AFFAA76">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三、商务技术文件</w:t>
      </w:r>
      <w:bookmarkEnd w:id="84"/>
    </w:p>
    <w:p w14:paraId="62BD962D">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32"/>
          <w:szCs w:val="32"/>
          <w:highlight w:val="none"/>
          <w:lang w:val="en-US"/>
        </w:rPr>
      </w:pPr>
      <w:r>
        <w:rPr>
          <w:rFonts w:hint="eastAsia" w:ascii="仿宋" w:hAnsi="仿宋" w:eastAsia="仿宋" w:cs="仿宋"/>
          <w:b/>
          <w:bCs/>
          <w:color w:val="auto"/>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85"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85"/>
      <w:r>
        <w:rPr>
          <w:rFonts w:hint="eastAsia" w:ascii="仿宋" w:hAnsi="仿宋" w:eastAsia="仿宋" w:cs="仿宋"/>
          <w:color w:val="auto"/>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86"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86"/>
      <w:r>
        <w:rPr>
          <w:rFonts w:hint="eastAsia" w:ascii="仿宋" w:hAnsi="仿宋" w:eastAsia="仿宋" w:cs="仿宋"/>
          <w:color w:val="auto"/>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37EEFB5">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授权委托书</w:t>
      </w:r>
      <w:bookmarkEnd w:id="81"/>
      <w:r>
        <w:rPr>
          <w:rFonts w:hint="eastAsia" w:ascii="仿宋" w:hAnsi="仿宋" w:eastAsia="仿宋" w:cs="仿宋"/>
          <w:b/>
          <w:bCs/>
          <w:color w:val="auto"/>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color w:val="auto"/>
          <w:sz w:val="24"/>
          <w:szCs w:val="24"/>
          <w:highlight w:val="none"/>
        </w:rPr>
      </w:pPr>
      <w:bookmarkStart w:id="87" w:name="_Toc18807"/>
      <w:r>
        <w:rPr>
          <w:rFonts w:hint="eastAsia" w:ascii="仿宋" w:hAnsi="仿宋" w:eastAsia="仿宋" w:cs="仿宋"/>
          <w:color w:val="auto"/>
          <w:kern w:val="0"/>
          <w:sz w:val="24"/>
          <w:szCs w:val="24"/>
          <w:highlight w:val="none"/>
          <w:lang w:val="en-US" w:eastAsia="zh-CN" w:bidi="ar"/>
        </w:rPr>
        <w:t>3.投标人为自然人的情形，可不提供本《授权委托书》。</w:t>
      </w:r>
      <w:bookmarkEnd w:id="87"/>
    </w:p>
    <w:p w14:paraId="282069AF">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扫描件。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w:t>
      </w:r>
      <w:r>
        <w:rPr>
          <w:rFonts w:hint="eastAsia" w:ascii="仿宋" w:hAnsi="仿宋" w:eastAsia="仿宋" w:cs="仿宋"/>
          <w:color w:val="auto"/>
          <w:sz w:val="24"/>
          <w:highlight w:val="none"/>
          <w:lang w:val="en-US" w:eastAsia="zh-CN"/>
        </w:rPr>
        <w:t>盖章</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A2A46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52337D1">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88" w:name="_Toc23107"/>
      <w:r>
        <w:rPr>
          <w:rFonts w:hint="eastAsia" w:ascii="仿宋" w:hAnsi="仿宋" w:eastAsia="仿宋" w:cs="仿宋"/>
          <w:b/>
          <w:bCs/>
          <w:color w:val="auto"/>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auto"/>
          <w:kern w:val="0"/>
          <w:sz w:val="28"/>
          <w:szCs w:val="28"/>
          <w:highlight w:val="none"/>
          <w:lang w:val="en-US" w:eastAsia="zh-CN" w:bidi="ar"/>
        </w:rPr>
      </w:pPr>
    </w:p>
    <w:p w14:paraId="41F420CF">
      <w:pPr>
        <w:rPr>
          <w:rFonts w:hint="eastAsia" w:ascii="仿宋" w:hAnsi="仿宋" w:eastAsia="仿宋" w:cs="仿宋"/>
          <w:b/>
          <w:bCs/>
          <w:color w:val="auto"/>
          <w:kern w:val="0"/>
          <w:sz w:val="28"/>
          <w:szCs w:val="28"/>
          <w:highlight w:val="none"/>
          <w:lang w:val="en-US" w:eastAsia="zh-CN" w:bidi="ar"/>
        </w:rPr>
      </w:pPr>
      <w:bookmarkStart w:id="89" w:name="_Toc28343"/>
      <w:bookmarkStart w:id="90" w:name="_Toc4379"/>
      <w:r>
        <w:rPr>
          <w:rFonts w:hint="eastAsia" w:ascii="仿宋" w:hAnsi="仿宋" w:eastAsia="仿宋" w:cs="仿宋"/>
          <w:b/>
          <w:bCs/>
          <w:color w:val="auto"/>
          <w:kern w:val="0"/>
          <w:sz w:val="28"/>
          <w:szCs w:val="28"/>
          <w:highlight w:val="none"/>
          <w:lang w:val="en-US" w:eastAsia="zh-CN" w:bidi="ar"/>
        </w:rPr>
        <w:br w:type="page"/>
      </w:r>
    </w:p>
    <w:p w14:paraId="706E124B">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r>
        <w:rPr>
          <w:rFonts w:hint="eastAsia" w:ascii="仿宋" w:hAnsi="仿宋" w:eastAsia="仿宋" w:cs="仿宋"/>
          <w:b/>
          <w:bCs/>
          <w:color w:val="auto"/>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1"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91"/>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2"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92"/>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93"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93"/>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94"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94"/>
    </w:p>
    <w:p w14:paraId="04D391A1">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bookmarkEnd w:id="89"/>
    <w:bookmarkEnd w:id="90"/>
    <w:p w14:paraId="10280761">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投标产品明细表</w:t>
      </w:r>
    </w:p>
    <w:p w14:paraId="39CC6AE2">
      <w:pPr>
        <w:pStyle w:val="27"/>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7"/>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29"/>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318"/>
        <w:gridCol w:w="1049"/>
        <w:gridCol w:w="1408"/>
        <w:gridCol w:w="858"/>
        <w:gridCol w:w="1473"/>
        <w:gridCol w:w="1528"/>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05" w:type="dxa"/>
            <w:shd w:val="clear" w:color="auto" w:fill="auto"/>
            <w:vAlign w:val="center"/>
          </w:tcPr>
          <w:p w14:paraId="383CF13E">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序号</w:t>
            </w:r>
          </w:p>
        </w:tc>
        <w:tc>
          <w:tcPr>
            <w:tcW w:w="1318" w:type="dxa"/>
            <w:shd w:val="clear" w:color="auto" w:fill="auto"/>
            <w:vAlign w:val="center"/>
          </w:tcPr>
          <w:p w14:paraId="1D5C8AAA">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分项名称</w:t>
            </w:r>
          </w:p>
        </w:tc>
        <w:tc>
          <w:tcPr>
            <w:tcW w:w="1049" w:type="dxa"/>
            <w:shd w:val="clear" w:color="auto" w:fill="auto"/>
            <w:vAlign w:val="center"/>
          </w:tcPr>
          <w:p w14:paraId="19F1670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制造商</w:t>
            </w:r>
          </w:p>
        </w:tc>
        <w:tc>
          <w:tcPr>
            <w:tcW w:w="1408" w:type="dxa"/>
            <w:shd w:val="clear" w:color="auto" w:fill="auto"/>
            <w:vAlign w:val="center"/>
          </w:tcPr>
          <w:p w14:paraId="1D0D4A5D">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制造商规模</w:t>
            </w:r>
          </w:p>
        </w:tc>
        <w:tc>
          <w:tcPr>
            <w:tcW w:w="858" w:type="dxa"/>
            <w:shd w:val="clear" w:color="auto" w:fill="auto"/>
            <w:vAlign w:val="center"/>
          </w:tcPr>
          <w:p w14:paraId="4F51A2D6">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品牌</w:t>
            </w:r>
          </w:p>
        </w:tc>
        <w:tc>
          <w:tcPr>
            <w:tcW w:w="1473" w:type="dxa"/>
            <w:shd w:val="clear" w:color="auto" w:fill="auto"/>
            <w:vAlign w:val="center"/>
          </w:tcPr>
          <w:p w14:paraId="4FF59AD7">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kern w:val="2"/>
                <w:sz w:val="24"/>
                <w:szCs w:val="24"/>
                <w:highlight w:val="none"/>
                <w:vertAlign w:val="baseline"/>
                <w:lang w:val="en-US" w:eastAsia="zh-CN" w:bidi="zh-CN"/>
              </w:rPr>
            </w:pPr>
            <w:r>
              <w:rPr>
                <w:rFonts w:hint="eastAsia" w:ascii="仿宋" w:hAnsi="仿宋" w:eastAsia="仿宋" w:cs="仿宋"/>
                <w:color w:val="auto"/>
                <w:sz w:val="24"/>
                <w:szCs w:val="24"/>
                <w:highlight w:val="none"/>
                <w:vertAlign w:val="baseline"/>
                <w:lang w:val="en-US" w:eastAsia="zh-CN"/>
              </w:rPr>
              <w:t>产地/国别</w:t>
            </w:r>
          </w:p>
        </w:tc>
        <w:tc>
          <w:tcPr>
            <w:tcW w:w="1528" w:type="dxa"/>
            <w:shd w:val="clear" w:color="auto" w:fill="auto"/>
            <w:vAlign w:val="center"/>
          </w:tcPr>
          <w:p w14:paraId="14C41EDF">
            <w:pPr>
              <w:pStyle w:val="13"/>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5" w:type="dxa"/>
            <w:vAlign w:val="center"/>
          </w:tcPr>
          <w:p w14:paraId="2CD027C8">
            <w:pPr>
              <w:pStyle w:val="13"/>
              <w:jc w:val="center"/>
              <w:rPr>
                <w:rFonts w:hint="eastAsia" w:ascii="仿宋" w:hAnsi="仿宋" w:eastAsia="仿宋" w:cs="仿宋"/>
                <w:color w:val="auto"/>
                <w:sz w:val="21"/>
                <w:szCs w:val="21"/>
                <w:highlight w:val="none"/>
                <w:vertAlign w:val="baseline"/>
                <w:lang w:val="en-US" w:eastAsia="zh-CN"/>
              </w:rPr>
            </w:pPr>
          </w:p>
        </w:tc>
        <w:tc>
          <w:tcPr>
            <w:tcW w:w="1318" w:type="dxa"/>
            <w:vAlign w:val="center"/>
          </w:tcPr>
          <w:p w14:paraId="26A7C83F">
            <w:pPr>
              <w:pStyle w:val="13"/>
              <w:jc w:val="center"/>
              <w:rPr>
                <w:rFonts w:hint="eastAsia" w:ascii="仿宋" w:hAnsi="仿宋" w:eastAsia="仿宋" w:cs="仿宋"/>
                <w:color w:val="auto"/>
                <w:sz w:val="21"/>
                <w:szCs w:val="21"/>
                <w:highlight w:val="none"/>
                <w:vertAlign w:val="baseline"/>
                <w:lang w:val="en-US" w:eastAsia="zh-CN"/>
              </w:rPr>
            </w:pPr>
          </w:p>
        </w:tc>
        <w:tc>
          <w:tcPr>
            <w:tcW w:w="1049" w:type="dxa"/>
            <w:vAlign w:val="center"/>
          </w:tcPr>
          <w:p w14:paraId="7FBF0914">
            <w:pPr>
              <w:pStyle w:val="13"/>
              <w:jc w:val="center"/>
              <w:rPr>
                <w:rFonts w:hint="eastAsia" w:ascii="仿宋" w:hAnsi="仿宋" w:eastAsia="仿宋" w:cs="仿宋"/>
                <w:color w:val="auto"/>
                <w:sz w:val="21"/>
                <w:szCs w:val="21"/>
                <w:highlight w:val="none"/>
                <w:vertAlign w:val="baseline"/>
                <w:lang w:val="en-US" w:eastAsia="zh-CN"/>
              </w:rPr>
            </w:pPr>
          </w:p>
        </w:tc>
        <w:tc>
          <w:tcPr>
            <w:tcW w:w="1408" w:type="dxa"/>
            <w:vAlign w:val="center"/>
          </w:tcPr>
          <w:p w14:paraId="76786A3E">
            <w:pPr>
              <w:pStyle w:val="13"/>
              <w:jc w:val="center"/>
              <w:rPr>
                <w:rFonts w:hint="eastAsia" w:ascii="仿宋" w:hAnsi="仿宋" w:eastAsia="仿宋" w:cs="仿宋"/>
                <w:color w:val="auto"/>
                <w:sz w:val="21"/>
                <w:szCs w:val="21"/>
                <w:highlight w:val="none"/>
                <w:vertAlign w:val="baseline"/>
                <w:lang w:val="en-US" w:eastAsia="zh-CN"/>
              </w:rPr>
            </w:pPr>
          </w:p>
        </w:tc>
        <w:tc>
          <w:tcPr>
            <w:tcW w:w="858" w:type="dxa"/>
            <w:vAlign w:val="center"/>
          </w:tcPr>
          <w:p w14:paraId="7C496575">
            <w:pPr>
              <w:pStyle w:val="13"/>
              <w:jc w:val="center"/>
              <w:rPr>
                <w:rFonts w:hint="eastAsia" w:ascii="仿宋" w:hAnsi="仿宋" w:eastAsia="仿宋" w:cs="仿宋"/>
                <w:color w:val="auto"/>
                <w:sz w:val="21"/>
                <w:szCs w:val="21"/>
                <w:highlight w:val="none"/>
                <w:vertAlign w:val="baseline"/>
                <w:lang w:val="en-US" w:eastAsia="zh-CN"/>
              </w:rPr>
            </w:pPr>
          </w:p>
        </w:tc>
        <w:tc>
          <w:tcPr>
            <w:tcW w:w="1473" w:type="dxa"/>
            <w:vAlign w:val="center"/>
          </w:tcPr>
          <w:p w14:paraId="22AB6A2C">
            <w:pPr>
              <w:pStyle w:val="13"/>
              <w:jc w:val="center"/>
              <w:rPr>
                <w:rFonts w:hint="eastAsia" w:ascii="仿宋" w:hAnsi="仿宋" w:eastAsia="仿宋" w:cs="仿宋"/>
                <w:color w:val="auto"/>
                <w:sz w:val="21"/>
                <w:szCs w:val="21"/>
                <w:highlight w:val="none"/>
                <w:vertAlign w:val="baseline"/>
                <w:lang w:val="en-US" w:eastAsia="zh-CN"/>
              </w:rPr>
            </w:pPr>
          </w:p>
        </w:tc>
        <w:tc>
          <w:tcPr>
            <w:tcW w:w="1528" w:type="dxa"/>
            <w:vAlign w:val="center"/>
          </w:tcPr>
          <w:p w14:paraId="51424352">
            <w:pPr>
              <w:pStyle w:val="13"/>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5" w:type="dxa"/>
            <w:vAlign w:val="center"/>
          </w:tcPr>
          <w:p w14:paraId="7525BA67">
            <w:pPr>
              <w:pStyle w:val="13"/>
              <w:jc w:val="center"/>
              <w:rPr>
                <w:rFonts w:hint="eastAsia" w:ascii="仿宋" w:hAnsi="仿宋" w:eastAsia="仿宋" w:cs="仿宋"/>
                <w:color w:val="auto"/>
                <w:sz w:val="21"/>
                <w:szCs w:val="21"/>
                <w:highlight w:val="none"/>
                <w:vertAlign w:val="baseline"/>
                <w:lang w:val="en-US" w:eastAsia="zh-CN"/>
              </w:rPr>
            </w:pPr>
          </w:p>
        </w:tc>
        <w:tc>
          <w:tcPr>
            <w:tcW w:w="1318" w:type="dxa"/>
            <w:vAlign w:val="center"/>
          </w:tcPr>
          <w:p w14:paraId="3EC67354">
            <w:pPr>
              <w:pStyle w:val="13"/>
              <w:jc w:val="center"/>
              <w:rPr>
                <w:rFonts w:hint="eastAsia" w:ascii="仿宋" w:hAnsi="仿宋" w:eastAsia="仿宋" w:cs="仿宋"/>
                <w:color w:val="auto"/>
                <w:sz w:val="21"/>
                <w:szCs w:val="21"/>
                <w:highlight w:val="none"/>
                <w:vertAlign w:val="baseline"/>
                <w:lang w:val="en-US" w:eastAsia="zh-CN"/>
              </w:rPr>
            </w:pPr>
          </w:p>
        </w:tc>
        <w:tc>
          <w:tcPr>
            <w:tcW w:w="1049" w:type="dxa"/>
            <w:vAlign w:val="center"/>
          </w:tcPr>
          <w:p w14:paraId="2AD128AA">
            <w:pPr>
              <w:pStyle w:val="13"/>
              <w:jc w:val="center"/>
              <w:rPr>
                <w:rFonts w:hint="eastAsia" w:ascii="仿宋" w:hAnsi="仿宋" w:eastAsia="仿宋" w:cs="仿宋"/>
                <w:color w:val="auto"/>
                <w:sz w:val="21"/>
                <w:szCs w:val="21"/>
                <w:highlight w:val="none"/>
                <w:vertAlign w:val="baseline"/>
                <w:lang w:val="en-US" w:eastAsia="zh-CN"/>
              </w:rPr>
            </w:pPr>
          </w:p>
        </w:tc>
        <w:tc>
          <w:tcPr>
            <w:tcW w:w="1408" w:type="dxa"/>
            <w:vAlign w:val="center"/>
          </w:tcPr>
          <w:p w14:paraId="65CFE296">
            <w:pPr>
              <w:pStyle w:val="13"/>
              <w:jc w:val="center"/>
              <w:rPr>
                <w:rFonts w:hint="eastAsia" w:ascii="仿宋" w:hAnsi="仿宋" w:eastAsia="仿宋" w:cs="仿宋"/>
                <w:color w:val="auto"/>
                <w:sz w:val="21"/>
                <w:szCs w:val="21"/>
                <w:highlight w:val="none"/>
                <w:vertAlign w:val="baseline"/>
                <w:lang w:val="en-US" w:eastAsia="zh-CN"/>
              </w:rPr>
            </w:pPr>
          </w:p>
        </w:tc>
        <w:tc>
          <w:tcPr>
            <w:tcW w:w="858" w:type="dxa"/>
            <w:vAlign w:val="center"/>
          </w:tcPr>
          <w:p w14:paraId="216FB378">
            <w:pPr>
              <w:pStyle w:val="13"/>
              <w:jc w:val="center"/>
              <w:rPr>
                <w:rFonts w:hint="eastAsia" w:ascii="仿宋" w:hAnsi="仿宋" w:eastAsia="仿宋" w:cs="仿宋"/>
                <w:color w:val="auto"/>
                <w:sz w:val="21"/>
                <w:szCs w:val="21"/>
                <w:highlight w:val="none"/>
                <w:vertAlign w:val="baseline"/>
                <w:lang w:val="en-US" w:eastAsia="zh-CN"/>
              </w:rPr>
            </w:pPr>
          </w:p>
        </w:tc>
        <w:tc>
          <w:tcPr>
            <w:tcW w:w="1473" w:type="dxa"/>
            <w:vAlign w:val="center"/>
          </w:tcPr>
          <w:p w14:paraId="3FAF44D4">
            <w:pPr>
              <w:pStyle w:val="13"/>
              <w:jc w:val="center"/>
              <w:rPr>
                <w:rFonts w:hint="eastAsia" w:ascii="仿宋" w:hAnsi="仿宋" w:eastAsia="仿宋" w:cs="仿宋"/>
                <w:color w:val="auto"/>
                <w:sz w:val="21"/>
                <w:szCs w:val="21"/>
                <w:highlight w:val="none"/>
                <w:vertAlign w:val="baseline"/>
                <w:lang w:val="en-US" w:eastAsia="zh-CN"/>
              </w:rPr>
            </w:pPr>
          </w:p>
        </w:tc>
        <w:tc>
          <w:tcPr>
            <w:tcW w:w="1528" w:type="dxa"/>
            <w:vAlign w:val="center"/>
          </w:tcPr>
          <w:p w14:paraId="202CFE00">
            <w:pPr>
              <w:pStyle w:val="13"/>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05" w:type="dxa"/>
            <w:vAlign w:val="center"/>
          </w:tcPr>
          <w:p w14:paraId="0BE626E5">
            <w:pPr>
              <w:pStyle w:val="13"/>
              <w:jc w:val="center"/>
              <w:rPr>
                <w:rFonts w:hint="eastAsia" w:ascii="仿宋" w:hAnsi="仿宋" w:eastAsia="仿宋" w:cs="仿宋"/>
                <w:color w:val="auto"/>
                <w:sz w:val="21"/>
                <w:szCs w:val="21"/>
                <w:highlight w:val="none"/>
                <w:vertAlign w:val="baseline"/>
                <w:lang w:val="en-US" w:eastAsia="zh-CN"/>
              </w:rPr>
            </w:pPr>
          </w:p>
        </w:tc>
        <w:tc>
          <w:tcPr>
            <w:tcW w:w="1318" w:type="dxa"/>
            <w:vAlign w:val="center"/>
          </w:tcPr>
          <w:p w14:paraId="46B5FFDB">
            <w:pPr>
              <w:pStyle w:val="13"/>
              <w:jc w:val="center"/>
              <w:rPr>
                <w:rFonts w:hint="eastAsia" w:ascii="仿宋" w:hAnsi="仿宋" w:eastAsia="仿宋" w:cs="仿宋"/>
                <w:color w:val="auto"/>
                <w:sz w:val="21"/>
                <w:szCs w:val="21"/>
                <w:highlight w:val="none"/>
                <w:vertAlign w:val="baseline"/>
                <w:lang w:val="en-US" w:eastAsia="zh-CN"/>
              </w:rPr>
            </w:pPr>
          </w:p>
        </w:tc>
        <w:tc>
          <w:tcPr>
            <w:tcW w:w="1049" w:type="dxa"/>
            <w:vAlign w:val="center"/>
          </w:tcPr>
          <w:p w14:paraId="461145A5">
            <w:pPr>
              <w:pStyle w:val="13"/>
              <w:jc w:val="center"/>
              <w:rPr>
                <w:rFonts w:hint="eastAsia" w:ascii="仿宋" w:hAnsi="仿宋" w:eastAsia="仿宋" w:cs="仿宋"/>
                <w:color w:val="auto"/>
                <w:sz w:val="21"/>
                <w:szCs w:val="21"/>
                <w:highlight w:val="none"/>
                <w:vertAlign w:val="baseline"/>
                <w:lang w:val="en-US" w:eastAsia="zh-CN"/>
              </w:rPr>
            </w:pPr>
          </w:p>
        </w:tc>
        <w:tc>
          <w:tcPr>
            <w:tcW w:w="1408" w:type="dxa"/>
            <w:vAlign w:val="center"/>
          </w:tcPr>
          <w:p w14:paraId="4B32E7F5">
            <w:pPr>
              <w:pStyle w:val="13"/>
              <w:jc w:val="center"/>
              <w:rPr>
                <w:rFonts w:hint="eastAsia" w:ascii="仿宋" w:hAnsi="仿宋" w:eastAsia="仿宋" w:cs="仿宋"/>
                <w:color w:val="auto"/>
                <w:sz w:val="21"/>
                <w:szCs w:val="21"/>
                <w:highlight w:val="none"/>
                <w:vertAlign w:val="baseline"/>
                <w:lang w:val="en-US" w:eastAsia="zh-CN"/>
              </w:rPr>
            </w:pPr>
          </w:p>
        </w:tc>
        <w:tc>
          <w:tcPr>
            <w:tcW w:w="858" w:type="dxa"/>
            <w:vAlign w:val="center"/>
          </w:tcPr>
          <w:p w14:paraId="527FBA41">
            <w:pPr>
              <w:pStyle w:val="13"/>
              <w:jc w:val="center"/>
              <w:rPr>
                <w:rFonts w:hint="eastAsia" w:ascii="仿宋" w:hAnsi="仿宋" w:eastAsia="仿宋" w:cs="仿宋"/>
                <w:color w:val="auto"/>
                <w:sz w:val="21"/>
                <w:szCs w:val="21"/>
                <w:highlight w:val="none"/>
                <w:vertAlign w:val="baseline"/>
                <w:lang w:val="en-US" w:eastAsia="zh-CN"/>
              </w:rPr>
            </w:pPr>
          </w:p>
        </w:tc>
        <w:tc>
          <w:tcPr>
            <w:tcW w:w="1473" w:type="dxa"/>
            <w:vAlign w:val="center"/>
          </w:tcPr>
          <w:p w14:paraId="37E83E1F">
            <w:pPr>
              <w:pStyle w:val="13"/>
              <w:jc w:val="center"/>
              <w:rPr>
                <w:rFonts w:hint="eastAsia" w:ascii="仿宋" w:hAnsi="仿宋" w:eastAsia="仿宋" w:cs="仿宋"/>
                <w:color w:val="auto"/>
                <w:sz w:val="21"/>
                <w:szCs w:val="21"/>
                <w:highlight w:val="none"/>
                <w:vertAlign w:val="baseline"/>
                <w:lang w:val="en-US" w:eastAsia="zh-CN"/>
              </w:rPr>
            </w:pPr>
          </w:p>
        </w:tc>
        <w:tc>
          <w:tcPr>
            <w:tcW w:w="1528" w:type="dxa"/>
            <w:vAlign w:val="center"/>
          </w:tcPr>
          <w:p w14:paraId="11F801F3">
            <w:pPr>
              <w:pStyle w:val="13"/>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5" w:type="dxa"/>
            <w:vAlign w:val="center"/>
          </w:tcPr>
          <w:p w14:paraId="4B348B8C">
            <w:pPr>
              <w:pStyle w:val="13"/>
              <w:jc w:val="center"/>
              <w:rPr>
                <w:rFonts w:hint="eastAsia" w:ascii="仿宋" w:hAnsi="仿宋" w:eastAsia="仿宋" w:cs="仿宋"/>
                <w:color w:val="auto"/>
                <w:sz w:val="21"/>
                <w:szCs w:val="21"/>
                <w:highlight w:val="none"/>
                <w:vertAlign w:val="baseline"/>
                <w:lang w:val="en-US" w:eastAsia="zh-CN"/>
              </w:rPr>
            </w:pPr>
          </w:p>
        </w:tc>
        <w:tc>
          <w:tcPr>
            <w:tcW w:w="1318" w:type="dxa"/>
            <w:vAlign w:val="center"/>
          </w:tcPr>
          <w:p w14:paraId="3DB1FF00">
            <w:pPr>
              <w:pStyle w:val="13"/>
              <w:jc w:val="center"/>
              <w:rPr>
                <w:rFonts w:hint="eastAsia" w:ascii="仿宋" w:hAnsi="仿宋" w:eastAsia="仿宋" w:cs="仿宋"/>
                <w:color w:val="auto"/>
                <w:sz w:val="21"/>
                <w:szCs w:val="21"/>
                <w:highlight w:val="none"/>
                <w:vertAlign w:val="baseline"/>
                <w:lang w:val="en-US" w:eastAsia="zh-CN"/>
              </w:rPr>
            </w:pPr>
          </w:p>
        </w:tc>
        <w:tc>
          <w:tcPr>
            <w:tcW w:w="1049" w:type="dxa"/>
            <w:vAlign w:val="center"/>
          </w:tcPr>
          <w:p w14:paraId="03C5B87A">
            <w:pPr>
              <w:pStyle w:val="13"/>
              <w:jc w:val="center"/>
              <w:rPr>
                <w:rFonts w:hint="eastAsia" w:ascii="仿宋" w:hAnsi="仿宋" w:eastAsia="仿宋" w:cs="仿宋"/>
                <w:color w:val="auto"/>
                <w:sz w:val="21"/>
                <w:szCs w:val="21"/>
                <w:highlight w:val="none"/>
                <w:vertAlign w:val="baseline"/>
                <w:lang w:val="en-US" w:eastAsia="zh-CN"/>
              </w:rPr>
            </w:pPr>
          </w:p>
        </w:tc>
        <w:tc>
          <w:tcPr>
            <w:tcW w:w="1408" w:type="dxa"/>
            <w:vAlign w:val="center"/>
          </w:tcPr>
          <w:p w14:paraId="2399A480">
            <w:pPr>
              <w:pStyle w:val="13"/>
              <w:jc w:val="center"/>
              <w:rPr>
                <w:rFonts w:hint="eastAsia" w:ascii="仿宋" w:hAnsi="仿宋" w:eastAsia="仿宋" w:cs="仿宋"/>
                <w:color w:val="auto"/>
                <w:sz w:val="21"/>
                <w:szCs w:val="21"/>
                <w:highlight w:val="none"/>
                <w:vertAlign w:val="baseline"/>
                <w:lang w:val="en-US" w:eastAsia="zh-CN"/>
              </w:rPr>
            </w:pPr>
          </w:p>
        </w:tc>
        <w:tc>
          <w:tcPr>
            <w:tcW w:w="858" w:type="dxa"/>
            <w:vAlign w:val="center"/>
          </w:tcPr>
          <w:p w14:paraId="36033528">
            <w:pPr>
              <w:pStyle w:val="13"/>
              <w:jc w:val="center"/>
              <w:rPr>
                <w:rFonts w:hint="eastAsia" w:ascii="仿宋" w:hAnsi="仿宋" w:eastAsia="仿宋" w:cs="仿宋"/>
                <w:color w:val="auto"/>
                <w:sz w:val="21"/>
                <w:szCs w:val="21"/>
                <w:highlight w:val="none"/>
                <w:vertAlign w:val="baseline"/>
                <w:lang w:val="en-US" w:eastAsia="zh-CN"/>
              </w:rPr>
            </w:pPr>
          </w:p>
        </w:tc>
        <w:tc>
          <w:tcPr>
            <w:tcW w:w="1473" w:type="dxa"/>
            <w:vAlign w:val="center"/>
          </w:tcPr>
          <w:p w14:paraId="071D1464">
            <w:pPr>
              <w:pStyle w:val="13"/>
              <w:jc w:val="center"/>
              <w:rPr>
                <w:rFonts w:hint="eastAsia" w:ascii="仿宋" w:hAnsi="仿宋" w:eastAsia="仿宋" w:cs="仿宋"/>
                <w:color w:val="auto"/>
                <w:sz w:val="21"/>
                <w:szCs w:val="21"/>
                <w:highlight w:val="none"/>
                <w:vertAlign w:val="baseline"/>
                <w:lang w:val="en-US" w:eastAsia="zh-CN"/>
              </w:rPr>
            </w:pPr>
          </w:p>
        </w:tc>
        <w:tc>
          <w:tcPr>
            <w:tcW w:w="1528" w:type="dxa"/>
            <w:vAlign w:val="center"/>
          </w:tcPr>
          <w:p w14:paraId="6A2B3131">
            <w:pPr>
              <w:pStyle w:val="13"/>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如果不提供投标产品明细表将视为没有实质性响应招标文件。</w:t>
      </w:r>
    </w:p>
    <w:p w14:paraId="04D2939F">
      <w:pPr>
        <w:numPr>
          <w:ilvl w:val="0"/>
          <w:numId w:val="0"/>
        </w:num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4、本表只填写设备采购部分，其他部分无需填写。</w:t>
      </w:r>
    </w:p>
    <w:p w14:paraId="05E70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2085E323">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0"/>
          <w:sz w:val="28"/>
          <w:szCs w:val="28"/>
          <w:highlight w:val="none"/>
          <w:lang w:val="en-US" w:eastAsia="zh-CN" w:bidi="ar"/>
        </w:rPr>
        <w:t>关于符合本国产品标准的声明函或财政部规定的其他</w:t>
      </w:r>
      <w:bookmarkStart w:id="95" w:name="_Toc15816"/>
      <w:r>
        <w:rPr>
          <w:rFonts w:hint="eastAsia" w:ascii="仿宋" w:hAnsi="仿宋" w:eastAsia="仿宋" w:cs="仿宋"/>
          <w:b/>
          <w:bCs/>
          <w:color w:val="auto"/>
          <w:kern w:val="0"/>
          <w:sz w:val="28"/>
          <w:szCs w:val="28"/>
          <w:highlight w:val="none"/>
          <w:lang w:val="en-US" w:eastAsia="zh-CN" w:bidi="ar"/>
        </w:rPr>
        <w:t>证明文件</w:t>
      </w:r>
      <w:bookmarkEnd w:id="95"/>
    </w:p>
    <w:p w14:paraId="72BE04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2AD1035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注：</w:t>
      </w:r>
    </w:p>
    <w:p w14:paraId="66F7614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 xml:space="preserve">1. </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若</w:t>
      </w:r>
      <w:r>
        <w:rPr>
          <w:rFonts w:hint="eastAsia" w:ascii="仿宋" w:hAnsi="仿宋" w:eastAsia="仿宋" w:cs="仿宋"/>
          <w:i w:val="0"/>
          <w:iCs w:val="0"/>
          <w:caps w:val="0"/>
          <w:color w:val="auto"/>
          <w:spacing w:val="0"/>
          <w:sz w:val="24"/>
          <w:szCs w:val="24"/>
          <w:highlight w:val="none"/>
          <w:shd w:val="clear" w:fill="FFFFFF"/>
          <w:vertAlign w:val="baseline"/>
        </w:rPr>
        <w:t>供应商提供本国产品符合《国务院办公厅关于在政府采购中实施本国产品标准及相关政策的通知》（国办发〔2025〕34号），</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并</w:t>
      </w:r>
      <w:r>
        <w:rPr>
          <w:rFonts w:hint="eastAsia" w:ascii="仿宋" w:hAnsi="仿宋" w:eastAsia="仿宋" w:cs="仿宋"/>
          <w:i w:val="0"/>
          <w:iCs w:val="0"/>
          <w:caps w:val="0"/>
          <w:color w:val="auto"/>
          <w:spacing w:val="0"/>
          <w:sz w:val="24"/>
          <w:szCs w:val="24"/>
          <w:highlight w:val="none"/>
          <w:shd w:val="clear" w:fill="FFFFFF"/>
          <w:vertAlign w:val="baseline"/>
        </w:rPr>
        <w:t>在投标文件中出具《关于符合本国产品标准的声明函》或财政部会同有关部门规定的有关证明文件；当采购项目或者采购包中含有多种产品的，供应商还应当提供《</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本国产品成本占比</w:t>
      </w:r>
      <w:r>
        <w:rPr>
          <w:rFonts w:hint="eastAsia" w:ascii="仿宋" w:hAnsi="仿宋" w:eastAsia="仿宋" w:cs="仿宋"/>
          <w:i w:val="0"/>
          <w:iCs w:val="0"/>
          <w:caps w:val="0"/>
          <w:color w:val="auto"/>
          <w:spacing w:val="0"/>
          <w:sz w:val="24"/>
          <w:szCs w:val="24"/>
          <w:highlight w:val="none"/>
          <w:shd w:val="clear" w:fill="FFFFFF"/>
          <w:vertAlign w:val="baseline"/>
        </w:rPr>
        <w:t>声明函》</w:t>
      </w:r>
      <w:r>
        <w:rPr>
          <w:rFonts w:hint="eastAsia" w:ascii="仿宋" w:hAnsi="仿宋" w:eastAsia="仿宋" w:cs="仿宋"/>
          <w:i w:val="0"/>
          <w:iCs w:val="0"/>
          <w:caps w:val="0"/>
          <w:color w:val="auto"/>
          <w:spacing w:val="0"/>
          <w:sz w:val="24"/>
          <w:szCs w:val="24"/>
          <w:highlight w:val="none"/>
          <w:shd w:val="clear" w:fill="FFFFFF"/>
          <w:vertAlign w:val="baseline"/>
          <w:lang w:eastAsia="zh-CN"/>
        </w:rPr>
        <w:t>，</w:t>
      </w:r>
      <w:r>
        <w:rPr>
          <w:rFonts w:hint="eastAsia" w:ascii="仿宋" w:hAnsi="仿宋" w:eastAsia="仿宋" w:cs="仿宋"/>
          <w:i w:val="0"/>
          <w:iCs w:val="0"/>
          <w:caps w:val="0"/>
          <w:color w:val="auto"/>
          <w:spacing w:val="0"/>
          <w:sz w:val="24"/>
          <w:szCs w:val="24"/>
          <w:highlight w:val="none"/>
          <w:shd w:val="clear" w:fill="FFFFFF"/>
          <w:vertAlign w:val="baseline"/>
          <w:lang w:val="en-US" w:eastAsia="zh-CN"/>
        </w:rPr>
        <w:t>享受本国产品政策</w:t>
      </w:r>
      <w:r>
        <w:rPr>
          <w:rFonts w:hint="eastAsia" w:ascii="仿宋" w:hAnsi="仿宋" w:eastAsia="仿宋" w:cs="仿宋"/>
          <w:i w:val="0"/>
          <w:iCs w:val="0"/>
          <w:caps w:val="0"/>
          <w:color w:val="auto"/>
          <w:spacing w:val="0"/>
          <w:sz w:val="24"/>
          <w:szCs w:val="24"/>
          <w:highlight w:val="none"/>
          <w:shd w:val="clear" w:fill="FFFFFF"/>
          <w:vertAlign w:val="baseline"/>
        </w:rPr>
        <w:t>。</w:t>
      </w:r>
    </w:p>
    <w:p w14:paraId="6ECD903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2. 供应商提供虚假《声明函》、虚假证明文件谋取中标、成交的，依照政府采购法律法规规定追究相应责任。</w:t>
      </w:r>
    </w:p>
    <w:p w14:paraId="4FCC282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auto"/>
          <w:spacing w:val="0"/>
          <w:sz w:val="24"/>
          <w:szCs w:val="24"/>
          <w:highlight w:val="none"/>
          <w:shd w:val="clear" w:fill="FFFFFF"/>
          <w:vertAlign w:val="baseline"/>
        </w:rPr>
      </w:pPr>
    </w:p>
    <w:p w14:paraId="541FE374">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中国境内生产的组件成本核算基本规则</w:t>
      </w:r>
    </w:p>
    <w:p w14:paraId="6B8C0E6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046F25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6E3748A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151053C2">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3. 产品总成本和组件成本以相关会计核算数据、采购合同、进货记录等为基础进行计算。</w:t>
      </w:r>
    </w:p>
    <w:p w14:paraId="6147A51B">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i w:val="0"/>
          <w:iCs w:val="0"/>
          <w:caps w:val="0"/>
          <w:color w:val="auto"/>
          <w:spacing w:val="0"/>
          <w:sz w:val="24"/>
          <w:szCs w:val="24"/>
          <w:highlight w:val="none"/>
          <w:shd w:val="clear" w:fill="FFFFFF"/>
          <w:vertAlign w:val="baseline"/>
        </w:rPr>
        <w:t>4. 需要对成本核算规则予以进一步明确的其他有关事项，由财政部会同有关部门另行规定。</w:t>
      </w:r>
    </w:p>
    <w:p w14:paraId="46C239FB">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172C795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76A504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0E3B10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0FF890C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698B58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6E2C3A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75CB8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773EB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2B30AE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4AC53A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3126A5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58F611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602A3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7C9E59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286904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40DFEA7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0BDFF1B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（二）本国产品成本占比声明函</w:t>
      </w:r>
    </w:p>
    <w:p w14:paraId="22416E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3732FB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E7F43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kern w:val="0"/>
          <w:sz w:val="24"/>
          <w:szCs w:val="24"/>
          <w:highlight w:val="none"/>
          <w:lang w:val="en-US" w:eastAsia="zh-CN" w:bidi="ar"/>
        </w:rPr>
        <w:t>政府采购项目，郑重承诺如下:</w:t>
      </w:r>
    </w:p>
    <w:p w14:paraId="765685C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根据《国务院办公厅关于在政府采购中实施本国产品标准及相关政策的通知》（国办发〔2025〕34号）的规定，</w:t>
      </w: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ED213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AA44B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4C3A5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5DE7BA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45F4D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30E24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633AD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73549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8AE8E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723584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若供应商所投产品均符合本国产品标准，且已提供《关于符合本国产品标准的声明函》，可不填写《本国产品成本占比声明函》。</w:t>
      </w:r>
    </w:p>
    <w:p w14:paraId="1234E91A">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color w:val="auto"/>
          <w:sz w:val="24"/>
          <w:szCs w:val="24"/>
          <w:highlight w:val="none"/>
          <w:lang w:val="en-US" w:eastAsia="zh-CN"/>
        </w:rPr>
      </w:pPr>
    </w:p>
    <w:p w14:paraId="480BF399">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节能产品说明：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highlight w:val="none"/>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color w:val="auto"/>
                <w:sz w:val="21"/>
                <w:szCs w:val="21"/>
                <w:highlight w:val="none"/>
                <w:vertAlign w:val="baseline"/>
                <w:lang w:val="en-US" w:eastAsia="zh-CN"/>
              </w:rPr>
            </w:pPr>
          </w:p>
        </w:tc>
      </w:tr>
    </w:tbl>
    <w:p w14:paraId="24157736">
      <w:pPr>
        <w:numPr>
          <w:ilvl w:val="0"/>
          <w:numId w:val="0"/>
        </w:numPr>
        <w:rPr>
          <w:rFonts w:hint="eastAsia" w:ascii="仿宋" w:hAnsi="仿宋" w:eastAsia="仿宋" w:cs="仿宋"/>
          <w:color w:val="auto"/>
          <w:sz w:val="24"/>
          <w:szCs w:val="24"/>
          <w:highlight w:val="none"/>
          <w:lang w:val="en-US" w:eastAsia="zh-CN"/>
        </w:rPr>
      </w:pPr>
    </w:p>
    <w:p w14:paraId="08871C1F">
      <w:pPr>
        <w:numPr>
          <w:ilvl w:val="0"/>
          <w:numId w:val="0"/>
        </w:numPr>
        <w:rPr>
          <w:rFonts w:hint="eastAsia" w:ascii="仿宋" w:hAnsi="仿宋" w:eastAsia="仿宋" w:cs="仿宋"/>
          <w:color w:val="auto"/>
          <w:sz w:val="24"/>
          <w:szCs w:val="24"/>
          <w:highlight w:val="none"/>
          <w:lang w:val="en-US" w:eastAsia="zh-CN"/>
        </w:rPr>
      </w:pPr>
    </w:p>
    <w:p w14:paraId="6BE9BC29">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投标人名称（盖公章）：</w:t>
      </w:r>
    </w:p>
    <w:p w14:paraId="19FBA95A">
      <w:pPr>
        <w:numPr>
          <w:ilvl w:val="0"/>
          <w:numId w:val="0"/>
        </w:numPr>
        <w:rPr>
          <w:rFonts w:hint="eastAsia" w:ascii="仿宋" w:hAnsi="仿宋" w:eastAsia="仿宋" w:cs="仿宋"/>
          <w:color w:val="auto"/>
          <w:sz w:val="24"/>
          <w:szCs w:val="24"/>
          <w:highlight w:val="none"/>
          <w:lang w:val="en-US" w:eastAsia="zh-CN"/>
        </w:rPr>
      </w:pPr>
    </w:p>
    <w:p w14:paraId="1ABC284A">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366B10D">
      <w:pPr>
        <w:numPr>
          <w:ilvl w:val="0"/>
          <w:numId w:val="0"/>
        </w:numPr>
        <w:rPr>
          <w:rFonts w:hint="eastAsia" w:ascii="仿宋" w:hAnsi="仿宋" w:eastAsia="仿宋" w:cs="仿宋"/>
          <w:color w:val="auto"/>
          <w:sz w:val="24"/>
          <w:szCs w:val="24"/>
          <w:highlight w:val="none"/>
          <w:lang w:val="en-US" w:eastAsia="zh-CN"/>
        </w:rPr>
      </w:pPr>
    </w:p>
    <w:p w14:paraId="243C7501">
      <w:pPr>
        <w:numPr>
          <w:ilvl w:val="0"/>
          <w:numId w:val="0"/>
        </w:numPr>
        <w:rPr>
          <w:rFonts w:hint="eastAsia" w:ascii="仿宋" w:hAnsi="仿宋" w:eastAsia="仿宋" w:cs="仿宋"/>
          <w:color w:val="auto"/>
          <w:sz w:val="24"/>
          <w:szCs w:val="24"/>
          <w:highlight w:val="none"/>
          <w:lang w:val="en-US" w:eastAsia="zh-CN"/>
        </w:rPr>
      </w:pPr>
    </w:p>
    <w:p w14:paraId="1D7D69EE">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环境标志产品说明: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highlight w:val="none"/>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color w:val="auto"/>
                <w:sz w:val="21"/>
                <w:szCs w:val="21"/>
                <w:highlight w:val="none"/>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color w:val="auto"/>
                <w:sz w:val="21"/>
                <w:szCs w:val="21"/>
                <w:highlight w:val="none"/>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color w:val="auto"/>
                <w:sz w:val="21"/>
                <w:szCs w:val="21"/>
                <w:highlight w:val="none"/>
                <w:vertAlign w:val="baseline"/>
                <w:lang w:val="en-US" w:eastAsia="zh-CN"/>
              </w:rPr>
            </w:pPr>
          </w:p>
        </w:tc>
      </w:tr>
    </w:tbl>
    <w:p w14:paraId="4021AFF7">
      <w:pPr>
        <w:numPr>
          <w:ilvl w:val="0"/>
          <w:numId w:val="0"/>
        </w:numPr>
        <w:rPr>
          <w:rFonts w:hint="eastAsia" w:ascii="仿宋" w:hAnsi="仿宋" w:eastAsia="仿宋" w:cs="仿宋"/>
          <w:color w:val="auto"/>
          <w:sz w:val="24"/>
          <w:szCs w:val="24"/>
          <w:highlight w:val="none"/>
          <w:lang w:val="en-US" w:eastAsia="zh-CN"/>
        </w:rPr>
      </w:pPr>
    </w:p>
    <w:p w14:paraId="18D84896">
      <w:pPr>
        <w:numPr>
          <w:ilvl w:val="0"/>
          <w:numId w:val="0"/>
        </w:numPr>
        <w:rPr>
          <w:rFonts w:hint="eastAsia" w:ascii="仿宋" w:hAnsi="仿宋" w:eastAsia="仿宋" w:cs="仿宋"/>
          <w:color w:val="auto"/>
          <w:sz w:val="24"/>
          <w:szCs w:val="24"/>
          <w:highlight w:val="none"/>
          <w:lang w:val="en-US" w:eastAsia="zh-CN"/>
        </w:rPr>
      </w:pPr>
    </w:p>
    <w:p w14:paraId="53597C4A">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投标人名称（盖公章）：</w:t>
      </w:r>
    </w:p>
    <w:p w14:paraId="5253BC71">
      <w:pPr>
        <w:numPr>
          <w:ilvl w:val="0"/>
          <w:numId w:val="0"/>
        </w:numPr>
        <w:rPr>
          <w:rFonts w:hint="eastAsia" w:ascii="仿宋" w:hAnsi="仿宋" w:eastAsia="仿宋" w:cs="仿宋"/>
          <w:color w:val="auto"/>
          <w:sz w:val="24"/>
          <w:szCs w:val="24"/>
          <w:highlight w:val="none"/>
          <w:lang w:val="en-US" w:eastAsia="zh-CN"/>
        </w:rPr>
      </w:pPr>
    </w:p>
    <w:p w14:paraId="3AAC79E2">
      <w:pPr>
        <w:numPr>
          <w:ilvl w:val="0"/>
          <w:numId w:val="0"/>
        </w:num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80138CC">
      <w:pPr>
        <w:numPr>
          <w:ilvl w:val="0"/>
          <w:numId w:val="0"/>
        </w:numPr>
        <w:rPr>
          <w:rFonts w:hint="eastAsia" w:ascii="仿宋" w:hAnsi="仿宋" w:eastAsia="仿宋" w:cs="仿宋"/>
          <w:color w:val="auto"/>
          <w:sz w:val="24"/>
          <w:szCs w:val="24"/>
          <w:highlight w:val="none"/>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1.投标人应将所投产品中为节能、环保产品分别列入上表中，并按本招标文件提供相关证明材料，第五章采购需求“采购标的物清单”以外的附属产品或未填写本表或未提供有效认证证书的不给予评审优惠。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color w:val="auto"/>
          <w:sz w:val="21"/>
          <w:szCs w:val="21"/>
          <w:highlight w:val="none"/>
        </w:rPr>
      </w:pPr>
    </w:p>
    <w:p w14:paraId="3DDB2A64">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47677118">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highlight w:val="none"/>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项目编号：</w:t>
      </w:r>
      <w:r>
        <w:rPr>
          <w:rFonts w:hint="eastAsia" w:ascii="仿宋" w:hAnsi="仿宋" w:eastAsia="仿宋" w:cs="仿宋"/>
          <w:color w:val="auto"/>
          <w:highlight w:val="none"/>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标项名称：</w:t>
      </w:r>
      <w:r>
        <w:rPr>
          <w:rFonts w:hint="eastAsia" w:ascii="仿宋" w:hAnsi="仿宋" w:eastAsia="仿宋" w:cs="仿宋"/>
          <w:color w:val="auto"/>
          <w:highlight w:val="none"/>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37" w:type="dxa"/>
          </w:tcPr>
          <w:p w14:paraId="414C9A71">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74" w:type="dxa"/>
          </w:tcPr>
          <w:p w14:paraId="3DE5B37F">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326" w:type="dxa"/>
          </w:tcPr>
          <w:p w14:paraId="3F5F36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17" w:type="dxa"/>
          </w:tcPr>
          <w:p w14:paraId="3018DCA8">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133" w:type="dxa"/>
          </w:tcPr>
          <w:p w14:paraId="24CED5B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717" w:type="dxa"/>
          </w:tcPr>
          <w:p w14:paraId="22624D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37" w:type="dxa"/>
          </w:tcPr>
          <w:p w14:paraId="544A947D">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74" w:type="dxa"/>
            <w:shd w:val="clear" w:color="auto" w:fill="auto"/>
            <w:vAlign w:val="top"/>
          </w:tcPr>
          <w:p w14:paraId="5D30E2D5">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kern w:val="2"/>
                <w:sz w:val="21"/>
                <w:szCs w:val="21"/>
                <w:highlight w:val="none"/>
                <w:vertAlign w:val="baseline"/>
                <w:lang w:val="en-US" w:eastAsia="zh-CN" w:bidi="zh-CN"/>
              </w:rPr>
            </w:pPr>
          </w:p>
        </w:tc>
        <w:tc>
          <w:tcPr>
            <w:tcW w:w="1326" w:type="dxa"/>
          </w:tcPr>
          <w:p w14:paraId="0E380ED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517" w:type="dxa"/>
          </w:tcPr>
          <w:p w14:paraId="639D43C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1133" w:type="dxa"/>
          </w:tcPr>
          <w:p w14:paraId="1913A85C">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c>
          <w:tcPr>
            <w:tcW w:w="717" w:type="dxa"/>
          </w:tcPr>
          <w:p w14:paraId="1DBB10D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1"/>
                <w:szCs w:val="21"/>
                <w:highlight w:val="none"/>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3"/>
        <w:numPr>
          <w:ilvl w:val="0"/>
          <w:numId w:val="0"/>
        </w:numPr>
        <w:ind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14:paraId="5F4278FC">
      <w:pPr>
        <w:pStyle w:val="13"/>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注： </w:t>
      </w:r>
    </w:p>
    <w:p w14:paraId="571E832D">
      <w:pPr>
        <w:pStyle w:val="13"/>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1.投标人应如实列出以上情况，如有虚假，一经查实将导致其</w:t>
      </w:r>
      <w:r>
        <w:rPr>
          <w:rFonts w:hint="eastAsia" w:ascii="仿宋" w:hAnsi="仿宋" w:eastAsia="仿宋" w:cs="仿宋"/>
          <w:b/>
          <w:bCs/>
          <w:color w:val="auto"/>
          <w:kern w:val="2"/>
          <w:sz w:val="24"/>
          <w:szCs w:val="24"/>
          <w:highlight w:val="none"/>
          <w:lang w:val="en-US" w:eastAsia="zh-CN" w:bidi="ar-SA"/>
        </w:rPr>
        <w:t>投标无效</w:t>
      </w:r>
      <w:r>
        <w:rPr>
          <w:rFonts w:hint="eastAsia" w:ascii="仿宋" w:hAnsi="仿宋" w:eastAsia="仿宋" w:cs="仿宋"/>
          <w:color w:val="auto"/>
          <w:kern w:val="2"/>
          <w:sz w:val="24"/>
          <w:szCs w:val="24"/>
          <w:highlight w:val="none"/>
          <w:lang w:val="en-US" w:eastAsia="zh-CN" w:bidi="ar-SA"/>
        </w:rPr>
        <w:t>并被拒绝。 2.投标人应按照招标文件的要求提供业绩证明材料。</w:t>
      </w:r>
    </w:p>
    <w:p w14:paraId="7141860D">
      <w:pPr>
        <w:pStyle w:val="13"/>
        <w:ind w:left="0" w:leftChars="0" w:firstLine="0" w:firstLineChars="0"/>
        <w:rPr>
          <w:rFonts w:hint="eastAsia" w:ascii="仿宋" w:hAnsi="仿宋" w:eastAsia="仿宋" w:cs="仿宋"/>
          <w:color w:val="auto"/>
          <w:sz w:val="24"/>
          <w:szCs w:val="24"/>
          <w:highlight w:val="none"/>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法定代表人或授权代表：</w:t>
      </w:r>
      <w:r>
        <w:rPr>
          <w:rFonts w:hint="eastAsia" w:ascii="仿宋" w:hAnsi="仿宋" w:eastAsia="仿宋" w:cs="仿宋"/>
          <w:color w:val="auto"/>
          <w:sz w:val="24"/>
          <w:szCs w:val="24"/>
          <w:highlight w:val="none"/>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p>
    <w:p w14:paraId="6A322A2F">
      <w:pPr>
        <w:pStyle w:val="22"/>
        <w:ind w:left="0" w:leftChars="0" w:firstLine="0" w:firstLineChars="0"/>
        <w:jc w:val="left"/>
        <w:outlineLvl w:val="9"/>
        <w:rPr>
          <w:rFonts w:hint="eastAsia" w:ascii="仿宋_GB2312" w:hAnsi="仿宋_GB2312" w:eastAsia="仿宋_GB2312" w:cs="仿宋_GB2312"/>
          <w:color w:val="auto"/>
          <w:sz w:val="24"/>
          <w:szCs w:val="24"/>
          <w:highlight w:val="none"/>
          <w:lang w:val="en-US" w:eastAsia="zh-CN"/>
        </w:rPr>
      </w:pPr>
    </w:p>
    <w:p w14:paraId="7C11A558">
      <w:pPr>
        <w:rPr>
          <w:rFonts w:hint="eastAsia" w:cstheme="majorBidi"/>
          <w:b/>
          <w:bCs/>
          <w:color w:val="auto"/>
          <w:kern w:val="2"/>
          <w:sz w:val="32"/>
          <w:szCs w:val="32"/>
          <w:highlight w:val="none"/>
          <w:lang w:val="en-US" w:eastAsia="zh-CN" w:bidi="ar-SA"/>
        </w:rPr>
      </w:pPr>
      <w:bookmarkStart w:id="96" w:name="_Toc24146"/>
      <w:bookmarkStart w:id="97" w:name="_Toc22277"/>
      <w:r>
        <w:rPr>
          <w:rFonts w:hint="eastAsia" w:cstheme="majorBidi"/>
          <w:b/>
          <w:bCs/>
          <w:color w:val="auto"/>
          <w:kern w:val="2"/>
          <w:sz w:val="32"/>
          <w:szCs w:val="32"/>
          <w:highlight w:val="none"/>
          <w:lang w:val="en-US" w:eastAsia="zh-CN" w:bidi="ar-SA"/>
        </w:rPr>
        <w:br w:type="page"/>
      </w:r>
    </w:p>
    <w:p w14:paraId="048637FA">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拟派项目团队</w:t>
      </w:r>
      <w:bookmarkEnd w:id="96"/>
      <w:bookmarkEnd w:id="97"/>
    </w:p>
    <w:tbl>
      <w:tblPr>
        <w:tblStyle w:val="28"/>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8"/>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8"/>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8"/>
              <w:jc w:val="center"/>
              <w:rPr>
                <w:rFonts w:hint="eastAsia" w:ascii="仿宋" w:hAnsi="仿宋" w:eastAsia="仿宋" w:cs="仿宋"/>
                <w:color w:val="auto"/>
                <w:sz w:val="21"/>
                <w:szCs w:val="21"/>
                <w:highlight w:val="none"/>
              </w:rPr>
            </w:pPr>
            <w:bookmarkStart w:id="98" w:name="_Toc100090784"/>
            <w:bookmarkStart w:id="99" w:name="_Toc99533292"/>
            <w:r>
              <w:rPr>
                <w:rFonts w:hint="eastAsia" w:ascii="仿宋" w:hAnsi="仿宋" w:eastAsia="仿宋" w:cs="仿宋"/>
                <w:color w:val="auto"/>
                <w:sz w:val="21"/>
                <w:szCs w:val="21"/>
                <w:highlight w:val="none"/>
              </w:rPr>
              <w:t>1</w:t>
            </w:r>
            <w:bookmarkEnd w:id="98"/>
            <w:bookmarkEnd w:id="99"/>
          </w:p>
        </w:tc>
        <w:tc>
          <w:tcPr>
            <w:tcW w:w="1267" w:type="dxa"/>
            <w:vAlign w:val="center"/>
          </w:tcPr>
          <w:p w14:paraId="14E32A8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8"/>
              <w:jc w:val="center"/>
              <w:rPr>
                <w:rFonts w:hint="eastAsia" w:ascii="仿宋" w:hAnsi="仿宋" w:eastAsia="仿宋" w:cs="仿宋"/>
                <w:color w:val="auto"/>
                <w:sz w:val="21"/>
                <w:szCs w:val="21"/>
                <w:highlight w:val="none"/>
              </w:rPr>
            </w:pPr>
          </w:p>
        </w:tc>
        <w:tc>
          <w:tcPr>
            <w:tcW w:w="1860" w:type="dxa"/>
            <w:vAlign w:val="center"/>
          </w:tcPr>
          <w:p w14:paraId="3D67B196">
            <w:pPr>
              <w:pStyle w:val="48"/>
              <w:jc w:val="center"/>
              <w:rPr>
                <w:rFonts w:hint="eastAsia" w:ascii="仿宋" w:hAnsi="仿宋" w:eastAsia="仿宋" w:cs="仿宋"/>
                <w:color w:val="auto"/>
                <w:sz w:val="21"/>
                <w:szCs w:val="21"/>
                <w:highlight w:val="none"/>
              </w:rPr>
            </w:pPr>
          </w:p>
        </w:tc>
        <w:tc>
          <w:tcPr>
            <w:tcW w:w="1356" w:type="dxa"/>
            <w:vAlign w:val="center"/>
          </w:tcPr>
          <w:p w14:paraId="4E31B5EF">
            <w:pPr>
              <w:pStyle w:val="48"/>
              <w:jc w:val="center"/>
              <w:rPr>
                <w:rFonts w:hint="eastAsia" w:ascii="仿宋" w:hAnsi="仿宋" w:eastAsia="仿宋" w:cs="仿宋"/>
                <w:color w:val="auto"/>
                <w:sz w:val="21"/>
                <w:szCs w:val="21"/>
                <w:highlight w:val="none"/>
              </w:rPr>
            </w:pPr>
          </w:p>
        </w:tc>
        <w:tc>
          <w:tcPr>
            <w:tcW w:w="816" w:type="dxa"/>
            <w:vAlign w:val="center"/>
          </w:tcPr>
          <w:p w14:paraId="2AAE1A6B">
            <w:pPr>
              <w:pStyle w:val="48"/>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8"/>
              <w:jc w:val="center"/>
              <w:rPr>
                <w:rFonts w:hint="eastAsia" w:ascii="仿宋" w:hAnsi="仿宋" w:eastAsia="仿宋" w:cs="仿宋"/>
                <w:color w:val="auto"/>
                <w:sz w:val="21"/>
                <w:szCs w:val="21"/>
                <w:highlight w:val="none"/>
              </w:rPr>
            </w:pPr>
            <w:bookmarkStart w:id="100" w:name="_Toc100090785"/>
            <w:bookmarkStart w:id="101" w:name="_Toc99533293"/>
            <w:r>
              <w:rPr>
                <w:rFonts w:hint="eastAsia" w:ascii="仿宋" w:hAnsi="仿宋" w:eastAsia="仿宋" w:cs="仿宋"/>
                <w:color w:val="auto"/>
                <w:sz w:val="21"/>
                <w:szCs w:val="21"/>
                <w:highlight w:val="none"/>
              </w:rPr>
              <w:t>2</w:t>
            </w:r>
            <w:bookmarkEnd w:id="100"/>
            <w:bookmarkEnd w:id="101"/>
          </w:p>
        </w:tc>
        <w:tc>
          <w:tcPr>
            <w:tcW w:w="1267" w:type="dxa"/>
            <w:vAlign w:val="center"/>
          </w:tcPr>
          <w:p w14:paraId="5DB11A6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8"/>
              <w:jc w:val="center"/>
              <w:rPr>
                <w:rFonts w:hint="eastAsia" w:ascii="仿宋" w:hAnsi="仿宋" w:eastAsia="仿宋" w:cs="仿宋"/>
                <w:color w:val="auto"/>
                <w:sz w:val="21"/>
                <w:szCs w:val="21"/>
                <w:highlight w:val="none"/>
              </w:rPr>
            </w:pPr>
          </w:p>
        </w:tc>
        <w:tc>
          <w:tcPr>
            <w:tcW w:w="1860" w:type="dxa"/>
            <w:vAlign w:val="center"/>
          </w:tcPr>
          <w:p w14:paraId="7B070DF3">
            <w:pPr>
              <w:pStyle w:val="48"/>
              <w:jc w:val="center"/>
              <w:rPr>
                <w:rFonts w:hint="eastAsia" w:ascii="仿宋" w:hAnsi="仿宋" w:eastAsia="仿宋" w:cs="仿宋"/>
                <w:color w:val="auto"/>
                <w:sz w:val="21"/>
                <w:szCs w:val="21"/>
                <w:highlight w:val="none"/>
              </w:rPr>
            </w:pPr>
          </w:p>
        </w:tc>
        <w:tc>
          <w:tcPr>
            <w:tcW w:w="1356" w:type="dxa"/>
            <w:vAlign w:val="center"/>
          </w:tcPr>
          <w:p w14:paraId="36DCE26B">
            <w:pPr>
              <w:pStyle w:val="48"/>
              <w:jc w:val="center"/>
              <w:rPr>
                <w:rFonts w:hint="eastAsia" w:ascii="仿宋" w:hAnsi="仿宋" w:eastAsia="仿宋" w:cs="仿宋"/>
                <w:color w:val="auto"/>
                <w:sz w:val="21"/>
                <w:szCs w:val="21"/>
                <w:highlight w:val="none"/>
              </w:rPr>
            </w:pPr>
          </w:p>
        </w:tc>
        <w:tc>
          <w:tcPr>
            <w:tcW w:w="816" w:type="dxa"/>
            <w:vAlign w:val="center"/>
          </w:tcPr>
          <w:p w14:paraId="1574287F">
            <w:pPr>
              <w:pStyle w:val="48"/>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8"/>
              <w:jc w:val="center"/>
              <w:rPr>
                <w:rFonts w:hint="eastAsia" w:ascii="仿宋" w:hAnsi="仿宋" w:eastAsia="仿宋" w:cs="仿宋"/>
                <w:color w:val="auto"/>
                <w:sz w:val="21"/>
                <w:szCs w:val="21"/>
                <w:highlight w:val="none"/>
              </w:rPr>
            </w:pPr>
            <w:bookmarkStart w:id="102" w:name="_Toc100090786"/>
            <w:bookmarkStart w:id="103" w:name="_Toc99533294"/>
            <w:r>
              <w:rPr>
                <w:rFonts w:hint="eastAsia" w:ascii="仿宋" w:hAnsi="仿宋" w:eastAsia="仿宋" w:cs="仿宋"/>
                <w:color w:val="auto"/>
                <w:sz w:val="21"/>
                <w:szCs w:val="21"/>
                <w:highlight w:val="none"/>
              </w:rPr>
              <w:t>3</w:t>
            </w:r>
            <w:bookmarkEnd w:id="102"/>
            <w:bookmarkEnd w:id="103"/>
          </w:p>
        </w:tc>
        <w:tc>
          <w:tcPr>
            <w:tcW w:w="1267" w:type="dxa"/>
            <w:vAlign w:val="center"/>
          </w:tcPr>
          <w:p w14:paraId="40858BDB">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8"/>
              <w:jc w:val="center"/>
              <w:rPr>
                <w:rFonts w:hint="eastAsia" w:ascii="仿宋" w:hAnsi="仿宋" w:eastAsia="仿宋" w:cs="仿宋"/>
                <w:color w:val="auto"/>
                <w:sz w:val="21"/>
                <w:szCs w:val="21"/>
                <w:highlight w:val="none"/>
              </w:rPr>
            </w:pPr>
          </w:p>
        </w:tc>
        <w:tc>
          <w:tcPr>
            <w:tcW w:w="1860" w:type="dxa"/>
            <w:vAlign w:val="center"/>
          </w:tcPr>
          <w:p w14:paraId="4A0CAA03">
            <w:pPr>
              <w:pStyle w:val="48"/>
              <w:jc w:val="center"/>
              <w:rPr>
                <w:rFonts w:hint="eastAsia" w:ascii="仿宋" w:hAnsi="仿宋" w:eastAsia="仿宋" w:cs="仿宋"/>
                <w:color w:val="auto"/>
                <w:sz w:val="21"/>
                <w:szCs w:val="21"/>
                <w:highlight w:val="none"/>
              </w:rPr>
            </w:pPr>
          </w:p>
        </w:tc>
        <w:tc>
          <w:tcPr>
            <w:tcW w:w="1356" w:type="dxa"/>
            <w:vAlign w:val="center"/>
          </w:tcPr>
          <w:p w14:paraId="63A7AE0E">
            <w:pPr>
              <w:pStyle w:val="48"/>
              <w:jc w:val="center"/>
              <w:rPr>
                <w:rFonts w:hint="eastAsia" w:ascii="仿宋" w:hAnsi="仿宋" w:eastAsia="仿宋" w:cs="仿宋"/>
                <w:color w:val="auto"/>
                <w:sz w:val="21"/>
                <w:szCs w:val="21"/>
                <w:highlight w:val="none"/>
              </w:rPr>
            </w:pPr>
          </w:p>
        </w:tc>
        <w:tc>
          <w:tcPr>
            <w:tcW w:w="816" w:type="dxa"/>
            <w:vAlign w:val="center"/>
          </w:tcPr>
          <w:p w14:paraId="22B0389D">
            <w:pPr>
              <w:pStyle w:val="48"/>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8"/>
              <w:jc w:val="center"/>
              <w:rPr>
                <w:rFonts w:hint="eastAsia" w:ascii="仿宋" w:hAnsi="仿宋" w:eastAsia="仿宋" w:cs="仿宋"/>
                <w:color w:val="auto"/>
                <w:sz w:val="21"/>
                <w:szCs w:val="21"/>
                <w:highlight w:val="none"/>
              </w:rPr>
            </w:pPr>
            <w:bookmarkStart w:id="104" w:name="_Toc99533295"/>
            <w:bookmarkStart w:id="105" w:name="_Toc100090787"/>
            <w:r>
              <w:rPr>
                <w:rFonts w:hint="eastAsia" w:ascii="仿宋" w:hAnsi="仿宋" w:eastAsia="仿宋" w:cs="仿宋"/>
                <w:color w:val="auto"/>
                <w:sz w:val="21"/>
                <w:szCs w:val="21"/>
                <w:highlight w:val="none"/>
              </w:rPr>
              <w:t>4</w:t>
            </w:r>
            <w:bookmarkEnd w:id="104"/>
            <w:bookmarkEnd w:id="105"/>
          </w:p>
        </w:tc>
        <w:tc>
          <w:tcPr>
            <w:tcW w:w="1267" w:type="dxa"/>
            <w:vAlign w:val="center"/>
          </w:tcPr>
          <w:p w14:paraId="5B7611CD">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8"/>
              <w:jc w:val="center"/>
              <w:rPr>
                <w:rFonts w:hint="eastAsia" w:ascii="仿宋" w:hAnsi="仿宋" w:eastAsia="仿宋" w:cs="仿宋"/>
                <w:color w:val="auto"/>
                <w:sz w:val="21"/>
                <w:szCs w:val="21"/>
                <w:highlight w:val="none"/>
              </w:rPr>
            </w:pPr>
          </w:p>
        </w:tc>
        <w:tc>
          <w:tcPr>
            <w:tcW w:w="1860" w:type="dxa"/>
            <w:vAlign w:val="center"/>
          </w:tcPr>
          <w:p w14:paraId="430527F1">
            <w:pPr>
              <w:pStyle w:val="48"/>
              <w:jc w:val="center"/>
              <w:rPr>
                <w:rFonts w:hint="eastAsia" w:ascii="仿宋" w:hAnsi="仿宋" w:eastAsia="仿宋" w:cs="仿宋"/>
                <w:color w:val="auto"/>
                <w:sz w:val="21"/>
                <w:szCs w:val="21"/>
                <w:highlight w:val="none"/>
              </w:rPr>
            </w:pPr>
          </w:p>
        </w:tc>
        <w:tc>
          <w:tcPr>
            <w:tcW w:w="1356" w:type="dxa"/>
            <w:vAlign w:val="center"/>
          </w:tcPr>
          <w:p w14:paraId="4D7FEC1C">
            <w:pPr>
              <w:pStyle w:val="48"/>
              <w:jc w:val="center"/>
              <w:rPr>
                <w:rFonts w:hint="eastAsia" w:ascii="仿宋" w:hAnsi="仿宋" w:eastAsia="仿宋" w:cs="仿宋"/>
                <w:color w:val="auto"/>
                <w:sz w:val="21"/>
                <w:szCs w:val="21"/>
                <w:highlight w:val="none"/>
              </w:rPr>
            </w:pPr>
          </w:p>
        </w:tc>
        <w:tc>
          <w:tcPr>
            <w:tcW w:w="816" w:type="dxa"/>
            <w:vAlign w:val="center"/>
          </w:tcPr>
          <w:p w14:paraId="6F9CE1D1">
            <w:pPr>
              <w:pStyle w:val="48"/>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8"/>
              <w:jc w:val="center"/>
              <w:rPr>
                <w:rFonts w:hint="eastAsia" w:ascii="仿宋" w:hAnsi="仿宋" w:eastAsia="仿宋" w:cs="仿宋"/>
                <w:color w:val="auto"/>
                <w:sz w:val="21"/>
                <w:szCs w:val="21"/>
                <w:highlight w:val="none"/>
              </w:rPr>
            </w:pPr>
            <w:bookmarkStart w:id="106" w:name="_Toc99533296"/>
            <w:bookmarkStart w:id="107" w:name="_Toc100090788"/>
            <w:r>
              <w:rPr>
                <w:rFonts w:hint="eastAsia" w:ascii="仿宋" w:hAnsi="仿宋" w:eastAsia="仿宋" w:cs="仿宋"/>
                <w:color w:val="auto"/>
                <w:sz w:val="21"/>
                <w:szCs w:val="21"/>
                <w:highlight w:val="none"/>
              </w:rPr>
              <w:t>5</w:t>
            </w:r>
            <w:bookmarkEnd w:id="106"/>
            <w:bookmarkEnd w:id="107"/>
          </w:p>
        </w:tc>
        <w:tc>
          <w:tcPr>
            <w:tcW w:w="1267" w:type="dxa"/>
            <w:vAlign w:val="center"/>
          </w:tcPr>
          <w:p w14:paraId="4BDD046A">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8"/>
              <w:jc w:val="center"/>
              <w:rPr>
                <w:rFonts w:hint="eastAsia" w:ascii="仿宋" w:hAnsi="仿宋" w:eastAsia="仿宋" w:cs="仿宋"/>
                <w:color w:val="auto"/>
                <w:sz w:val="21"/>
                <w:szCs w:val="21"/>
                <w:highlight w:val="none"/>
              </w:rPr>
            </w:pPr>
          </w:p>
        </w:tc>
        <w:tc>
          <w:tcPr>
            <w:tcW w:w="1860" w:type="dxa"/>
            <w:vAlign w:val="center"/>
          </w:tcPr>
          <w:p w14:paraId="510CC0E0">
            <w:pPr>
              <w:pStyle w:val="48"/>
              <w:jc w:val="center"/>
              <w:rPr>
                <w:rFonts w:hint="eastAsia" w:ascii="仿宋" w:hAnsi="仿宋" w:eastAsia="仿宋" w:cs="仿宋"/>
                <w:color w:val="auto"/>
                <w:sz w:val="21"/>
                <w:szCs w:val="21"/>
                <w:highlight w:val="none"/>
              </w:rPr>
            </w:pPr>
          </w:p>
        </w:tc>
        <w:tc>
          <w:tcPr>
            <w:tcW w:w="1356" w:type="dxa"/>
            <w:vAlign w:val="center"/>
          </w:tcPr>
          <w:p w14:paraId="64D57D40">
            <w:pPr>
              <w:pStyle w:val="48"/>
              <w:jc w:val="center"/>
              <w:rPr>
                <w:rFonts w:hint="eastAsia" w:ascii="仿宋" w:hAnsi="仿宋" w:eastAsia="仿宋" w:cs="仿宋"/>
                <w:color w:val="auto"/>
                <w:sz w:val="21"/>
                <w:szCs w:val="21"/>
                <w:highlight w:val="none"/>
              </w:rPr>
            </w:pPr>
          </w:p>
        </w:tc>
        <w:tc>
          <w:tcPr>
            <w:tcW w:w="816" w:type="dxa"/>
            <w:vAlign w:val="center"/>
          </w:tcPr>
          <w:p w14:paraId="48F852E5">
            <w:pPr>
              <w:pStyle w:val="48"/>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8"/>
              <w:jc w:val="center"/>
              <w:rPr>
                <w:rFonts w:hint="eastAsia" w:ascii="仿宋" w:hAnsi="仿宋" w:eastAsia="仿宋" w:cs="仿宋"/>
                <w:color w:val="auto"/>
                <w:sz w:val="21"/>
                <w:szCs w:val="21"/>
                <w:highlight w:val="none"/>
              </w:rPr>
            </w:pPr>
            <w:bookmarkStart w:id="108" w:name="_Toc100090789"/>
            <w:bookmarkStart w:id="109" w:name="_Toc99533297"/>
            <w:r>
              <w:rPr>
                <w:rFonts w:hint="eastAsia" w:ascii="仿宋" w:hAnsi="仿宋" w:eastAsia="仿宋" w:cs="仿宋"/>
                <w:color w:val="auto"/>
                <w:sz w:val="21"/>
                <w:szCs w:val="21"/>
                <w:highlight w:val="none"/>
              </w:rPr>
              <w:t>6</w:t>
            </w:r>
            <w:bookmarkEnd w:id="108"/>
            <w:bookmarkEnd w:id="109"/>
          </w:p>
        </w:tc>
        <w:tc>
          <w:tcPr>
            <w:tcW w:w="1267" w:type="dxa"/>
            <w:vAlign w:val="center"/>
          </w:tcPr>
          <w:p w14:paraId="33A64A03">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8"/>
              <w:jc w:val="center"/>
              <w:rPr>
                <w:rFonts w:hint="eastAsia" w:ascii="仿宋" w:hAnsi="仿宋" w:eastAsia="仿宋" w:cs="仿宋"/>
                <w:color w:val="auto"/>
                <w:sz w:val="21"/>
                <w:szCs w:val="21"/>
                <w:highlight w:val="none"/>
              </w:rPr>
            </w:pPr>
          </w:p>
        </w:tc>
        <w:tc>
          <w:tcPr>
            <w:tcW w:w="1860" w:type="dxa"/>
            <w:vAlign w:val="center"/>
          </w:tcPr>
          <w:p w14:paraId="32D844EF">
            <w:pPr>
              <w:pStyle w:val="48"/>
              <w:jc w:val="center"/>
              <w:rPr>
                <w:rFonts w:hint="eastAsia" w:ascii="仿宋" w:hAnsi="仿宋" w:eastAsia="仿宋" w:cs="仿宋"/>
                <w:color w:val="auto"/>
                <w:sz w:val="21"/>
                <w:szCs w:val="21"/>
                <w:highlight w:val="none"/>
              </w:rPr>
            </w:pPr>
          </w:p>
        </w:tc>
        <w:tc>
          <w:tcPr>
            <w:tcW w:w="1356" w:type="dxa"/>
            <w:vAlign w:val="center"/>
          </w:tcPr>
          <w:p w14:paraId="4CC88A42">
            <w:pPr>
              <w:pStyle w:val="48"/>
              <w:jc w:val="center"/>
              <w:rPr>
                <w:rFonts w:hint="eastAsia" w:ascii="仿宋" w:hAnsi="仿宋" w:eastAsia="仿宋" w:cs="仿宋"/>
                <w:color w:val="auto"/>
                <w:sz w:val="21"/>
                <w:szCs w:val="21"/>
                <w:highlight w:val="none"/>
              </w:rPr>
            </w:pPr>
          </w:p>
        </w:tc>
        <w:tc>
          <w:tcPr>
            <w:tcW w:w="816" w:type="dxa"/>
            <w:vAlign w:val="center"/>
          </w:tcPr>
          <w:p w14:paraId="547CA019">
            <w:pPr>
              <w:pStyle w:val="48"/>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8"/>
              <w:jc w:val="center"/>
              <w:rPr>
                <w:rFonts w:hint="eastAsia" w:ascii="仿宋" w:hAnsi="仿宋" w:eastAsia="仿宋" w:cs="仿宋"/>
                <w:color w:val="auto"/>
                <w:sz w:val="21"/>
                <w:szCs w:val="21"/>
                <w:highlight w:val="none"/>
              </w:rPr>
            </w:pPr>
            <w:bookmarkStart w:id="110" w:name="_Toc100090790"/>
            <w:bookmarkStart w:id="111" w:name="_Toc99533298"/>
            <w:r>
              <w:rPr>
                <w:rFonts w:hint="eastAsia" w:ascii="仿宋" w:hAnsi="仿宋" w:eastAsia="仿宋" w:cs="仿宋"/>
                <w:color w:val="auto"/>
                <w:sz w:val="21"/>
                <w:szCs w:val="21"/>
                <w:highlight w:val="none"/>
              </w:rPr>
              <w:t>7</w:t>
            </w:r>
            <w:bookmarkEnd w:id="110"/>
            <w:bookmarkEnd w:id="111"/>
          </w:p>
        </w:tc>
        <w:tc>
          <w:tcPr>
            <w:tcW w:w="1267" w:type="dxa"/>
            <w:vAlign w:val="center"/>
          </w:tcPr>
          <w:p w14:paraId="124F0451">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8"/>
              <w:jc w:val="center"/>
              <w:rPr>
                <w:rFonts w:hint="eastAsia" w:ascii="仿宋" w:hAnsi="仿宋" w:eastAsia="仿宋" w:cs="仿宋"/>
                <w:color w:val="auto"/>
                <w:sz w:val="21"/>
                <w:szCs w:val="21"/>
                <w:highlight w:val="none"/>
              </w:rPr>
            </w:pPr>
          </w:p>
        </w:tc>
        <w:tc>
          <w:tcPr>
            <w:tcW w:w="1860" w:type="dxa"/>
            <w:vAlign w:val="center"/>
          </w:tcPr>
          <w:p w14:paraId="175CEFFD">
            <w:pPr>
              <w:pStyle w:val="48"/>
              <w:jc w:val="center"/>
              <w:rPr>
                <w:rFonts w:hint="eastAsia" w:ascii="仿宋" w:hAnsi="仿宋" w:eastAsia="仿宋" w:cs="仿宋"/>
                <w:color w:val="auto"/>
                <w:sz w:val="21"/>
                <w:szCs w:val="21"/>
                <w:highlight w:val="none"/>
              </w:rPr>
            </w:pPr>
          </w:p>
        </w:tc>
        <w:tc>
          <w:tcPr>
            <w:tcW w:w="1356" w:type="dxa"/>
            <w:vAlign w:val="center"/>
          </w:tcPr>
          <w:p w14:paraId="4EC4E763">
            <w:pPr>
              <w:pStyle w:val="48"/>
              <w:jc w:val="center"/>
              <w:rPr>
                <w:rFonts w:hint="eastAsia" w:ascii="仿宋" w:hAnsi="仿宋" w:eastAsia="仿宋" w:cs="仿宋"/>
                <w:color w:val="auto"/>
                <w:sz w:val="21"/>
                <w:szCs w:val="21"/>
                <w:highlight w:val="none"/>
              </w:rPr>
            </w:pPr>
          </w:p>
        </w:tc>
        <w:tc>
          <w:tcPr>
            <w:tcW w:w="816" w:type="dxa"/>
            <w:vAlign w:val="center"/>
          </w:tcPr>
          <w:p w14:paraId="510FCAD5">
            <w:pPr>
              <w:pStyle w:val="48"/>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8"/>
              <w:jc w:val="center"/>
              <w:rPr>
                <w:rFonts w:hint="eastAsia" w:ascii="仿宋" w:hAnsi="仿宋" w:eastAsia="仿宋" w:cs="仿宋"/>
                <w:color w:val="auto"/>
                <w:sz w:val="21"/>
                <w:szCs w:val="21"/>
                <w:highlight w:val="none"/>
              </w:rPr>
            </w:pPr>
            <w:bookmarkStart w:id="112" w:name="_Toc99533299"/>
            <w:bookmarkStart w:id="113" w:name="_Toc100090791"/>
            <w:r>
              <w:rPr>
                <w:rFonts w:hint="eastAsia" w:ascii="仿宋" w:hAnsi="仿宋" w:eastAsia="仿宋" w:cs="仿宋"/>
                <w:color w:val="auto"/>
                <w:sz w:val="21"/>
                <w:szCs w:val="21"/>
                <w:highlight w:val="none"/>
              </w:rPr>
              <w:t>8</w:t>
            </w:r>
            <w:bookmarkEnd w:id="112"/>
            <w:bookmarkEnd w:id="113"/>
          </w:p>
        </w:tc>
        <w:tc>
          <w:tcPr>
            <w:tcW w:w="1267" w:type="dxa"/>
            <w:vAlign w:val="center"/>
          </w:tcPr>
          <w:p w14:paraId="6CCBF149">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8"/>
              <w:jc w:val="center"/>
              <w:rPr>
                <w:rFonts w:hint="eastAsia" w:ascii="仿宋" w:hAnsi="仿宋" w:eastAsia="仿宋" w:cs="仿宋"/>
                <w:color w:val="auto"/>
                <w:sz w:val="21"/>
                <w:szCs w:val="21"/>
                <w:highlight w:val="none"/>
              </w:rPr>
            </w:pPr>
          </w:p>
        </w:tc>
        <w:tc>
          <w:tcPr>
            <w:tcW w:w="1860" w:type="dxa"/>
            <w:vAlign w:val="center"/>
          </w:tcPr>
          <w:p w14:paraId="7063EAFF">
            <w:pPr>
              <w:pStyle w:val="48"/>
              <w:jc w:val="center"/>
              <w:rPr>
                <w:rFonts w:hint="eastAsia" w:ascii="仿宋" w:hAnsi="仿宋" w:eastAsia="仿宋" w:cs="仿宋"/>
                <w:color w:val="auto"/>
                <w:sz w:val="21"/>
                <w:szCs w:val="21"/>
                <w:highlight w:val="none"/>
              </w:rPr>
            </w:pPr>
          </w:p>
        </w:tc>
        <w:tc>
          <w:tcPr>
            <w:tcW w:w="1356" w:type="dxa"/>
            <w:vAlign w:val="center"/>
          </w:tcPr>
          <w:p w14:paraId="77E7A473">
            <w:pPr>
              <w:pStyle w:val="48"/>
              <w:jc w:val="center"/>
              <w:rPr>
                <w:rFonts w:hint="eastAsia" w:ascii="仿宋" w:hAnsi="仿宋" w:eastAsia="仿宋" w:cs="仿宋"/>
                <w:color w:val="auto"/>
                <w:sz w:val="21"/>
                <w:szCs w:val="21"/>
                <w:highlight w:val="none"/>
              </w:rPr>
            </w:pPr>
          </w:p>
        </w:tc>
        <w:tc>
          <w:tcPr>
            <w:tcW w:w="816" w:type="dxa"/>
            <w:vAlign w:val="center"/>
          </w:tcPr>
          <w:p w14:paraId="0D5C1B1E">
            <w:pPr>
              <w:pStyle w:val="48"/>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8"/>
              <w:jc w:val="center"/>
              <w:rPr>
                <w:rFonts w:hint="eastAsia" w:ascii="仿宋" w:hAnsi="仿宋" w:eastAsia="仿宋" w:cs="仿宋"/>
                <w:color w:val="auto"/>
                <w:sz w:val="21"/>
                <w:szCs w:val="21"/>
                <w:highlight w:val="none"/>
              </w:rPr>
            </w:pPr>
            <w:bookmarkStart w:id="114" w:name="_Toc100090792"/>
            <w:bookmarkStart w:id="115" w:name="_Toc99533300"/>
            <w:r>
              <w:rPr>
                <w:rFonts w:hint="eastAsia" w:ascii="仿宋" w:hAnsi="仿宋" w:eastAsia="仿宋" w:cs="仿宋"/>
                <w:color w:val="auto"/>
                <w:sz w:val="21"/>
                <w:szCs w:val="21"/>
                <w:highlight w:val="none"/>
              </w:rPr>
              <w:t>9</w:t>
            </w:r>
            <w:bookmarkEnd w:id="114"/>
            <w:bookmarkEnd w:id="115"/>
          </w:p>
        </w:tc>
        <w:tc>
          <w:tcPr>
            <w:tcW w:w="1267" w:type="dxa"/>
            <w:vAlign w:val="center"/>
          </w:tcPr>
          <w:p w14:paraId="1425A618">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8"/>
              <w:jc w:val="center"/>
              <w:rPr>
                <w:rFonts w:hint="eastAsia" w:ascii="仿宋" w:hAnsi="仿宋" w:eastAsia="仿宋" w:cs="仿宋"/>
                <w:color w:val="auto"/>
                <w:sz w:val="21"/>
                <w:szCs w:val="21"/>
                <w:highlight w:val="none"/>
              </w:rPr>
            </w:pPr>
          </w:p>
        </w:tc>
        <w:tc>
          <w:tcPr>
            <w:tcW w:w="1860" w:type="dxa"/>
            <w:vAlign w:val="center"/>
          </w:tcPr>
          <w:p w14:paraId="1FE5A1CC">
            <w:pPr>
              <w:pStyle w:val="48"/>
              <w:jc w:val="center"/>
              <w:rPr>
                <w:rFonts w:hint="eastAsia" w:ascii="仿宋" w:hAnsi="仿宋" w:eastAsia="仿宋" w:cs="仿宋"/>
                <w:color w:val="auto"/>
                <w:sz w:val="21"/>
                <w:szCs w:val="21"/>
                <w:highlight w:val="none"/>
              </w:rPr>
            </w:pPr>
          </w:p>
        </w:tc>
        <w:tc>
          <w:tcPr>
            <w:tcW w:w="1356" w:type="dxa"/>
            <w:vAlign w:val="center"/>
          </w:tcPr>
          <w:p w14:paraId="49FC5E5A">
            <w:pPr>
              <w:pStyle w:val="48"/>
              <w:jc w:val="center"/>
              <w:rPr>
                <w:rFonts w:hint="eastAsia" w:ascii="仿宋" w:hAnsi="仿宋" w:eastAsia="仿宋" w:cs="仿宋"/>
                <w:color w:val="auto"/>
                <w:sz w:val="21"/>
                <w:szCs w:val="21"/>
                <w:highlight w:val="none"/>
              </w:rPr>
            </w:pPr>
          </w:p>
        </w:tc>
        <w:tc>
          <w:tcPr>
            <w:tcW w:w="816" w:type="dxa"/>
            <w:vAlign w:val="center"/>
          </w:tcPr>
          <w:p w14:paraId="301B83F0">
            <w:pPr>
              <w:pStyle w:val="48"/>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8"/>
              <w:jc w:val="center"/>
              <w:rPr>
                <w:rFonts w:hint="eastAsia" w:ascii="仿宋" w:hAnsi="仿宋" w:eastAsia="仿宋" w:cs="仿宋"/>
                <w:color w:val="auto"/>
                <w:sz w:val="21"/>
                <w:szCs w:val="21"/>
                <w:highlight w:val="none"/>
              </w:rPr>
            </w:pPr>
            <w:bookmarkStart w:id="116" w:name="_Toc99533301"/>
            <w:bookmarkStart w:id="117" w:name="_Toc100090793"/>
            <w:r>
              <w:rPr>
                <w:rFonts w:hint="eastAsia" w:ascii="仿宋" w:hAnsi="仿宋" w:eastAsia="仿宋" w:cs="仿宋"/>
                <w:color w:val="auto"/>
                <w:sz w:val="21"/>
                <w:szCs w:val="21"/>
                <w:highlight w:val="none"/>
              </w:rPr>
              <w:t>10</w:t>
            </w:r>
            <w:bookmarkEnd w:id="116"/>
            <w:bookmarkEnd w:id="117"/>
          </w:p>
        </w:tc>
        <w:tc>
          <w:tcPr>
            <w:tcW w:w="1267" w:type="dxa"/>
            <w:vAlign w:val="center"/>
          </w:tcPr>
          <w:p w14:paraId="2F9803B6">
            <w:pPr>
              <w:pStyle w:val="48"/>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8"/>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8"/>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8"/>
              <w:jc w:val="center"/>
              <w:rPr>
                <w:rFonts w:hint="eastAsia" w:ascii="仿宋" w:hAnsi="仿宋" w:eastAsia="仿宋" w:cs="仿宋"/>
                <w:color w:val="auto"/>
                <w:sz w:val="21"/>
                <w:szCs w:val="21"/>
                <w:highlight w:val="none"/>
              </w:rPr>
            </w:pPr>
          </w:p>
        </w:tc>
        <w:tc>
          <w:tcPr>
            <w:tcW w:w="1860" w:type="dxa"/>
            <w:vAlign w:val="center"/>
          </w:tcPr>
          <w:p w14:paraId="6C9B414E">
            <w:pPr>
              <w:pStyle w:val="48"/>
              <w:jc w:val="center"/>
              <w:rPr>
                <w:rFonts w:hint="eastAsia" w:ascii="仿宋" w:hAnsi="仿宋" w:eastAsia="仿宋" w:cs="仿宋"/>
                <w:color w:val="auto"/>
                <w:sz w:val="21"/>
                <w:szCs w:val="21"/>
                <w:highlight w:val="none"/>
              </w:rPr>
            </w:pPr>
          </w:p>
        </w:tc>
        <w:tc>
          <w:tcPr>
            <w:tcW w:w="1356" w:type="dxa"/>
            <w:vAlign w:val="center"/>
          </w:tcPr>
          <w:p w14:paraId="00D6F999">
            <w:pPr>
              <w:pStyle w:val="48"/>
              <w:jc w:val="center"/>
              <w:rPr>
                <w:rFonts w:hint="eastAsia" w:ascii="仿宋" w:hAnsi="仿宋" w:eastAsia="仿宋" w:cs="仿宋"/>
                <w:color w:val="auto"/>
                <w:sz w:val="21"/>
                <w:szCs w:val="21"/>
                <w:highlight w:val="none"/>
              </w:rPr>
            </w:pPr>
          </w:p>
        </w:tc>
        <w:tc>
          <w:tcPr>
            <w:tcW w:w="816" w:type="dxa"/>
            <w:vAlign w:val="center"/>
          </w:tcPr>
          <w:p w14:paraId="701AC606">
            <w:pPr>
              <w:pStyle w:val="48"/>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auto"/>
          <w:kern w:val="0"/>
          <w:sz w:val="24"/>
          <w:szCs w:val="24"/>
          <w:highlight w:val="none"/>
          <w:lang w:val="en-US" w:eastAsia="zh-CN" w:bidi="ar"/>
        </w:rPr>
        <w:br w:type="page"/>
      </w:r>
    </w:p>
    <w:bookmarkEnd w:id="88"/>
    <w:p w14:paraId="4B8E95D6">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18" w:name="_Toc6119"/>
      <w:r>
        <w:rPr>
          <w:rFonts w:hint="eastAsia" w:ascii="仿宋" w:hAnsi="仿宋" w:eastAsia="仿宋" w:cs="仿宋"/>
          <w:b/>
          <w:bCs/>
          <w:color w:val="auto"/>
          <w:kern w:val="0"/>
          <w:sz w:val="28"/>
          <w:szCs w:val="28"/>
          <w:highlight w:val="none"/>
          <w:lang w:val="en-US" w:eastAsia="zh-CN" w:bidi="ar"/>
        </w:rPr>
        <w:t>合同条款偏离表</w:t>
      </w:r>
      <w:bookmarkEnd w:id="118"/>
    </w:p>
    <w:p w14:paraId="128A7E49">
      <w:pPr>
        <w:pStyle w:val="22"/>
        <w:ind w:left="0" w:leftChars="0" w:firstLine="0" w:firstLineChars="0"/>
        <w:jc w:val="center"/>
        <w:rPr>
          <w:rFonts w:hint="eastAsia" w:ascii="仿宋" w:hAnsi="仿宋" w:eastAsia="仿宋" w:cs="仿宋"/>
          <w:color w:val="auto"/>
          <w:sz w:val="32"/>
          <w:szCs w:val="32"/>
          <w:highlight w:val="none"/>
          <w:lang w:val="en-US" w:eastAsia="zh-CN"/>
        </w:rPr>
      </w:pPr>
    </w:p>
    <w:p w14:paraId="4B3A42AF">
      <w:pPr>
        <w:pStyle w:val="22"/>
        <w:ind w:left="0" w:leftChars="0" w:firstLine="0" w:firstLineChars="0"/>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479623B5">
      <w:pPr>
        <w:rPr>
          <w:rFonts w:hint="eastAsia" w:ascii="仿宋" w:hAnsi="仿宋" w:eastAsia="仿宋" w:cs="仿宋"/>
          <w:color w:val="auto"/>
          <w:highlight w:val="none"/>
          <w:lang w:val="en-US" w:eastAsia="zh-CN"/>
        </w:rPr>
      </w:pPr>
    </w:p>
    <w:p w14:paraId="746EEBD3">
      <w:pPr>
        <w:pStyle w:val="22"/>
        <w:ind w:left="0" w:leftChars="0" w:firstLine="0" w:firstLineChars="0"/>
        <w:jc w:val="lef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项目编号</w:t>
      </w:r>
      <w:r>
        <w:rPr>
          <w:rFonts w:hint="eastAsia" w:ascii="仿宋" w:hAnsi="仿宋" w:eastAsia="仿宋" w:cs="仿宋"/>
          <w:color w:val="auto"/>
          <w:highlight w:val="none"/>
          <w:u w:val="single"/>
          <w:lang w:val="en-US" w:eastAsia="zh-CN"/>
        </w:rPr>
        <w:t xml:space="preserve">                        </w:t>
      </w:r>
    </w:p>
    <w:p w14:paraId="4028E8F6">
      <w:pPr>
        <w:rPr>
          <w:rFonts w:hint="default"/>
          <w:color w:val="auto"/>
          <w:highlight w:val="none"/>
          <w:lang w:val="en-US" w:eastAsia="zh-CN"/>
        </w:rPr>
      </w:pPr>
      <w:r>
        <w:rPr>
          <w:rFonts w:hint="eastAsia" w:ascii="仿宋" w:hAnsi="仿宋" w:eastAsia="仿宋" w:cs="仿宋"/>
          <w:color w:val="auto"/>
          <w:highlight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w:t>
            </w:r>
            <w:r>
              <w:rPr>
                <w:rFonts w:hint="eastAsia" w:ascii="仿宋" w:hAnsi="仿宋" w:eastAsia="仿宋" w:cs="仿宋"/>
                <w:b/>
                <w:bCs/>
                <w:color w:val="auto"/>
                <w:sz w:val="24"/>
                <w:szCs w:val="24"/>
                <w:highlight w:val="none"/>
                <w:vertAlign w:val="baseline"/>
                <w:lang w:val="en-US" w:eastAsia="zh-CN"/>
              </w:rPr>
              <w:t>投标无效</w:t>
            </w:r>
            <w:r>
              <w:rPr>
                <w:rFonts w:hint="eastAsia" w:ascii="仿宋" w:hAnsi="仿宋" w:eastAsia="仿宋" w:cs="仿宋"/>
                <w:color w:val="auto"/>
                <w:sz w:val="24"/>
                <w:szCs w:val="24"/>
                <w:highlight w:val="none"/>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05DA27B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2DAB685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color w:val="auto"/>
                <w:sz w:val="24"/>
                <w:szCs w:val="24"/>
                <w:highlight w:val="none"/>
                <w:vertAlign w:val="baseline"/>
                <w:lang w:val="en-US" w:eastAsia="zh-CN"/>
              </w:rPr>
            </w:pPr>
          </w:p>
        </w:tc>
        <w:tc>
          <w:tcPr>
            <w:tcW w:w="1421" w:type="dxa"/>
          </w:tcPr>
          <w:p w14:paraId="502F5CB5">
            <w:pPr>
              <w:rPr>
                <w:rFonts w:hint="eastAsia" w:ascii="仿宋" w:hAnsi="仿宋" w:eastAsia="仿宋" w:cs="仿宋"/>
                <w:color w:val="auto"/>
                <w:sz w:val="24"/>
                <w:szCs w:val="24"/>
                <w:highlight w:val="none"/>
                <w:vertAlign w:val="baseline"/>
                <w:lang w:val="en-US" w:eastAsia="zh-CN"/>
              </w:rPr>
            </w:pPr>
          </w:p>
        </w:tc>
        <w:tc>
          <w:tcPr>
            <w:tcW w:w="1901" w:type="dxa"/>
          </w:tcPr>
          <w:p w14:paraId="1CA315D2">
            <w:pPr>
              <w:rPr>
                <w:rFonts w:hint="eastAsia" w:ascii="仿宋" w:hAnsi="仿宋" w:eastAsia="仿宋" w:cs="仿宋"/>
                <w:color w:val="auto"/>
                <w:sz w:val="24"/>
                <w:szCs w:val="24"/>
                <w:highlight w:val="none"/>
                <w:vertAlign w:val="baseline"/>
                <w:lang w:val="en-US" w:eastAsia="zh-CN"/>
              </w:rPr>
            </w:pPr>
          </w:p>
        </w:tc>
        <w:tc>
          <w:tcPr>
            <w:tcW w:w="1753" w:type="dxa"/>
          </w:tcPr>
          <w:p w14:paraId="0F38A130">
            <w:pPr>
              <w:rPr>
                <w:rFonts w:hint="eastAsia" w:ascii="仿宋" w:hAnsi="仿宋" w:eastAsia="仿宋" w:cs="仿宋"/>
                <w:color w:val="auto"/>
                <w:sz w:val="24"/>
                <w:szCs w:val="24"/>
                <w:highlight w:val="none"/>
                <w:vertAlign w:val="baseline"/>
                <w:lang w:val="en-US" w:eastAsia="zh-CN"/>
              </w:rPr>
            </w:pPr>
          </w:p>
        </w:tc>
        <w:tc>
          <w:tcPr>
            <w:tcW w:w="1561" w:type="dxa"/>
          </w:tcPr>
          <w:p w14:paraId="060BEDDB">
            <w:pPr>
              <w:rPr>
                <w:rFonts w:hint="eastAsia" w:ascii="仿宋" w:hAnsi="仿宋" w:eastAsia="仿宋" w:cs="仿宋"/>
                <w:color w:val="auto"/>
                <w:sz w:val="24"/>
                <w:szCs w:val="24"/>
                <w:highlight w:val="none"/>
                <w:vertAlign w:val="baseline"/>
                <w:lang w:val="en-US" w:eastAsia="zh-CN"/>
              </w:rPr>
            </w:pPr>
          </w:p>
        </w:tc>
        <w:tc>
          <w:tcPr>
            <w:tcW w:w="1052" w:type="dxa"/>
          </w:tcPr>
          <w:p w14:paraId="6DAF9538">
            <w:pPr>
              <w:rPr>
                <w:rFonts w:hint="eastAsia" w:ascii="仿宋" w:hAnsi="仿宋" w:eastAsia="仿宋" w:cs="仿宋"/>
                <w:color w:val="auto"/>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color w:val="auto"/>
                <w:sz w:val="24"/>
                <w:szCs w:val="24"/>
                <w:highlight w:val="none"/>
                <w:vertAlign w:val="baseline"/>
                <w:lang w:val="en-US" w:eastAsia="zh-CN"/>
              </w:rPr>
            </w:pPr>
          </w:p>
        </w:tc>
        <w:tc>
          <w:tcPr>
            <w:tcW w:w="1421" w:type="dxa"/>
          </w:tcPr>
          <w:p w14:paraId="7E4CCBCD">
            <w:pPr>
              <w:rPr>
                <w:rFonts w:hint="eastAsia" w:ascii="仿宋" w:hAnsi="仿宋" w:eastAsia="仿宋" w:cs="仿宋"/>
                <w:color w:val="auto"/>
                <w:sz w:val="24"/>
                <w:szCs w:val="24"/>
                <w:highlight w:val="none"/>
                <w:vertAlign w:val="baseline"/>
                <w:lang w:val="en-US" w:eastAsia="zh-CN"/>
              </w:rPr>
            </w:pPr>
          </w:p>
        </w:tc>
        <w:tc>
          <w:tcPr>
            <w:tcW w:w="1901" w:type="dxa"/>
          </w:tcPr>
          <w:p w14:paraId="1B89FBB4">
            <w:pPr>
              <w:rPr>
                <w:rFonts w:hint="eastAsia" w:ascii="仿宋" w:hAnsi="仿宋" w:eastAsia="仿宋" w:cs="仿宋"/>
                <w:color w:val="auto"/>
                <w:sz w:val="24"/>
                <w:szCs w:val="24"/>
                <w:highlight w:val="none"/>
                <w:vertAlign w:val="baseline"/>
                <w:lang w:val="en-US" w:eastAsia="zh-CN"/>
              </w:rPr>
            </w:pPr>
          </w:p>
        </w:tc>
        <w:tc>
          <w:tcPr>
            <w:tcW w:w="1753" w:type="dxa"/>
          </w:tcPr>
          <w:p w14:paraId="4801DD0B">
            <w:pPr>
              <w:rPr>
                <w:rFonts w:hint="eastAsia" w:ascii="仿宋" w:hAnsi="仿宋" w:eastAsia="仿宋" w:cs="仿宋"/>
                <w:color w:val="auto"/>
                <w:sz w:val="24"/>
                <w:szCs w:val="24"/>
                <w:highlight w:val="none"/>
                <w:vertAlign w:val="baseline"/>
                <w:lang w:val="en-US" w:eastAsia="zh-CN"/>
              </w:rPr>
            </w:pPr>
          </w:p>
        </w:tc>
        <w:tc>
          <w:tcPr>
            <w:tcW w:w="1561" w:type="dxa"/>
          </w:tcPr>
          <w:p w14:paraId="1579155D">
            <w:pPr>
              <w:rPr>
                <w:rFonts w:hint="eastAsia" w:ascii="仿宋" w:hAnsi="仿宋" w:eastAsia="仿宋" w:cs="仿宋"/>
                <w:color w:val="auto"/>
                <w:sz w:val="24"/>
                <w:szCs w:val="24"/>
                <w:highlight w:val="none"/>
                <w:vertAlign w:val="baseline"/>
                <w:lang w:val="en-US" w:eastAsia="zh-CN"/>
              </w:rPr>
            </w:pPr>
          </w:p>
        </w:tc>
        <w:tc>
          <w:tcPr>
            <w:tcW w:w="1052" w:type="dxa"/>
          </w:tcPr>
          <w:p w14:paraId="777B304A">
            <w:pPr>
              <w:rPr>
                <w:rFonts w:hint="eastAsia" w:ascii="仿宋" w:hAnsi="仿宋" w:eastAsia="仿宋" w:cs="仿宋"/>
                <w:color w:val="auto"/>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color w:val="auto"/>
                <w:sz w:val="24"/>
                <w:szCs w:val="24"/>
                <w:highlight w:val="none"/>
                <w:vertAlign w:val="baseline"/>
                <w:lang w:val="en-US" w:eastAsia="zh-CN"/>
              </w:rPr>
            </w:pPr>
          </w:p>
        </w:tc>
        <w:tc>
          <w:tcPr>
            <w:tcW w:w="1421" w:type="dxa"/>
          </w:tcPr>
          <w:p w14:paraId="4C722FAD">
            <w:pPr>
              <w:rPr>
                <w:rFonts w:hint="eastAsia" w:ascii="仿宋" w:hAnsi="仿宋" w:eastAsia="仿宋" w:cs="仿宋"/>
                <w:color w:val="auto"/>
                <w:sz w:val="24"/>
                <w:szCs w:val="24"/>
                <w:highlight w:val="none"/>
                <w:vertAlign w:val="baseline"/>
                <w:lang w:val="en-US" w:eastAsia="zh-CN"/>
              </w:rPr>
            </w:pPr>
          </w:p>
        </w:tc>
        <w:tc>
          <w:tcPr>
            <w:tcW w:w="1901" w:type="dxa"/>
          </w:tcPr>
          <w:p w14:paraId="249D9392">
            <w:pPr>
              <w:rPr>
                <w:rFonts w:hint="eastAsia" w:ascii="仿宋" w:hAnsi="仿宋" w:eastAsia="仿宋" w:cs="仿宋"/>
                <w:color w:val="auto"/>
                <w:sz w:val="24"/>
                <w:szCs w:val="24"/>
                <w:highlight w:val="none"/>
                <w:vertAlign w:val="baseline"/>
                <w:lang w:val="en-US" w:eastAsia="zh-CN"/>
              </w:rPr>
            </w:pPr>
          </w:p>
        </w:tc>
        <w:tc>
          <w:tcPr>
            <w:tcW w:w="1753" w:type="dxa"/>
          </w:tcPr>
          <w:p w14:paraId="7E101733">
            <w:pPr>
              <w:rPr>
                <w:rFonts w:hint="eastAsia" w:ascii="仿宋" w:hAnsi="仿宋" w:eastAsia="仿宋" w:cs="仿宋"/>
                <w:color w:val="auto"/>
                <w:sz w:val="24"/>
                <w:szCs w:val="24"/>
                <w:highlight w:val="none"/>
                <w:vertAlign w:val="baseline"/>
                <w:lang w:val="en-US" w:eastAsia="zh-CN"/>
              </w:rPr>
            </w:pPr>
          </w:p>
        </w:tc>
        <w:tc>
          <w:tcPr>
            <w:tcW w:w="1561" w:type="dxa"/>
          </w:tcPr>
          <w:p w14:paraId="6FC7F411">
            <w:pPr>
              <w:rPr>
                <w:rFonts w:hint="eastAsia" w:ascii="仿宋" w:hAnsi="仿宋" w:eastAsia="仿宋" w:cs="仿宋"/>
                <w:color w:val="auto"/>
                <w:sz w:val="24"/>
                <w:szCs w:val="24"/>
                <w:highlight w:val="none"/>
                <w:vertAlign w:val="baseline"/>
                <w:lang w:val="en-US" w:eastAsia="zh-CN"/>
              </w:rPr>
            </w:pPr>
          </w:p>
        </w:tc>
        <w:tc>
          <w:tcPr>
            <w:tcW w:w="1052" w:type="dxa"/>
          </w:tcPr>
          <w:p w14:paraId="00D6B4F6">
            <w:pPr>
              <w:rPr>
                <w:rFonts w:hint="eastAsia" w:ascii="仿宋" w:hAnsi="仿宋" w:eastAsia="仿宋" w:cs="仿宋"/>
                <w:color w:val="auto"/>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color w:val="auto"/>
                <w:sz w:val="24"/>
                <w:szCs w:val="24"/>
                <w:highlight w:val="none"/>
                <w:vertAlign w:val="baseline"/>
                <w:lang w:val="en-US" w:eastAsia="zh-CN"/>
              </w:rPr>
            </w:pPr>
          </w:p>
        </w:tc>
        <w:tc>
          <w:tcPr>
            <w:tcW w:w="1421" w:type="dxa"/>
          </w:tcPr>
          <w:p w14:paraId="2CC10E6B">
            <w:pPr>
              <w:rPr>
                <w:rFonts w:hint="eastAsia" w:ascii="仿宋" w:hAnsi="仿宋" w:eastAsia="仿宋" w:cs="仿宋"/>
                <w:color w:val="auto"/>
                <w:sz w:val="24"/>
                <w:szCs w:val="24"/>
                <w:highlight w:val="none"/>
                <w:vertAlign w:val="baseline"/>
                <w:lang w:val="en-US" w:eastAsia="zh-CN"/>
              </w:rPr>
            </w:pPr>
          </w:p>
        </w:tc>
        <w:tc>
          <w:tcPr>
            <w:tcW w:w="1901" w:type="dxa"/>
          </w:tcPr>
          <w:p w14:paraId="61BF2705">
            <w:pPr>
              <w:rPr>
                <w:rFonts w:hint="eastAsia" w:ascii="仿宋" w:hAnsi="仿宋" w:eastAsia="仿宋" w:cs="仿宋"/>
                <w:color w:val="auto"/>
                <w:sz w:val="24"/>
                <w:szCs w:val="24"/>
                <w:highlight w:val="none"/>
                <w:vertAlign w:val="baseline"/>
                <w:lang w:val="en-US" w:eastAsia="zh-CN"/>
              </w:rPr>
            </w:pPr>
          </w:p>
        </w:tc>
        <w:tc>
          <w:tcPr>
            <w:tcW w:w="1753" w:type="dxa"/>
          </w:tcPr>
          <w:p w14:paraId="003AC4E7">
            <w:pPr>
              <w:rPr>
                <w:rFonts w:hint="eastAsia" w:ascii="仿宋" w:hAnsi="仿宋" w:eastAsia="仿宋" w:cs="仿宋"/>
                <w:color w:val="auto"/>
                <w:sz w:val="24"/>
                <w:szCs w:val="24"/>
                <w:highlight w:val="none"/>
                <w:vertAlign w:val="baseline"/>
                <w:lang w:val="en-US" w:eastAsia="zh-CN"/>
              </w:rPr>
            </w:pPr>
          </w:p>
        </w:tc>
        <w:tc>
          <w:tcPr>
            <w:tcW w:w="1561" w:type="dxa"/>
          </w:tcPr>
          <w:p w14:paraId="6895684E">
            <w:pPr>
              <w:rPr>
                <w:rFonts w:hint="eastAsia" w:ascii="仿宋" w:hAnsi="仿宋" w:eastAsia="仿宋" w:cs="仿宋"/>
                <w:color w:val="auto"/>
                <w:sz w:val="24"/>
                <w:szCs w:val="24"/>
                <w:highlight w:val="none"/>
                <w:vertAlign w:val="baseline"/>
                <w:lang w:val="en-US" w:eastAsia="zh-CN"/>
              </w:rPr>
            </w:pPr>
          </w:p>
        </w:tc>
        <w:tc>
          <w:tcPr>
            <w:tcW w:w="1052" w:type="dxa"/>
          </w:tcPr>
          <w:p w14:paraId="2B4F7560">
            <w:pPr>
              <w:rPr>
                <w:rFonts w:hint="eastAsia" w:ascii="仿宋" w:hAnsi="仿宋" w:eastAsia="仿宋" w:cs="仿宋"/>
                <w:color w:val="auto"/>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color w:val="auto"/>
                <w:sz w:val="24"/>
                <w:szCs w:val="24"/>
                <w:highlight w:val="none"/>
                <w:vertAlign w:val="baseline"/>
                <w:lang w:val="en-US" w:eastAsia="zh-CN"/>
              </w:rPr>
            </w:pPr>
          </w:p>
        </w:tc>
        <w:tc>
          <w:tcPr>
            <w:tcW w:w="1421" w:type="dxa"/>
          </w:tcPr>
          <w:p w14:paraId="179B86F7">
            <w:pPr>
              <w:rPr>
                <w:rFonts w:hint="eastAsia" w:ascii="仿宋" w:hAnsi="仿宋" w:eastAsia="仿宋" w:cs="仿宋"/>
                <w:color w:val="auto"/>
                <w:sz w:val="24"/>
                <w:szCs w:val="24"/>
                <w:highlight w:val="none"/>
                <w:vertAlign w:val="baseline"/>
                <w:lang w:val="en-US" w:eastAsia="zh-CN"/>
              </w:rPr>
            </w:pPr>
          </w:p>
        </w:tc>
        <w:tc>
          <w:tcPr>
            <w:tcW w:w="1901" w:type="dxa"/>
          </w:tcPr>
          <w:p w14:paraId="6D7F9ECE">
            <w:pPr>
              <w:rPr>
                <w:rFonts w:hint="eastAsia" w:ascii="仿宋" w:hAnsi="仿宋" w:eastAsia="仿宋" w:cs="仿宋"/>
                <w:color w:val="auto"/>
                <w:sz w:val="24"/>
                <w:szCs w:val="24"/>
                <w:highlight w:val="none"/>
                <w:vertAlign w:val="baseline"/>
                <w:lang w:val="en-US" w:eastAsia="zh-CN"/>
              </w:rPr>
            </w:pPr>
          </w:p>
        </w:tc>
        <w:tc>
          <w:tcPr>
            <w:tcW w:w="1753" w:type="dxa"/>
          </w:tcPr>
          <w:p w14:paraId="2C7D295C">
            <w:pPr>
              <w:rPr>
                <w:rFonts w:hint="eastAsia" w:ascii="仿宋" w:hAnsi="仿宋" w:eastAsia="仿宋" w:cs="仿宋"/>
                <w:color w:val="auto"/>
                <w:sz w:val="24"/>
                <w:szCs w:val="24"/>
                <w:highlight w:val="none"/>
                <w:vertAlign w:val="baseline"/>
                <w:lang w:val="en-US" w:eastAsia="zh-CN"/>
              </w:rPr>
            </w:pPr>
          </w:p>
        </w:tc>
        <w:tc>
          <w:tcPr>
            <w:tcW w:w="1561" w:type="dxa"/>
          </w:tcPr>
          <w:p w14:paraId="02BD585E">
            <w:pPr>
              <w:rPr>
                <w:rFonts w:hint="eastAsia" w:ascii="仿宋" w:hAnsi="仿宋" w:eastAsia="仿宋" w:cs="仿宋"/>
                <w:color w:val="auto"/>
                <w:sz w:val="24"/>
                <w:szCs w:val="24"/>
                <w:highlight w:val="none"/>
                <w:vertAlign w:val="baseline"/>
                <w:lang w:val="en-US" w:eastAsia="zh-CN"/>
              </w:rPr>
            </w:pPr>
          </w:p>
        </w:tc>
        <w:tc>
          <w:tcPr>
            <w:tcW w:w="1052" w:type="dxa"/>
          </w:tcPr>
          <w:p w14:paraId="7EB2268B">
            <w:pPr>
              <w:rPr>
                <w:rFonts w:hint="eastAsia" w:ascii="仿宋" w:hAnsi="仿宋" w:eastAsia="仿宋" w:cs="仿宋"/>
                <w:color w:val="auto"/>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lang w:val="en-US" w:eastAsia="zh-CN"/>
        </w:rPr>
      </w:pPr>
      <w:bookmarkStart w:id="119" w:name="_Toc6441"/>
      <w:r>
        <w:rPr>
          <w:rFonts w:hint="eastAsia" w:ascii="仿宋" w:hAnsi="仿宋" w:eastAsia="仿宋" w:cs="仿宋"/>
          <w:color w:val="auto"/>
          <w:sz w:val="24"/>
          <w:szCs w:val="24"/>
          <w:highlight w:val="none"/>
          <w:lang w:val="en-US" w:eastAsia="zh-CN"/>
        </w:rPr>
        <w:t>2. “偏离情况”列应据实填写“正偏离”或“负偏离”或“无偏离”。</w:t>
      </w:r>
      <w:bookmarkEnd w:id="119"/>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3BF21AEA">
      <w:pPr>
        <w:pStyle w:val="27"/>
        <w:rPr>
          <w:rFonts w:hint="eastAsia" w:ascii="仿宋" w:hAnsi="仿宋" w:eastAsia="仿宋" w:cs="仿宋"/>
          <w:color w:val="auto"/>
          <w:sz w:val="24"/>
          <w:szCs w:val="24"/>
          <w:highlight w:val="none"/>
          <w:lang w:val="en-US" w:eastAsia="zh-CN"/>
        </w:rPr>
      </w:pPr>
    </w:p>
    <w:p w14:paraId="2AA917C8">
      <w:pPr>
        <w:rPr>
          <w:rFonts w:hint="eastAsia" w:ascii="仿宋" w:hAnsi="仿宋" w:eastAsia="仿宋" w:cs="仿宋"/>
          <w:b/>
          <w:bCs/>
          <w:color w:val="auto"/>
          <w:kern w:val="2"/>
          <w:sz w:val="24"/>
          <w:szCs w:val="32"/>
          <w:highlight w:val="none"/>
          <w:lang w:val="en-US" w:eastAsia="zh-CN" w:bidi="ar-SA"/>
        </w:rPr>
      </w:pPr>
      <w:r>
        <w:rPr>
          <w:rFonts w:hint="eastAsia" w:ascii="仿宋" w:hAnsi="仿宋" w:eastAsia="仿宋" w:cs="仿宋"/>
          <w:b/>
          <w:bCs/>
          <w:color w:val="auto"/>
          <w:kern w:val="2"/>
          <w:sz w:val="24"/>
          <w:szCs w:val="32"/>
          <w:highlight w:val="none"/>
          <w:lang w:val="en-US" w:eastAsia="zh-CN" w:bidi="ar-SA"/>
        </w:rPr>
        <w:br w:type="page"/>
      </w:r>
    </w:p>
    <w:p w14:paraId="309BA6F7">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采购需求偏离表</w:t>
      </w:r>
    </w:p>
    <w:p w14:paraId="2705FE3A">
      <w:pPr>
        <w:pStyle w:val="22"/>
        <w:ind w:left="0" w:leftChars="0" w:firstLine="0" w:firstLineChars="0"/>
        <w:rPr>
          <w:rFonts w:hint="eastAsia" w:ascii="仿宋" w:hAnsi="仿宋" w:eastAsia="仿宋" w:cs="仿宋"/>
          <w:color w:val="auto"/>
          <w:sz w:val="24"/>
          <w:szCs w:val="24"/>
          <w:highlight w:val="none"/>
          <w:lang w:val="en-US" w:eastAsia="zh-CN"/>
        </w:rPr>
      </w:pPr>
    </w:p>
    <w:p w14:paraId="3F485B97">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采购需求偏离表</w:t>
      </w:r>
    </w:p>
    <w:p w14:paraId="665C4856">
      <w:pPr>
        <w:pStyle w:val="22"/>
        <w:ind w:left="0" w:leftChars="0" w:firstLine="0" w:firstLineChars="0"/>
        <w:rPr>
          <w:rFonts w:hint="eastAsia" w:ascii="仿宋" w:hAnsi="仿宋" w:eastAsia="仿宋" w:cs="仿宋"/>
          <w:color w:val="auto"/>
          <w:sz w:val="24"/>
          <w:szCs w:val="24"/>
          <w:highlight w:val="none"/>
          <w:lang w:val="en-US" w:eastAsia="zh-CN"/>
        </w:rPr>
      </w:pPr>
    </w:p>
    <w:p w14:paraId="381E947C">
      <w:pPr>
        <w:pStyle w:val="22"/>
        <w:ind w:left="0" w:leftChars="0" w:firstLine="0" w:firstLineChars="0"/>
        <w:jc w:val="left"/>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lang w:val="en-US" w:eastAsia="zh-CN"/>
        </w:rPr>
        <w:t>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项目编号</w:t>
      </w:r>
      <w:r>
        <w:rPr>
          <w:rFonts w:hint="eastAsia" w:ascii="仿宋" w:hAnsi="仿宋" w:eastAsia="仿宋" w:cs="仿宋"/>
          <w:color w:val="auto"/>
          <w:highlight w:val="none"/>
          <w:u w:val="single"/>
          <w:lang w:val="en-US" w:eastAsia="zh-CN"/>
        </w:rPr>
        <w:t xml:space="preserve">                        </w:t>
      </w:r>
    </w:p>
    <w:p w14:paraId="1F34BCB0">
      <w:pPr>
        <w:rPr>
          <w:rFonts w:hint="default"/>
          <w:color w:val="auto"/>
          <w:highlight w:val="none"/>
          <w:lang w:val="en-US" w:eastAsia="zh-CN"/>
        </w:rPr>
      </w:pPr>
      <w:r>
        <w:rPr>
          <w:rFonts w:hint="eastAsia" w:ascii="仿宋" w:hAnsi="仿宋" w:eastAsia="仿宋" w:cs="仿宋"/>
          <w:color w:val="auto"/>
          <w:highlight w:val="none"/>
          <w:lang w:val="en-US" w:eastAsia="zh-CN"/>
        </w:rPr>
        <w:t>标项名称：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 xml:space="preserve"> </w:t>
      </w:r>
    </w:p>
    <w:p w14:paraId="25643E6F">
      <w:pPr>
        <w:pStyle w:val="22"/>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8FC0758">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2"/>
          <w:sz w:val="32"/>
          <w:szCs w:val="32"/>
          <w:highlight w:val="none"/>
          <w:lang w:val="en-US" w:eastAsia="zh-CN" w:bidi="ar-SA"/>
        </w:rPr>
      </w:pPr>
      <w:r>
        <w:rPr>
          <w:rFonts w:hint="eastAsia" w:ascii="仿宋" w:hAnsi="仿宋" w:eastAsia="仿宋" w:cs="仿宋"/>
          <w:color w:val="auto"/>
          <w:highlight w:val="none"/>
          <w:lang w:val="en-US" w:eastAsia="zh-CN"/>
        </w:rPr>
        <w:br w:type="page"/>
      </w:r>
      <w:bookmarkStart w:id="120" w:name="_Toc147846146"/>
      <w:bookmarkStart w:id="121" w:name="_Toc111813258"/>
      <w:bookmarkStart w:id="122" w:name="_Toc10117052"/>
      <w:bookmarkStart w:id="123" w:name="_Toc457090336"/>
      <w:r>
        <w:rPr>
          <w:rFonts w:hint="eastAsia" w:ascii="仿宋" w:hAnsi="仿宋" w:eastAsia="仿宋" w:cs="仿宋"/>
          <w:b/>
          <w:bCs/>
          <w:color w:val="auto"/>
          <w:kern w:val="0"/>
          <w:sz w:val="28"/>
          <w:szCs w:val="28"/>
          <w:highlight w:val="none"/>
          <w:lang w:val="en-US" w:eastAsia="zh-CN" w:bidi="ar"/>
        </w:rPr>
        <w:t>技术支持资料</w:t>
      </w:r>
      <w:bookmarkEnd w:id="120"/>
    </w:p>
    <w:p w14:paraId="4B6FB59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投标人根据自身实际情况和产品特点自行提供，以证明其产品具体配置情况及技术指标响应的真实性。</w:t>
      </w:r>
      <w:r>
        <w:rPr>
          <w:rFonts w:hint="eastAsia" w:ascii="仿宋" w:hAnsi="仿宋" w:eastAsia="仿宋" w:cs="仿宋"/>
          <w:color w:val="auto"/>
          <w:sz w:val="24"/>
          <w:szCs w:val="24"/>
          <w:highlight w:val="none"/>
          <w:lang w:val="en-US" w:eastAsia="zh-CN"/>
        </w:rPr>
        <w:t>具体要求详见第五章采购需求。</w:t>
      </w:r>
    </w:p>
    <w:p w14:paraId="0B484E2B">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注：技术支持资料需清晰可分辨，否则后果自负。</w:t>
      </w:r>
    </w:p>
    <w:p w14:paraId="43721E75">
      <w:pPr>
        <w:rPr>
          <w:rFonts w:hint="eastAsia" w:ascii="仿宋" w:hAnsi="仿宋" w:eastAsia="仿宋" w:cs="仿宋"/>
          <w:color w:val="auto"/>
          <w:highlight w:val="none"/>
        </w:rPr>
      </w:pPr>
    </w:p>
    <w:bookmarkEnd w:id="121"/>
    <w:bookmarkEnd w:id="122"/>
    <w:bookmarkEnd w:id="123"/>
    <w:p w14:paraId="2C8ECA68">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4EF4EA20">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质保期承诺书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color w:val="auto"/>
          <w:kern w:val="2"/>
          <w:sz w:val="32"/>
          <w:szCs w:val="32"/>
          <w:highlight w:val="none"/>
          <w:lang w:val="en-US" w:eastAsia="zh-CN" w:bidi="ar-SA"/>
        </w:rPr>
      </w:pPr>
    </w:p>
    <w:p w14:paraId="06885201">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0A89C263">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color w:val="auto"/>
          <w:kern w:val="2"/>
          <w:sz w:val="32"/>
          <w:szCs w:val="32"/>
          <w:highlight w:val="none"/>
          <w:lang w:val="en-US" w:eastAsia="zh-CN" w:bidi="ar-SA"/>
        </w:rPr>
      </w:pPr>
    </w:p>
    <w:p w14:paraId="58551946">
      <w:pP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br w:type="page"/>
      </w:r>
    </w:p>
    <w:p w14:paraId="697680FC">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培训方案</w:t>
      </w:r>
    </w:p>
    <w:p w14:paraId="02D05588">
      <w:pPr>
        <w:pStyle w:val="27"/>
        <w:ind w:left="0" w:leftChars="0" w:firstLine="480" w:firstLineChars="200"/>
        <w:jc w:val="both"/>
        <w:outlineLvl w:val="9"/>
        <w:rPr>
          <w:rFonts w:hint="eastAsia" w:ascii="仿宋" w:hAnsi="仿宋" w:eastAsia="仿宋" w:cs="仿宋"/>
          <w:color w:val="auto"/>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投标人需结合招标文件采购需求单独提供，投标人自行编写</w:t>
      </w:r>
      <w:r>
        <w:rPr>
          <w:rFonts w:hint="eastAsia" w:ascii="仿宋" w:hAnsi="仿宋" w:eastAsia="仿宋" w:cs="仿宋"/>
          <w:color w:val="auto"/>
          <w:highlight w:val="none"/>
          <w:lang w:val="en-US" w:eastAsia="zh-CN"/>
        </w:rPr>
        <w:t>。</w:t>
      </w:r>
    </w:p>
    <w:p w14:paraId="30517329">
      <w:pPr>
        <w:rPr>
          <w:rFonts w:hint="eastAsia" w:ascii="仿宋" w:hAnsi="仿宋" w:eastAsia="仿宋" w:cs="仿宋"/>
          <w:color w:val="auto"/>
          <w:highlight w:val="none"/>
          <w:lang w:val="en-US" w:eastAsia="zh-CN"/>
        </w:rPr>
      </w:pPr>
    </w:p>
    <w:p w14:paraId="271B9E53">
      <w:pP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br w:type="page"/>
      </w:r>
    </w:p>
    <w:p w14:paraId="1912015F">
      <w:pPr>
        <w:keepNext w:val="0"/>
        <w:keepLines w:val="0"/>
        <w:pageBreakBefore w:val="0"/>
        <w:widowControl/>
        <w:numPr>
          <w:ilvl w:val="1"/>
          <w:numId w:val="19"/>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default" w:ascii="仿宋" w:hAnsi="仿宋" w:eastAsia="仿宋" w:cs="仿宋"/>
          <w:b/>
          <w:bCs/>
          <w:color w:val="auto"/>
          <w:kern w:val="0"/>
          <w:sz w:val="28"/>
          <w:szCs w:val="28"/>
          <w:highlight w:val="none"/>
          <w:lang w:val="en-US" w:eastAsia="zh-CN" w:bidi="ar"/>
        </w:rPr>
      </w:pPr>
      <w:r>
        <w:rPr>
          <w:rFonts w:hint="eastAsia" w:ascii="仿宋" w:hAnsi="仿宋" w:eastAsia="仿宋" w:cs="仿宋"/>
          <w:b/>
          <w:bCs/>
          <w:color w:val="auto"/>
          <w:kern w:val="0"/>
          <w:sz w:val="28"/>
          <w:szCs w:val="28"/>
          <w:highlight w:val="none"/>
          <w:lang w:val="en-US" w:eastAsia="zh-CN" w:bidi="ar"/>
        </w:rPr>
        <w:t>招标文件要求提供或投标人认为应附的资料</w:t>
      </w:r>
    </w:p>
    <w:p w14:paraId="00741812">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投标人应根据招标文件的规定自行编写。</w:t>
      </w:r>
    </w:p>
    <w:p w14:paraId="6C0D7319">
      <w:pPr>
        <w:pStyle w:val="34"/>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B40859">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en-US" w:eastAsia="zh-CN" w:bidi="ar"/>
        </w:rPr>
      </w:pPr>
      <w:bookmarkStart w:id="124" w:name="_Toc216582821"/>
      <w:bookmarkStart w:id="125" w:name="_Toc216513801"/>
      <w:r>
        <w:rPr>
          <w:rFonts w:hint="eastAsia" w:ascii="仿宋" w:hAnsi="仿宋" w:eastAsia="仿宋" w:cs="仿宋"/>
          <w:b/>
          <w:bCs/>
          <w:color w:val="auto"/>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color w:val="auto"/>
          <w:sz w:val="24"/>
          <w:highlight w:val="none"/>
        </w:rPr>
      </w:pPr>
    </w:p>
    <w:p w14:paraId="20E5C803">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02472202">
      <w:pPr>
        <w:spacing w:line="440" w:lineRule="exact"/>
        <w:ind w:left="1080" w:hanging="1080"/>
        <w:rPr>
          <w:rFonts w:hint="eastAsia" w:ascii="仿宋" w:hAnsi="仿宋" w:eastAsia="仿宋" w:cs="仿宋"/>
          <w:color w:val="auto"/>
          <w:sz w:val="24"/>
          <w:highlight w:val="none"/>
        </w:rPr>
      </w:pPr>
    </w:p>
    <w:p w14:paraId="42E606AF">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53929A25">
      <w:pPr>
        <w:spacing w:line="440" w:lineRule="exact"/>
        <w:ind w:left="1080" w:leftChars="257" w:hanging="540"/>
        <w:rPr>
          <w:rFonts w:hint="eastAsia" w:ascii="仿宋" w:hAnsi="仿宋" w:eastAsia="仿宋" w:cs="仿宋"/>
          <w:color w:val="auto"/>
          <w:sz w:val="24"/>
          <w:highlight w:val="none"/>
        </w:rPr>
      </w:pPr>
    </w:p>
    <w:p w14:paraId="6F61FF4E">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540B81BC">
      <w:pPr>
        <w:spacing w:line="440" w:lineRule="exact"/>
        <w:ind w:left="1080" w:leftChars="257" w:hanging="540"/>
        <w:rPr>
          <w:rFonts w:hint="eastAsia" w:ascii="仿宋" w:hAnsi="仿宋" w:eastAsia="仿宋" w:cs="仿宋"/>
          <w:color w:val="auto"/>
          <w:sz w:val="24"/>
          <w:highlight w:val="none"/>
        </w:rPr>
      </w:pPr>
    </w:p>
    <w:p w14:paraId="3311DE21">
      <w:pPr>
        <w:spacing w:line="440" w:lineRule="exact"/>
        <w:ind w:left="1080" w:leftChars="257" w:hanging="540"/>
        <w:rPr>
          <w:rFonts w:hint="eastAsia" w:ascii="仿宋" w:hAnsi="仿宋" w:eastAsia="仿宋" w:cs="仿宋"/>
          <w:color w:val="auto"/>
          <w:sz w:val="24"/>
          <w:highlight w:val="none"/>
        </w:rPr>
      </w:pPr>
    </w:p>
    <w:p w14:paraId="187778FE">
      <w:pPr>
        <w:spacing w:line="440" w:lineRule="exact"/>
        <w:ind w:left="1080" w:leftChars="257" w:hanging="540"/>
        <w:rPr>
          <w:rFonts w:hint="eastAsia" w:ascii="仿宋" w:hAnsi="仿宋" w:eastAsia="仿宋" w:cs="仿宋"/>
          <w:color w:val="auto"/>
          <w:sz w:val="24"/>
          <w:highlight w:val="none"/>
        </w:rPr>
      </w:pPr>
    </w:p>
    <w:p w14:paraId="0FD21A74">
      <w:pPr>
        <w:spacing w:line="440" w:lineRule="exact"/>
        <w:ind w:left="1080" w:leftChars="257" w:hanging="540"/>
        <w:rPr>
          <w:rFonts w:hint="eastAsia" w:ascii="仿宋" w:hAnsi="仿宋" w:eastAsia="仿宋" w:cs="仿宋"/>
          <w:color w:val="auto"/>
          <w:sz w:val="24"/>
          <w:highlight w:val="none"/>
        </w:rPr>
      </w:pPr>
    </w:p>
    <w:p w14:paraId="5464126E">
      <w:pPr>
        <w:spacing w:line="440" w:lineRule="exact"/>
        <w:ind w:left="1080" w:hanging="1080"/>
        <w:rPr>
          <w:rFonts w:hint="eastAsia" w:ascii="仿宋" w:hAnsi="仿宋" w:eastAsia="仿宋" w:cs="仿宋"/>
          <w:color w:val="auto"/>
          <w:sz w:val="24"/>
          <w:highlight w:val="none"/>
        </w:rPr>
      </w:pPr>
    </w:p>
    <w:p w14:paraId="524CBD03">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DF734A4">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1BE21889">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AF895D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508BCF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w:t>
      </w:r>
      <w:r>
        <w:rPr>
          <w:rFonts w:hint="eastAsia" w:ascii="仿宋" w:hAnsi="仿宋" w:eastAsia="仿宋" w:cs="仿宋"/>
          <w:color w:val="auto"/>
          <w:sz w:val="24"/>
          <w:highlight w:val="none"/>
          <w:lang w:val="en-US" w:eastAsia="zh-CN"/>
        </w:rPr>
        <w:t>法定代表人或法定代表人授权代表（签字或盖章）：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8A3CB69">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124"/>
      <w:bookmarkEnd w:id="125"/>
    </w:p>
    <w:p w14:paraId="7C4BB588">
      <w:pPr>
        <w:rPr>
          <w:rFonts w:hint="eastAsia" w:ascii="仿宋" w:hAnsi="仿宋" w:eastAsia="仿宋" w:cs="仿宋"/>
          <w:b w:val="0"/>
          <w:bCs w:val="0"/>
          <w:color w:val="auto"/>
          <w:kern w:val="2"/>
          <w:sz w:val="24"/>
          <w:szCs w:val="24"/>
          <w:highlight w:val="none"/>
          <w:lang w:val="en-US" w:eastAsia="zh-CN" w:bidi="zh-CN"/>
        </w:rPr>
      </w:pPr>
      <w:r>
        <w:rPr>
          <w:rFonts w:hint="eastAsia" w:ascii="仿宋" w:hAnsi="仿宋" w:eastAsia="仿宋" w:cs="仿宋"/>
          <w:b w:val="0"/>
          <w:bCs w:val="0"/>
          <w:color w:val="auto"/>
          <w:kern w:val="2"/>
          <w:sz w:val="24"/>
          <w:szCs w:val="24"/>
          <w:highlight w:val="none"/>
          <w:lang w:val="en-US" w:eastAsia="zh-CN" w:bidi="zh-CN"/>
        </w:rPr>
        <w:br w:type="page"/>
      </w:r>
    </w:p>
    <w:p w14:paraId="6B364464">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bookmarkStart w:id="126" w:name="_Toc15106"/>
      <w:bookmarkStart w:id="127" w:name="_Toc24678"/>
      <w:bookmarkStart w:id="128" w:name="_Toc17899"/>
      <w:bookmarkStart w:id="129" w:name="_Toc20782"/>
      <w:bookmarkStart w:id="130" w:name="_Toc8649"/>
      <w:r>
        <w:rPr>
          <w:rFonts w:hint="eastAsia" w:ascii="仿宋" w:hAnsi="仿宋" w:eastAsia="仿宋" w:cs="仿宋"/>
          <w:b/>
          <w:bCs/>
          <w:color w:val="auto"/>
          <w:kern w:val="0"/>
          <w:sz w:val="28"/>
          <w:szCs w:val="28"/>
          <w:highlight w:val="none"/>
          <w:lang w:val="zh-CN" w:eastAsia="zh-CN" w:bidi="ar"/>
        </w:rPr>
        <w:t>保证金信息表（</w:t>
      </w:r>
      <w:r>
        <w:rPr>
          <w:rFonts w:hint="eastAsia" w:ascii="仿宋" w:hAnsi="仿宋" w:eastAsia="仿宋" w:cs="仿宋"/>
          <w:b/>
          <w:bCs/>
          <w:color w:val="auto"/>
          <w:kern w:val="0"/>
          <w:sz w:val="28"/>
          <w:szCs w:val="28"/>
          <w:highlight w:val="none"/>
          <w:lang w:val="en-US" w:eastAsia="zh-CN" w:bidi="ar"/>
        </w:rPr>
        <w:t>保函方式提交的无需提供</w:t>
      </w:r>
      <w:r>
        <w:rPr>
          <w:rFonts w:hint="eastAsia" w:ascii="仿宋" w:hAnsi="仿宋" w:eastAsia="仿宋" w:cs="仿宋"/>
          <w:b/>
          <w:bCs/>
          <w:color w:val="auto"/>
          <w:kern w:val="0"/>
          <w:sz w:val="28"/>
          <w:szCs w:val="28"/>
          <w:highlight w:val="none"/>
          <w:lang w:val="zh-CN" w:eastAsia="zh-CN" w:bidi="ar"/>
        </w:rPr>
        <w:t>）</w:t>
      </w:r>
      <w:bookmarkEnd w:id="126"/>
      <w:bookmarkEnd w:id="127"/>
      <w:bookmarkEnd w:id="128"/>
      <w:bookmarkEnd w:id="129"/>
      <w:bookmarkEnd w:id="130"/>
    </w:p>
    <w:p w14:paraId="2E607672">
      <w:pPr>
        <w:pStyle w:val="18"/>
        <w:spacing w:line="440" w:lineRule="exact"/>
        <w:jc w:val="center"/>
        <w:outlineLvl w:val="9"/>
        <w:rPr>
          <w:rFonts w:hint="eastAsia" w:ascii="仿宋" w:hAnsi="仿宋" w:eastAsia="仿宋" w:cs="仿宋"/>
          <w:b/>
          <w:color w:val="auto"/>
          <w:sz w:val="32"/>
          <w:szCs w:val="32"/>
          <w:highlight w:val="none"/>
        </w:rPr>
      </w:pPr>
    </w:p>
    <w:p w14:paraId="62E63947">
      <w:pPr>
        <w:pStyle w:val="18"/>
        <w:spacing w:line="440" w:lineRule="exact"/>
        <w:jc w:val="center"/>
        <w:outlineLvl w:val="9"/>
        <w:rPr>
          <w:rFonts w:hint="eastAsia" w:ascii="仿宋" w:hAnsi="仿宋" w:eastAsia="仿宋" w:cs="仿宋"/>
          <w:b/>
          <w:color w:val="auto"/>
          <w:sz w:val="32"/>
          <w:szCs w:val="32"/>
          <w:highlight w:val="none"/>
        </w:rPr>
      </w:pPr>
      <w:bookmarkStart w:id="131" w:name="_Toc31463"/>
      <w:bookmarkStart w:id="132" w:name="_Toc16938"/>
      <w:bookmarkStart w:id="133" w:name="_Toc28181"/>
      <w:bookmarkStart w:id="134" w:name="_Toc25967"/>
      <w:bookmarkStart w:id="135" w:name="_Toc14307"/>
      <w:bookmarkStart w:id="136" w:name="_Toc4940"/>
      <w:bookmarkStart w:id="137" w:name="_Toc27316"/>
      <w:r>
        <w:rPr>
          <w:rFonts w:hint="eastAsia" w:ascii="仿宋" w:hAnsi="仿宋" w:eastAsia="仿宋" w:cs="仿宋"/>
          <w:b/>
          <w:color w:val="auto"/>
          <w:sz w:val="24"/>
          <w:szCs w:val="24"/>
          <w:highlight w:val="none"/>
        </w:rPr>
        <w:t>退还保证金申请函</w:t>
      </w:r>
      <w:bookmarkEnd w:id="131"/>
      <w:bookmarkEnd w:id="132"/>
      <w:bookmarkEnd w:id="133"/>
      <w:bookmarkEnd w:id="134"/>
      <w:bookmarkEnd w:id="135"/>
      <w:bookmarkEnd w:id="136"/>
      <w:bookmarkEnd w:id="137"/>
    </w:p>
    <w:p w14:paraId="41E787A4">
      <w:pPr>
        <w:spacing w:line="360" w:lineRule="auto"/>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lang w:eastAsia="zh-CN"/>
        </w:rPr>
        <w:t>新疆世纪星工程咨询有限公司</w:t>
      </w:r>
    </w:p>
    <w:p w14:paraId="767AE904">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投标人</w:t>
      </w:r>
      <w:r>
        <w:rPr>
          <w:rFonts w:hint="eastAsia" w:ascii="仿宋" w:hAnsi="仿宋" w:eastAsia="仿宋" w:cs="仿宋"/>
          <w:color w:val="auto"/>
          <w:sz w:val="21"/>
          <w:szCs w:val="21"/>
          <w:highlight w:val="none"/>
          <w:u w:val="single"/>
        </w:rPr>
        <w:t xml:space="preserve">全称) </w:t>
      </w:r>
      <w:r>
        <w:rPr>
          <w:rFonts w:hint="eastAsia" w:ascii="仿宋" w:hAnsi="仿宋" w:eastAsia="仿宋" w:cs="仿宋"/>
          <w:color w:val="auto"/>
          <w:sz w:val="21"/>
          <w:szCs w:val="21"/>
          <w:highlight w:val="none"/>
        </w:rPr>
        <w:t>参加贵方组织的，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采购活动。按</w:t>
      </w:r>
      <w:r>
        <w:rPr>
          <w:rFonts w:hint="eastAsia" w:ascii="仿宋" w:hAnsi="仿宋" w:eastAsia="仿宋" w:cs="仿宋"/>
          <w:color w:val="auto"/>
          <w:sz w:val="21"/>
          <w:szCs w:val="21"/>
          <w:highlight w:val="none"/>
          <w:lang w:val="en-US" w:eastAsia="zh-CN"/>
        </w:rPr>
        <w:t>招标</w:t>
      </w:r>
      <w:r>
        <w:rPr>
          <w:rFonts w:hint="eastAsia" w:ascii="仿宋" w:hAnsi="仿宋" w:eastAsia="仿宋" w:cs="仿宋"/>
          <w:color w:val="auto"/>
          <w:sz w:val="21"/>
          <w:szCs w:val="21"/>
          <w:highlight w:val="none"/>
        </w:rPr>
        <w:t>文件的规定，已通过</w:t>
      </w:r>
      <w:r>
        <w:rPr>
          <w:rFonts w:hint="eastAsia" w:ascii="仿宋" w:hAnsi="仿宋" w:eastAsia="仿宋" w:cs="仿宋"/>
          <w:color w:val="auto"/>
          <w:sz w:val="21"/>
          <w:szCs w:val="21"/>
          <w:highlight w:val="none"/>
          <w:u w:val="single"/>
        </w:rPr>
        <w:t>银行转帐/银行汇款</w:t>
      </w:r>
      <w:r>
        <w:rPr>
          <w:rFonts w:hint="eastAsia" w:ascii="仿宋" w:hAnsi="仿宋" w:eastAsia="仿宋" w:cs="仿宋"/>
          <w:color w:val="auto"/>
          <w:sz w:val="21"/>
          <w:szCs w:val="21"/>
          <w:highlight w:val="none"/>
        </w:rPr>
        <w:t>形式缴纳人民币</w:t>
      </w:r>
      <w:r>
        <w:rPr>
          <w:rFonts w:hint="eastAsia" w:ascii="仿宋" w:hAnsi="仿宋" w:eastAsia="仿宋" w:cs="仿宋"/>
          <w:color w:val="auto"/>
          <w:sz w:val="21"/>
          <w:szCs w:val="21"/>
          <w:highlight w:val="none"/>
          <w:u w:val="single"/>
        </w:rPr>
        <w:t xml:space="preserve">（大写）  　　  </w:t>
      </w:r>
      <w:r>
        <w:rPr>
          <w:rFonts w:hint="eastAsia" w:ascii="仿宋" w:hAnsi="仿宋" w:eastAsia="仿宋" w:cs="仿宋"/>
          <w:color w:val="auto"/>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i/>
          <w:iCs/>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p>
    <w:p w14:paraId="28E1CF3B">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w:t>
      </w:r>
      <w:r>
        <w:rPr>
          <w:rFonts w:hint="eastAsia" w:ascii="仿宋" w:hAnsi="仿宋" w:eastAsia="仿宋" w:cs="仿宋"/>
          <w:color w:val="auto"/>
          <w:sz w:val="21"/>
          <w:szCs w:val="21"/>
          <w:highlight w:val="none"/>
          <w:u w:val="single"/>
        </w:rPr>
        <w:t xml:space="preserve">                             </w:t>
      </w:r>
    </w:p>
    <w:p w14:paraId="3A1458E7">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开户银行行号：</w:t>
      </w:r>
      <w:r>
        <w:rPr>
          <w:rFonts w:hint="eastAsia" w:ascii="仿宋" w:hAnsi="仿宋" w:eastAsia="仿宋" w:cs="仿宋"/>
          <w:color w:val="auto"/>
          <w:sz w:val="21"/>
          <w:szCs w:val="21"/>
          <w:highlight w:val="none"/>
          <w:u w:val="single"/>
        </w:rPr>
        <w:t xml:space="preserve">                         </w:t>
      </w:r>
    </w:p>
    <w:p w14:paraId="233C6750">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银行帐号：</w:t>
      </w:r>
      <w:r>
        <w:rPr>
          <w:rFonts w:hint="eastAsia" w:ascii="仿宋" w:hAnsi="仿宋" w:eastAsia="仿宋" w:cs="仿宋"/>
          <w:color w:val="auto"/>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auto"/>
          <w:sz w:val="21"/>
          <w:szCs w:val="21"/>
          <w:highlight w:val="none"/>
        </w:rPr>
      </w:pPr>
    </w:p>
    <w:p w14:paraId="7F8F1FF2">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76D3066F">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1"/>
          <w:szCs w:val="21"/>
          <w:highlight w:val="none"/>
        </w:rPr>
        <w:t>）：</w:t>
      </w:r>
    </w:p>
    <w:p w14:paraId="49F66394">
      <w:pPr>
        <w:adjustRightInd w:val="0"/>
        <w:snapToGrid w:val="0"/>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日期：   年   月   日</w:t>
      </w:r>
    </w:p>
    <w:p w14:paraId="5DB1F99C">
      <w:pPr>
        <w:pStyle w:val="18"/>
        <w:spacing w:line="440" w:lineRule="exact"/>
        <w:jc w:val="both"/>
        <w:rPr>
          <w:rFonts w:hint="eastAsia" w:ascii="仿宋" w:hAnsi="仿宋" w:eastAsia="仿宋" w:cs="仿宋"/>
          <w:bCs/>
          <w:color w:val="auto"/>
          <w:sz w:val="21"/>
          <w:szCs w:val="21"/>
          <w:highlight w:val="none"/>
        </w:rPr>
      </w:pPr>
    </w:p>
    <w:p w14:paraId="3BBF82F0">
      <w:pPr>
        <w:pStyle w:val="18"/>
        <w:spacing w:line="440" w:lineRule="exact"/>
        <w:jc w:val="both"/>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注：为方便代理机构后续退款事宜，请</w:t>
      </w:r>
      <w:r>
        <w:rPr>
          <w:rFonts w:hint="eastAsia" w:ascii="仿宋" w:hAnsi="仿宋" w:eastAsia="仿宋" w:cs="仿宋"/>
          <w:b/>
          <w:color w:val="auto"/>
          <w:sz w:val="21"/>
          <w:szCs w:val="21"/>
          <w:highlight w:val="none"/>
          <w:lang w:val="en-US" w:eastAsia="zh-CN"/>
        </w:rPr>
        <w:t>投标人</w:t>
      </w:r>
      <w:r>
        <w:rPr>
          <w:rFonts w:hint="eastAsia" w:ascii="仿宋" w:hAnsi="仿宋" w:eastAsia="仿宋" w:cs="仿宋"/>
          <w:b/>
          <w:color w:val="auto"/>
          <w:sz w:val="21"/>
          <w:szCs w:val="21"/>
          <w:highlight w:val="none"/>
        </w:rPr>
        <w:t>认真填写此函信息，并后附转帐或汇款的银行凭证</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w:t>
      </w:r>
    </w:p>
    <w:tbl>
      <w:tblPr>
        <w:tblStyle w:val="2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（粘贴转帐或汇款的银行凭证</w:t>
            </w:r>
            <w:r>
              <w:rPr>
                <w:rFonts w:hint="eastAsia" w:ascii="仿宋" w:hAnsi="仿宋" w:eastAsia="仿宋" w:cs="仿宋"/>
                <w:color w:val="auto"/>
                <w:sz w:val="21"/>
                <w:szCs w:val="21"/>
                <w:highlight w:val="none"/>
                <w:lang w:eastAsia="zh-CN"/>
              </w:rPr>
              <w:t>扫描件</w:t>
            </w:r>
            <w:r>
              <w:rPr>
                <w:rFonts w:hint="eastAsia" w:ascii="仿宋" w:hAnsi="仿宋" w:eastAsia="仿宋" w:cs="仿宋"/>
                <w:color w:val="auto"/>
                <w:sz w:val="21"/>
                <w:szCs w:val="21"/>
                <w:highlight w:val="none"/>
              </w:rPr>
              <w:t>）</w:t>
            </w:r>
          </w:p>
        </w:tc>
      </w:tr>
    </w:tbl>
    <w:p w14:paraId="1931E85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14:paraId="3398E783">
      <w:pPr>
        <w:keepNext w:val="0"/>
        <w:keepLines w:val="0"/>
        <w:pageBreakBefore w:val="0"/>
        <w:widowControl/>
        <w:numPr>
          <w:ilvl w:val="0"/>
          <w:numId w:val="19"/>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0"/>
          <w:sz w:val="28"/>
          <w:szCs w:val="28"/>
          <w:highlight w:val="none"/>
          <w:lang w:val="zh-CN" w:eastAsia="zh-CN" w:bidi="ar"/>
        </w:rPr>
      </w:pPr>
      <w:bookmarkStart w:id="138" w:name="_Toc28409"/>
      <w:bookmarkStart w:id="139" w:name="_Toc17857"/>
      <w:bookmarkStart w:id="140" w:name="_Toc19434"/>
      <w:bookmarkStart w:id="141" w:name="_Toc21100"/>
      <w:bookmarkStart w:id="142" w:name="_Toc8576"/>
      <w:bookmarkStart w:id="143" w:name="_Toc8651"/>
      <w:bookmarkStart w:id="144" w:name="_Toc2994"/>
      <w:r>
        <w:rPr>
          <w:rFonts w:hint="eastAsia" w:ascii="仿宋" w:hAnsi="仿宋" w:eastAsia="仿宋" w:cs="仿宋"/>
          <w:b/>
          <w:bCs/>
          <w:color w:val="auto"/>
          <w:kern w:val="0"/>
          <w:sz w:val="28"/>
          <w:szCs w:val="28"/>
          <w:highlight w:val="none"/>
          <w:lang w:val="en-US" w:eastAsia="zh-CN" w:bidi="ar"/>
        </w:rPr>
        <w:t>开票信息</w:t>
      </w:r>
      <w:r>
        <w:rPr>
          <w:rFonts w:hint="eastAsia" w:ascii="仿宋" w:hAnsi="仿宋" w:eastAsia="仿宋" w:cs="仿宋"/>
          <w:b/>
          <w:bCs/>
          <w:color w:val="auto"/>
          <w:kern w:val="0"/>
          <w:sz w:val="28"/>
          <w:szCs w:val="28"/>
          <w:highlight w:val="none"/>
          <w:lang w:val="zh-CN" w:eastAsia="zh-CN" w:bidi="ar"/>
        </w:rPr>
        <w:t>（统一格式）</w:t>
      </w:r>
      <w:bookmarkEnd w:id="138"/>
      <w:bookmarkEnd w:id="139"/>
      <w:bookmarkEnd w:id="140"/>
      <w:bookmarkEnd w:id="141"/>
      <w:bookmarkEnd w:id="142"/>
      <w:bookmarkEnd w:id="143"/>
      <w:bookmarkEnd w:id="144"/>
    </w:p>
    <w:p w14:paraId="0F15141D">
      <w:pPr>
        <w:pStyle w:val="18"/>
        <w:spacing w:line="440" w:lineRule="exact"/>
        <w:ind w:firstLine="480" w:firstLineChars="200"/>
        <w:jc w:val="both"/>
        <w:rPr>
          <w:rFonts w:hint="eastAsia" w:ascii="仿宋" w:hAnsi="仿宋" w:eastAsia="仿宋" w:cs="仿宋"/>
          <w:bCs/>
          <w:color w:val="auto"/>
          <w:sz w:val="24"/>
          <w:highlight w:val="none"/>
        </w:rPr>
      </w:pPr>
    </w:p>
    <w:p w14:paraId="6AAB440C">
      <w:pPr>
        <w:pStyle w:val="18"/>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eastAsia="zh-CN"/>
        </w:rPr>
        <w:t>新疆世纪星工程咨询有限公司</w:t>
      </w:r>
      <w:r>
        <w:rPr>
          <w:rFonts w:hint="eastAsia" w:ascii="仿宋" w:hAnsi="仿宋" w:eastAsia="仿宋" w:cs="仿宋"/>
          <w:bCs/>
          <w:color w:val="auto"/>
          <w:sz w:val="21"/>
          <w:szCs w:val="21"/>
          <w:highlight w:val="none"/>
        </w:rPr>
        <w:t>：</w:t>
      </w:r>
    </w:p>
    <w:p w14:paraId="7E3C1116">
      <w:pPr>
        <w:pStyle w:val="18"/>
        <w:spacing w:line="44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 xml:space="preserve">    </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投标人</w:t>
      </w:r>
      <w:r>
        <w:rPr>
          <w:rFonts w:hint="eastAsia" w:ascii="仿宋" w:hAnsi="仿宋" w:eastAsia="仿宋" w:cs="仿宋"/>
          <w:color w:val="auto"/>
          <w:sz w:val="21"/>
          <w:szCs w:val="21"/>
          <w:highlight w:val="none"/>
          <w:u w:val="single"/>
        </w:rPr>
        <w:t xml:space="preserve">名称）   </w:t>
      </w:r>
      <w:r>
        <w:rPr>
          <w:rFonts w:hint="eastAsia" w:ascii="仿宋" w:hAnsi="仿宋" w:eastAsia="仿宋" w:cs="仿宋"/>
          <w:color w:val="auto"/>
          <w:sz w:val="21"/>
          <w:szCs w:val="21"/>
          <w:highlight w:val="none"/>
        </w:rPr>
        <w:t>公司在参加在贵司进行的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val="en-US" w:eastAsia="zh-CN"/>
        </w:rPr>
        <w:t>标项</w:t>
      </w:r>
      <w:r>
        <w:rPr>
          <w:rFonts w:hint="eastAsia" w:ascii="仿宋" w:hAnsi="仿宋" w:eastAsia="仿宋" w:cs="仿宋"/>
          <w:color w:val="auto"/>
          <w:sz w:val="21"/>
          <w:szCs w:val="21"/>
          <w:highlight w:val="none"/>
        </w:rPr>
        <w:t xml:space="preserve">招标，我司缴纳标书费和代理服务费后开具发票的事宜，我司声明如下： </w:t>
      </w:r>
    </w:p>
    <w:p w14:paraId="2994050A">
      <w:pPr>
        <w:pStyle w:val="18"/>
        <w:spacing w:line="440" w:lineRule="exact"/>
        <w:ind w:firstLine="420" w:firstLineChars="200"/>
        <w:jc w:val="both"/>
        <w:rPr>
          <w:rFonts w:hint="eastAsia" w:ascii="仿宋" w:hAnsi="仿宋" w:eastAsia="仿宋" w:cs="仿宋"/>
          <w:color w:val="auto"/>
          <w:sz w:val="21"/>
          <w:szCs w:val="21"/>
          <w:highlight w:val="none"/>
        </w:rPr>
      </w:pPr>
    </w:p>
    <w:tbl>
      <w:tblPr>
        <w:tblStyle w:val="29"/>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增值税发票开票种类</w:t>
            </w:r>
          </w:p>
        </w:tc>
        <w:tc>
          <w:tcPr>
            <w:tcW w:w="6200" w:type="dxa"/>
            <w:gridSpan w:val="3"/>
            <w:vAlign w:val="center"/>
          </w:tcPr>
          <w:p w14:paraId="30439DF9">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单位名称</w:t>
            </w:r>
          </w:p>
        </w:tc>
        <w:tc>
          <w:tcPr>
            <w:tcW w:w="6200" w:type="dxa"/>
            <w:gridSpan w:val="3"/>
            <w:vAlign w:val="center"/>
          </w:tcPr>
          <w:p w14:paraId="134863C9">
            <w:pPr>
              <w:pStyle w:val="18"/>
              <w:spacing w:line="440" w:lineRule="exact"/>
              <w:jc w:val="center"/>
              <w:rPr>
                <w:rFonts w:hint="eastAsia" w:ascii="仿宋" w:hAnsi="仿宋" w:eastAsia="仿宋" w:cs="仿宋"/>
                <w:bCs/>
                <w:color w:val="auto"/>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单位地址</w:t>
            </w:r>
          </w:p>
        </w:tc>
        <w:tc>
          <w:tcPr>
            <w:tcW w:w="6200" w:type="dxa"/>
            <w:gridSpan w:val="3"/>
            <w:vAlign w:val="center"/>
          </w:tcPr>
          <w:p w14:paraId="1BE09D5B">
            <w:pPr>
              <w:pStyle w:val="18"/>
              <w:spacing w:line="440" w:lineRule="exact"/>
              <w:jc w:val="center"/>
              <w:rPr>
                <w:rFonts w:hint="eastAsia" w:ascii="仿宋" w:hAnsi="仿宋" w:eastAsia="仿宋" w:cs="仿宋"/>
                <w:bCs/>
                <w:color w:val="auto"/>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纳税人识别号</w:t>
            </w:r>
          </w:p>
        </w:tc>
        <w:tc>
          <w:tcPr>
            <w:tcW w:w="2533" w:type="dxa"/>
            <w:vAlign w:val="center"/>
          </w:tcPr>
          <w:p w14:paraId="12B8109C">
            <w:pPr>
              <w:pStyle w:val="18"/>
              <w:spacing w:line="440" w:lineRule="exact"/>
              <w:jc w:val="center"/>
              <w:rPr>
                <w:rFonts w:hint="eastAsia" w:ascii="仿宋" w:hAnsi="仿宋" w:eastAsia="仿宋" w:cs="仿宋"/>
                <w:bCs/>
                <w:color w:val="auto"/>
                <w:sz w:val="21"/>
                <w:szCs w:val="21"/>
                <w:highlight w:val="none"/>
              </w:rPr>
            </w:pPr>
          </w:p>
        </w:tc>
        <w:tc>
          <w:tcPr>
            <w:tcW w:w="1550" w:type="dxa"/>
            <w:vAlign w:val="center"/>
          </w:tcPr>
          <w:p w14:paraId="7C4FCB20">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固定电话</w:t>
            </w:r>
          </w:p>
        </w:tc>
        <w:tc>
          <w:tcPr>
            <w:tcW w:w="2117" w:type="dxa"/>
            <w:vAlign w:val="center"/>
          </w:tcPr>
          <w:p w14:paraId="4069C0E4">
            <w:pPr>
              <w:pStyle w:val="18"/>
              <w:spacing w:line="440" w:lineRule="exact"/>
              <w:jc w:val="center"/>
              <w:rPr>
                <w:rFonts w:hint="eastAsia" w:ascii="仿宋" w:hAnsi="仿宋" w:eastAsia="仿宋" w:cs="仿宋"/>
                <w:bCs/>
                <w:color w:val="auto"/>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开户银行名称</w:t>
            </w:r>
          </w:p>
        </w:tc>
        <w:tc>
          <w:tcPr>
            <w:tcW w:w="2533" w:type="dxa"/>
            <w:vAlign w:val="center"/>
          </w:tcPr>
          <w:p w14:paraId="13D2B40C">
            <w:pPr>
              <w:pStyle w:val="18"/>
              <w:spacing w:line="440" w:lineRule="exact"/>
              <w:jc w:val="center"/>
              <w:rPr>
                <w:rFonts w:hint="eastAsia" w:ascii="仿宋" w:hAnsi="仿宋" w:eastAsia="仿宋" w:cs="仿宋"/>
                <w:bCs/>
                <w:color w:val="auto"/>
                <w:sz w:val="21"/>
                <w:szCs w:val="21"/>
                <w:highlight w:val="none"/>
              </w:rPr>
            </w:pPr>
          </w:p>
        </w:tc>
        <w:tc>
          <w:tcPr>
            <w:tcW w:w="1550" w:type="dxa"/>
            <w:vAlign w:val="center"/>
          </w:tcPr>
          <w:p w14:paraId="22A24830">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联系人姓名</w:t>
            </w:r>
          </w:p>
        </w:tc>
        <w:tc>
          <w:tcPr>
            <w:tcW w:w="2117" w:type="dxa"/>
            <w:vAlign w:val="center"/>
          </w:tcPr>
          <w:p w14:paraId="4B0A763A">
            <w:pPr>
              <w:pStyle w:val="18"/>
              <w:spacing w:line="440" w:lineRule="exact"/>
              <w:jc w:val="center"/>
              <w:rPr>
                <w:rFonts w:hint="eastAsia" w:ascii="仿宋" w:hAnsi="仿宋" w:eastAsia="仿宋" w:cs="仿宋"/>
                <w:bCs/>
                <w:color w:val="auto"/>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开户银行账号</w:t>
            </w:r>
          </w:p>
        </w:tc>
        <w:tc>
          <w:tcPr>
            <w:tcW w:w="2533" w:type="dxa"/>
            <w:vAlign w:val="center"/>
          </w:tcPr>
          <w:p w14:paraId="75E18729">
            <w:pPr>
              <w:pStyle w:val="18"/>
              <w:spacing w:line="440" w:lineRule="exact"/>
              <w:jc w:val="center"/>
              <w:rPr>
                <w:rFonts w:hint="eastAsia" w:ascii="仿宋" w:hAnsi="仿宋" w:eastAsia="仿宋" w:cs="仿宋"/>
                <w:bCs/>
                <w:color w:val="auto"/>
                <w:sz w:val="21"/>
                <w:szCs w:val="21"/>
                <w:highlight w:val="none"/>
              </w:rPr>
            </w:pPr>
          </w:p>
        </w:tc>
        <w:tc>
          <w:tcPr>
            <w:tcW w:w="1550" w:type="dxa"/>
            <w:vAlign w:val="center"/>
          </w:tcPr>
          <w:p w14:paraId="03147BC1">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联系人电话</w:t>
            </w:r>
          </w:p>
        </w:tc>
        <w:tc>
          <w:tcPr>
            <w:tcW w:w="2117" w:type="dxa"/>
            <w:vAlign w:val="center"/>
          </w:tcPr>
          <w:p w14:paraId="1AA61200">
            <w:pPr>
              <w:pStyle w:val="18"/>
              <w:spacing w:line="440" w:lineRule="exact"/>
              <w:jc w:val="center"/>
              <w:rPr>
                <w:rFonts w:hint="eastAsia" w:ascii="仿宋" w:hAnsi="仿宋" w:eastAsia="仿宋" w:cs="仿宋"/>
                <w:bCs/>
                <w:color w:val="auto"/>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电子发票收件</w:t>
            </w:r>
          </w:p>
          <w:p w14:paraId="062CE4B1">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电子邮箱</w:t>
            </w:r>
          </w:p>
        </w:tc>
        <w:tc>
          <w:tcPr>
            <w:tcW w:w="6200" w:type="dxa"/>
            <w:gridSpan w:val="3"/>
            <w:vAlign w:val="center"/>
          </w:tcPr>
          <w:p w14:paraId="76CF964C">
            <w:pPr>
              <w:pStyle w:val="18"/>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8"/>
              <w:spacing w:line="44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发票邮寄地址：</w:t>
            </w:r>
          </w:p>
        </w:tc>
        <w:tc>
          <w:tcPr>
            <w:tcW w:w="6200" w:type="dxa"/>
            <w:gridSpan w:val="3"/>
            <w:vAlign w:val="center"/>
          </w:tcPr>
          <w:p w14:paraId="76B962E3">
            <w:pPr>
              <w:pStyle w:val="18"/>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地址：</w:t>
            </w:r>
          </w:p>
          <w:p w14:paraId="4B8FC952">
            <w:pPr>
              <w:pStyle w:val="18"/>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收件人：                电话：</w:t>
            </w:r>
          </w:p>
        </w:tc>
      </w:tr>
    </w:tbl>
    <w:p w14:paraId="03DAE352">
      <w:pPr>
        <w:pStyle w:val="18"/>
        <w:spacing w:line="440" w:lineRule="exact"/>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 xml:space="preserve">    我公司提供的上述开票信息准确无误，如果因我公司提供上述信息错误，导致发票无效的，将由我公司承担相应后果。</w:t>
      </w:r>
    </w:p>
    <w:p w14:paraId="51F0B1AC">
      <w:pPr>
        <w:pStyle w:val="18"/>
        <w:spacing w:line="440" w:lineRule="exact"/>
        <w:jc w:val="both"/>
        <w:rPr>
          <w:rFonts w:hint="eastAsia" w:ascii="仿宋" w:hAnsi="仿宋" w:eastAsia="仿宋" w:cs="仿宋"/>
          <w:bCs/>
          <w:color w:val="auto"/>
          <w:sz w:val="21"/>
          <w:szCs w:val="21"/>
          <w:highlight w:val="none"/>
        </w:rPr>
      </w:pPr>
    </w:p>
    <w:p w14:paraId="3BAE6546">
      <w:pPr>
        <w:pStyle w:val="18"/>
        <w:spacing w:line="440" w:lineRule="exact"/>
        <w:ind w:firstLine="420" w:firstLineChars="200"/>
        <w:jc w:val="both"/>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注：</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需要采购代理机构开具增值税发票的，请在上表中填写相关信息，</w:t>
      </w:r>
      <w:r>
        <w:rPr>
          <w:rFonts w:hint="eastAsia" w:ascii="仿宋" w:hAnsi="仿宋" w:eastAsia="仿宋" w:cs="仿宋"/>
          <w:b/>
          <w:color w:val="auto"/>
          <w:sz w:val="21"/>
          <w:szCs w:val="21"/>
          <w:highlight w:val="none"/>
        </w:rPr>
        <w:t>如</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需要开具增值税专用发票的须附</w:t>
      </w:r>
      <w:r>
        <w:rPr>
          <w:rFonts w:hint="eastAsia" w:ascii="仿宋" w:hAnsi="仿宋" w:eastAsia="仿宋" w:cs="仿宋"/>
          <w:b/>
          <w:color w:val="auto"/>
          <w:sz w:val="21"/>
          <w:szCs w:val="21"/>
          <w:highlight w:val="none"/>
          <w:lang w:eastAsia="zh-CN"/>
        </w:rPr>
        <w:t>投标人</w:t>
      </w:r>
      <w:r>
        <w:rPr>
          <w:rFonts w:hint="eastAsia" w:ascii="仿宋" w:hAnsi="仿宋" w:eastAsia="仿宋" w:cs="仿宋"/>
          <w:b/>
          <w:color w:val="auto"/>
          <w:sz w:val="21"/>
          <w:szCs w:val="21"/>
          <w:highlight w:val="none"/>
        </w:rPr>
        <w:t>开户许可证、一般纳税人认定文件的清晰</w:t>
      </w:r>
      <w:r>
        <w:rPr>
          <w:rFonts w:hint="eastAsia" w:ascii="仿宋" w:hAnsi="仿宋" w:eastAsia="仿宋" w:cs="仿宋"/>
          <w:b/>
          <w:color w:val="auto"/>
          <w:sz w:val="21"/>
          <w:szCs w:val="21"/>
          <w:highlight w:val="none"/>
          <w:lang w:eastAsia="zh-CN"/>
        </w:rPr>
        <w:t>扫描件</w:t>
      </w:r>
      <w:r>
        <w:rPr>
          <w:rFonts w:hint="eastAsia" w:ascii="仿宋" w:hAnsi="仿宋" w:eastAsia="仿宋" w:cs="仿宋"/>
          <w:b/>
          <w:color w:val="auto"/>
          <w:sz w:val="21"/>
          <w:szCs w:val="21"/>
          <w:highlight w:val="none"/>
        </w:rPr>
        <w:t>加盖公章，以及开票信息（见上表）。</w:t>
      </w:r>
      <w:r>
        <w:rPr>
          <w:rFonts w:hint="eastAsia" w:ascii="仿宋" w:hAnsi="仿宋" w:eastAsia="仿宋" w:cs="仿宋"/>
          <w:bCs/>
          <w:color w:val="auto"/>
          <w:sz w:val="21"/>
          <w:szCs w:val="21"/>
          <w:highlight w:val="none"/>
        </w:rPr>
        <w:t>如</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在开票信息中未注明开具</w:t>
      </w:r>
      <w:r>
        <w:rPr>
          <w:rFonts w:hint="eastAsia" w:ascii="仿宋" w:hAnsi="仿宋" w:eastAsia="仿宋" w:cs="仿宋"/>
          <w:b/>
          <w:color w:val="auto"/>
          <w:sz w:val="21"/>
          <w:szCs w:val="21"/>
          <w:highlight w:val="none"/>
        </w:rPr>
        <w:t>增值税专用发票</w:t>
      </w:r>
      <w:r>
        <w:rPr>
          <w:rFonts w:hint="eastAsia" w:ascii="仿宋" w:hAnsi="仿宋" w:eastAsia="仿宋" w:cs="仿宋"/>
          <w:bCs/>
          <w:color w:val="auto"/>
          <w:sz w:val="21"/>
          <w:szCs w:val="21"/>
          <w:highlight w:val="none"/>
        </w:rPr>
        <w:t>且未提供上述材料，代理机构将默认开具增值税普通发票。</w:t>
      </w:r>
    </w:p>
    <w:p w14:paraId="3CA60535">
      <w:pPr>
        <w:pStyle w:val="18"/>
        <w:spacing w:line="440" w:lineRule="exact"/>
        <w:jc w:val="both"/>
        <w:rPr>
          <w:rFonts w:hint="eastAsia" w:ascii="仿宋" w:hAnsi="仿宋" w:eastAsia="仿宋" w:cs="仿宋"/>
          <w:bCs/>
          <w:color w:val="auto"/>
          <w:sz w:val="21"/>
          <w:szCs w:val="21"/>
          <w:highlight w:val="none"/>
        </w:rPr>
      </w:pPr>
    </w:p>
    <w:p w14:paraId="66FDAE33">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法定代表人或法定代表人授权代表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签字</w:t>
      </w:r>
      <w:r>
        <w:rPr>
          <w:rFonts w:hint="eastAsia" w:ascii="仿宋" w:hAnsi="仿宋" w:eastAsia="仿宋" w:cs="仿宋"/>
          <w:color w:val="auto"/>
          <w:sz w:val="21"/>
          <w:szCs w:val="21"/>
          <w:highlight w:val="none"/>
          <w:lang w:val="en-US" w:eastAsia="zh-CN"/>
        </w:rPr>
        <w:t>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6B6C27A7">
      <w:pPr>
        <w:adjustRightInd w:val="0"/>
        <w:snapToGrid w:val="0"/>
        <w:spacing w:line="440" w:lineRule="exact"/>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val="en-US" w:eastAsia="zh-CN"/>
        </w:rPr>
        <w:t>投标人</w:t>
      </w:r>
      <w:r>
        <w:rPr>
          <w:rFonts w:hint="eastAsia" w:ascii="仿宋" w:hAnsi="仿宋" w:eastAsia="仿宋" w:cs="仿宋"/>
          <w:color w:val="auto"/>
          <w:sz w:val="21"/>
          <w:szCs w:val="21"/>
          <w:highlight w:val="none"/>
        </w:rPr>
        <w:t>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1"/>
          <w:szCs w:val="21"/>
          <w:highlight w:val="none"/>
        </w:rPr>
        <w:t>）：</w:t>
      </w:r>
    </w:p>
    <w:p w14:paraId="46A60E44">
      <w:pPr>
        <w:pStyle w:val="18"/>
        <w:spacing w:line="440" w:lineRule="exact"/>
        <w:jc w:val="both"/>
        <w:rPr>
          <w:rFonts w:hint="eastAsia" w:ascii="仿宋" w:hAnsi="仿宋" w:eastAsia="仿宋" w:cs="仿宋"/>
          <w:b/>
          <w:bCs/>
          <w:color w:val="auto"/>
          <w:sz w:val="21"/>
          <w:szCs w:val="21"/>
          <w:highlight w:val="none"/>
          <w:lang w:bidi="ar"/>
        </w:rPr>
      </w:pPr>
      <w:r>
        <w:rPr>
          <w:rFonts w:hint="eastAsia" w:ascii="仿宋" w:hAnsi="仿宋" w:eastAsia="仿宋" w:cs="仿宋"/>
          <w:color w:val="auto"/>
          <w:sz w:val="21"/>
          <w:szCs w:val="21"/>
          <w:highlight w:val="none"/>
        </w:rPr>
        <w:t>日期：   年   月   日</w:t>
      </w:r>
    </w:p>
    <w:p w14:paraId="5375CFF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43A01E-780E-4AF9-ABFD-014AED79DFBE}"/>
  </w:font>
  <w:font w:name="Arial">
    <w:panose1 w:val="020B0604020202020204"/>
    <w:charset w:val="01"/>
    <w:family w:val="swiss"/>
    <w:pitch w:val="default"/>
    <w:sig w:usb0="E0002AFF" w:usb1="C0007843" w:usb2="00000009" w:usb3="00000000" w:csb0="400001FF" w:csb1="FFFF0000"/>
    <w:embedRegular r:id="rId2" w:fontKey="{25C022EE-6C6C-4282-9598-E0D6D38A8A8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5EF10700-F99C-404C-BFD0-1C96BA12A095}"/>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17811FCE-9E34-4826-8599-AC5E57A89FDB}"/>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9972BE98-2843-4DD9-93C2-03D97DCCEC17}"/>
  </w:font>
  <w:font w:name="宋体;SimSun">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6" w:fontKey="{A2EC7711-5655-4575-BF5D-DBFB5481F378}"/>
  </w:font>
  <w:font w:name="___WRD_EMBED_SUB_41">
    <w:panose1 w:val="02010609030101010101"/>
    <w:charset w:val="86"/>
    <w:family w:val="auto"/>
    <w:pitch w:val="default"/>
    <w:sig w:usb0="00000001" w:usb1="080E0000" w:usb2="00000000" w:usb3="00000000" w:csb0="00040000" w:csb1="00000000"/>
    <w:embedRegular r:id="rId7" w:fontKey="{7BB43087-4BD9-4203-9189-60ECCAB4A3FE}"/>
  </w:font>
  <w:font w:name="方正仿宋_GB2312">
    <w:panose1 w:val="02000000000000000000"/>
    <w:charset w:val="86"/>
    <w:family w:val="auto"/>
    <w:pitch w:val="default"/>
    <w:sig w:usb0="A00002BF" w:usb1="184F6CFA" w:usb2="00000012" w:usb3="00000000" w:csb0="00040001" w:csb1="00000000"/>
    <w:embedRegular r:id="rId8" w:fontKey="{C69F357F-08CA-46A5-A5A8-238B9A55502F}"/>
  </w:font>
  <w:font w:name="WPSEMBED16">
    <w:panose1 w:val="02010609030101010101"/>
    <w:charset w:val="86"/>
    <w:family w:val="auto"/>
    <w:pitch w:val="default"/>
    <w:sig w:usb0="00000001" w:usb1="080E0000" w:usb2="00000000" w:usb3="00000000" w:csb0="00040000" w:csb1="00000000"/>
  </w:font>
  <w:font w:name="WPSEMBED17">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8286D">
    <w:pPr>
      <w:pStyle w:val="20"/>
      <w:ind w:firstLine="840" w:firstLineChars="300"/>
      <w:rPr>
        <w:rFonts w:hint="eastAsia" w:ascii="仿宋" w:hAnsi="仿宋" w:eastAsia="仿宋" w:cs="仿宋"/>
      </w:rPr>
    </w:pPr>
    <w:r>
      <w:rPr>
        <w:rFonts w:hint="eastAsia" w:ascii="仿宋" w:hAnsi="仿宋" w:eastAsia="仿宋" w:cs="仿宋"/>
        <w:sz w:val="28"/>
        <w:szCs w:val="28"/>
      </w:rPr>
      <w:drawing>
        <wp:anchor distT="0" distB="0" distL="114300" distR="114300" simplePos="0" relativeHeight="251665408"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 w:hAnsi="仿宋" w:eastAsia="仿宋" w:cs="仿宋"/>
        <w:sz w:val="28"/>
        <w:szCs w:val="28"/>
      </w:rPr>
      <w:t>新疆世纪星工程咨询有限公司</w:t>
    </w:r>
    <w:r>
      <w:rPr>
        <w:rFonts w:hint="eastAsia" w:ascii="仿宋_GB2312" w:hAnsi="仿宋_GB2312" w:eastAsia="仿宋_GB2312" w:cs="仿宋_GB2312"/>
        <w:sz w:val="28"/>
        <w:szCs w:val="28"/>
      </w:rPr>
      <w:t xml:space="preserve"> </w:t>
    </w:r>
    <w:r>
      <w:rPr>
        <w:rFonts w:hint="eastAsia" w:ascii="仿宋" w:hAnsi="仿宋" w:eastAsia="仿宋" w:cs="仿宋"/>
        <w:sz w:val="28"/>
        <w:szCs w:val="28"/>
      </w:rPr>
      <w:t xml:space="preserve"> </w:t>
    </w:r>
    <w:r>
      <w:rPr>
        <w:rFonts w:hint="eastAsia" w:ascii="仿宋" w:hAnsi="仿宋" w:eastAsia="仿宋" w:cs="仿宋"/>
        <w:sz w:val="21"/>
        <w:szCs w:val="21"/>
      </w:rPr>
      <w:t>新疆乌鲁木齐市黄山街德港大厦20层</w:t>
    </w:r>
  </w:p>
  <w:p w14:paraId="70F813E5">
    <w:pPr>
      <w:pStyle w:val="20"/>
      <w:pBdr>
        <w:bottom w:val="single" w:color="auto" w:sz="4" w:space="1"/>
      </w:pBdr>
      <w:ind w:firstLine="1040" w:firstLineChars="800"/>
      <w:rPr>
        <w:rFonts w:hint="eastAsia" w:ascii="仿宋" w:hAnsi="仿宋" w:eastAsia="仿宋" w:cs="仿宋"/>
        <w:lang w:eastAsia="zh-CN"/>
      </w:rPr>
    </w:pPr>
    <w:r>
      <w:rPr>
        <w:rFonts w:hint="eastAsia" w:ascii="仿宋" w:hAnsi="仿宋" w:eastAsia="仿宋" w:cs="仿宋"/>
        <w:sz w:val="13"/>
        <w:szCs w:val="20"/>
      </w:rPr>
      <w:t>Xinjiang Century Star Engineering Consulting Co., Ltd.</w:t>
    </w:r>
    <w:r>
      <w:rPr>
        <w:rFonts w:hint="eastAsia" w:ascii="仿宋" w:hAnsi="仿宋" w:eastAsia="仿宋" w:cs="仿宋"/>
      </w:rPr>
      <w:t xml:space="preserve">     TEL：</w:t>
    </w:r>
    <w:r>
      <w:rPr>
        <w:rFonts w:hint="eastAsia" w:ascii="仿宋" w:hAnsi="仿宋" w:eastAsia="仿宋" w:cs="仿宋"/>
        <w:lang w:eastAsia="zh-CN"/>
      </w:rPr>
      <w:t>13999295080</w:t>
    </w:r>
  </w:p>
  <w:p w14:paraId="77E442FB">
    <w:pPr>
      <w:pStyle w:val="20"/>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multilevel"/>
    <w:tmpl w:val="97BFF4F1"/>
    <w:lvl w:ilvl="0" w:tentative="0">
      <w:start w:val="1"/>
      <w:numFmt w:val="decimal"/>
      <w:suff w:val="nothing"/>
      <w:lvlText w:val="%1."/>
      <w:lvlJc w:val="left"/>
      <w:pPr>
        <w:ind w:left="425" w:hanging="425"/>
      </w:pPr>
      <w:rPr>
        <w:rFonts w:hint="default"/>
        <w:sz w:val="28"/>
        <w:szCs w:val="28"/>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AB7A7DB"/>
    <w:multiLevelType w:val="singleLevel"/>
    <w:tmpl w:val="AAB7A7DB"/>
    <w:lvl w:ilvl="0" w:tentative="0">
      <w:start w:val="1"/>
      <w:numFmt w:val="chineseCounting"/>
      <w:suff w:val="nothing"/>
      <w:lvlText w:val="%1、"/>
      <w:lvlJc w:val="left"/>
      <w:rPr>
        <w:rFonts w:hint="eastAsia"/>
      </w:rPr>
    </w:lvl>
  </w:abstractNum>
  <w:abstractNum w:abstractNumId="4">
    <w:nsid w:val="ACD8ECD6"/>
    <w:multiLevelType w:val="singleLevel"/>
    <w:tmpl w:val="ACD8ECD6"/>
    <w:lvl w:ilvl="0" w:tentative="0">
      <w:start w:val="1"/>
      <w:numFmt w:val="decimal"/>
      <w:suff w:val="nothing"/>
      <w:lvlText w:val="%1）"/>
      <w:lvlJc w:val="left"/>
      <w:rPr>
        <w:rFonts w:hint="default"/>
        <w:b/>
        <w:bCs/>
      </w:rPr>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D9B57B25"/>
    <w:multiLevelType w:val="singleLevel"/>
    <w:tmpl w:val="D9B57B25"/>
    <w:lvl w:ilvl="0" w:tentative="0">
      <w:start w:val="1"/>
      <w:numFmt w:val="decimal"/>
      <w:suff w:val="nothing"/>
      <w:lvlText w:val="%1."/>
      <w:lvlJc w:val="left"/>
      <w:rPr>
        <w:rFonts w:hint="default"/>
        <w:b w:val="0"/>
        <w:bCs w:val="0"/>
      </w:rPr>
    </w:lvl>
  </w:abstractNum>
  <w:abstractNum w:abstractNumId="7">
    <w:nsid w:val="DF18C6A0"/>
    <w:multiLevelType w:val="singleLevel"/>
    <w:tmpl w:val="DF18C6A0"/>
    <w:lvl w:ilvl="0" w:tentative="0">
      <w:start w:val="7"/>
      <w:numFmt w:val="chineseCounting"/>
      <w:suff w:val="nothing"/>
      <w:lvlText w:val="%1、"/>
      <w:lvlJc w:val="left"/>
      <w:rPr>
        <w:rFonts w:hint="eastAsia"/>
      </w:rPr>
    </w:lvl>
  </w:abstractNum>
  <w:abstractNum w:abstractNumId="8">
    <w:nsid w:val="FE60127E"/>
    <w:multiLevelType w:val="singleLevel"/>
    <w:tmpl w:val="FE60127E"/>
    <w:lvl w:ilvl="0" w:tentative="0">
      <w:start w:val="1"/>
      <w:numFmt w:val="decimal"/>
      <w:suff w:val="nothing"/>
      <w:lvlText w:val="%1）"/>
      <w:lvlJc w:val="left"/>
    </w:lvl>
  </w:abstractNum>
  <w:abstractNum w:abstractNumId="9">
    <w:nsid w:val="01B3FD20"/>
    <w:multiLevelType w:val="singleLevel"/>
    <w:tmpl w:val="01B3FD20"/>
    <w:lvl w:ilvl="0" w:tentative="0">
      <w:start w:val="2"/>
      <w:numFmt w:val="decimal"/>
      <w:lvlText w:val="%1."/>
      <w:lvlJc w:val="left"/>
      <w:pPr>
        <w:tabs>
          <w:tab w:val="left" w:pos="312"/>
        </w:tabs>
      </w:pPr>
    </w:lvl>
  </w:abstractNum>
  <w:abstractNum w:abstractNumId="10">
    <w:nsid w:val="05FE2DA7"/>
    <w:multiLevelType w:val="singleLevel"/>
    <w:tmpl w:val="05FE2DA7"/>
    <w:lvl w:ilvl="0" w:tentative="0">
      <w:start w:val="1"/>
      <w:numFmt w:val="chineseCounting"/>
      <w:suff w:val="space"/>
      <w:lvlText w:val="第%1章"/>
      <w:lvlJc w:val="left"/>
      <w:rPr>
        <w:rFonts w:hint="eastAsia"/>
      </w:rPr>
    </w:lvl>
  </w:abstractNum>
  <w:abstractNum w:abstractNumId="11">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9E5A242"/>
    <w:multiLevelType w:val="singleLevel"/>
    <w:tmpl w:val="09E5A242"/>
    <w:lvl w:ilvl="0" w:tentative="0">
      <w:start w:val="2"/>
      <w:numFmt w:val="chineseCounting"/>
      <w:suff w:val="nothing"/>
      <w:lvlText w:val="%1、"/>
      <w:lvlJc w:val="left"/>
      <w:rPr>
        <w:rFonts w:hint="eastAsia"/>
      </w:rPr>
    </w:lvl>
  </w:abstractNum>
  <w:abstractNum w:abstractNumId="13">
    <w:nsid w:val="3822ABE7"/>
    <w:multiLevelType w:val="singleLevel"/>
    <w:tmpl w:val="3822ABE7"/>
    <w:lvl w:ilvl="0" w:tentative="0">
      <w:start w:val="1"/>
      <w:numFmt w:val="chineseCounting"/>
      <w:suff w:val="nothing"/>
      <w:lvlText w:val="（%1）"/>
      <w:lvlJc w:val="left"/>
      <w:rPr>
        <w:rFonts w:hint="eastAsia"/>
      </w:rPr>
    </w:lvl>
  </w:abstractNum>
  <w:abstractNum w:abstractNumId="14">
    <w:nsid w:val="3BC6F39C"/>
    <w:multiLevelType w:val="singleLevel"/>
    <w:tmpl w:val="3BC6F39C"/>
    <w:lvl w:ilvl="0" w:tentative="0">
      <w:start w:val="1"/>
      <w:numFmt w:val="decimal"/>
      <w:suff w:val="space"/>
      <w:lvlText w:val="%1."/>
      <w:lvlJc w:val="left"/>
    </w:lvl>
  </w:abstractNum>
  <w:abstractNum w:abstractNumId="15">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6">
    <w:nsid w:val="536CA70F"/>
    <w:multiLevelType w:val="multilevel"/>
    <w:tmpl w:val="536CA7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558D1296"/>
    <w:multiLevelType w:val="singleLevel"/>
    <w:tmpl w:val="558D1296"/>
    <w:lvl w:ilvl="0" w:tentative="0">
      <w:start w:val="2"/>
      <w:numFmt w:val="chineseCounting"/>
      <w:suff w:val="nothing"/>
      <w:lvlText w:val="（%1）"/>
      <w:lvlJc w:val="left"/>
      <w:rPr>
        <w:rFonts w:hint="eastAsia"/>
      </w:rPr>
    </w:lvl>
  </w:abstractNum>
  <w:abstractNum w:abstractNumId="18">
    <w:nsid w:val="63862E25"/>
    <w:multiLevelType w:val="singleLevel"/>
    <w:tmpl w:val="63862E25"/>
    <w:lvl w:ilvl="0" w:tentative="0">
      <w:start w:val="1"/>
      <w:numFmt w:val="decimal"/>
      <w:suff w:val="space"/>
      <w:lvlText w:val="（%1）"/>
      <w:lvlJc w:val="left"/>
    </w:lvl>
  </w:abstractNum>
  <w:abstractNum w:abstractNumId="19">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0">
    <w:nsid w:val="78F60E4F"/>
    <w:multiLevelType w:val="singleLevel"/>
    <w:tmpl w:val="78F60E4F"/>
    <w:lvl w:ilvl="0" w:tentative="0">
      <w:start w:val="1"/>
      <w:numFmt w:val="chineseCounting"/>
      <w:suff w:val="nothing"/>
      <w:lvlText w:val="%1、"/>
      <w:lvlJc w:val="left"/>
      <w:rPr>
        <w:rFonts w:hint="eastAsia"/>
      </w:rPr>
    </w:lvl>
  </w:abstractNum>
  <w:num w:numId="1">
    <w:abstractNumId w:val="10"/>
  </w:num>
  <w:num w:numId="2">
    <w:abstractNumId w:val="20"/>
  </w:num>
  <w:num w:numId="3">
    <w:abstractNumId w:val="19"/>
  </w:num>
  <w:num w:numId="4">
    <w:abstractNumId w:val="11"/>
  </w:num>
  <w:num w:numId="5">
    <w:abstractNumId w:val="5"/>
  </w:num>
  <w:num w:numId="6">
    <w:abstractNumId w:val="18"/>
  </w:num>
  <w:num w:numId="7">
    <w:abstractNumId w:val="0"/>
  </w:num>
  <w:num w:numId="8">
    <w:abstractNumId w:val="12"/>
  </w:num>
  <w:num w:numId="9">
    <w:abstractNumId w:val="3"/>
  </w:num>
  <w:num w:numId="10">
    <w:abstractNumId w:val="7"/>
  </w:num>
  <w:num w:numId="11">
    <w:abstractNumId w:val="13"/>
  </w:num>
  <w:num w:numId="12">
    <w:abstractNumId w:val="17"/>
  </w:num>
  <w:num w:numId="13">
    <w:abstractNumId w:val="6"/>
  </w:num>
  <w:num w:numId="14">
    <w:abstractNumId w:val="15"/>
  </w:num>
  <w:num w:numId="15">
    <w:abstractNumId w:val="9"/>
  </w:num>
  <w:num w:numId="16">
    <w:abstractNumId w:val="8"/>
  </w:num>
  <w:num w:numId="17">
    <w:abstractNumId w:val="2"/>
  </w:num>
  <w:num w:numId="18">
    <w:abstractNumId w:val="14"/>
  </w:num>
  <w:num w:numId="19">
    <w:abstractNumId w:val="16"/>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167E1"/>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93C2D"/>
    <w:rsid w:val="00DB4C57"/>
    <w:rsid w:val="00DE61E9"/>
    <w:rsid w:val="00DF4F62"/>
    <w:rsid w:val="00E3082E"/>
    <w:rsid w:val="01137C69"/>
    <w:rsid w:val="019500BD"/>
    <w:rsid w:val="01D86637"/>
    <w:rsid w:val="020A383A"/>
    <w:rsid w:val="02521BA2"/>
    <w:rsid w:val="0293115E"/>
    <w:rsid w:val="02D36DFE"/>
    <w:rsid w:val="030E471C"/>
    <w:rsid w:val="038B1FD8"/>
    <w:rsid w:val="03CD4D4A"/>
    <w:rsid w:val="04574BE6"/>
    <w:rsid w:val="0468484A"/>
    <w:rsid w:val="04A22F2C"/>
    <w:rsid w:val="04D836CC"/>
    <w:rsid w:val="04DF1A8A"/>
    <w:rsid w:val="051A0302"/>
    <w:rsid w:val="052E656D"/>
    <w:rsid w:val="06A64F55"/>
    <w:rsid w:val="07AF3996"/>
    <w:rsid w:val="07EA1BB7"/>
    <w:rsid w:val="083500E3"/>
    <w:rsid w:val="087A4942"/>
    <w:rsid w:val="08B374B6"/>
    <w:rsid w:val="08FE75D7"/>
    <w:rsid w:val="09192B3D"/>
    <w:rsid w:val="09322AD0"/>
    <w:rsid w:val="09350C5F"/>
    <w:rsid w:val="094D3A03"/>
    <w:rsid w:val="0A7D5FCD"/>
    <w:rsid w:val="0B383CE3"/>
    <w:rsid w:val="0B3A5C6C"/>
    <w:rsid w:val="0C4D409E"/>
    <w:rsid w:val="0C6B569B"/>
    <w:rsid w:val="0CAB76AE"/>
    <w:rsid w:val="0CB97065"/>
    <w:rsid w:val="0CD106BD"/>
    <w:rsid w:val="0CD15854"/>
    <w:rsid w:val="0CF27991"/>
    <w:rsid w:val="0CF602B9"/>
    <w:rsid w:val="0D166265"/>
    <w:rsid w:val="0D2F0B75"/>
    <w:rsid w:val="0D3861DB"/>
    <w:rsid w:val="0D447276"/>
    <w:rsid w:val="0D523741"/>
    <w:rsid w:val="0D5D1B80"/>
    <w:rsid w:val="0DAE03C5"/>
    <w:rsid w:val="0DFA2C97"/>
    <w:rsid w:val="0E3C09DC"/>
    <w:rsid w:val="0E3D7B44"/>
    <w:rsid w:val="0F1552FE"/>
    <w:rsid w:val="0F374731"/>
    <w:rsid w:val="0FAC4A5B"/>
    <w:rsid w:val="1075183A"/>
    <w:rsid w:val="108571AB"/>
    <w:rsid w:val="108A249A"/>
    <w:rsid w:val="109E3AD5"/>
    <w:rsid w:val="10B87FE1"/>
    <w:rsid w:val="10EC6CF5"/>
    <w:rsid w:val="119737B9"/>
    <w:rsid w:val="11ED63EA"/>
    <w:rsid w:val="12316F41"/>
    <w:rsid w:val="12371157"/>
    <w:rsid w:val="12986F2D"/>
    <w:rsid w:val="12AF5192"/>
    <w:rsid w:val="12BB7F7E"/>
    <w:rsid w:val="141203F1"/>
    <w:rsid w:val="147C72F5"/>
    <w:rsid w:val="15043920"/>
    <w:rsid w:val="155F6372"/>
    <w:rsid w:val="15606B4D"/>
    <w:rsid w:val="15673B02"/>
    <w:rsid w:val="159462BE"/>
    <w:rsid w:val="15E348F4"/>
    <w:rsid w:val="165220ED"/>
    <w:rsid w:val="16651E05"/>
    <w:rsid w:val="16C51C6C"/>
    <w:rsid w:val="17326391"/>
    <w:rsid w:val="18855585"/>
    <w:rsid w:val="1890336F"/>
    <w:rsid w:val="18E13BCB"/>
    <w:rsid w:val="197C38F4"/>
    <w:rsid w:val="199A7764"/>
    <w:rsid w:val="19CF1C75"/>
    <w:rsid w:val="1A935029"/>
    <w:rsid w:val="1AB53523"/>
    <w:rsid w:val="1AC00AF1"/>
    <w:rsid w:val="1ACE595C"/>
    <w:rsid w:val="1B13629E"/>
    <w:rsid w:val="1B470999"/>
    <w:rsid w:val="1B6521E6"/>
    <w:rsid w:val="1D331864"/>
    <w:rsid w:val="1D446291"/>
    <w:rsid w:val="1D85259B"/>
    <w:rsid w:val="1D8B7ED2"/>
    <w:rsid w:val="1DE91501"/>
    <w:rsid w:val="1E4C7D38"/>
    <w:rsid w:val="1E88173F"/>
    <w:rsid w:val="20084133"/>
    <w:rsid w:val="20370574"/>
    <w:rsid w:val="207B66B3"/>
    <w:rsid w:val="20CB694C"/>
    <w:rsid w:val="20E802BA"/>
    <w:rsid w:val="213F71B0"/>
    <w:rsid w:val="218D1EEF"/>
    <w:rsid w:val="22AE6BBC"/>
    <w:rsid w:val="22BC36FA"/>
    <w:rsid w:val="22C96D6A"/>
    <w:rsid w:val="23502079"/>
    <w:rsid w:val="23623B5A"/>
    <w:rsid w:val="239C6316"/>
    <w:rsid w:val="24174538"/>
    <w:rsid w:val="25615A93"/>
    <w:rsid w:val="25BF5294"/>
    <w:rsid w:val="25F136F5"/>
    <w:rsid w:val="262319BC"/>
    <w:rsid w:val="26391AC4"/>
    <w:rsid w:val="26871E3E"/>
    <w:rsid w:val="26B446CD"/>
    <w:rsid w:val="26DB2065"/>
    <w:rsid w:val="27DD0612"/>
    <w:rsid w:val="280B21CD"/>
    <w:rsid w:val="28292E99"/>
    <w:rsid w:val="28560F12"/>
    <w:rsid w:val="286439F7"/>
    <w:rsid w:val="287A36F4"/>
    <w:rsid w:val="28AB5DB9"/>
    <w:rsid w:val="28BE1833"/>
    <w:rsid w:val="28C5288B"/>
    <w:rsid w:val="29001E4B"/>
    <w:rsid w:val="29171B54"/>
    <w:rsid w:val="29361D11"/>
    <w:rsid w:val="293715E5"/>
    <w:rsid w:val="296A23AC"/>
    <w:rsid w:val="29BF3274"/>
    <w:rsid w:val="29C84966"/>
    <w:rsid w:val="29E11C7D"/>
    <w:rsid w:val="2A251AAA"/>
    <w:rsid w:val="2A331DAD"/>
    <w:rsid w:val="2A3F7009"/>
    <w:rsid w:val="2AB44CE1"/>
    <w:rsid w:val="2ABE748A"/>
    <w:rsid w:val="2AF07C9E"/>
    <w:rsid w:val="2B1E1887"/>
    <w:rsid w:val="2B6C3B1E"/>
    <w:rsid w:val="2BD54A0F"/>
    <w:rsid w:val="2C0C337E"/>
    <w:rsid w:val="2E1D7DC2"/>
    <w:rsid w:val="2E393998"/>
    <w:rsid w:val="2E4072A5"/>
    <w:rsid w:val="2F0D38A4"/>
    <w:rsid w:val="2F355876"/>
    <w:rsid w:val="2F835584"/>
    <w:rsid w:val="2FE773B2"/>
    <w:rsid w:val="2FFD5337"/>
    <w:rsid w:val="30007685"/>
    <w:rsid w:val="300A7223"/>
    <w:rsid w:val="30546FAA"/>
    <w:rsid w:val="30B23A00"/>
    <w:rsid w:val="30C75897"/>
    <w:rsid w:val="31177A3B"/>
    <w:rsid w:val="31384BE1"/>
    <w:rsid w:val="31E10908"/>
    <w:rsid w:val="32393423"/>
    <w:rsid w:val="32D15ED6"/>
    <w:rsid w:val="32E80786"/>
    <w:rsid w:val="33310132"/>
    <w:rsid w:val="33380434"/>
    <w:rsid w:val="337C0B48"/>
    <w:rsid w:val="33B01385"/>
    <w:rsid w:val="341A3E9C"/>
    <w:rsid w:val="341A78AC"/>
    <w:rsid w:val="343926B5"/>
    <w:rsid w:val="34921653"/>
    <w:rsid w:val="3671332B"/>
    <w:rsid w:val="37AF69BF"/>
    <w:rsid w:val="38602906"/>
    <w:rsid w:val="38A46B64"/>
    <w:rsid w:val="38C500B3"/>
    <w:rsid w:val="39317DFF"/>
    <w:rsid w:val="39445D84"/>
    <w:rsid w:val="39BC1DBE"/>
    <w:rsid w:val="3ADE0934"/>
    <w:rsid w:val="3AE03859"/>
    <w:rsid w:val="3B381849"/>
    <w:rsid w:val="3C2E6878"/>
    <w:rsid w:val="3CB443D2"/>
    <w:rsid w:val="3CCA064B"/>
    <w:rsid w:val="3CFB4C5D"/>
    <w:rsid w:val="3D302BB8"/>
    <w:rsid w:val="3D3643A9"/>
    <w:rsid w:val="3DC56D68"/>
    <w:rsid w:val="3DD61C48"/>
    <w:rsid w:val="3DDA39FD"/>
    <w:rsid w:val="3DDB6813"/>
    <w:rsid w:val="3DF6577A"/>
    <w:rsid w:val="3E502AD5"/>
    <w:rsid w:val="3E7540A1"/>
    <w:rsid w:val="3E895FE7"/>
    <w:rsid w:val="3EA71AD6"/>
    <w:rsid w:val="3EC92883"/>
    <w:rsid w:val="3EDD6D21"/>
    <w:rsid w:val="3F03640F"/>
    <w:rsid w:val="3F433B71"/>
    <w:rsid w:val="3F592485"/>
    <w:rsid w:val="3F7647BE"/>
    <w:rsid w:val="3F942E96"/>
    <w:rsid w:val="3FC90D91"/>
    <w:rsid w:val="40022408"/>
    <w:rsid w:val="408A13C1"/>
    <w:rsid w:val="41DA506E"/>
    <w:rsid w:val="41E910AE"/>
    <w:rsid w:val="4206121C"/>
    <w:rsid w:val="423B16D9"/>
    <w:rsid w:val="4294176A"/>
    <w:rsid w:val="42F9710A"/>
    <w:rsid w:val="43064193"/>
    <w:rsid w:val="43917E18"/>
    <w:rsid w:val="445D7CFA"/>
    <w:rsid w:val="449C6632"/>
    <w:rsid w:val="44C55FAF"/>
    <w:rsid w:val="44CC354F"/>
    <w:rsid w:val="44F3065E"/>
    <w:rsid w:val="450C5235"/>
    <w:rsid w:val="456F23DB"/>
    <w:rsid w:val="4597548E"/>
    <w:rsid w:val="45CF4C28"/>
    <w:rsid w:val="46167FD7"/>
    <w:rsid w:val="46256F3D"/>
    <w:rsid w:val="472A1D23"/>
    <w:rsid w:val="475573AE"/>
    <w:rsid w:val="479D506A"/>
    <w:rsid w:val="47AB3636"/>
    <w:rsid w:val="47B942DB"/>
    <w:rsid w:val="483F3E1C"/>
    <w:rsid w:val="48782162"/>
    <w:rsid w:val="49445EED"/>
    <w:rsid w:val="49771967"/>
    <w:rsid w:val="49C5081B"/>
    <w:rsid w:val="4A1208C6"/>
    <w:rsid w:val="4AA33A13"/>
    <w:rsid w:val="4AF60B96"/>
    <w:rsid w:val="4B851DF0"/>
    <w:rsid w:val="4B991F60"/>
    <w:rsid w:val="4BC656DE"/>
    <w:rsid w:val="4BD71EB9"/>
    <w:rsid w:val="4C0E2F1B"/>
    <w:rsid w:val="4C496E04"/>
    <w:rsid w:val="4CD55766"/>
    <w:rsid w:val="4D4E1E94"/>
    <w:rsid w:val="4D8E3FC3"/>
    <w:rsid w:val="4E54695D"/>
    <w:rsid w:val="4E796078"/>
    <w:rsid w:val="4E93715B"/>
    <w:rsid w:val="4EC72CD6"/>
    <w:rsid w:val="4F3B4271"/>
    <w:rsid w:val="4F9C6959"/>
    <w:rsid w:val="4F9F1BEB"/>
    <w:rsid w:val="4FBA01E8"/>
    <w:rsid w:val="509A6CD0"/>
    <w:rsid w:val="50EC48E0"/>
    <w:rsid w:val="51085492"/>
    <w:rsid w:val="513C2D90"/>
    <w:rsid w:val="51DA6E2E"/>
    <w:rsid w:val="51F94145"/>
    <w:rsid w:val="52134933"/>
    <w:rsid w:val="52ED1E58"/>
    <w:rsid w:val="543F3675"/>
    <w:rsid w:val="54603722"/>
    <w:rsid w:val="54E35FFA"/>
    <w:rsid w:val="550C692B"/>
    <w:rsid w:val="55620B4F"/>
    <w:rsid w:val="55D65293"/>
    <w:rsid w:val="56212F70"/>
    <w:rsid w:val="565B702F"/>
    <w:rsid w:val="56AD4B11"/>
    <w:rsid w:val="56C703BD"/>
    <w:rsid w:val="5700703B"/>
    <w:rsid w:val="57697496"/>
    <w:rsid w:val="57807D09"/>
    <w:rsid w:val="57820A35"/>
    <w:rsid w:val="57F86260"/>
    <w:rsid w:val="580856FC"/>
    <w:rsid w:val="583E47EB"/>
    <w:rsid w:val="58A106A5"/>
    <w:rsid w:val="58E766AC"/>
    <w:rsid w:val="5A161474"/>
    <w:rsid w:val="5A68396E"/>
    <w:rsid w:val="5A8855DA"/>
    <w:rsid w:val="5AA1498D"/>
    <w:rsid w:val="5AAC50E0"/>
    <w:rsid w:val="5B4D241F"/>
    <w:rsid w:val="5B9B762E"/>
    <w:rsid w:val="5BB67B93"/>
    <w:rsid w:val="5C7819E8"/>
    <w:rsid w:val="5CFB28FC"/>
    <w:rsid w:val="5D481B57"/>
    <w:rsid w:val="5F182D44"/>
    <w:rsid w:val="5F69359F"/>
    <w:rsid w:val="61170069"/>
    <w:rsid w:val="612C41DB"/>
    <w:rsid w:val="61DF6FC9"/>
    <w:rsid w:val="620F4F19"/>
    <w:rsid w:val="62347F47"/>
    <w:rsid w:val="62571E12"/>
    <w:rsid w:val="627C4C03"/>
    <w:rsid w:val="62F31AFE"/>
    <w:rsid w:val="63293771"/>
    <w:rsid w:val="635B76A3"/>
    <w:rsid w:val="63A64DC2"/>
    <w:rsid w:val="63B00E60"/>
    <w:rsid w:val="63C96D02"/>
    <w:rsid w:val="640806A6"/>
    <w:rsid w:val="64320204"/>
    <w:rsid w:val="64C01EB3"/>
    <w:rsid w:val="64CD45D0"/>
    <w:rsid w:val="65085608"/>
    <w:rsid w:val="65764920"/>
    <w:rsid w:val="65907AD8"/>
    <w:rsid w:val="65CA345A"/>
    <w:rsid w:val="66173CAA"/>
    <w:rsid w:val="663672EA"/>
    <w:rsid w:val="668221D6"/>
    <w:rsid w:val="670F6D44"/>
    <w:rsid w:val="671E1113"/>
    <w:rsid w:val="672E75A8"/>
    <w:rsid w:val="67786EB7"/>
    <w:rsid w:val="6784541A"/>
    <w:rsid w:val="67902011"/>
    <w:rsid w:val="67B65075"/>
    <w:rsid w:val="67BB4BB4"/>
    <w:rsid w:val="67ED07E2"/>
    <w:rsid w:val="68336E40"/>
    <w:rsid w:val="686F7054"/>
    <w:rsid w:val="68974ED6"/>
    <w:rsid w:val="689C5D75"/>
    <w:rsid w:val="68A13DAA"/>
    <w:rsid w:val="69896715"/>
    <w:rsid w:val="69A1302A"/>
    <w:rsid w:val="69FF522C"/>
    <w:rsid w:val="6A07121D"/>
    <w:rsid w:val="6A372C18"/>
    <w:rsid w:val="6A462E5B"/>
    <w:rsid w:val="6A791969"/>
    <w:rsid w:val="6AA819B9"/>
    <w:rsid w:val="6AB3048C"/>
    <w:rsid w:val="6B7E03D2"/>
    <w:rsid w:val="6C163F72"/>
    <w:rsid w:val="6C427E32"/>
    <w:rsid w:val="6C7650CA"/>
    <w:rsid w:val="6C7748D6"/>
    <w:rsid w:val="6C88441D"/>
    <w:rsid w:val="6CFA1CDB"/>
    <w:rsid w:val="6D2D0253"/>
    <w:rsid w:val="6D9D33CB"/>
    <w:rsid w:val="6DD4077E"/>
    <w:rsid w:val="6E877E34"/>
    <w:rsid w:val="6F3B2537"/>
    <w:rsid w:val="6F516E5B"/>
    <w:rsid w:val="6FC54073"/>
    <w:rsid w:val="6FCF60FA"/>
    <w:rsid w:val="6FE54DE5"/>
    <w:rsid w:val="70143E1D"/>
    <w:rsid w:val="7064403B"/>
    <w:rsid w:val="709C0530"/>
    <w:rsid w:val="70A50DEB"/>
    <w:rsid w:val="70AE739C"/>
    <w:rsid w:val="70CE4EA1"/>
    <w:rsid w:val="70FE7DEF"/>
    <w:rsid w:val="71445C1A"/>
    <w:rsid w:val="71527F65"/>
    <w:rsid w:val="71694184"/>
    <w:rsid w:val="716A5681"/>
    <w:rsid w:val="718F409D"/>
    <w:rsid w:val="71AE4CDA"/>
    <w:rsid w:val="71C51DA1"/>
    <w:rsid w:val="71DE7825"/>
    <w:rsid w:val="71E33685"/>
    <w:rsid w:val="71EC3636"/>
    <w:rsid w:val="728118F5"/>
    <w:rsid w:val="72CA0102"/>
    <w:rsid w:val="735963AA"/>
    <w:rsid w:val="744C72C0"/>
    <w:rsid w:val="74563933"/>
    <w:rsid w:val="7477250E"/>
    <w:rsid w:val="74A757C2"/>
    <w:rsid w:val="74BB2697"/>
    <w:rsid w:val="74C24F6E"/>
    <w:rsid w:val="752B5127"/>
    <w:rsid w:val="754D130D"/>
    <w:rsid w:val="75C0633D"/>
    <w:rsid w:val="75F776FF"/>
    <w:rsid w:val="761B1521"/>
    <w:rsid w:val="76737809"/>
    <w:rsid w:val="77E06D61"/>
    <w:rsid w:val="783A38D3"/>
    <w:rsid w:val="784C1F74"/>
    <w:rsid w:val="78643CC5"/>
    <w:rsid w:val="788B1CC4"/>
    <w:rsid w:val="790A14F7"/>
    <w:rsid w:val="796D330F"/>
    <w:rsid w:val="799F4335"/>
    <w:rsid w:val="79A951B4"/>
    <w:rsid w:val="79F85927"/>
    <w:rsid w:val="7B043F1D"/>
    <w:rsid w:val="7B2014A6"/>
    <w:rsid w:val="7B287608"/>
    <w:rsid w:val="7C4D28B2"/>
    <w:rsid w:val="7C63789C"/>
    <w:rsid w:val="7DCE66A2"/>
    <w:rsid w:val="7DE81073"/>
    <w:rsid w:val="7E224314"/>
    <w:rsid w:val="7E665422"/>
    <w:rsid w:val="7EE40943"/>
    <w:rsid w:val="7F6F7419"/>
    <w:rsid w:val="7FE40CF4"/>
    <w:rsid w:val="7FF3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unhideWhenUsed/>
    <w:qFormat/>
    <w:uiPriority w:val="0"/>
    <w:pPr>
      <w:ind w:firstLine="420" w:firstLineChars="200"/>
    </w:pPr>
    <w:rPr>
      <w:rFonts w:ascii="Calibri" w:hAnsi="Calibri"/>
      <w:szCs w:val="22"/>
    </w:rPr>
  </w:style>
  <w:style w:type="paragraph" w:styleId="8">
    <w:name w:val="toc 4"/>
    <w:basedOn w:val="1"/>
    <w:next w:val="1"/>
    <w:unhideWhenUsed/>
    <w:qFormat/>
    <w:uiPriority w:val="39"/>
    <w:pPr>
      <w:ind w:left="1260" w:leftChars="600"/>
    </w:pPr>
  </w:style>
  <w:style w:type="paragraph" w:styleId="9">
    <w:name w:val="annotation text"/>
    <w:basedOn w:val="1"/>
    <w:link w:val="41"/>
    <w:qFormat/>
    <w:uiPriority w:val="99"/>
    <w:pPr>
      <w:jc w:val="left"/>
    </w:pPr>
  </w:style>
  <w:style w:type="paragraph" w:styleId="10">
    <w:name w:val="Body Text 3"/>
    <w:basedOn w:val="1"/>
    <w:next w:val="1"/>
    <w:qFormat/>
    <w:uiPriority w:val="0"/>
    <w:pPr>
      <w:spacing w:line="500" w:lineRule="exact"/>
    </w:pPr>
    <w:rPr>
      <w:b/>
      <w:sz w:val="24"/>
    </w:rPr>
  </w:style>
  <w:style w:type="paragraph" w:styleId="11">
    <w:name w:val="Body Text"/>
    <w:basedOn w:val="1"/>
    <w:next w:val="1"/>
    <w:qFormat/>
    <w:uiPriority w:val="1"/>
    <w:pPr>
      <w:widowControl w:val="0"/>
      <w:jc w:val="both"/>
    </w:pPr>
    <w:rPr>
      <w:rFonts w:ascii="楷体" w:hAnsi="楷体" w:eastAsia="楷体" w:cs="楷体"/>
      <w:kern w:val="2"/>
      <w:sz w:val="24"/>
      <w:szCs w:val="24"/>
      <w:lang w:val="zh-CN" w:eastAsia="zh-CN" w:bidi="zh-CN"/>
    </w:rPr>
  </w:style>
  <w:style w:type="paragraph" w:styleId="12">
    <w:name w:val="Body Text Indent"/>
    <w:basedOn w:val="1"/>
    <w:next w:val="13"/>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3">
    <w:name w:val="Body Text First Indent"/>
    <w:basedOn w:val="11"/>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4">
    <w:name w:val="Plain Text"/>
    <w:basedOn w:val="1"/>
    <w:unhideWhenUsed/>
    <w:qFormat/>
    <w:uiPriority w:val="0"/>
    <w:rPr>
      <w:rFonts w:ascii="宋体" w:hAnsi="Courier New"/>
      <w:kern w:val="0"/>
      <w:sz w:val="20"/>
      <w:szCs w:val="20"/>
    </w:rPr>
  </w:style>
  <w:style w:type="paragraph" w:styleId="15">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Body Text Indent 2"/>
    <w:basedOn w:val="1"/>
    <w:link w:val="44"/>
    <w:qFormat/>
    <w:uiPriority w:val="99"/>
    <w:pPr>
      <w:spacing w:after="120" w:line="480" w:lineRule="auto"/>
      <w:ind w:left="420" w:leftChars="200"/>
    </w:pPr>
  </w:style>
  <w:style w:type="paragraph" w:styleId="17">
    <w:name w:val="Balloon Text"/>
    <w:basedOn w:val="1"/>
    <w:link w:val="43"/>
    <w:qFormat/>
    <w:uiPriority w:val="0"/>
    <w:rPr>
      <w:sz w:val="18"/>
      <w:szCs w:val="18"/>
    </w:rPr>
  </w:style>
  <w:style w:type="paragraph" w:styleId="18">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9">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style>
  <w:style w:type="paragraph" w:styleId="22">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toc 2"/>
    <w:basedOn w:val="1"/>
    <w:next w:val="1"/>
    <w:qFormat/>
    <w:uiPriority w:val="0"/>
    <w:pPr>
      <w:ind w:left="420" w:leftChars="200"/>
    </w:p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Title"/>
    <w:basedOn w:val="1"/>
    <w:next w:val="1"/>
    <w:qFormat/>
    <w:uiPriority w:val="0"/>
    <w:pPr>
      <w:spacing w:before="240" w:after="60"/>
      <w:ind w:left="425" w:hanging="425"/>
      <w:jc w:val="center"/>
      <w:outlineLvl w:val="0"/>
    </w:pPr>
    <w:rPr>
      <w:rFonts w:ascii="Arial" w:hAnsi="Arial"/>
      <w:b/>
      <w:sz w:val="32"/>
    </w:rPr>
  </w:style>
  <w:style w:type="paragraph" w:styleId="26">
    <w:name w:val="annotation subject"/>
    <w:basedOn w:val="9"/>
    <w:next w:val="9"/>
    <w:link w:val="42"/>
    <w:qFormat/>
    <w:uiPriority w:val="0"/>
    <w:rPr>
      <w:b/>
      <w:bCs/>
    </w:rPr>
  </w:style>
  <w:style w:type="paragraph" w:styleId="27">
    <w:name w:val="Body Text First Indent 2"/>
    <w:basedOn w:val="12"/>
    <w:next w:val="13"/>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Hyperlink"/>
    <w:qFormat/>
    <w:uiPriority w:val="99"/>
    <w:rPr>
      <w:color w:val="136EC2"/>
      <w:u w:val="single"/>
    </w:rPr>
  </w:style>
  <w:style w:type="character" w:styleId="33">
    <w:name w:val="annotation reference"/>
    <w:basedOn w:val="30"/>
    <w:qFormat/>
    <w:uiPriority w:val="0"/>
    <w:rPr>
      <w:sz w:val="21"/>
      <w:szCs w:val="21"/>
    </w:rPr>
  </w:style>
  <w:style w:type="paragraph" w:customStyle="1" w:styleId="34">
    <w:name w:val="表格文字2"/>
    <w:basedOn w:val="35"/>
    <w:qFormat/>
    <w:uiPriority w:val="99"/>
    <w:pPr>
      <w:spacing w:before="25" w:after="25"/>
      <w:jc w:val="left"/>
    </w:pPr>
    <w:rPr>
      <w:bCs/>
      <w:spacing w:val="10"/>
      <w:kern w:val="0"/>
    </w:rPr>
  </w:style>
  <w:style w:type="paragraph" w:customStyle="1" w:styleId="35">
    <w:name w:val="Normal"/>
    <w:next w:val="36"/>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Body Text"/>
    <w:basedOn w:val="35"/>
    <w:qFormat/>
    <w:uiPriority w:val="0"/>
    <w:pPr>
      <w:spacing w:after="120"/>
    </w:pPr>
  </w:style>
  <w:style w:type="paragraph" w:customStyle="1" w:styleId="3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批注文字 Char"/>
    <w:basedOn w:val="30"/>
    <w:link w:val="9"/>
    <w:qFormat/>
    <w:uiPriority w:val="99"/>
    <w:rPr>
      <w:rFonts w:asciiTheme="minorHAnsi" w:hAnsiTheme="minorHAnsi" w:eastAsiaTheme="minorEastAsia" w:cstheme="minorBidi"/>
      <w:kern w:val="2"/>
      <w:sz w:val="21"/>
      <w:szCs w:val="24"/>
    </w:rPr>
  </w:style>
  <w:style w:type="character" w:customStyle="1" w:styleId="42">
    <w:name w:val="批注主题 Char"/>
    <w:basedOn w:val="41"/>
    <w:link w:val="26"/>
    <w:qFormat/>
    <w:uiPriority w:val="0"/>
    <w:rPr>
      <w:rFonts w:asciiTheme="minorHAnsi" w:hAnsiTheme="minorHAnsi" w:eastAsiaTheme="minorEastAsia" w:cstheme="minorBidi"/>
      <w:b/>
      <w:bCs/>
      <w:kern w:val="2"/>
      <w:sz w:val="21"/>
      <w:szCs w:val="24"/>
    </w:rPr>
  </w:style>
  <w:style w:type="character" w:customStyle="1" w:styleId="43">
    <w:name w:val="批注框文本 Char"/>
    <w:basedOn w:val="30"/>
    <w:link w:val="17"/>
    <w:qFormat/>
    <w:uiPriority w:val="0"/>
    <w:rPr>
      <w:rFonts w:asciiTheme="minorHAnsi" w:hAnsiTheme="minorHAnsi" w:eastAsiaTheme="minorEastAsia" w:cstheme="minorBidi"/>
      <w:kern w:val="2"/>
      <w:sz w:val="18"/>
      <w:szCs w:val="18"/>
    </w:rPr>
  </w:style>
  <w:style w:type="character" w:customStyle="1" w:styleId="44">
    <w:name w:val="正文文本缩进 2 Char"/>
    <w:basedOn w:val="30"/>
    <w:link w:val="16"/>
    <w:qFormat/>
    <w:uiPriority w:val="99"/>
    <w:rPr>
      <w:rFonts w:asciiTheme="minorHAnsi" w:hAnsiTheme="minorHAnsi" w:eastAsiaTheme="minorEastAsia" w:cstheme="minorBidi"/>
      <w:kern w:val="2"/>
      <w:sz w:val="21"/>
      <w:szCs w:val="24"/>
    </w:rPr>
  </w:style>
  <w:style w:type="character" w:customStyle="1" w:styleId="45">
    <w:name w:val="标题 3 Char"/>
    <w:basedOn w:val="30"/>
    <w:link w:val="4"/>
    <w:qFormat/>
    <w:uiPriority w:val="0"/>
    <w:rPr>
      <w:rFonts w:ascii="宋体"/>
      <w:b/>
      <w:kern w:val="0"/>
      <w:sz w:val="24"/>
      <w:szCs w:val="20"/>
      <w:u w:val="single"/>
    </w:rPr>
  </w:style>
  <w:style w:type="paragraph" w:customStyle="1" w:styleId="46">
    <w:name w:val="Table Text"/>
    <w:basedOn w:val="1"/>
    <w:autoRedefine/>
    <w:semiHidden/>
    <w:qFormat/>
    <w:uiPriority w:val="0"/>
    <w:rPr>
      <w:rFonts w:ascii="微软雅黑" w:hAnsi="微软雅黑" w:eastAsia="微软雅黑" w:cs="微软雅黑"/>
      <w:sz w:val="24"/>
      <w:szCs w:val="24"/>
    </w:rPr>
  </w:style>
  <w:style w:type="table" w:customStyle="1" w:styleId="47">
    <w:name w:val="Table Normal"/>
    <w:autoRedefine/>
    <w:semiHidden/>
    <w:unhideWhenUsed/>
    <w:qFormat/>
    <w:uiPriority w:val="0"/>
    <w:tblPr>
      <w:tblCellMar>
        <w:top w:w="0" w:type="dxa"/>
        <w:left w:w="0" w:type="dxa"/>
        <w:bottom w:w="0" w:type="dxa"/>
        <w:right w:w="0" w:type="dxa"/>
      </w:tblCellMar>
    </w:tblPr>
  </w:style>
  <w:style w:type="paragraph" w:styleId="48">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9">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缩进2"/>
    <w:basedOn w:val="1"/>
    <w:autoRedefine/>
    <w:qFormat/>
    <w:uiPriority w:val="0"/>
    <w:pPr>
      <w:wordWrap w:val="0"/>
      <w:ind w:firstLine="480"/>
    </w:pPr>
    <w:rPr>
      <w:iCs/>
      <w:shd w:val="clear" w:color="auto" w:fill="FFFFFF" w:themeFill="background1"/>
      <w:lang w:val="zh-CN"/>
    </w:rPr>
  </w:style>
  <w:style w:type="paragraph" w:customStyle="1" w:styleId="51">
    <w:name w:val="List Paragraph"/>
    <w:basedOn w:val="1"/>
    <w:qFormat/>
    <w:uiPriority w:val="0"/>
    <w:pPr>
      <w:suppressAutoHyphens w:val="0"/>
      <w:spacing w:after="120"/>
      <w:ind w:firstLine="420" w:firstLineChars="200"/>
    </w:pPr>
    <w:rPr>
      <w:rFonts w:eastAsia="宋体"/>
      <w:szCs w:val="24"/>
    </w:rPr>
  </w:style>
  <w:style w:type="paragraph" w:customStyle="1" w:styleId="5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53">
    <w:name w:val="正文文本缩进_0_0"/>
    <w:basedOn w:val="54"/>
    <w:qFormat/>
    <w:uiPriority w:val="0"/>
    <w:pPr>
      <w:spacing w:line="500" w:lineRule="exact"/>
      <w:ind w:left="1588" w:firstLine="433"/>
    </w:pPr>
    <w:rPr>
      <w:rFonts w:ascii="Calibri" w:hAnsi="Calibri" w:cs="Calibri"/>
      <w:sz w:val="24"/>
      <w:szCs w:val="24"/>
    </w:rPr>
  </w:style>
  <w:style w:type="paragraph" w:customStyle="1" w:styleId="54">
    <w:name w:val="正文_3_0"/>
    <w:qFormat/>
    <w:uiPriority w:val="0"/>
    <w:pPr>
      <w:widowControl w:val="0"/>
      <w:suppressAutoHyphens/>
      <w:jc w:val="both"/>
    </w:pPr>
    <w:rPr>
      <w:rFonts w:ascii="Times New Roman" w:hAnsi="Times New Roman" w:eastAsia="宋体;SimSun" w:cs="Times New Roman"/>
      <w:kern w:val="2"/>
      <w:sz w:val="21"/>
      <w:szCs w:val="21"/>
      <w:lang w:val="en-US" w:eastAsia="zh-CN" w:bidi="ar-SA"/>
    </w:rPr>
  </w:style>
  <w:style w:type="paragraph" w:customStyle="1" w:styleId="55">
    <w:name w:val="正"/>
    <w:basedOn w:val="56"/>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56">
    <w:name w:val="正文_1"/>
    <w:basedOn w:val="57"/>
    <w:next w:val="55"/>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57">
    <w:name w:val="正文_2"/>
    <w:basedOn w:val="58"/>
    <w:qFormat/>
    <w:uiPriority w:val="0"/>
    <w:pPr>
      <w:widowControl w:val="0"/>
      <w:suppressAutoHyphens/>
      <w:jc w:val="both"/>
    </w:pPr>
    <w:rPr>
      <w:rFonts w:eastAsia="仿宋_GB2312"/>
      <w:kern w:val="2"/>
      <w:sz w:val="28"/>
      <w:szCs w:val="28"/>
      <w:lang w:val="en-US" w:eastAsia="zh-CN" w:bidi="ar-SA"/>
    </w:rPr>
  </w:style>
  <w:style w:type="paragraph" w:customStyle="1" w:styleId="58">
    <w:name w:val="正文_3"/>
    <w:basedOn w:val="59"/>
    <w:next w:val="60"/>
    <w:qFormat/>
    <w:uiPriority w:val="0"/>
    <w:pPr>
      <w:widowControl w:val="0"/>
      <w:jc w:val="both"/>
    </w:pPr>
    <w:rPr>
      <w:rFonts w:ascii="Calibri" w:hAnsi="Calibri" w:eastAsia="宋体" w:cs="Calibri"/>
      <w:color w:val="000000"/>
      <w:kern w:val="1"/>
      <w:sz w:val="21"/>
      <w:szCs w:val="22"/>
      <w:lang w:val="en-US" w:eastAsia="zh-CN" w:bidi="ar-SA"/>
    </w:rPr>
  </w:style>
  <w:style w:type="paragraph" w:customStyle="1" w:styleId="5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文本_0"/>
    <w:basedOn w:val="61"/>
    <w:qFormat/>
    <w:uiPriority w:val="0"/>
    <w:pPr>
      <w:spacing w:after="120"/>
    </w:pPr>
    <w:rPr>
      <w:rFonts w:ascii="Times New Roman" w:hAnsi="Times New Roman"/>
      <w:szCs w:val="24"/>
    </w:rPr>
  </w:style>
  <w:style w:type="paragraph" w:customStyle="1" w:styleId="61">
    <w:name w:val="正文_3_0_0"/>
    <w:basedOn w:val="35"/>
    <w:qFormat/>
    <w:uiPriority w:val="0"/>
    <w:pPr>
      <w:widowControl w:val="0"/>
      <w:jc w:val="both"/>
    </w:pPr>
    <w:rPr>
      <w:rFonts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140</Pages>
  <Words>12936</Words>
  <Characters>13915</Characters>
  <Lines>510</Lines>
  <Paragraphs>143</Paragraphs>
  <TotalTime>10</TotalTime>
  <ScaleCrop>false</ScaleCrop>
  <LinksUpToDate>false</LinksUpToDate>
  <CharactersWithSpaces>14147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dcterms:modified xsi:type="dcterms:W3CDTF">2026-06-11T10:11:44Z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AF31F84DA64D4575A90359196D94B840_13</vt:lpwstr>
  </property>
  <property fmtid="{D5CDD505-2E9C-101B-9397-08002B2CF9AE}" pid="4" name="KSOTemplateDocerSaveRecord">
    <vt:lpwstr>eyJoZGlkIjoiYWJhYTg4ZGMxYjEyYjZmNTkwNzRhNTE2Y2YyZjE0NWIiLCJ1c2VySWQiOiI0NDIzNzU0MDYifQ==</vt:lpwstr>
  </property>
</Properties>
</file>